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2D258">
      <w:pPr>
        <w:rPr>
          <w:rFonts w:ascii="仿宋_GB2312" w:hAnsi="仿宋_GB2312" w:eastAsia="仿宋_GB2312" w:cs="仿宋_GB2312"/>
          <w:color w:val="auto"/>
          <w:sz w:val="36"/>
          <w:szCs w:val="36"/>
          <w:highlight w:val="none"/>
        </w:rPr>
      </w:pPr>
    </w:p>
    <w:p w14:paraId="72C89ECD">
      <w:pPr>
        <w:rPr>
          <w:rFonts w:ascii="仿宋_GB2312" w:hAnsi="仿宋_GB2312" w:eastAsia="仿宋_GB2312" w:cs="仿宋_GB2312"/>
          <w:color w:val="auto"/>
          <w:sz w:val="36"/>
          <w:szCs w:val="36"/>
          <w:highlight w:val="none"/>
        </w:rPr>
      </w:pPr>
    </w:p>
    <w:p w14:paraId="171BE704">
      <w:pPr>
        <w:rPr>
          <w:rFonts w:ascii="仿宋_GB2312" w:hAnsi="仿宋_GB2312" w:eastAsia="仿宋_GB2312" w:cs="仿宋_GB2312"/>
          <w:color w:val="auto"/>
          <w:sz w:val="36"/>
          <w:szCs w:val="36"/>
          <w:highlight w:val="none"/>
        </w:rPr>
      </w:pPr>
    </w:p>
    <w:p w14:paraId="77368B0D">
      <w:pPr>
        <w:rPr>
          <w:rFonts w:ascii="仿宋_GB2312" w:hAnsi="仿宋_GB2312" w:eastAsia="仿宋_GB2312" w:cs="仿宋_GB2312"/>
          <w:color w:val="auto"/>
          <w:sz w:val="36"/>
          <w:szCs w:val="36"/>
          <w:highlight w:val="none"/>
        </w:rPr>
      </w:pPr>
    </w:p>
    <w:p w14:paraId="6C3A22E1">
      <w:pPr>
        <w:rPr>
          <w:rFonts w:ascii="仿宋_GB2312" w:hAnsi="仿宋_GB2312" w:eastAsia="仿宋_GB2312" w:cs="仿宋_GB2312"/>
          <w:color w:val="auto"/>
          <w:sz w:val="36"/>
          <w:szCs w:val="36"/>
          <w:highlight w:val="none"/>
        </w:rPr>
      </w:pPr>
    </w:p>
    <w:p w14:paraId="47626E01">
      <w:pPr>
        <w:adjustRightInd w:val="0"/>
        <w:snapToGrid w:val="0"/>
        <w:jc w:val="center"/>
        <w:outlineLvl w:val="0"/>
        <w:rPr>
          <w:rFonts w:ascii="方正小标宋_GBK" w:eastAsia="方正小标宋_GBK"/>
          <w:bCs/>
          <w:color w:val="auto"/>
          <w:sz w:val="72"/>
          <w:szCs w:val="72"/>
          <w:highlight w:val="none"/>
        </w:rPr>
      </w:pPr>
      <w:r>
        <w:rPr>
          <w:rFonts w:hint="eastAsia" w:ascii="方正小标宋_GBK" w:eastAsia="方正小标宋_GBK"/>
          <w:bCs/>
          <w:color w:val="auto"/>
          <w:sz w:val="72"/>
          <w:szCs w:val="72"/>
          <w:highlight w:val="none"/>
        </w:rPr>
        <w:t>建设项目环境影响报告表</w:t>
      </w:r>
    </w:p>
    <w:p w14:paraId="2BC90EDF">
      <w:pPr>
        <w:adjustRightInd w:val="0"/>
        <w:snapToGrid w:val="0"/>
        <w:spacing w:before="192" w:beforeLines="80"/>
        <w:jc w:val="center"/>
        <w:rPr>
          <w:rFonts w:ascii="楷体_GB2312" w:eastAsia="楷体_GB2312"/>
          <w:bCs/>
          <w:color w:val="auto"/>
          <w:sz w:val="48"/>
          <w:szCs w:val="48"/>
          <w:highlight w:val="none"/>
        </w:rPr>
      </w:pPr>
      <w:r>
        <w:rPr>
          <w:rFonts w:hint="eastAsia" w:ascii="楷体_GB2312" w:eastAsia="楷体_GB2312"/>
          <w:bCs/>
          <w:color w:val="auto"/>
          <w:sz w:val="48"/>
          <w:szCs w:val="48"/>
          <w:highlight w:val="none"/>
        </w:rPr>
        <w:t>（污染影响类）</w:t>
      </w:r>
    </w:p>
    <w:p w14:paraId="234197C3">
      <w:pPr>
        <w:adjustRightInd w:val="0"/>
        <w:snapToGrid w:val="0"/>
        <w:spacing w:line="288" w:lineRule="auto"/>
        <w:jc w:val="center"/>
        <w:rPr>
          <w:rFonts w:ascii="华文仿宋" w:hAnsi="华文仿宋" w:eastAsia="华文仿宋" w:cs="华文仿宋"/>
          <w:color w:val="auto"/>
          <w:kern w:val="44"/>
          <w:sz w:val="44"/>
          <w:szCs w:val="44"/>
          <w:highlight w:val="none"/>
        </w:rPr>
      </w:pPr>
    </w:p>
    <w:p w14:paraId="3C2D413F">
      <w:pPr>
        <w:jc w:val="center"/>
        <w:rPr>
          <w:rFonts w:eastAsia="仿宋"/>
          <w:color w:val="auto"/>
          <w:sz w:val="52"/>
          <w:szCs w:val="52"/>
          <w:highlight w:val="none"/>
        </w:rPr>
      </w:pPr>
    </w:p>
    <w:p w14:paraId="7B9F0973">
      <w:pPr>
        <w:pStyle w:val="25"/>
        <w:rPr>
          <w:color w:val="auto"/>
          <w:highlight w:val="none"/>
        </w:rPr>
      </w:pPr>
    </w:p>
    <w:p w14:paraId="482DB24A">
      <w:pPr>
        <w:ind w:firstLine="1040"/>
        <w:rPr>
          <w:rFonts w:eastAsia="仿宋"/>
          <w:color w:val="auto"/>
          <w:sz w:val="44"/>
          <w:szCs w:val="44"/>
          <w:highlight w:val="none"/>
        </w:rPr>
      </w:pPr>
    </w:p>
    <w:p w14:paraId="49D55CB2">
      <w:pPr>
        <w:ind w:firstLine="1040"/>
        <w:rPr>
          <w:rFonts w:eastAsia="仿宋"/>
          <w:color w:val="auto"/>
          <w:sz w:val="44"/>
          <w:szCs w:val="44"/>
          <w:highlight w:val="none"/>
        </w:rPr>
      </w:pPr>
    </w:p>
    <w:p w14:paraId="7EEB500F">
      <w:pPr>
        <w:ind w:firstLine="1040"/>
        <w:rPr>
          <w:rFonts w:eastAsia="仿宋"/>
          <w:color w:val="auto"/>
          <w:sz w:val="44"/>
          <w:szCs w:val="44"/>
          <w:highlight w:val="none"/>
        </w:rPr>
      </w:pPr>
    </w:p>
    <w:p w14:paraId="571049A7">
      <w:pPr>
        <w:adjustRightInd w:val="0"/>
        <w:snapToGrid w:val="0"/>
        <w:spacing w:line="288" w:lineRule="auto"/>
        <w:ind w:firstLine="1080" w:firstLineChars="300"/>
        <w:rPr>
          <w:rFonts w:eastAsia="仿宋_GB2312"/>
          <w:b/>
          <w:color w:val="auto"/>
          <w:sz w:val="36"/>
          <w:szCs w:val="36"/>
          <w:highlight w:val="none"/>
          <w:u w:val="single"/>
        </w:rPr>
      </w:pPr>
      <w:r>
        <w:rPr>
          <w:rFonts w:eastAsia="仿宋_GB2312"/>
          <w:color w:val="auto"/>
          <w:sz w:val="36"/>
          <w:szCs w:val="36"/>
          <w:highlight w:val="none"/>
        </w:rPr>
        <w:t>项目名称：</w:t>
      </w:r>
      <w:r>
        <w:rPr>
          <w:rFonts w:hint="eastAsia" w:eastAsia="仿宋_GB2312"/>
          <w:b/>
          <w:color w:val="auto"/>
          <w:w w:val="90"/>
          <w:sz w:val="36"/>
          <w:szCs w:val="36"/>
          <w:highlight w:val="none"/>
          <w:u w:val="single"/>
          <w:lang w:val="en-US" w:eastAsia="zh-CN"/>
        </w:rPr>
        <w:t xml:space="preserve">            实验室建设项目           </w:t>
      </w:r>
    </w:p>
    <w:p w14:paraId="4871F47B">
      <w:pPr>
        <w:adjustRightInd w:val="0"/>
        <w:snapToGrid w:val="0"/>
        <w:spacing w:line="288" w:lineRule="auto"/>
        <w:ind w:firstLine="1040"/>
        <w:rPr>
          <w:rFonts w:eastAsia="仿宋_GB2312"/>
          <w:color w:val="auto"/>
          <w:spacing w:val="-11"/>
          <w:w w:val="90"/>
          <w:sz w:val="36"/>
          <w:szCs w:val="36"/>
          <w:highlight w:val="none"/>
          <w:u w:val="single"/>
        </w:rPr>
      </w:pPr>
      <w:r>
        <w:rPr>
          <w:rFonts w:eastAsia="仿宋_GB2312"/>
          <w:color w:val="auto"/>
          <w:sz w:val="36"/>
          <w:szCs w:val="36"/>
          <w:highlight w:val="none"/>
        </w:rPr>
        <w:t>建设单位（盖章）：</w:t>
      </w:r>
      <w:r>
        <w:rPr>
          <w:rFonts w:hint="eastAsia" w:eastAsia="仿宋_GB2312"/>
          <w:b/>
          <w:color w:val="auto"/>
          <w:w w:val="90"/>
          <w:sz w:val="36"/>
          <w:szCs w:val="36"/>
          <w:highlight w:val="none"/>
          <w:u w:val="single"/>
          <w:lang w:val="en-US" w:eastAsia="zh-CN"/>
        </w:rPr>
        <w:t xml:space="preserve"> 河北兆惠恒美检测技术有限公司 </w:t>
      </w:r>
    </w:p>
    <w:p w14:paraId="3C883D48">
      <w:pPr>
        <w:adjustRightInd w:val="0"/>
        <w:snapToGrid w:val="0"/>
        <w:spacing w:line="288" w:lineRule="auto"/>
        <w:ind w:firstLine="1040"/>
        <w:rPr>
          <w:rFonts w:eastAsia="仿宋_GB2312"/>
          <w:color w:val="auto"/>
          <w:sz w:val="36"/>
          <w:szCs w:val="36"/>
          <w:highlight w:val="none"/>
          <w:u w:val="single"/>
        </w:rPr>
      </w:pPr>
      <w:r>
        <w:rPr>
          <w:rFonts w:eastAsia="仿宋_GB2312"/>
          <w:color w:val="auto"/>
          <w:sz w:val="36"/>
          <w:szCs w:val="36"/>
          <w:highlight w:val="none"/>
        </w:rPr>
        <w:t>编制日期：</w:t>
      </w:r>
      <w:r>
        <w:rPr>
          <w:rFonts w:eastAsia="仿宋_GB2312"/>
          <w:color w:val="auto"/>
          <w:sz w:val="36"/>
          <w:szCs w:val="36"/>
          <w:highlight w:val="none"/>
          <w:u w:val="single"/>
        </w:rPr>
        <w:t xml:space="preserve">         </w:t>
      </w:r>
      <w:r>
        <w:rPr>
          <w:rFonts w:hint="eastAsia" w:eastAsia="仿宋_GB2312"/>
          <w:color w:val="auto"/>
          <w:sz w:val="36"/>
          <w:szCs w:val="36"/>
          <w:highlight w:val="none"/>
          <w:u w:val="single"/>
        </w:rPr>
        <w:t xml:space="preserve"> </w:t>
      </w:r>
      <w:r>
        <w:rPr>
          <w:rFonts w:eastAsia="仿宋_GB2312"/>
          <w:color w:val="auto"/>
          <w:sz w:val="36"/>
          <w:szCs w:val="36"/>
          <w:highlight w:val="none"/>
          <w:u w:val="single"/>
        </w:rPr>
        <w:t xml:space="preserve">  </w:t>
      </w:r>
      <w:r>
        <w:rPr>
          <w:rFonts w:eastAsia="仿宋_GB2312"/>
          <w:b/>
          <w:color w:val="auto"/>
          <w:sz w:val="36"/>
          <w:szCs w:val="36"/>
          <w:highlight w:val="none"/>
          <w:u w:val="single"/>
        </w:rPr>
        <w:t>202</w:t>
      </w:r>
      <w:r>
        <w:rPr>
          <w:rFonts w:hint="eastAsia" w:eastAsia="仿宋_GB2312"/>
          <w:b/>
          <w:color w:val="auto"/>
          <w:sz w:val="36"/>
          <w:szCs w:val="36"/>
          <w:highlight w:val="none"/>
          <w:u w:val="single"/>
          <w:lang w:val="en-US" w:eastAsia="zh-CN"/>
        </w:rPr>
        <w:t>5</w:t>
      </w:r>
      <w:r>
        <w:rPr>
          <w:rFonts w:eastAsia="仿宋_GB2312"/>
          <w:b/>
          <w:color w:val="auto"/>
          <w:sz w:val="36"/>
          <w:szCs w:val="36"/>
          <w:highlight w:val="none"/>
          <w:u w:val="single"/>
        </w:rPr>
        <w:t>年</w:t>
      </w:r>
      <w:r>
        <w:rPr>
          <w:rFonts w:hint="eastAsia" w:eastAsia="仿宋_GB2312"/>
          <w:b/>
          <w:color w:val="auto"/>
          <w:sz w:val="36"/>
          <w:szCs w:val="36"/>
          <w:highlight w:val="none"/>
          <w:u w:val="single"/>
          <w:lang w:val="en-US" w:eastAsia="zh-CN"/>
        </w:rPr>
        <w:t>9</w:t>
      </w:r>
      <w:r>
        <w:rPr>
          <w:rFonts w:eastAsia="仿宋_GB2312"/>
          <w:b/>
          <w:color w:val="auto"/>
          <w:sz w:val="36"/>
          <w:szCs w:val="36"/>
          <w:highlight w:val="none"/>
          <w:u w:val="single"/>
        </w:rPr>
        <w:t>月</w:t>
      </w:r>
      <w:r>
        <w:rPr>
          <w:rFonts w:eastAsia="仿宋_GB2312"/>
          <w:color w:val="auto"/>
          <w:sz w:val="36"/>
          <w:szCs w:val="36"/>
          <w:highlight w:val="none"/>
          <w:u w:val="single"/>
        </w:rPr>
        <w:t xml:space="preserve">           </w:t>
      </w:r>
    </w:p>
    <w:p w14:paraId="2EFF621A">
      <w:pPr>
        <w:adjustRightInd w:val="0"/>
        <w:snapToGrid w:val="0"/>
        <w:spacing w:line="288" w:lineRule="auto"/>
        <w:ind w:firstLine="1040"/>
        <w:rPr>
          <w:rFonts w:ascii="仿宋_GB2312" w:eastAsia="仿宋_GB2312"/>
          <w:color w:val="auto"/>
          <w:sz w:val="36"/>
          <w:szCs w:val="36"/>
          <w:highlight w:val="none"/>
          <w:u w:val="single"/>
        </w:rPr>
      </w:pPr>
      <w:bookmarkStart w:id="0" w:name="_Hlk57884087"/>
    </w:p>
    <w:p w14:paraId="179D9DBD">
      <w:pPr>
        <w:adjustRightInd w:val="0"/>
        <w:snapToGrid w:val="0"/>
        <w:spacing w:line="288" w:lineRule="auto"/>
        <w:ind w:firstLine="1040"/>
        <w:rPr>
          <w:rFonts w:ascii="仿宋_GB2312" w:eastAsia="仿宋_GB2312"/>
          <w:color w:val="auto"/>
          <w:sz w:val="36"/>
          <w:szCs w:val="36"/>
          <w:highlight w:val="none"/>
        </w:rPr>
      </w:pPr>
    </w:p>
    <w:p w14:paraId="7565936B">
      <w:pPr>
        <w:adjustRightInd w:val="0"/>
        <w:snapToGrid w:val="0"/>
        <w:spacing w:line="288" w:lineRule="auto"/>
        <w:ind w:firstLine="1040"/>
        <w:rPr>
          <w:rFonts w:ascii="仿宋_GB2312" w:eastAsia="仿宋_GB2312"/>
          <w:color w:val="auto"/>
          <w:sz w:val="36"/>
          <w:szCs w:val="36"/>
          <w:highlight w:val="none"/>
        </w:rPr>
      </w:pPr>
    </w:p>
    <w:bookmarkEnd w:id="0"/>
    <w:p w14:paraId="4D802B4C">
      <w:pPr>
        <w:adjustRightInd w:val="0"/>
        <w:snapToGrid w:val="0"/>
        <w:spacing w:line="288" w:lineRule="auto"/>
        <w:jc w:val="center"/>
        <w:rPr>
          <w:rFonts w:hint="eastAsia" w:ascii="楷体_GB2312" w:eastAsia="楷体_GB2312"/>
          <w:color w:val="auto"/>
          <w:sz w:val="36"/>
          <w:szCs w:val="36"/>
          <w:highlight w:val="none"/>
        </w:rPr>
      </w:pPr>
      <w:r>
        <w:rPr>
          <w:rFonts w:hint="eastAsia" w:ascii="楷体_GB2312" w:eastAsia="楷体_GB2312"/>
          <w:color w:val="auto"/>
          <w:sz w:val="36"/>
          <w:szCs w:val="36"/>
          <w:highlight w:val="none"/>
        </w:rPr>
        <w:t>中华人民共和国生态环境部制</w:t>
      </w:r>
    </w:p>
    <w:p w14:paraId="5DCDD0F9">
      <w:pPr>
        <w:pStyle w:val="25"/>
        <w:rPr>
          <w:rFonts w:hint="eastAsia" w:ascii="楷体_GB2312" w:eastAsia="楷体_GB2312"/>
          <w:color w:val="auto"/>
          <w:sz w:val="36"/>
          <w:szCs w:val="36"/>
          <w:highlight w:val="none"/>
        </w:rPr>
      </w:pPr>
    </w:p>
    <w:p w14:paraId="77150622">
      <w:pPr>
        <w:pStyle w:val="37"/>
        <w:rPr>
          <w:rFonts w:hint="eastAsia"/>
          <w:color w:val="auto"/>
        </w:rPr>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fmt="decimal"/>
          <w:cols w:space="720" w:num="1"/>
          <w:docGrid w:linePitch="312" w:charSpace="0"/>
        </w:sectPr>
      </w:pPr>
    </w:p>
    <w:p w14:paraId="4766525A">
      <w:pPr>
        <w:pStyle w:val="37"/>
        <w:rPr>
          <w:rFonts w:hint="eastAsia"/>
          <w:color w:val="auto"/>
        </w:rPr>
      </w:pPr>
    </w:p>
    <w:p w14:paraId="5D72F602">
      <w:pPr>
        <w:pStyle w:val="11"/>
        <w:rPr>
          <w:color w:val="auto"/>
        </w:rPr>
      </w:pPr>
    </w:p>
    <w:p w14:paraId="23BB9679">
      <w:pPr>
        <w:adjustRightInd w:val="0"/>
        <w:snapToGrid w:val="0"/>
        <w:spacing w:line="288" w:lineRule="auto"/>
        <w:ind w:firstLine="1040"/>
        <w:rPr>
          <w:rFonts w:ascii="仿宋_GB2312" w:eastAsia="仿宋_GB2312"/>
          <w:color w:val="auto"/>
          <w:sz w:val="36"/>
          <w:szCs w:val="36"/>
          <w:highlight w:val="none"/>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r>
        <w:rPr>
          <w:rFonts w:ascii="仿宋_GB2312" w:eastAsia="仿宋_GB2312"/>
          <w:color w:val="auto"/>
          <w:sz w:val="36"/>
          <w:szCs w:val="36"/>
          <w:highlight w:val="none"/>
        </w:rPr>
        <w:br w:type="page"/>
      </w:r>
    </w:p>
    <w:p w14:paraId="5445FEE9">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一、建设项目基本情况</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714"/>
        <w:gridCol w:w="2902"/>
        <w:gridCol w:w="1594"/>
        <w:gridCol w:w="2660"/>
      </w:tblGrid>
      <w:tr w14:paraId="4060A8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5817E614">
            <w:pPr>
              <w:adjustRightInd w:val="0"/>
              <w:snapToGrid w:val="0"/>
              <w:jc w:val="center"/>
              <w:rPr>
                <w:color w:val="auto"/>
                <w:szCs w:val="21"/>
                <w:highlight w:val="none"/>
              </w:rPr>
            </w:pPr>
            <w:r>
              <w:rPr>
                <w:color w:val="auto"/>
                <w:szCs w:val="21"/>
                <w:highlight w:val="none"/>
              </w:rPr>
              <w:t>建设项目名称</w:t>
            </w:r>
          </w:p>
        </w:tc>
        <w:tc>
          <w:tcPr>
            <w:tcW w:w="7156" w:type="dxa"/>
            <w:gridSpan w:val="3"/>
            <w:vAlign w:val="center"/>
          </w:tcPr>
          <w:p w14:paraId="68384C54">
            <w:pPr>
              <w:adjustRightInd w:val="0"/>
              <w:snapToGrid w:val="0"/>
              <w:jc w:val="center"/>
              <w:rPr>
                <w:color w:val="auto"/>
                <w:szCs w:val="21"/>
                <w:highlight w:val="none"/>
              </w:rPr>
            </w:pPr>
            <w:r>
              <w:rPr>
                <w:rFonts w:hint="eastAsia"/>
                <w:color w:val="auto"/>
                <w:szCs w:val="21"/>
                <w:highlight w:val="none"/>
                <w:lang w:val="en-US" w:eastAsia="zh-CN"/>
              </w:rPr>
              <w:t>实验室建设项目</w:t>
            </w:r>
          </w:p>
        </w:tc>
      </w:tr>
      <w:tr w14:paraId="56C740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0120721D">
            <w:pPr>
              <w:adjustRightInd w:val="0"/>
              <w:snapToGrid w:val="0"/>
              <w:jc w:val="center"/>
              <w:rPr>
                <w:color w:val="auto"/>
                <w:szCs w:val="21"/>
                <w:highlight w:val="none"/>
              </w:rPr>
            </w:pPr>
            <w:r>
              <w:rPr>
                <w:color w:val="auto"/>
                <w:szCs w:val="21"/>
                <w:highlight w:val="none"/>
              </w:rPr>
              <w:t>项目代码</w:t>
            </w:r>
          </w:p>
        </w:tc>
        <w:tc>
          <w:tcPr>
            <w:tcW w:w="7156" w:type="dxa"/>
            <w:gridSpan w:val="3"/>
            <w:vAlign w:val="center"/>
          </w:tcPr>
          <w:p w14:paraId="7410B984">
            <w:pPr>
              <w:adjustRightInd w:val="0"/>
              <w:snapToGrid w:val="0"/>
              <w:jc w:val="center"/>
              <w:rPr>
                <w:rFonts w:hint="default" w:eastAsia="宋体"/>
                <w:color w:val="auto"/>
                <w:szCs w:val="21"/>
                <w:highlight w:val="none"/>
                <w:lang w:val="en-US" w:eastAsia="zh-CN"/>
              </w:rPr>
            </w:pPr>
            <w:r>
              <w:rPr>
                <w:rFonts w:hint="eastAsia"/>
                <w:color w:val="auto"/>
                <w:szCs w:val="21"/>
                <w:highlight w:val="none"/>
                <w:lang w:val="en-US" w:eastAsia="zh-CN"/>
              </w:rPr>
              <w:t>2105-130283-89-01-553047</w:t>
            </w:r>
          </w:p>
        </w:tc>
      </w:tr>
      <w:tr w14:paraId="2A855E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3ACFCB9A">
            <w:pPr>
              <w:adjustRightInd w:val="0"/>
              <w:snapToGrid w:val="0"/>
              <w:jc w:val="center"/>
              <w:rPr>
                <w:rFonts w:hint="eastAsia"/>
                <w:color w:val="auto"/>
                <w:szCs w:val="21"/>
                <w:highlight w:val="none"/>
                <w:lang w:val="en-US" w:eastAsia="zh-CN"/>
              </w:rPr>
            </w:pPr>
            <w:r>
              <w:rPr>
                <w:rFonts w:hint="eastAsia"/>
                <w:color w:val="auto"/>
                <w:szCs w:val="21"/>
                <w:highlight w:val="none"/>
                <w:lang w:val="en-US" w:eastAsia="zh-CN"/>
              </w:rPr>
              <w:t>建设单位联系人</w:t>
            </w:r>
          </w:p>
        </w:tc>
        <w:tc>
          <w:tcPr>
            <w:tcW w:w="2902" w:type="dxa"/>
            <w:vAlign w:val="center"/>
          </w:tcPr>
          <w:p w14:paraId="5CED6D90">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孙立东</w:t>
            </w:r>
          </w:p>
        </w:tc>
        <w:tc>
          <w:tcPr>
            <w:tcW w:w="1594" w:type="dxa"/>
            <w:vAlign w:val="center"/>
          </w:tcPr>
          <w:p w14:paraId="3943812D">
            <w:pPr>
              <w:adjustRightInd w:val="0"/>
              <w:snapToGrid w:val="0"/>
              <w:jc w:val="center"/>
              <w:rPr>
                <w:rFonts w:hint="eastAsia"/>
                <w:color w:val="auto"/>
                <w:szCs w:val="21"/>
                <w:highlight w:val="none"/>
                <w:lang w:val="en-US" w:eastAsia="zh-CN"/>
              </w:rPr>
            </w:pPr>
            <w:r>
              <w:rPr>
                <w:rFonts w:hint="eastAsia"/>
                <w:color w:val="auto"/>
                <w:szCs w:val="21"/>
                <w:highlight w:val="none"/>
                <w:lang w:val="en-US" w:eastAsia="zh-CN"/>
              </w:rPr>
              <w:t>联系方式</w:t>
            </w:r>
          </w:p>
        </w:tc>
        <w:tc>
          <w:tcPr>
            <w:tcW w:w="2660" w:type="dxa"/>
            <w:vAlign w:val="center"/>
          </w:tcPr>
          <w:p w14:paraId="76AD9716">
            <w:pPr>
              <w:adjustRightInd w:val="0"/>
              <w:snapToGrid w:val="0"/>
              <w:jc w:val="center"/>
              <w:rPr>
                <w:rFonts w:hint="default"/>
                <w:color w:val="auto"/>
                <w:szCs w:val="21"/>
                <w:highlight w:val="none"/>
                <w:lang w:val="en-US" w:eastAsia="zh-CN"/>
              </w:rPr>
            </w:pPr>
            <w:bookmarkStart w:id="6" w:name="_GoBack"/>
            <w:bookmarkEnd w:id="6"/>
          </w:p>
        </w:tc>
      </w:tr>
      <w:tr w14:paraId="5CC7CA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45" w:hRule="atLeast"/>
          <w:jc w:val="center"/>
        </w:trPr>
        <w:tc>
          <w:tcPr>
            <w:tcW w:w="1714" w:type="dxa"/>
            <w:tcMar>
              <w:top w:w="16" w:type="dxa"/>
              <w:left w:w="16" w:type="dxa"/>
              <w:right w:w="16" w:type="dxa"/>
            </w:tcMar>
            <w:vAlign w:val="center"/>
          </w:tcPr>
          <w:p w14:paraId="70DC02A1">
            <w:pPr>
              <w:adjustRightInd w:val="0"/>
              <w:snapToGrid w:val="0"/>
              <w:jc w:val="center"/>
              <w:rPr>
                <w:color w:val="auto"/>
                <w:szCs w:val="21"/>
                <w:highlight w:val="none"/>
              </w:rPr>
            </w:pPr>
            <w:r>
              <w:rPr>
                <w:color w:val="auto"/>
                <w:szCs w:val="21"/>
                <w:highlight w:val="none"/>
              </w:rPr>
              <w:t>建设地点</w:t>
            </w:r>
          </w:p>
        </w:tc>
        <w:tc>
          <w:tcPr>
            <w:tcW w:w="7156" w:type="dxa"/>
            <w:gridSpan w:val="3"/>
            <w:vAlign w:val="center"/>
          </w:tcPr>
          <w:p w14:paraId="0B0534A2">
            <w:pPr>
              <w:adjustRightInd w:val="0"/>
              <w:snapToGrid w:val="0"/>
              <w:jc w:val="center"/>
              <w:rPr>
                <w:color w:val="auto"/>
                <w:szCs w:val="21"/>
                <w:highlight w:val="none"/>
              </w:rPr>
            </w:pPr>
            <w:r>
              <w:rPr>
                <w:rFonts w:hint="eastAsia"/>
                <w:color w:val="auto"/>
                <w:szCs w:val="21"/>
                <w:highlight w:val="none"/>
                <w:lang w:val="en-US" w:eastAsia="zh-CN"/>
              </w:rPr>
              <w:t>河北省迁安市永顺昌盛路与兴安大街交叉口620号</w:t>
            </w:r>
          </w:p>
        </w:tc>
      </w:tr>
      <w:tr w14:paraId="52C2F2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31D6D366">
            <w:pPr>
              <w:adjustRightInd w:val="0"/>
              <w:snapToGrid w:val="0"/>
              <w:jc w:val="center"/>
              <w:rPr>
                <w:rFonts w:ascii="Times New Roman" w:hAnsi="Times New Roman" w:eastAsia="宋体" w:cs="Times New Roman"/>
                <w:color w:val="auto"/>
                <w:szCs w:val="21"/>
                <w:highlight w:val="none"/>
              </w:rPr>
            </w:pPr>
            <w:r>
              <w:rPr>
                <w:rFonts w:ascii="Times New Roman" w:hAnsi="Times New Roman" w:eastAsia="宋体" w:cs="Times New Roman"/>
                <w:color w:val="auto"/>
                <w:szCs w:val="21"/>
                <w:highlight w:val="none"/>
              </w:rPr>
              <w:t>地理坐标</w:t>
            </w:r>
          </w:p>
        </w:tc>
        <w:tc>
          <w:tcPr>
            <w:tcW w:w="7156" w:type="dxa"/>
            <w:gridSpan w:val="3"/>
            <w:vAlign w:val="center"/>
          </w:tcPr>
          <w:p w14:paraId="007D04F2">
            <w:pPr>
              <w:adjustRightInd w:val="0"/>
              <w:snapToGrid w:val="0"/>
              <w:jc w:val="center"/>
              <w:rPr>
                <w:rFonts w:ascii="Times New Roman" w:hAnsi="Times New Roman" w:eastAsia="宋体" w:cs="Times New Roman"/>
                <w:color w:val="auto"/>
                <w:szCs w:val="21"/>
                <w:highlight w:val="none"/>
              </w:rPr>
            </w:pPr>
            <w:r>
              <w:rPr>
                <w:rFonts w:ascii="Times New Roman" w:hAnsi="Times New Roman" w:eastAsia="宋体" w:cs="Times New Roman"/>
                <w:color w:val="auto"/>
                <w:szCs w:val="21"/>
                <w:highlight w:val="none"/>
              </w:rPr>
              <w:t>（北纬40度0分4</w:t>
            </w:r>
            <w:r>
              <w:rPr>
                <w:rFonts w:hint="eastAsia" w:cs="Times New Roman"/>
                <w:color w:val="auto"/>
                <w:szCs w:val="21"/>
                <w:highlight w:val="none"/>
                <w:lang w:val="en-US" w:eastAsia="zh-CN"/>
              </w:rPr>
              <w:t>8.911</w:t>
            </w:r>
            <w:r>
              <w:rPr>
                <w:rFonts w:ascii="Times New Roman" w:hAnsi="Times New Roman" w:eastAsia="宋体" w:cs="Times New Roman"/>
                <w:color w:val="auto"/>
                <w:szCs w:val="21"/>
                <w:highlight w:val="none"/>
              </w:rPr>
              <w:t>秒，东经 118度41分</w:t>
            </w:r>
            <w:r>
              <w:rPr>
                <w:rFonts w:hint="eastAsia" w:cs="Times New Roman"/>
                <w:color w:val="auto"/>
                <w:szCs w:val="21"/>
                <w:highlight w:val="none"/>
                <w:lang w:val="en-US" w:eastAsia="zh-CN"/>
              </w:rPr>
              <w:t>28.106</w:t>
            </w:r>
            <w:r>
              <w:rPr>
                <w:rFonts w:ascii="Times New Roman" w:hAnsi="Times New Roman" w:eastAsia="宋体" w:cs="Times New Roman"/>
                <w:color w:val="auto"/>
                <w:szCs w:val="21"/>
                <w:highlight w:val="none"/>
              </w:rPr>
              <w:t>秒）</w:t>
            </w:r>
          </w:p>
        </w:tc>
      </w:tr>
      <w:tr w14:paraId="06E86C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325C5AE5">
            <w:pPr>
              <w:adjustRightInd w:val="0"/>
              <w:snapToGrid w:val="0"/>
              <w:jc w:val="center"/>
              <w:rPr>
                <w:color w:val="auto"/>
                <w:szCs w:val="21"/>
                <w:highlight w:val="none"/>
              </w:rPr>
            </w:pPr>
            <w:r>
              <w:rPr>
                <w:color w:val="auto"/>
                <w:szCs w:val="21"/>
                <w:highlight w:val="none"/>
              </w:rPr>
              <w:t>国民经济</w:t>
            </w:r>
          </w:p>
          <w:p w14:paraId="5B99AA70">
            <w:pPr>
              <w:adjustRightInd w:val="0"/>
              <w:snapToGrid w:val="0"/>
              <w:jc w:val="center"/>
              <w:rPr>
                <w:color w:val="auto"/>
                <w:szCs w:val="21"/>
                <w:highlight w:val="none"/>
              </w:rPr>
            </w:pPr>
            <w:r>
              <w:rPr>
                <w:color w:val="auto"/>
                <w:szCs w:val="21"/>
                <w:highlight w:val="none"/>
              </w:rPr>
              <w:t>行业类别</w:t>
            </w:r>
          </w:p>
        </w:tc>
        <w:tc>
          <w:tcPr>
            <w:tcW w:w="2902" w:type="dxa"/>
            <w:vAlign w:val="center"/>
          </w:tcPr>
          <w:p w14:paraId="06A172AA">
            <w:pPr>
              <w:jc w:val="left"/>
              <w:rPr>
                <w:rFonts w:hint="default"/>
                <w:color w:val="auto"/>
                <w:szCs w:val="21"/>
                <w:highlight w:val="none"/>
                <w:lang w:val="en-US" w:eastAsia="zh-CN"/>
              </w:rPr>
            </w:pPr>
            <w:r>
              <w:rPr>
                <w:color w:val="auto"/>
                <w:szCs w:val="21"/>
                <w:highlight w:val="none"/>
              </w:rPr>
              <w:t>M7461环境保护监测</w:t>
            </w:r>
          </w:p>
        </w:tc>
        <w:tc>
          <w:tcPr>
            <w:tcW w:w="1594" w:type="dxa"/>
            <w:vAlign w:val="center"/>
          </w:tcPr>
          <w:p w14:paraId="2083CFED">
            <w:pPr>
              <w:jc w:val="center"/>
              <w:rPr>
                <w:color w:val="auto"/>
                <w:szCs w:val="21"/>
                <w:highlight w:val="none"/>
              </w:rPr>
            </w:pPr>
            <w:bookmarkStart w:id="1" w:name="_Hlk49843745"/>
            <w:r>
              <w:rPr>
                <w:color w:val="auto"/>
                <w:szCs w:val="21"/>
                <w:highlight w:val="none"/>
              </w:rPr>
              <w:t>建设项目</w:t>
            </w:r>
          </w:p>
          <w:p w14:paraId="62108B35">
            <w:pPr>
              <w:jc w:val="center"/>
              <w:rPr>
                <w:color w:val="auto"/>
                <w:szCs w:val="21"/>
                <w:highlight w:val="none"/>
              </w:rPr>
            </w:pPr>
            <w:r>
              <w:rPr>
                <w:color w:val="auto"/>
                <w:szCs w:val="21"/>
                <w:highlight w:val="none"/>
              </w:rPr>
              <w:t>行业类别</w:t>
            </w:r>
            <w:bookmarkEnd w:id="1"/>
          </w:p>
        </w:tc>
        <w:tc>
          <w:tcPr>
            <w:tcW w:w="2660" w:type="dxa"/>
            <w:vAlign w:val="center"/>
          </w:tcPr>
          <w:p w14:paraId="4AFEC232">
            <w:pPr>
              <w:jc w:val="left"/>
              <w:rPr>
                <w:color w:val="auto"/>
                <w:szCs w:val="21"/>
                <w:highlight w:val="none"/>
                <w:lang w:val="en-US" w:eastAsia="zh-CN"/>
              </w:rPr>
            </w:pPr>
            <w:r>
              <w:rPr>
                <w:color w:val="auto"/>
                <w:szCs w:val="21"/>
                <w:highlight w:val="none"/>
              </w:rPr>
              <w:t>四十五、研究和试验发展，98专业实验室、研发（试验）基地，其他（不产生实验废气、废水、危险废物的除外）</w:t>
            </w:r>
          </w:p>
        </w:tc>
      </w:tr>
      <w:tr w14:paraId="16266A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4F510CC0">
            <w:pPr>
              <w:adjustRightInd w:val="0"/>
              <w:snapToGrid w:val="0"/>
              <w:jc w:val="center"/>
              <w:rPr>
                <w:color w:val="auto"/>
                <w:szCs w:val="21"/>
                <w:highlight w:val="none"/>
              </w:rPr>
            </w:pPr>
            <w:r>
              <w:rPr>
                <w:color w:val="auto"/>
                <w:szCs w:val="21"/>
                <w:highlight w:val="none"/>
              </w:rPr>
              <w:t>建设性质</w:t>
            </w:r>
          </w:p>
        </w:tc>
        <w:tc>
          <w:tcPr>
            <w:tcW w:w="2902" w:type="dxa"/>
            <w:vAlign w:val="center"/>
          </w:tcPr>
          <w:p w14:paraId="2B4BC7B0">
            <w:pPr>
              <w:jc w:val="left"/>
              <w:rPr>
                <w:rFonts w:ascii="Times New Roman" w:hAnsi="Times New Roman" w:eastAsia="宋体" w:cs="Times New Roman"/>
                <w:color w:val="auto"/>
              </w:rPr>
            </w:pPr>
            <w:r>
              <w:rPr>
                <w:rFonts w:hint="eastAsia"/>
                <w:color w:val="auto"/>
                <w:lang w:eastAsia="zh-CN"/>
              </w:rPr>
              <w:t>☑</w:t>
            </w:r>
            <w:r>
              <w:rPr>
                <w:color w:val="auto"/>
              </w:rPr>
              <w:t>新</w:t>
            </w:r>
            <w:r>
              <w:rPr>
                <w:rFonts w:ascii="Times New Roman" w:hAnsi="Times New Roman" w:eastAsia="宋体" w:cs="Times New Roman"/>
                <w:color w:val="auto"/>
              </w:rPr>
              <w:t>建（迁建）</w:t>
            </w:r>
          </w:p>
          <w:p w14:paraId="0622185C">
            <w:pPr>
              <w:jc w:val="left"/>
              <w:rPr>
                <w:rFonts w:ascii="Times New Roman" w:hAnsi="Times New Roman" w:eastAsia="宋体" w:cs="Times New Roman"/>
                <w:color w:val="auto"/>
              </w:rPr>
            </w:pPr>
            <w:r>
              <w:rPr>
                <w:rFonts w:ascii="Times New Roman" w:hAnsi="Times New Roman" w:eastAsia="宋体" w:cs="Times New Roman"/>
                <w:color w:val="auto"/>
              </w:rPr>
              <w:t>□改建</w:t>
            </w:r>
          </w:p>
          <w:p w14:paraId="19A9CEF8">
            <w:pPr>
              <w:jc w:val="left"/>
              <w:rPr>
                <w:rFonts w:ascii="Times New Roman" w:hAnsi="Times New Roman" w:eastAsia="宋体" w:cs="Times New Roman"/>
                <w:color w:val="auto"/>
              </w:rPr>
            </w:pPr>
            <w:r>
              <w:rPr>
                <w:rFonts w:ascii="Times New Roman" w:hAnsi="Times New Roman" w:eastAsia="宋体" w:cs="Times New Roman"/>
                <w:color w:val="auto"/>
              </w:rPr>
              <w:t>□扩建</w:t>
            </w:r>
          </w:p>
          <w:p w14:paraId="1225671E">
            <w:pPr>
              <w:jc w:val="left"/>
              <w:rPr>
                <w:color w:val="auto"/>
              </w:rPr>
            </w:pPr>
            <w:r>
              <w:rPr>
                <w:rFonts w:ascii="Times New Roman" w:hAnsi="Times New Roman" w:eastAsia="宋体" w:cs="Times New Roman"/>
                <w:color w:val="auto"/>
              </w:rPr>
              <w:t>□技术改造</w:t>
            </w:r>
          </w:p>
        </w:tc>
        <w:tc>
          <w:tcPr>
            <w:tcW w:w="1594" w:type="dxa"/>
            <w:vAlign w:val="center"/>
          </w:tcPr>
          <w:p w14:paraId="4A81AE8B">
            <w:pPr>
              <w:adjustRightInd w:val="0"/>
              <w:snapToGrid w:val="0"/>
              <w:jc w:val="center"/>
              <w:rPr>
                <w:color w:val="auto"/>
                <w:szCs w:val="21"/>
                <w:highlight w:val="none"/>
              </w:rPr>
            </w:pPr>
            <w:r>
              <w:rPr>
                <w:color w:val="auto"/>
                <w:szCs w:val="21"/>
                <w:highlight w:val="none"/>
              </w:rPr>
              <w:t>建设项目</w:t>
            </w:r>
          </w:p>
          <w:p w14:paraId="42CF920D">
            <w:pPr>
              <w:adjustRightInd w:val="0"/>
              <w:snapToGrid w:val="0"/>
              <w:jc w:val="center"/>
              <w:rPr>
                <w:color w:val="auto"/>
                <w:szCs w:val="21"/>
                <w:highlight w:val="none"/>
              </w:rPr>
            </w:pPr>
            <w:r>
              <w:rPr>
                <w:color w:val="auto"/>
                <w:szCs w:val="21"/>
                <w:highlight w:val="none"/>
              </w:rPr>
              <w:t>申报情形</w:t>
            </w:r>
          </w:p>
        </w:tc>
        <w:tc>
          <w:tcPr>
            <w:tcW w:w="2660" w:type="dxa"/>
            <w:vAlign w:val="center"/>
          </w:tcPr>
          <w:p w14:paraId="59A0438B">
            <w:pPr>
              <w:jc w:val="left"/>
              <w:rPr>
                <w:color w:val="auto"/>
                <w:szCs w:val="21"/>
                <w:highlight w:val="none"/>
              </w:rPr>
            </w:pPr>
            <w:r>
              <w:rPr>
                <w:color w:val="auto"/>
                <w:spacing w:val="-240"/>
                <w:highlight w:val="none"/>
              </w:rPr>
              <w:t>□√</w:t>
            </w:r>
            <w:r>
              <w:rPr>
                <w:color w:val="auto"/>
                <w:highlight w:val="none"/>
              </w:rPr>
              <w:t>□</w:t>
            </w:r>
            <w:r>
              <w:rPr>
                <w:color w:val="auto"/>
                <w:szCs w:val="21"/>
                <w:highlight w:val="none"/>
              </w:rPr>
              <w:t>首次申报项目</w:t>
            </w:r>
          </w:p>
          <w:p w14:paraId="74B8D8EB">
            <w:pPr>
              <w:jc w:val="left"/>
              <w:rPr>
                <w:color w:val="auto"/>
                <w:szCs w:val="21"/>
                <w:highlight w:val="none"/>
              </w:rPr>
            </w:pPr>
            <w:r>
              <w:rPr>
                <w:color w:val="auto"/>
                <w:szCs w:val="21"/>
                <w:highlight w:val="none"/>
              </w:rPr>
              <w:t>□不予批准后再次申报项目</w:t>
            </w:r>
          </w:p>
          <w:p w14:paraId="33B448BF">
            <w:pPr>
              <w:jc w:val="left"/>
              <w:rPr>
                <w:color w:val="auto"/>
                <w:szCs w:val="21"/>
                <w:highlight w:val="none"/>
              </w:rPr>
            </w:pPr>
            <w:r>
              <w:rPr>
                <w:color w:val="auto"/>
                <w:szCs w:val="21"/>
                <w:highlight w:val="none"/>
              </w:rPr>
              <w:t>□超五年重新审核项目</w:t>
            </w:r>
          </w:p>
          <w:p w14:paraId="5B45BAC5">
            <w:pPr>
              <w:jc w:val="left"/>
              <w:rPr>
                <w:color w:val="auto"/>
                <w:szCs w:val="21"/>
                <w:highlight w:val="none"/>
              </w:rPr>
            </w:pPr>
            <w:r>
              <w:rPr>
                <w:color w:val="auto"/>
                <w:szCs w:val="21"/>
                <w:highlight w:val="none"/>
              </w:rPr>
              <w:t>□重大变动重新报批项目</w:t>
            </w:r>
          </w:p>
        </w:tc>
      </w:tr>
      <w:tr w14:paraId="7F5D4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1D55CFCE">
            <w:pPr>
              <w:adjustRightInd w:val="0"/>
              <w:snapToGrid w:val="0"/>
              <w:jc w:val="center"/>
              <w:rPr>
                <w:color w:val="auto"/>
                <w:szCs w:val="21"/>
                <w:highlight w:val="none"/>
              </w:rPr>
            </w:pPr>
            <w:r>
              <w:rPr>
                <w:color w:val="auto"/>
                <w:szCs w:val="21"/>
                <w:highlight w:val="none"/>
              </w:rPr>
              <w:t>项目审批（核准/备案）部门（选填）</w:t>
            </w:r>
          </w:p>
        </w:tc>
        <w:tc>
          <w:tcPr>
            <w:tcW w:w="2902" w:type="dxa"/>
            <w:vAlign w:val="center"/>
          </w:tcPr>
          <w:p w14:paraId="0E415671">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迁安市行政审批局</w:t>
            </w:r>
          </w:p>
        </w:tc>
        <w:tc>
          <w:tcPr>
            <w:tcW w:w="1594" w:type="dxa"/>
            <w:vAlign w:val="center"/>
          </w:tcPr>
          <w:p w14:paraId="7420AF04">
            <w:pPr>
              <w:adjustRightInd w:val="0"/>
              <w:snapToGrid w:val="0"/>
              <w:jc w:val="center"/>
              <w:rPr>
                <w:color w:val="auto"/>
                <w:szCs w:val="21"/>
                <w:highlight w:val="none"/>
              </w:rPr>
            </w:pPr>
            <w:r>
              <w:rPr>
                <w:color w:val="auto"/>
                <w:szCs w:val="21"/>
                <w:highlight w:val="none"/>
              </w:rPr>
              <w:t>项目审批（核准/备案）文号（选填）</w:t>
            </w:r>
          </w:p>
        </w:tc>
        <w:tc>
          <w:tcPr>
            <w:tcW w:w="2660" w:type="dxa"/>
            <w:vAlign w:val="center"/>
          </w:tcPr>
          <w:p w14:paraId="0BC89378">
            <w:pPr>
              <w:adjustRightInd w:val="0"/>
              <w:snapToGrid w:val="0"/>
              <w:jc w:val="center"/>
              <w:rPr>
                <w:color w:val="auto"/>
                <w:szCs w:val="21"/>
                <w:highlight w:val="none"/>
              </w:rPr>
            </w:pPr>
            <w:r>
              <w:rPr>
                <w:rFonts w:hint="eastAsia"/>
                <w:color w:val="auto"/>
                <w:szCs w:val="21"/>
                <w:highlight w:val="none"/>
                <w:lang w:val="en-US" w:eastAsia="zh-CN"/>
              </w:rPr>
              <w:t>迁行审投资</w:t>
            </w:r>
            <w:r>
              <w:rPr>
                <w:rFonts w:hint="eastAsia"/>
                <w:color w:val="auto"/>
                <w:szCs w:val="21"/>
                <w:highlight w:val="none"/>
              </w:rPr>
              <w:t>备字</w:t>
            </w:r>
            <w:r>
              <w:rPr>
                <w:rFonts w:hint="eastAsia"/>
                <w:color w:val="auto"/>
                <w:sz w:val="18"/>
                <w:szCs w:val="18"/>
                <w:highlight w:val="none"/>
              </w:rPr>
              <w:t>[</w:t>
            </w:r>
            <w:r>
              <w:rPr>
                <w:rFonts w:hint="eastAsia"/>
                <w:color w:val="auto"/>
                <w:szCs w:val="21"/>
                <w:highlight w:val="none"/>
              </w:rPr>
              <w:t>202</w:t>
            </w:r>
            <w:r>
              <w:rPr>
                <w:rFonts w:hint="eastAsia"/>
                <w:color w:val="auto"/>
                <w:szCs w:val="21"/>
                <w:highlight w:val="none"/>
                <w:lang w:val="en-US" w:eastAsia="zh-CN"/>
              </w:rPr>
              <w:t>5</w:t>
            </w:r>
            <w:r>
              <w:rPr>
                <w:rFonts w:hint="eastAsia"/>
                <w:color w:val="auto"/>
                <w:sz w:val="18"/>
                <w:szCs w:val="18"/>
                <w:highlight w:val="none"/>
              </w:rPr>
              <w:t>]</w:t>
            </w:r>
            <w:r>
              <w:rPr>
                <w:rFonts w:hint="eastAsia"/>
                <w:color w:val="auto"/>
                <w:szCs w:val="21"/>
                <w:highlight w:val="none"/>
                <w:lang w:val="en-US" w:eastAsia="zh-CN"/>
              </w:rPr>
              <w:t>031</w:t>
            </w:r>
            <w:r>
              <w:rPr>
                <w:rFonts w:hint="eastAsia"/>
                <w:color w:val="auto"/>
                <w:szCs w:val="21"/>
                <w:highlight w:val="none"/>
              </w:rPr>
              <w:t>号</w:t>
            </w:r>
          </w:p>
        </w:tc>
      </w:tr>
      <w:tr w14:paraId="53EB6C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1714" w:type="dxa"/>
            <w:tcMar>
              <w:top w:w="16" w:type="dxa"/>
              <w:left w:w="16" w:type="dxa"/>
              <w:right w:w="16" w:type="dxa"/>
            </w:tcMar>
            <w:vAlign w:val="center"/>
          </w:tcPr>
          <w:p w14:paraId="5062D83C">
            <w:pPr>
              <w:adjustRightInd w:val="0"/>
              <w:snapToGrid w:val="0"/>
              <w:jc w:val="center"/>
              <w:rPr>
                <w:color w:val="auto"/>
                <w:szCs w:val="21"/>
                <w:highlight w:val="none"/>
              </w:rPr>
            </w:pPr>
            <w:r>
              <w:rPr>
                <w:color w:val="auto"/>
                <w:szCs w:val="21"/>
                <w:highlight w:val="none"/>
              </w:rPr>
              <w:t>总投资（万元）</w:t>
            </w:r>
          </w:p>
        </w:tc>
        <w:tc>
          <w:tcPr>
            <w:tcW w:w="2902" w:type="dxa"/>
            <w:vAlign w:val="center"/>
          </w:tcPr>
          <w:p w14:paraId="40101CFB">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1600</w:t>
            </w:r>
          </w:p>
        </w:tc>
        <w:tc>
          <w:tcPr>
            <w:tcW w:w="1594" w:type="dxa"/>
            <w:tcMar>
              <w:top w:w="16" w:type="dxa"/>
              <w:left w:w="16" w:type="dxa"/>
              <w:right w:w="16" w:type="dxa"/>
            </w:tcMar>
            <w:vAlign w:val="center"/>
          </w:tcPr>
          <w:p w14:paraId="39AD3FC9">
            <w:pPr>
              <w:adjustRightInd w:val="0"/>
              <w:snapToGrid w:val="0"/>
              <w:jc w:val="center"/>
              <w:rPr>
                <w:color w:val="auto"/>
                <w:szCs w:val="21"/>
                <w:highlight w:val="none"/>
              </w:rPr>
            </w:pPr>
            <w:r>
              <w:rPr>
                <w:color w:val="auto"/>
                <w:szCs w:val="21"/>
                <w:highlight w:val="none"/>
              </w:rPr>
              <w:t>环保投资（万元）</w:t>
            </w:r>
          </w:p>
        </w:tc>
        <w:tc>
          <w:tcPr>
            <w:tcW w:w="2660" w:type="dxa"/>
            <w:vAlign w:val="center"/>
          </w:tcPr>
          <w:p w14:paraId="4239124C">
            <w:pPr>
              <w:adjustRightInd w:val="0"/>
              <w:snapToGrid w:val="0"/>
              <w:jc w:val="center"/>
              <w:rPr>
                <w:rFonts w:hint="default" w:eastAsia="宋体"/>
                <w:color w:val="auto"/>
                <w:szCs w:val="21"/>
                <w:highlight w:val="none"/>
                <w:lang w:val="en-US" w:eastAsia="zh-CN"/>
              </w:rPr>
            </w:pPr>
            <w:r>
              <w:rPr>
                <w:rFonts w:hint="eastAsia"/>
                <w:color w:val="auto"/>
                <w:szCs w:val="21"/>
                <w:highlight w:val="none"/>
                <w:lang w:val="en-US" w:eastAsia="zh-CN"/>
              </w:rPr>
              <w:t>100</w:t>
            </w:r>
          </w:p>
        </w:tc>
      </w:tr>
      <w:tr w14:paraId="64EB66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714" w:type="dxa"/>
            <w:tcMar>
              <w:top w:w="16" w:type="dxa"/>
              <w:left w:w="16" w:type="dxa"/>
              <w:right w:w="16" w:type="dxa"/>
            </w:tcMar>
            <w:vAlign w:val="center"/>
          </w:tcPr>
          <w:p w14:paraId="52588D54">
            <w:pPr>
              <w:adjustRightInd w:val="0"/>
              <w:snapToGrid w:val="0"/>
              <w:jc w:val="center"/>
              <w:rPr>
                <w:color w:val="auto"/>
                <w:szCs w:val="21"/>
                <w:highlight w:val="none"/>
              </w:rPr>
            </w:pPr>
            <w:r>
              <w:rPr>
                <w:color w:val="auto"/>
                <w:szCs w:val="21"/>
                <w:highlight w:val="none"/>
              </w:rPr>
              <w:t>环保投资占比（%）</w:t>
            </w:r>
          </w:p>
        </w:tc>
        <w:tc>
          <w:tcPr>
            <w:tcW w:w="2902" w:type="dxa"/>
            <w:vAlign w:val="center"/>
          </w:tcPr>
          <w:p w14:paraId="49F05F4B">
            <w:pPr>
              <w:adjustRightInd w:val="0"/>
              <w:snapToGrid w:val="0"/>
              <w:jc w:val="center"/>
              <w:rPr>
                <w:rFonts w:hint="default"/>
                <w:color w:val="auto"/>
                <w:szCs w:val="21"/>
                <w:highlight w:val="none"/>
                <w:lang w:val="en-US" w:eastAsia="zh-CN"/>
              </w:rPr>
            </w:pPr>
            <w:r>
              <w:rPr>
                <w:rFonts w:hint="eastAsia"/>
                <w:color w:val="auto"/>
                <w:szCs w:val="21"/>
                <w:highlight w:val="none"/>
                <w:lang w:val="en-US" w:eastAsia="zh-CN"/>
              </w:rPr>
              <w:t>6.25</w:t>
            </w:r>
          </w:p>
        </w:tc>
        <w:tc>
          <w:tcPr>
            <w:tcW w:w="1594" w:type="dxa"/>
            <w:tcMar>
              <w:top w:w="16" w:type="dxa"/>
              <w:left w:w="16" w:type="dxa"/>
              <w:right w:w="16" w:type="dxa"/>
            </w:tcMar>
            <w:vAlign w:val="center"/>
          </w:tcPr>
          <w:p w14:paraId="730C34B3">
            <w:pPr>
              <w:adjustRightInd w:val="0"/>
              <w:snapToGrid w:val="0"/>
              <w:jc w:val="center"/>
              <w:rPr>
                <w:color w:val="auto"/>
                <w:szCs w:val="21"/>
                <w:highlight w:val="none"/>
              </w:rPr>
            </w:pPr>
            <w:r>
              <w:rPr>
                <w:color w:val="auto"/>
                <w:szCs w:val="21"/>
                <w:highlight w:val="none"/>
              </w:rPr>
              <w:t>施工工期</w:t>
            </w:r>
          </w:p>
        </w:tc>
        <w:tc>
          <w:tcPr>
            <w:tcW w:w="2660" w:type="dxa"/>
            <w:vAlign w:val="center"/>
          </w:tcPr>
          <w:p w14:paraId="7E0E8A04">
            <w:pPr>
              <w:adjustRightInd w:val="0"/>
              <w:snapToGrid w:val="0"/>
              <w:jc w:val="center"/>
              <w:rPr>
                <w:rFonts w:hint="default"/>
                <w:color w:val="auto"/>
                <w:szCs w:val="21"/>
                <w:highlight w:val="none"/>
                <w:lang w:val="en-US"/>
              </w:rPr>
            </w:pPr>
            <w:r>
              <w:rPr>
                <w:rFonts w:hint="eastAsia"/>
                <w:color w:val="auto"/>
                <w:szCs w:val="21"/>
                <w:highlight w:val="none"/>
                <w:lang w:val="en-US" w:eastAsia="zh-CN"/>
              </w:rPr>
              <w:t>--</w:t>
            </w:r>
          </w:p>
        </w:tc>
      </w:tr>
      <w:tr w14:paraId="3E4190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1714" w:type="dxa"/>
            <w:tcMar>
              <w:top w:w="16" w:type="dxa"/>
              <w:left w:w="16" w:type="dxa"/>
              <w:right w:w="16" w:type="dxa"/>
            </w:tcMar>
            <w:vAlign w:val="center"/>
          </w:tcPr>
          <w:p w14:paraId="2AE6AD36">
            <w:pPr>
              <w:adjustRightInd w:val="0"/>
              <w:snapToGrid w:val="0"/>
              <w:jc w:val="center"/>
              <w:rPr>
                <w:color w:val="auto"/>
                <w:szCs w:val="21"/>
                <w:highlight w:val="none"/>
              </w:rPr>
            </w:pPr>
            <w:r>
              <w:rPr>
                <w:color w:val="auto"/>
                <w:szCs w:val="21"/>
                <w:highlight w:val="none"/>
              </w:rPr>
              <w:t>是否开工建设</w:t>
            </w:r>
          </w:p>
        </w:tc>
        <w:tc>
          <w:tcPr>
            <w:tcW w:w="2902" w:type="dxa"/>
            <w:vAlign w:val="center"/>
          </w:tcPr>
          <w:p w14:paraId="53BE05CF">
            <w:pPr>
              <w:adjustRightInd w:val="0"/>
              <w:snapToGrid w:val="0"/>
              <w:jc w:val="center"/>
              <w:rPr>
                <w:color w:val="auto"/>
                <w:szCs w:val="21"/>
                <w:highlight w:val="none"/>
              </w:rPr>
            </w:pPr>
            <w:r>
              <w:rPr>
                <w:rFonts w:ascii="Times New Roman" w:hAnsi="Times New Roman" w:eastAsia="宋体" w:cs="Times New Roman"/>
                <w:color w:val="auto"/>
              </w:rPr>
              <w:t>□</w:t>
            </w:r>
            <w:r>
              <w:rPr>
                <w:color w:val="auto"/>
                <w:szCs w:val="21"/>
                <w:highlight w:val="none"/>
              </w:rPr>
              <w:t>否</w:t>
            </w:r>
          </w:p>
          <w:p w14:paraId="15C5D7C0">
            <w:pPr>
              <w:adjustRightInd w:val="0"/>
              <w:snapToGrid w:val="0"/>
              <w:jc w:val="center"/>
              <w:rPr>
                <w:color w:val="auto"/>
                <w:szCs w:val="21"/>
                <w:highlight w:val="none"/>
              </w:rPr>
            </w:pPr>
            <w:r>
              <w:rPr>
                <w:rFonts w:hint="eastAsia"/>
                <w:color w:val="auto"/>
                <w:szCs w:val="21"/>
                <w:highlight w:val="none"/>
                <w:lang w:eastAsia="zh-CN"/>
              </w:rPr>
              <w:t>☑</w:t>
            </w:r>
            <w:r>
              <w:rPr>
                <w:color w:val="auto"/>
                <w:szCs w:val="21"/>
                <w:highlight w:val="none"/>
              </w:rPr>
              <w:t>是：</w:t>
            </w:r>
            <w:r>
              <w:rPr>
                <w:rFonts w:hint="eastAsia" w:ascii="Times New Roman" w:hAnsi="Times New Roman" w:cs="Times New Roman"/>
                <w:color w:val="auto"/>
                <w:szCs w:val="21"/>
                <w:highlight w:val="none"/>
                <w:u w:val="single"/>
                <w:lang w:val="en-US" w:eastAsia="zh-CN"/>
              </w:rPr>
              <w:t xml:space="preserve"> 2</w:t>
            </w:r>
            <w:r>
              <w:rPr>
                <w:rFonts w:hint="default" w:ascii="Times New Roman" w:hAnsi="Times New Roman" w:cs="Times New Roman"/>
                <w:color w:val="auto"/>
                <w:szCs w:val="21"/>
                <w:highlight w:val="none"/>
                <w:u w:val="single"/>
                <w:lang w:val="en-US" w:eastAsia="zh-CN"/>
              </w:rPr>
              <w:t>0</w:t>
            </w:r>
            <w:r>
              <w:rPr>
                <w:rFonts w:hint="eastAsia" w:cs="Times New Roman"/>
                <w:color w:val="auto"/>
                <w:szCs w:val="21"/>
                <w:highlight w:val="none"/>
                <w:u w:val="single"/>
                <w:lang w:val="en-US" w:eastAsia="zh-CN"/>
              </w:rPr>
              <w:t>21</w:t>
            </w:r>
            <w:r>
              <w:rPr>
                <w:rFonts w:hint="eastAsia" w:ascii="Times New Roman" w:hAnsi="Times New Roman" w:cs="Times New Roman"/>
                <w:color w:val="auto"/>
                <w:szCs w:val="21"/>
                <w:highlight w:val="none"/>
                <w:u w:val="single"/>
                <w:lang w:val="en-US" w:eastAsia="zh-CN"/>
              </w:rPr>
              <w:t>年建成</w:t>
            </w:r>
          </w:p>
        </w:tc>
        <w:tc>
          <w:tcPr>
            <w:tcW w:w="1594" w:type="dxa"/>
            <w:tcMar>
              <w:top w:w="16" w:type="dxa"/>
              <w:left w:w="16" w:type="dxa"/>
              <w:right w:w="16" w:type="dxa"/>
            </w:tcMar>
            <w:vAlign w:val="center"/>
          </w:tcPr>
          <w:p w14:paraId="27ADDE50">
            <w:pPr>
              <w:adjustRightInd w:val="0"/>
              <w:snapToGrid w:val="0"/>
              <w:jc w:val="center"/>
              <w:rPr>
                <w:color w:val="auto"/>
                <w:spacing w:val="-6"/>
                <w:szCs w:val="21"/>
                <w:highlight w:val="none"/>
              </w:rPr>
            </w:pPr>
            <w:r>
              <w:rPr>
                <w:color w:val="auto"/>
                <w:spacing w:val="-6"/>
                <w:szCs w:val="21"/>
                <w:highlight w:val="none"/>
              </w:rPr>
              <w:t>用地（用海）</w:t>
            </w:r>
          </w:p>
          <w:p w14:paraId="2511123E">
            <w:pPr>
              <w:adjustRightInd w:val="0"/>
              <w:snapToGrid w:val="0"/>
              <w:jc w:val="center"/>
              <w:rPr>
                <w:color w:val="auto"/>
                <w:szCs w:val="21"/>
                <w:highlight w:val="none"/>
              </w:rPr>
            </w:pPr>
            <w:r>
              <w:rPr>
                <w:color w:val="auto"/>
                <w:spacing w:val="-6"/>
                <w:szCs w:val="21"/>
                <w:highlight w:val="none"/>
              </w:rPr>
              <w:t>面积（m</w:t>
            </w:r>
            <w:r>
              <w:rPr>
                <w:color w:val="auto"/>
                <w:spacing w:val="-6"/>
                <w:szCs w:val="21"/>
                <w:highlight w:val="none"/>
                <w:vertAlign w:val="superscript"/>
              </w:rPr>
              <w:t>2</w:t>
            </w:r>
            <w:r>
              <w:rPr>
                <w:color w:val="auto"/>
                <w:spacing w:val="-6"/>
                <w:szCs w:val="21"/>
                <w:highlight w:val="none"/>
              </w:rPr>
              <w:t>）</w:t>
            </w:r>
          </w:p>
        </w:tc>
        <w:tc>
          <w:tcPr>
            <w:tcW w:w="2660" w:type="dxa"/>
            <w:vAlign w:val="center"/>
          </w:tcPr>
          <w:p w14:paraId="52C7C4E5">
            <w:pPr>
              <w:adjustRightInd w:val="0"/>
              <w:snapToGrid w:val="0"/>
              <w:jc w:val="center"/>
              <w:rPr>
                <w:rFonts w:hint="default" w:eastAsia="宋体"/>
                <w:color w:val="auto"/>
                <w:szCs w:val="21"/>
                <w:highlight w:val="none"/>
                <w:lang w:val="en-US" w:eastAsia="zh-CN"/>
              </w:rPr>
            </w:pPr>
            <w:r>
              <w:rPr>
                <w:rFonts w:hint="eastAsia"/>
                <w:color w:val="auto"/>
                <w:szCs w:val="21"/>
                <w:highlight w:val="none"/>
                <w:lang w:val="en-US" w:eastAsia="zh-CN"/>
              </w:rPr>
              <w:t>700</w:t>
            </w:r>
          </w:p>
        </w:tc>
      </w:tr>
      <w:tr w14:paraId="3656FC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14" w:type="dxa"/>
            <w:vAlign w:val="center"/>
          </w:tcPr>
          <w:p w14:paraId="7AB03ECE">
            <w:pPr>
              <w:autoSpaceDE w:val="0"/>
              <w:autoSpaceDN w:val="0"/>
              <w:adjustRightInd w:val="0"/>
              <w:snapToGrid w:val="0"/>
              <w:jc w:val="center"/>
              <w:rPr>
                <w:color w:val="auto"/>
                <w:kern w:val="0"/>
                <w:szCs w:val="21"/>
                <w:highlight w:val="none"/>
              </w:rPr>
            </w:pPr>
            <w:r>
              <w:rPr>
                <w:color w:val="auto"/>
                <w:kern w:val="0"/>
                <w:szCs w:val="21"/>
                <w:highlight w:val="none"/>
              </w:rPr>
              <w:t>专项评价设置情况</w:t>
            </w:r>
          </w:p>
        </w:tc>
        <w:tc>
          <w:tcPr>
            <w:tcW w:w="7156" w:type="dxa"/>
            <w:gridSpan w:val="3"/>
            <w:vAlign w:val="center"/>
          </w:tcPr>
          <w:p w14:paraId="6BB5D641">
            <w:pPr>
              <w:autoSpaceDE w:val="0"/>
              <w:autoSpaceDN w:val="0"/>
              <w:adjustRightInd w:val="0"/>
              <w:snapToGrid w:val="0"/>
              <w:jc w:val="center"/>
              <w:rPr>
                <w:color w:val="auto"/>
                <w:highlight w:val="none"/>
              </w:rPr>
            </w:pPr>
            <w:r>
              <w:rPr>
                <w:rFonts w:hint="eastAsia"/>
                <w:color w:val="auto"/>
                <w:kern w:val="0"/>
                <w:szCs w:val="21"/>
                <w:highlight w:val="none"/>
              </w:rPr>
              <w:t>无</w:t>
            </w:r>
          </w:p>
        </w:tc>
      </w:tr>
      <w:tr w14:paraId="11AE27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14" w:type="dxa"/>
            <w:vAlign w:val="center"/>
          </w:tcPr>
          <w:p w14:paraId="6D111C27">
            <w:pPr>
              <w:autoSpaceDE w:val="0"/>
              <w:autoSpaceDN w:val="0"/>
              <w:adjustRightInd w:val="0"/>
              <w:snapToGrid w:val="0"/>
              <w:jc w:val="center"/>
              <w:rPr>
                <w:color w:val="auto"/>
                <w:kern w:val="0"/>
                <w:szCs w:val="21"/>
                <w:highlight w:val="none"/>
              </w:rPr>
            </w:pPr>
            <w:r>
              <w:rPr>
                <w:color w:val="auto"/>
                <w:szCs w:val="21"/>
                <w:highlight w:val="none"/>
              </w:rPr>
              <w:t>规划情况</w:t>
            </w:r>
          </w:p>
        </w:tc>
        <w:tc>
          <w:tcPr>
            <w:tcW w:w="7156" w:type="dxa"/>
            <w:gridSpan w:val="3"/>
            <w:vAlign w:val="center"/>
          </w:tcPr>
          <w:p w14:paraId="69AEF71B">
            <w:pPr>
              <w:tabs>
                <w:tab w:val="left" w:pos="4253"/>
              </w:tabs>
              <w:spacing w:line="440" w:lineRule="exact"/>
              <w:jc w:val="center"/>
              <w:rPr>
                <w:rFonts w:hint="eastAsia" w:eastAsia="宋体"/>
                <w:color w:val="auto"/>
                <w:kern w:val="0"/>
                <w:szCs w:val="21"/>
                <w:highlight w:val="none"/>
                <w:lang w:eastAsia="zh-CN"/>
              </w:rPr>
            </w:pPr>
            <w:r>
              <w:rPr>
                <w:rFonts w:hint="eastAsia"/>
                <w:color w:val="auto"/>
                <w:kern w:val="0"/>
                <w:szCs w:val="21"/>
                <w:highlight w:val="none"/>
              </w:rPr>
              <w:t>无</w:t>
            </w:r>
          </w:p>
        </w:tc>
      </w:tr>
      <w:tr w14:paraId="101ED6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714" w:type="dxa"/>
            <w:vAlign w:val="center"/>
          </w:tcPr>
          <w:p w14:paraId="451D44F5">
            <w:pPr>
              <w:adjustRightInd w:val="0"/>
              <w:snapToGrid w:val="0"/>
              <w:jc w:val="center"/>
              <w:rPr>
                <w:color w:val="auto"/>
                <w:szCs w:val="21"/>
                <w:highlight w:val="none"/>
              </w:rPr>
            </w:pPr>
            <w:r>
              <w:rPr>
                <w:color w:val="auto"/>
                <w:szCs w:val="21"/>
                <w:highlight w:val="none"/>
              </w:rPr>
              <w:t>规划环境影响</w:t>
            </w:r>
          </w:p>
          <w:p w14:paraId="6C071CD0">
            <w:pPr>
              <w:adjustRightInd w:val="0"/>
              <w:snapToGrid w:val="0"/>
              <w:jc w:val="center"/>
              <w:rPr>
                <w:color w:val="auto"/>
                <w:kern w:val="0"/>
                <w:szCs w:val="21"/>
                <w:highlight w:val="none"/>
              </w:rPr>
            </w:pPr>
            <w:r>
              <w:rPr>
                <w:color w:val="auto"/>
                <w:szCs w:val="21"/>
                <w:highlight w:val="none"/>
              </w:rPr>
              <w:t>评价情况</w:t>
            </w:r>
          </w:p>
        </w:tc>
        <w:tc>
          <w:tcPr>
            <w:tcW w:w="7156" w:type="dxa"/>
            <w:gridSpan w:val="3"/>
            <w:vAlign w:val="center"/>
          </w:tcPr>
          <w:p w14:paraId="17E01349">
            <w:pPr>
              <w:tabs>
                <w:tab w:val="left" w:pos="4253"/>
              </w:tabs>
              <w:spacing w:line="440" w:lineRule="exact"/>
              <w:jc w:val="center"/>
              <w:rPr>
                <w:color w:val="auto"/>
                <w:kern w:val="0"/>
                <w:szCs w:val="21"/>
                <w:highlight w:val="none"/>
              </w:rPr>
            </w:pPr>
            <w:r>
              <w:rPr>
                <w:rFonts w:hint="eastAsia"/>
                <w:color w:val="auto"/>
                <w:kern w:val="0"/>
                <w:szCs w:val="21"/>
                <w:highlight w:val="none"/>
              </w:rPr>
              <w:t>无</w:t>
            </w:r>
          </w:p>
        </w:tc>
      </w:tr>
      <w:tr w14:paraId="0E1FE5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1714" w:type="dxa"/>
            <w:vAlign w:val="center"/>
          </w:tcPr>
          <w:p w14:paraId="6464368B">
            <w:pPr>
              <w:autoSpaceDE w:val="0"/>
              <w:autoSpaceDN w:val="0"/>
              <w:adjustRightInd w:val="0"/>
              <w:snapToGrid w:val="0"/>
              <w:jc w:val="center"/>
              <w:rPr>
                <w:color w:val="auto"/>
                <w:kern w:val="0"/>
                <w:szCs w:val="21"/>
                <w:highlight w:val="none"/>
              </w:rPr>
            </w:pPr>
            <w:r>
              <w:rPr>
                <w:color w:val="auto"/>
                <w:kern w:val="0"/>
                <w:szCs w:val="21"/>
                <w:highlight w:val="none"/>
              </w:rPr>
              <w:t>规划及规划环境</w:t>
            </w:r>
          </w:p>
          <w:p w14:paraId="1DFEAF98">
            <w:pPr>
              <w:autoSpaceDE w:val="0"/>
              <w:autoSpaceDN w:val="0"/>
              <w:adjustRightInd w:val="0"/>
              <w:snapToGrid w:val="0"/>
              <w:jc w:val="center"/>
              <w:rPr>
                <w:color w:val="auto"/>
                <w:kern w:val="0"/>
                <w:szCs w:val="21"/>
                <w:highlight w:val="none"/>
              </w:rPr>
            </w:pPr>
            <w:r>
              <w:rPr>
                <w:color w:val="auto"/>
                <w:kern w:val="0"/>
                <w:szCs w:val="21"/>
                <w:highlight w:val="none"/>
              </w:rPr>
              <w:t>影响评价符合性分析</w:t>
            </w:r>
          </w:p>
        </w:tc>
        <w:tc>
          <w:tcPr>
            <w:tcW w:w="7156" w:type="dxa"/>
            <w:gridSpan w:val="3"/>
            <w:vAlign w:val="center"/>
          </w:tcPr>
          <w:p w14:paraId="493FC9EF">
            <w:pPr>
              <w:autoSpaceDE w:val="0"/>
              <w:autoSpaceDN w:val="0"/>
              <w:adjustRightInd w:val="0"/>
              <w:snapToGrid w:val="0"/>
              <w:jc w:val="center"/>
              <w:rPr>
                <w:color w:val="auto"/>
              </w:rPr>
            </w:pPr>
            <w:r>
              <w:rPr>
                <w:rFonts w:hint="eastAsia"/>
                <w:color w:val="auto"/>
                <w:kern w:val="0"/>
                <w:szCs w:val="21"/>
                <w:highlight w:val="none"/>
              </w:rPr>
              <w:t>无</w:t>
            </w:r>
          </w:p>
        </w:tc>
      </w:tr>
      <w:tr w14:paraId="2E0308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714" w:type="dxa"/>
            <w:vAlign w:val="center"/>
          </w:tcPr>
          <w:p w14:paraId="71E6BF9B">
            <w:pPr>
              <w:autoSpaceDE w:val="0"/>
              <w:autoSpaceDN w:val="0"/>
              <w:adjustRightInd w:val="0"/>
              <w:snapToGrid w:val="0"/>
              <w:jc w:val="center"/>
              <w:rPr>
                <w:color w:val="auto"/>
                <w:kern w:val="0"/>
                <w:szCs w:val="21"/>
                <w:highlight w:val="none"/>
              </w:rPr>
            </w:pPr>
            <w:r>
              <w:rPr>
                <w:color w:val="auto"/>
                <w:kern w:val="0"/>
                <w:szCs w:val="21"/>
                <w:highlight w:val="none"/>
              </w:rPr>
              <w:t>其他符合性分析</w:t>
            </w:r>
          </w:p>
        </w:tc>
        <w:tc>
          <w:tcPr>
            <w:tcW w:w="7156" w:type="dxa"/>
            <w:gridSpan w:val="3"/>
            <w:vAlign w:val="center"/>
          </w:tcPr>
          <w:p w14:paraId="53604D47">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1.产业政策符合性分析</w:t>
            </w:r>
          </w:p>
          <w:p w14:paraId="7F68CDAA">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本项目属于“</w:t>
            </w:r>
            <w:r>
              <w:rPr>
                <w:rFonts w:hint="default" w:ascii="Times New Roman" w:hAnsi="Times New Roman" w:cs="Times New Roman"/>
                <w:color w:val="auto"/>
                <w:sz w:val="21"/>
                <w:szCs w:val="21"/>
                <w:highlight w:val="none"/>
                <w:lang w:val="en-US" w:eastAsia="zh-CN"/>
              </w:rPr>
              <w:t>M7461</w:t>
            </w:r>
            <w:r>
              <w:rPr>
                <w:rFonts w:hint="eastAsia" w:ascii="Times New Roman" w:hAnsi="Times New Roman" w:cs="Times New Roman"/>
                <w:color w:val="auto"/>
                <w:sz w:val="21"/>
                <w:szCs w:val="21"/>
                <w:highlight w:val="none"/>
                <w:lang w:val="en-US" w:eastAsia="zh-CN"/>
              </w:rPr>
              <w:t>环境保护监测”，</w:t>
            </w:r>
            <w:r>
              <w:rPr>
                <w:rFonts w:hint="eastAsia" w:ascii="Times New Roman" w:hAnsi="Times New Roman" w:eastAsia="宋体" w:cs="Times New Roman"/>
                <w:color w:val="auto"/>
                <w:sz w:val="21"/>
                <w:szCs w:val="21"/>
                <w:highlight w:val="none"/>
                <w:lang w:val="en-US" w:eastAsia="zh-CN"/>
              </w:rPr>
              <w:t>根据《产业结构调整指导目录（2024年本）》，本项目属于“鼓励类”第四十二项“环境保护与资源节约综合利用”中第4条“环境污染监测防治：环境污染监测与防治技术，环境监测</w:t>
            </w:r>
            <w:r>
              <w:rPr>
                <w:rFonts w:hint="default" w:ascii="Times New Roman" w:hAnsi="Times New Roman" w:eastAsia="宋体" w:cs="Times New Roman"/>
                <w:color w:val="auto"/>
                <w:sz w:val="21"/>
                <w:szCs w:val="21"/>
                <w:highlight w:val="none"/>
                <w:lang w:val="en-US" w:eastAsia="zh-CN"/>
              </w:rPr>
              <w:t>体系工程，生态环境保护监管执法技术与装备开发，土壤和地下水污染源头管控工程，有毒有害物质泄露快速检测、在线监测与迁移预警的技术、设备研发及应用，边生产边管控修复的低扰动、低成本土壤和地下水污染防治技术与装备的研发及应用</w:t>
            </w:r>
            <w:r>
              <w:rPr>
                <w:rFonts w:hint="eastAsia" w:ascii="Times New Roman" w:hAnsi="Times New Roman" w:eastAsia="宋体" w:cs="Times New Roman"/>
                <w:color w:val="auto"/>
                <w:sz w:val="21"/>
                <w:szCs w:val="21"/>
                <w:highlight w:val="none"/>
                <w:lang w:val="en-US" w:eastAsia="zh-CN"/>
              </w:rPr>
              <w:t>”，因此本项目为鼓励类。项目不属于《河北省禁止投资的产业目录（2014年版）》中禁止投资项目</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项目不属于《市场准入负面清单》（202</w:t>
            </w:r>
            <w:r>
              <w:rPr>
                <w:rFonts w:hint="eastAsia" w:ascii="Times New Roman" w:hAnsi="Times New Roman" w:cs="Times New Roman"/>
                <w:color w:val="auto"/>
                <w:sz w:val="21"/>
                <w:szCs w:val="21"/>
                <w:highlight w:val="none"/>
                <w:lang w:val="en-US" w:eastAsia="zh-CN"/>
              </w:rPr>
              <w:t>5年版</w:t>
            </w:r>
            <w:r>
              <w:rPr>
                <w:rFonts w:hint="eastAsia" w:ascii="Times New Roman" w:hAnsi="Times New Roman" w:eastAsia="宋体" w:cs="Times New Roman"/>
                <w:color w:val="auto"/>
                <w:sz w:val="21"/>
                <w:szCs w:val="21"/>
                <w:highlight w:val="none"/>
                <w:lang w:val="en-US" w:eastAsia="zh-CN"/>
              </w:rPr>
              <w:t>）中的禁止准入类建设项目。另外本项目已在迁安市行政审批局备案，备案文号为：迁行审投资备字[202</w:t>
            </w: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031</w:t>
            </w:r>
            <w:r>
              <w:rPr>
                <w:rFonts w:hint="eastAsia" w:ascii="Times New Roman" w:hAnsi="Times New Roman" w:eastAsia="宋体" w:cs="Times New Roman"/>
                <w:color w:val="auto"/>
                <w:sz w:val="21"/>
                <w:szCs w:val="21"/>
                <w:highlight w:val="none"/>
                <w:lang w:val="en-US" w:eastAsia="zh-CN"/>
              </w:rPr>
              <w:t>号。因此，拟建项目的建设符合当前国家产业政策要求。</w:t>
            </w:r>
          </w:p>
          <w:p w14:paraId="3685AAD4">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2.土地利用及选址合理性</w:t>
            </w:r>
          </w:p>
          <w:p w14:paraId="45400861">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（1）与用地及规划符合性分析</w:t>
            </w:r>
          </w:p>
          <w:p w14:paraId="6133026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本项目租用永顺街道昌盛路与兴安大街交叉口620号0001栋1-5层的商业办公楼</w:t>
            </w:r>
            <w:r>
              <w:rPr>
                <w:rFonts w:hint="eastAsia" w:ascii="Times New Roman" w:hAnsi="Times New Roman" w:cs="Times New Roman"/>
                <w:color w:val="auto"/>
                <w:sz w:val="21"/>
                <w:szCs w:val="21"/>
                <w:highlight w:val="none"/>
                <w:lang w:val="en-US" w:eastAsia="zh-CN"/>
              </w:rPr>
              <w:t>进行建设</w:t>
            </w:r>
            <w:r>
              <w:rPr>
                <w:rFonts w:hint="eastAsia" w:ascii="Times New Roman" w:hAnsi="Times New Roman" w:eastAsia="宋体" w:cs="Times New Roman"/>
                <w:color w:val="auto"/>
                <w:sz w:val="21"/>
                <w:szCs w:val="21"/>
                <w:highlight w:val="none"/>
                <w:lang w:val="en-US" w:eastAsia="zh-CN"/>
              </w:rPr>
              <w:t>，项目建筑面积3500m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，项目租赁协议见附件</w:t>
            </w:r>
            <w:r>
              <w:rPr>
                <w:rFonts w:hint="eastAsia" w:ascii="Times New Roman" w:hAnsi="Times New Roman" w:cs="Times New Roman"/>
                <w:color w:val="auto"/>
                <w:sz w:val="21"/>
                <w:szCs w:val="21"/>
                <w:highlight w:val="none"/>
                <w:lang w:val="en-US" w:eastAsia="zh-CN"/>
              </w:rPr>
              <w:t>，中心地理坐标为北纬40°0′48.911″，东经118°41′28.106″。</w:t>
            </w:r>
            <w:r>
              <w:rPr>
                <w:rFonts w:hint="eastAsia" w:ascii="Times New Roman" w:hAnsi="Times New Roman" w:eastAsia="宋体" w:cs="Times New Roman"/>
                <w:color w:val="auto"/>
                <w:sz w:val="21"/>
                <w:szCs w:val="21"/>
                <w:highlight w:val="none"/>
                <w:lang w:val="en-US" w:eastAsia="zh-CN"/>
              </w:rPr>
              <w:t>根据</w:t>
            </w:r>
            <w:r>
              <w:rPr>
                <w:rFonts w:hint="eastAsia" w:ascii="Times New Roman" w:hAnsi="Times New Roman" w:cs="Times New Roman"/>
                <w:color w:val="auto"/>
                <w:sz w:val="21"/>
                <w:szCs w:val="21"/>
                <w:highlight w:val="none"/>
                <w:lang w:val="en-US" w:eastAsia="zh-CN"/>
              </w:rPr>
              <w:t>国有土地使用证可知，</w:t>
            </w:r>
            <w:r>
              <w:rPr>
                <w:rFonts w:hint="eastAsia" w:ascii="Times New Roman" w:hAnsi="Times New Roman" w:eastAsia="宋体" w:cs="Times New Roman"/>
                <w:color w:val="auto"/>
                <w:sz w:val="21"/>
                <w:szCs w:val="21"/>
                <w:highlight w:val="none"/>
                <w:lang w:val="en-US" w:eastAsia="zh-CN"/>
              </w:rPr>
              <w:t>本项目占地土地类型为</w:t>
            </w:r>
            <w:r>
              <w:rPr>
                <w:rFonts w:hint="eastAsia" w:ascii="Times New Roman" w:hAnsi="Times New Roman" w:cs="Times New Roman"/>
                <w:color w:val="auto"/>
                <w:sz w:val="21"/>
                <w:szCs w:val="21"/>
                <w:highlight w:val="none"/>
                <w:lang w:val="en-US" w:eastAsia="zh-CN"/>
              </w:rPr>
              <w:t>商业</w:t>
            </w:r>
            <w:r>
              <w:rPr>
                <w:rFonts w:hint="eastAsia" w:ascii="Times New Roman" w:hAnsi="Times New Roman" w:eastAsia="宋体" w:cs="Times New Roman"/>
                <w:color w:val="auto"/>
                <w:sz w:val="21"/>
                <w:szCs w:val="21"/>
                <w:highlight w:val="none"/>
                <w:lang w:val="en-US" w:eastAsia="zh-CN"/>
              </w:rPr>
              <w:t>用地</w:t>
            </w:r>
            <w:r>
              <w:rPr>
                <w:rFonts w:hint="eastAsia" w:ascii="Times New Roman" w:hAnsi="Times New Roman" w:cs="Times New Roman"/>
                <w:color w:val="auto"/>
                <w:sz w:val="21"/>
                <w:szCs w:val="21"/>
                <w:highlight w:val="none"/>
                <w:lang w:val="en-US" w:eastAsia="zh-CN"/>
              </w:rPr>
              <w:t>；根据</w:t>
            </w:r>
            <w:r>
              <w:rPr>
                <w:rFonts w:hint="eastAsia" w:ascii="Times New Roman" w:hAnsi="Times New Roman" w:eastAsia="宋体" w:cs="Times New Roman"/>
                <w:color w:val="auto"/>
                <w:sz w:val="21"/>
                <w:szCs w:val="21"/>
                <w:highlight w:val="none"/>
                <w:lang w:val="en-US" w:eastAsia="zh-CN"/>
              </w:rPr>
              <w:t>《迁安市国土空间总体规划（</w:t>
            </w:r>
            <w:r>
              <w:rPr>
                <w:rFonts w:hint="default" w:ascii="Times New Roman" w:hAnsi="Times New Roman" w:eastAsia="宋体" w:cs="Times New Roman"/>
                <w:color w:val="auto"/>
                <w:sz w:val="21"/>
                <w:szCs w:val="21"/>
                <w:highlight w:val="none"/>
                <w:lang w:val="en-US" w:eastAsia="zh-CN"/>
              </w:rPr>
              <w:t>2023-2035</w:t>
            </w:r>
            <w:r>
              <w:rPr>
                <w:rFonts w:hint="eastAsia" w:ascii="Times New Roman" w:hAnsi="Times New Roman" w:eastAsia="宋体" w:cs="Times New Roman"/>
                <w:color w:val="auto"/>
                <w:sz w:val="21"/>
                <w:szCs w:val="21"/>
                <w:highlight w:val="none"/>
                <w:lang w:val="en-US" w:eastAsia="zh-CN"/>
              </w:rPr>
              <w:t>年）》中“三区三线规划图”，项目所在地位于迁安市国土空间规划“三区三线”划定的城镇开发边界范围内</w:t>
            </w:r>
            <w:r>
              <w:rPr>
                <w:rFonts w:hint="eastAsia" w:ascii="Times New Roman" w:hAnsi="Times New Roman" w:cs="Times New Roman"/>
                <w:color w:val="auto"/>
                <w:sz w:val="21"/>
                <w:szCs w:val="21"/>
                <w:highlight w:val="none"/>
                <w:lang w:val="en-US" w:eastAsia="zh-CN"/>
              </w:rPr>
              <w:t>，不新增城镇建设用地规模。另外本项目不属于国家及地方产业政策要求的淘汰类和限制类项目，符合国家及地方产业政策要求。</w:t>
            </w:r>
          </w:p>
          <w:p w14:paraId="498857C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综上，项目</w:t>
            </w:r>
            <w:r>
              <w:rPr>
                <w:rFonts w:hint="eastAsia" w:ascii="Times New Roman" w:hAnsi="Times New Roman" w:eastAsia="宋体" w:cs="Times New Roman"/>
                <w:color w:val="auto"/>
                <w:sz w:val="21"/>
                <w:szCs w:val="21"/>
                <w:highlight w:val="none"/>
                <w:lang w:val="en-US" w:eastAsia="zh-CN"/>
              </w:rPr>
              <w:t>符合</w:t>
            </w:r>
            <w:r>
              <w:rPr>
                <w:rFonts w:hint="eastAsia" w:ascii="Times New Roman" w:hAnsi="Times New Roman" w:cs="Times New Roman"/>
                <w:color w:val="auto"/>
                <w:sz w:val="21"/>
                <w:szCs w:val="21"/>
                <w:highlight w:val="none"/>
                <w:lang w:val="en-US" w:eastAsia="zh-CN"/>
              </w:rPr>
              <w:t>产业政策要求，项目位于</w:t>
            </w:r>
            <w:r>
              <w:rPr>
                <w:rFonts w:hint="eastAsia" w:ascii="Times New Roman" w:hAnsi="Times New Roman" w:eastAsia="宋体" w:cs="Times New Roman"/>
                <w:color w:val="auto"/>
                <w:sz w:val="21"/>
                <w:szCs w:val="21"/>
                <w:highlight w:val="none"/>
                <w:lang w:val="en-US" w:eastAsia="zh-CN"/>
              </w:rPr>
              <w:t>迁安市国土空间规划“三区三线”划定的城镇开发边界范围内</w:t>
            </w:r>
            <w:r>
              <w:rPr>
                <w:rFonts w:hint="eastAsia" w:ascii="Times New Roman" w:hAnsi="Times New Roman" w:cs="Times New Roman"/>
                <w:color w:val="auto"/>
                <w:sz w:val="21"/>
                <w:szCs w:val="21"/>
                <w:highlight w:val="none"/>
                <w:lang w:val="en-US" w:eastAsia="zh-CN"/>
              </w:rPr>
              <w:t>，不新增城镇建设用地规模，符合用地要求</w:t>
            </w:r>
            <w:r>
              <w:rPr>
                <w:rFonts w:hint="eastAsia" w:ascii="Times New Roman" w:hAnsi="Times New Roman" w:eastAsia="宋体" w:cs="Times New Roman"/>
                <w:color w:val="auto"/>
                <w:sz w:val="21"/>
                <w:szCs w:val="21"/>
                <w:highlight w:val="none"/>
                <w:lang w:val="en-US" w:eastAsia="zh-CN"/>
              </w:rPr>
              <w:t>。</w:t>
            </w:r>
          </w:p>
          <w:p w14:paraId="75F98548">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（2）项目周边环境敏感性分析</w:t>
            </w:r>
          </w:p>
          <w:p w14:paraId="3FCD8BAE">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本项目位于</w:t>
            </w:r>
            <w:r>
              <w:rPr>
                <w:rFonts w:hint="eastAsia" w:ascii="Times New Roman" w:hAnsi="Times New Roman" w:cs="Times New Roman"/>
                <w:color w:val="auto"/>
                <w:sz w:val="21"/>
                <w:szCs w:val="21"/>
                <w:highlight w:val="none"/>
                <w:lang w:val="en-US" w:eastAsia="zh-CN"/>
              </w:rPr>
              <w:t>迁安市</w:t>
            </w:r>
            <w:r>
              <w:rPr>
                <w:rFonts w:hint="eastAsia" w:ascii="Times New Roman" w:hAnsi="Times New Roman" w:eastAsia="宋体" w:cs="Times New Roman"/>
                <w:color w:val="auto"/>
                <w:sz w:val="21"/>
                <w:szCs w:val="21"/>
                <w:highlight w:val="none"/>
                <w:lang w:val="en-US" w:eastAsia="zh-CN"/>
              </w:rPr>
              <w:t>永顺街道昌盛路与兴安大街交叉口620号。</w:t>
            </w:r>
            <w:r>
              <w:rPr>
                <w:rFonts w:hint="eastAsia" w:ascii="Times New Roman" w:hAnsi="Times New Roman" w:cs="Times New Roman"/>
                <w:color w:val="auto"/>
                <w:sz w:val="21"/>
                <w:szCs w:val="21"/>
                <w:highlight w:val="none"/>
                <w:lang w:val="en-US" w:eastAsia="zh-CN"/>
              </w:rPr>
              <w:t>距离项目最近的敏感点为项目西南侧80m处的建设村，</w:t>
            </w:r>
            <w:r>
              <w:rPr>
                <w:rFonts w:hint="eastAsia" w:ascii="Times New Roman" w:hAnsi="Times New Roman" w:eastAsia="宋体" w:cs="Times New Roman"/>
                <w:color w:val="auto"/>
                <w:sz w:val="21"/>
                <w:szCs w:val="21"/>
                <w:highlight w:val="none"/>
                <w:lang w:val="en-US" w:eastAsia="zh-CN"/>
              </w:rPr>
              <w:t>项目</w:t>
            </w:r>
            <w:r>
              <w:rPr>
                <w:rFonts w:hint="eastAsia" w:ascii="Times New Roman" w:hAnsi="Times New Roman" w:cs="Times New Roman"/>
                <w:color w:val="auto"/>
                <w:sz w:val="21"/>
                <w:szCs w:val="21"/>
                <w:highlight w:val="none"/>
                <w:lang w:val="en-US" w:eastAsia="zh-CN"/>
              </w:rPr>
              <w:t>厂界</w:t>
            </w:r>
            <w:r>
              <w:rPr>
                <w:rFonts w:hint="eastAsia" w:ascii="Times New Roman" w:hAnsi="Times New Roman" w:eastAsia="宋体" w:cs="Times New Roman"/>
                <w:color w:val="auto"/>
                <w:sz w:val="21"/>
                <w:szCs w:val="21"/>
                <w:highlight w:val="none"/>
                <w:lang w:val="en-US" w:eastAsia="zh-CN"/>
              </w:rPr>
              <w:t>周边500m范围内</w:t>
            </w:r>
            <w:r>
              <w:rPr>
                <w:rFonts w:hint="eastAsia" w:ascii="Times New Roman" w:hAnsi="Times New Roman" w:cs="Times New Roman"/>
                <w:color w:val="auto"/>
                <w:sz w:val="21"/>
                <w:szCs w:val="21"/>
                <w:highlight w:val="none"/>
                <w:lang w:val="en-US" w:eastAsia="zh-CN"/>
              </w:rPr>
              <w:t>无</w:t>
            </w:r>
            <w:r>
              <w:rPr>
                <w:rFonts w:hint="eastAsia" w:ascii="Times New Roman" w:hAnsi="Times New Roman" w:eastAsia="宋体" w:cs="Times New Roman"/>
                <w:color w:val="auto"/>
                <w:sz w:val="21"/>
                <w:szCs w:val="21"/>
                <w:highlight w:val="none"/>
                <w:lang w:val="en-US" w:eastAsia="zh-CN"/>
              </w:rPr>
              <w:t>饮用水水源地保护区、自然保护区、风景名胜区、生态功能保护区、文物保护地等法律、法规规定的环境敏感区。</w:t>
            </w:r>
            <w:r>
              <w:rPr>
                <w:rFonts w:hint="eastAsia" w:ascii="Times New Roman" w:hAnsi="Times New Roman" w:cs="Times New Roman"/>
                <w:color w:val="auto"/>
                <w:sz w:val="21"/>
                <w:szCs w:val="21"/>
                <w:highlight w:val="none"/>
                <w:lang w:val="en-US" w:eastAsia="zh-CN"/>
              </w:rPr>
              <w:t>项目</w:t>
            </w:r>
            <w:r>
              <w:rPr>
                <w:rFonts w:hint="eastAsia" w:ascii="Times New Roman" w:hAnsi="Times New Roman" w:eastAsia="宋体" w:cs="Times New Roman"/>
                <w:color w:val="auto"/>
                <w:sz w:val="21"/>
                <w:szCs w:val="21"/>
                <w:highlight w:val="none"/>
                <w:lang w:val="en-US" w:eastAsia="zh-CN"/>
              </w:rPr>
              <w:t>场址条件适合本项目的建设，另外建设区内电力、通讯</w:t>
            </w:r>
            <w:r>
              <w:rPr>
                <w:rFonts w:hint="eastAsia" w:ascii="Times New Roman" w:hAnsi="Times New Roman" w:cs="Times New Roman"/>
                <w:color w:val="auto"/>
                <w:sz w:val="21"/>
                <w:szCs w:val="21"/>
                <w:highlight w:val="none"/>
                <w:lang w:val="en-US" w:eastAsia="zh-CN"/>
              </w:rPr>
              <w:t>、给排水</w:t>
            </w:r>
            <w:r>
              <w:rPr>
                <w:rFonts w:hint="eastAsia" w:ascii="Times New Roman" w:hAnsi="Times New Roman" w:eastAsia="宋体" w:cs="Times New Roman"/>
                <w:color w:val="auto"/>
                <w:sz w:val="21"/>
                <w:szCs w:val="21"/>
                <w:highlight w:val="none"/>
                <w:lang w:val="en-US" w:eastAsia="zh-CN"/>
              </w:rPr>
              <w:t>等基础设施配套状况良好，周围交通便利，为项目的建设提供了良好的环境。</w:t>
            </w:r>
          </w:p>
          <w:p w14:paraId="569B7848">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2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lang w:val="en-US" w:eastAsia="zh-CN"/>
              </w:rPr>
              <w:t>）项目厂址环境可行性分析</w:t>
            </w:r>
          </w:p>
          <w:p w14:paraId="3EA5D6D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2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本项目废气污染物主要为</w:t>
            </w:r>
            <w:r>
              <w:rPr>
                <w:rFonts w:hint="eastAsia" w:ascii="Times New Roman" w:hAnsi="Times New Roman" w:cs="Times New Roman"/>
                <w:color w:val="auto"/>
                <w:sz w:val="21"/>
                <w:szCs w:val="21"/>
                <w:highlight w:val="none"/>
                <w:lang w:val="en-US" w:eastAsia="zh-CN"/>
              </w:rPr>
              <w:t>颗粒物、</w:t>
            </w:r>
            <w:r>
              <w:rPr>
                <w:rFonts w:hint="eastAsia" w:ascii="Times New Roman" w:hAnsi="Times New Roman" w:eastAsia="宋体" w:cs="Times New Roman"/>
                <w:color w:val="auto"/>
                <w:sz w:val="21"/>
                <w:szCs w:val="21"/>
                <w:highlight w:val="none"/>
                <w:lang w:val="en-US" w:eastAsia="zh-CN"/>
              </w:rPr>
              <w:t>非甲烷总烃、HC</w:t>
            </w:r>
            <w:r>
              <w:rPr>
                <w:rFonts w:hint="eastAsia" w:ascii="Times New Roman" w:hAnsi="Times New Roman" w:cs="Times New Roman"/>
                <w:color w:val="auto"/>
                <w:sz w:val="21"/>
                <w:szCs w:val="21"/>
                <w:highlight w:val="none"/>
                <w:lang w:val="en-US" w:eastAsia="zh-CN"/>
              </w:rPr>
              <w:t>l</w:t>
            </w:r>
            <w:r>
              <w:rPr>
                <w:rFonts w:hint="eastAsia" w:ascii="Times New Roman" w:hAnsi="Times New Roman" w:eastAsia="宋体" w:cs="Times New Roman"/>
                <w:color w:val="auto"/>
                <w:sz w:val="21"/>
                <w:szCs w:val="21"/>
                <w:highlight w:val="none"/>
                <w:lang w:val="en-US" w:eastAsia="zh-CN"/>
              </w:rPr>
              <w:t>、硫酸雾，生产过程中产生的污染负荷较小，工程采取完善的废气治理措施，可实现废气</w:t>
            </w:r>
            <w:r>
              <w:rPr>
                <w:rFonts w:ascii="Times New Roman" w:hAnsi="Times New Roman"/>
                <w:color w:val="auto"/>
                <w:sz w:val="21"/>
                <w:szCs w:val="21"/>
                <w:highlight w:val="none"/>
              </w:rPr>
              <w:t>稳定</w:t>
            </w:r>
            <w:r>
              <w:rPr>
                <w:rFonts w:hint="eastAsia" w:ascii="Times New Roman" w:hAnsi="Times New Roman" w:eastAsia="宋体" w:cs="Times New Roman"/>
                <w:color w:val="auto"/>
                <w:sz w:val="21"/>
                <w:szCs w:val="21"/>
                <w:highlight w:val="none"/>
                <w:lang w:val="en-US" w:eastAsia="zh-CN"/>
              </w:rPr>
              <w:t>达标排放，</w:t>
            </w:r>
            <w:r>
              <w:rPr>
                <w:rFonts w:ascii="Times New Roman" w:hAnsi="Times New Roman"/>
                <w:color w:val="auto"/>
                <w:sz w:val="21"/>
                <w:szCs w:val="21"/>
                <w:highlight w:val="none"/>
              </w:rPr>
              <w:t>对周围环境影响较小</w:t>
            </w:r>
            <w:r>
              <w:rPr>
                <w:rFonts w:hint="eastAsia" w:ascii="Times New Roman" w:hAnsi="Times New Roman" w:eastAsia="宋体" w:cs="Times New Roman"/>
                <w:color w:val="auto"/>
                <w:sz w:val="21"/>
                <w:szCs w:val="21"/>
                <w:highlight w:val="none"/>
                <w:lang w:val="en-US" w:eastAsia="zh-CN"/>
              </w:rPr>
              <w:t>，不会对区域</w:t>
            </w:r>
            <w:r>
              <w:rPr>
                <w:rFonts w:hint="eastAsia" w:ascii="Times New Roman" w:hAnsi="Times New Roman" w:cs="Times New Roman"/>
                <w:color w:val="auto"/>
                <w:sz w:val="21"/>
                <w:szCs w:val="21"/>
                <w:highlight w:val="none"/>
                <w:lang w:val="en-US" w:eastAsia="zh-CN"/>
              </w:rPr>
              <w:t>大气环境</w:t>
            </w:r>
            <w:r>
              <w:rPr>
                <w:rFonts w:hint="eastAsia" w:ascii="Times New Roman" w:hAnsi="Times New Roman" w:eastAsia="宋体" w:cs="Times New Roman"/>
                <w:color w:val="auto"/>
                <w:sz w:val="21"/>
                <w:szCs w:val="21"/>
                <w:highlight w:val="none"/>
                <w:lang w:val="en-US" w:eastAsia="zh-CN"/>
              </w:rPr>
              <w:t>产生</w:t>
            </w:r>
            <w:r>
              <w:rPr>
                <w:rFonts w:hint="eastAsia" w:ascii="Times New Roman" w:hAnsi="Times New Roman" w:cs="Times New Roman"/>
                <w:color w:val="auto"/>
                <w:sz w:val="21"/>
                <w:szCs w:val="21"/>
                <w:highlight w:val="none"/>
                <w:lang w:val="en-US" w:eastAsia="zh-CN"/>
              </w:rPr>
              <w:t>明显</w:t>
            </w:r>
            <w:r>
              <w:rPr>
                <w:rFonts w:hint="eastAsia" w:ascii="Times New Roman" w:hAnsi="Times New Roman" w:eastAsia="宋体" w:cs="Times New Roman"/>
                <w:color w:val="auto"/>
                <w:sz w:val="21"/>
                <w:szCs w:val="21"/>
                <w:highlight w:val="none"/>
                <w:lang w:val="en-US" w:eastAsia="zh-CN"/>
              </w:rPr>
              <w:t>影响。</w:t>
            </w:r>
          </w:p>
          <w:p w14:paraId="14D6F0F3">
            <w:pPr>
              <w:keepNext w:val="0"/>
              <w:keepLines w:val="0"/>
              <w:pageBreakBefore w:val="0"/>
              <w:kinsoku/>
              <w:wordWrap/>
              <w:overflowPunct/>
              <w:topLinePunct w:val="0"/>
              <w:autoSpaceDE/>
              <w:autoSpaceDN/>
              <w:bidi w:val="0"/>
              <w:spacing w:line="440" w:lineRule="exact"/>
              <w:ind w:firstLine="420" w:firstLineChars="200"/>
              <w:textAlignment w:val="auto"/>
              <w:rPr>
                <w:rFonts w:hint="eastAsia" w:eastAsia="宋体"/>
                <w:b/>
                <w:bCs/>
                <w:color w:val="auto"/>
                <w:szCs w:val="21"/>
                <w:highlight w:val="none"/>
              </w:rPr>
            </w:pPr>
            <w:r>
              <w:rPr>
                <w:rFonts w:hint="eastAsia" w:ascii="Times New Roman" w:hAnsi="Times New Roman" w:cs="Times New Roman"/>
                <w:color w:val="auto"/>
                <w:sz w:val="21"/>
                <w:szCs w:val="21"/>
                <w:highlight w:val="none"/>
                <w:lang w:val="en-US" w:eastAsia="zh-CN"/>
              </w:rPr>
              <w:t>本项目</w:t>
            </w:r>
            <w:r>
              <w:rPr>
                <w:rFonts w:hint="eastAsia" w:ascii="Times New Roman" w:hAnsi="Times New Roman" w:eastAsia="宋体" w:cs="Times New Roman"/>
                <w:color w:val="auto"/>
                <w:kern w:val="0"/>
                <w:sz w:val="21"/>
                <w:szCs w:val="21"/>
                <w:highlight w:val="none"/>
                <w:lang w:val="en-US" w:eastAsia="zh-CN" w:bidi="ar-SA"/>
              </w:rPr>
              <w:t>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r>
              <w:rPr>
                <w:rFonts w:hint="eastAsia" w:cs="Times New Roman"/>
                <w:color w:val="auto"/>
                <w:sz w:val="21"/>
                <w:szCs w:val="21"/>
                <w:highlight w:val="none"/>
                <w:lang w:val="en-US" w:eastAsia="zh-CN"/>
              </w:rPr>
              <w:t>。因此，</w:t>
            </w:r>
            <w:r>
              <w:rPr>
                <w:rFonts w:hint="eastAsia" w:ascii="Times New Roman" w:hAnsi="Times New Roman" w:eastAsia="宋体" w:cs="Times New Roman"/>
                <w:color w:val="auto"/>
                <w:kern w:val="0"/>
                <w:sz w:val="21"/>
                <w:szCs w:val="21"/>
                <w:highlight w:val="none"/>
                <w:lang w:val="en-US" w:eastAsia="zh-CN" w:bidi="ar-SA"/>
              </w:rPr>
              <w:t>不会对地表水环境产生明显影响。</w:t>
            </w:r>
          </w:p>
          <w:p w14:paraId="3383849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本项目采取源头控制、分区防渗措施，且项目不属于对水体造成严重污染的项目，不会对土壤和地下水环境造成明显影响。</w:t>
            </w:r>
          </w:p>
          <w:p w14:paraId="7C953035">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本项目采用低噪声设备，设备布置在实验室内，风机设置消声装置等隔声、降噪措施，厂界噪声满足相应排放标准要求，且周边</w:t>
            </w: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0m范围无声环境保护目标。</w:t>
            </w:r>
          </w:p>
          <w:p w14:paraId="4E1F4B90">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综合以上分析，从环保角度分析，本项目选址可行。</w:t>
            </w:r>
          </w:p>
          <w:p w14:paraId="74AF718B">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3</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“三线一单”符合性分析</w:t>
            </w:r>
          </w:p>
          <w:p w14:paraId="1146E5BE">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rPr>
            </w:pPr>
            <w:r>
              <w:rPr>
                <w:rFonts w:hint="eastAsia" w:ascii="Times New Roman" w:hAnsi="Times New Roman"/>
                <w:b/>
                <w:color w:val="auto"/>
                <w:sz w:val="21"/>
                <w:szCs w:val="21"/>
                <w:lang w:val="en-US" w:eastAsia="zh-CN"/>
              </w:rPr>
              <w:t>3</w:t>
            </w:r>
            <w:r>
              <w:rPr>
                <w:rFonts w:hint="eastAsia" w:ascii="Times New Roman" w:hAnsi="Times New Roman"/>
                <w:b/>
                <w:color w:val="auto"/>
                <w:sz w:val="21"/>
                <w:szCs w:val="21"/>
              </w:rPr>
              <w:t>.</w:t>
            </w:r>
            <w:r>
              <w:rPr>
                <w:rFonts w:hint="eastAsia" w:ascii="Times New Roman" w:hAnsi="Times New Roman"/>
                <w:b/>
                <w:color w:val="auto"/>
                <w:sz w:val="21"/>
                <w:szCs w:val="21"/>
                <w:lang w:val="en-US" w:eastAsia="zh-CN"/>
              </w:rPr>
              <w:t>1</w:t>
            </w:r>
            <w:r>
              <w:rPr>
                <w:rFonts w:hint="eastAsia" w:ascii="Times New Roman" w:hAnsi="Times New Roman"/>
                <w:b/>
                <w:color w:val="auto"/>
                <w:sz w:val="21"/>
                <w:szCs w:val="21"/>
              </w:rPr>
              <w:t>项目与《关于以改善环境质量为核心加强环境影响评价管理的通知》符合性分析</w:t>
            </w:r>
          </w:p>
          <w:p w14:paraId="530F1FF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根据环境保护部环环评[2016]150号《关于以改善环境质量为核心加强环境影响评价管理的通知》要求：</w:t>
            </w:r>
          </w:p>
          <w:p w14:paraId="323A8181">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为适应以改善环境质量为核心的环境管理要求，切实加强环境影响评价（以下简称环评）管理，落实“生态保护红线、环境质量底线、资源利用上线和环境准入负面清单”（以下简称“三线一单”）约束，建立项目环评审批与规划环评、现有项目环境管理、区域环境质量联动机制（以下简称“三挂钩”机制），更好地发挥环评制度从源头防范环境污染和生态破坏的作用，加快推进改善环境质量，现就有关事项通知如下：</w:t>
            </w:r>
          </w:p>
          <w:p w14:paraId="3B6FB6E4">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①生态保护红线是生态空间范围内具有特殊重点生态功能必须实行强制性严格保护的区域。相关规划环评应将生态空间管控作为重点内容，规划区</w:t>
            </w:r>
          </w:p>
          <w:p w14:paraId="639D3107">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textAlignment w:val="auto"/>
              <w:rPr>
                <w:rFonts w:hint="eastAsia" w:ascii="Times New Roman" w:hAnsi="Times New Roman" w:eastAsia="宋体" w:cs="Times New Roman"/>
                <w:color w:val="auto"/>
                <w:sz w:val="21"/>
                <w:szCs w:val="21"/>
                <w:highlight w:val="none"/>
              </w:rPr>
            </w:pPr>
            <w:r>
              <w:rPr>
                <w:rFonts w:hint="eastAsia" w:ascii="Times New Roman" w:hAnsi="Times New Roman"/>
                <w:color w:val="auto"/>
                <w:sz w:val="21"/>
                <w:szCs w:val="21"/>
                <w:highlight w:val="none"/>
              </w:rPr>
              <w:t>域涉及生态保护红线的，在规划环评结论和审查意见中应落实生态保护红线的管理要求，提出相对应对策措施。除受自然条件限制、确实无法避让的铁路、公路、航道、防洪、管道、干渠、通讯、输变电等重要基础设施项目外，在生态保护红线范围内，严控各类开发建设活动，依法不予审批新建工业项目和矿产开发项目</w:t>
            </w:r>
            <w:r>
              <w:rPr>
                <w:rFonts w:hint="eastAsia" w:ascii="Times New Roman" w:hAnsi="Times New Roman" w:eastAsia="宋体" w:cs="Times New Roman"/>
                <w:color w:val="auto"/>
                <w:sz w:val="21"/>
                <w:szCs w:val="21"/>
                <w:highlight w:val="none"/>
              </w:rPr>
              <w:t>的环评文件。</w:t>
            </w:r>
          </w:p>
          <w:p w14:paraId="2935F93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eastAsia="宋体" w:cs="Times New Roman"/>
                <w:color w:val="auto"/>
                <w:sz w:val="21"/>
                <w:szCs w:val="21"/>
                <w:highlight w:val="none"/>
              </w:rPr>
              <w:t>《迁安市国土空间总体规划》（2021-2035年）划定生态保护红线面积</w:t>
            </w:r>
          </w:p>
        </w:tc>
      </w:tr>
    </w:tbl>
    <w:p w14:paraId="2A534930">
      <w:pPr>
        <w:spacing w:line="360" w:lineRule="auto"/>
        <w:outlineLvl w:val="0"/>
        <w:rPr>
          <w:rFonts w:eastAsia="黑体"/>
          <w:color w:val="auto"/>
          <w:sz w:val="30"/>
          <w:highlight w:val="none"/>
        </w:rPr>
        <w:sectPr>
          <w:footerReference r:id="rId6"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14"/>
        <w:gridCol w:w="7156"/>
      </w:tblGrid>
      <w:tr w14:paraId="538BFA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003" w:hRule="atLeast"/>
          <w:jc w:val="center"/>
        </w:trPr>
        <w:tc>
          <w:tcPr>
            <w:tcW w:w="1714" w:type="dxa"/>
            <w:vAlign w:val="center"/>
          </w:tcPr>
          <w:p w14:paraId="10CF5F74">
            <w:pPr>
              <w:autoSpaceDE w:val="0"/>
              <w:autoSpaceDN w:val="0"/>
              <w:adjustRightInd w:val="0"/>
              <w:snapToGrid w:val="0"/>
              <w:jc w:val="center"/>
              <w:rPr>
                <w:color w:val="auto"/>
                <w:kern w:val="0"/>
                <w:szCs w:val="21"/>
                <w:highlight w:val="none"/>
              </w:rPr>
            </w:pPr>
            <w:r>
              <w:rPr>
                <w:color w:val="auto"/>
                <w:kern w:val="0"/>
                <w:szCs w:val="21"/>
                <w:highlight w:val="none"/>
              </w:rPr>
              <w:t>其他符合性分析</w:t>
            </w:r>
          </w:p>
        </w:tc>
        <w:tc>
          <w:tcPr>
            <w:tcW w:w="7156" w:type="dxa"/>
            <w:vAlign w:val="center"/>
          </w:tcPr>
          <w:p w14:paraId="1C0D55BB">
            <w:pPr>
              <w:pStyle w:val="22"/>
              <w:adjustRightInd w:val="0"/>
              <w:snapToGrid w:val="0"/>
              <w:spacing w:before="0" w:beforeAutospacing="0" w:after="0" w:afterAutospacing="0" w:line="440" w:lineRule="exact"/>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69.86平方公里（10.48万亩），主要分布在滦河、北部山区及西南部山区，呈带状和斑块状分布。红线类型为水源涵养，红线名称为燕山水源涵养-生物多样性维护生态保护红线。</w:t>
            </w:r>
          </w:p>
          <w:p w14:paraId="0A7FF87A">
            <w:pPr>
              <w:pStyle w:val="22"/>
              <w:adjustRightInd w:val="0"/>
              <w:snapToGrid w:val="0"/>
              <w:spacing w:before="0" w:beforeAutospacing="0" w:after="0" w:afterAutospacing="0" w:line="440" w:lineRule="exact"/>
              <w:ind w:firstLine="422" w:firstLineChars="200"/>
              <w:rPr>
                <w:rFonts w:hint="eastAsia" w:ascii="Times New Roman" w:hAnsi="Times New Roman" w:eastAsia="宋体"/>
                <w:b/>
                <w:bCs/>
                <w:color w:val="auto"/>
                <w:sz w:val="21"/>
                <w:szCs w:val="21"/>
                <w:highlight w:val="none"/>
              </w:rPr>
            </w:pPr>
            <w:r>
              <w:rPr>
                <w:rFonts w:hint="eastAsia" w:ascii="Times New Roman" w:hAnsi="Times New Roman" w:eastAsia="宋体"/>
                <w:b/>
                <w:bCs/>
                <w:color w:val="auto"/>
                <w:sz w:val="21"/>
                <w:szCs w:val="21"/>
                <w:highlight w:val="none"/>
                <w:lang w:val="en-US" w:eastAsia="zh-CN"/>
              </w:rPr>
              <w:t>本项目选址位于河北省迁安市永顺昌盛路与兴安大街交叉口620号</w:t>
            </w:r>
            <w:r>
              <w:rPr>
                <w:rFonts w:hint="eastAsia" w:ascii="Times New Roman" w:hAnsi="Times New Roman" w:eastAsia="宋体"/>
                <w:b/>
                <w:bCs/>
                <w:color w:val="auto"/>
                <w:sz w:val="21"/>
                <w:szCs w:val="21"/>
                <w:highlight w:val="none"/>
              </w:rPr>
              <w:t>，</w:t>
            </w:r>
            <w:r>
              <w:rPr>
                <w:rFonts w:hint="eastAsia" w:ascii="Times New Roman" w:hAnsi="Times New Roman" w:eastAsia="宋体" w:cs="Times New Roman"/>
                <w:b/>
                <w:bCs/>
                <w:color w:val="auto"/>
                <w:sz w:val="21"/>
                <w:szCs w:val="21"/>
                <w:highlight w:val="none"/>
              </w:rPr>
              <w:t>不在生态保护红线区内（见附图），距离生态保护红线</w:t>
            </w:r>
            <w:r>
              <w:rPr>
                <w:rFonts w:hint="eastAsia" w:ascii="Times New Roman" w:hAnsi="Times New Roman" w:cs="Times New Roman"/>
                <w:b/>
                <w:bCs/>
                <w:color w:val="auto"/>
                <w:sz w:val="21"/>
                <w:szCs w:val="21"/>
                <w:highlight w:val="none"/>
                <w:lang w:val="en-US" w:eastAsia="zh-CN"/>
              </w:rPr>
              <w:t>1850</w:t>
            </w:r>
            <w:r>
              <w:rPr>
                <w:rFonts w:hint="eastAsia" w:ascii="Times New Roman" w:hAnsi="Times New Roman" w:eastAsia="宋体" w:cs="Times New Roman"/>
                <w:b/>
                <w:bCs/>
                <w:color w:val="auto"/>
                <w:sz w:val="21"/>
                <w:szCs w:val="21"/>
                <w:highlight w:val="none"/>
              </w:rPr>
              <w:t>m。项目符合生态保护</w:t>
            </w:r>
            <w:r>
              <w:rPr>
                <w:rFonts w:hint="eastAsia" w:ascii="Times New Roman" w:hAnsi="Times New Roman" w:eastAsia="宋体"/>
                <w:b/>
                <w:bCs/>
                <w:color w:val="auto"/>
                <w:sz w:val="21"/>
                <w:szCs w:val="21"/>
                <w:highlight w:val="none"/>
              </w:rPr>
              <w:t>红线要求。</w:t>
            </w:r>
          </w:p>
          <w:p w14:paraId="14270E1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②环境质量底线是国家和地方设置的大气、水和土壤环境质量目标，也是改善环境质量的基准线。环境质量底线分别为：区域地下水环境质量目标为《地下水质量标准》（GB/T14848-2017）中Ⅲ类标准；区域大气环境质量目标为《环境空气质量标准》（GB3095-2012）中的二级标准；区域声环境质量目标为《声环境质量标准》（GB3096-2008）2类区标准。</w:t>
            </w:r>
          </w:p>
          <w:p w14:paraId="2C31CE0D">
            <w:pPr>
              <w:pStyle w:val="22"/>
              <w:adjustRightInd w:val="0"/>
              <w:snapToGrid w:val="0"/>
              <w:spacing w:before="0" w:beforeAutospacing="0" w:after="0" w:afterAutospacing="0" w:line="440" w:lineRule="exact"/>
              <w:ind w:firstLine="422" w:firstLineChars="200"/>
              <w:rPr>
                <w:rFonts w:ascii="Times New Roman" w:hAnsi="Times New Roman"/>
                <w:b/>
                <w:bCs/>
                <w:color w:val="auto"/>
                <w:kern w:val="2"/>
                <w:sz w:val="21"/>
                <w:szCs w:val="24"/>
                <w:highlight w:val="none"/>
              </w:rPr>
            </w:pPr>
            <w:r>
              <w:rPr>
                <w:rFonts w:hint="eastAsia" w:ascii="Times New Roman" w:hAnsi="Times New Roman"/>
                <w:b/>
                <w:bCs/>
                <w:color w:val="auto"/>
                <w:sz w:val="21"/>
                <w:szCs w:val="21"/>
              </w:rPr>
              <w:t>a.环境空气：</w:t>
            </w:r>
            <w:r>
              <w:rPr>
                <w:rFonts w:hint="eastAsia" w:ascii="Times New Roman" w:hAnsi="Times New Roman" w:cs="Times New Roman"/>
                <w:b/>
                <w:bCs/>
                <w:color w:val="auto"/>
                <w:sz w:val="21"/>
                <w:szCs w:val="21"/>
                <w:highlight w:val="none"/>
              </w:rPr>
              <w:t>根据</w:t>
            </w:r>
            <w:r>
              <w:rPr>
                <w:rFonts w:hint="eastAsia" w:ascii="Times New Roman" w:hAnsi="Times New Roman" w:cs="Times New Roman"/>
                <w:b/>
                <w:bCs/>
                <w:color w:val="auto"/>
                <w:sz w:val="21"/>
                <w:szCs w:val="21"/>
                <w:highlight w:val="none"/>
                <w:lang w:val="en-US" w:eastAsia="zh-CN"/>
              </w:rPr>
              <w:t>河北省</w:t>
            </w:r>
            <w:r>
              <w:rPr>
                <w:rFonts w:hint="eastAsia" w:ascii="Times New Roman" w:hAnsi="Times New Roman" w:cs="Times New Roman"/>
                <w:b/>
                <w:bCs/>
                <w:color w:val="auto"/>
                <w:sz w:val="21"/>
                <w:szCs w:val="21"/>
                <w:highlight w:val="none"/>
              </w:rPr>
              <w:t>生态环境</w:t>
            </w:r>
            <w:r>
              <w:rPr>
                <w:rFonts w:hint="eastAsia" w:ascii="Times New Roman" w:hAnsi="Times New Roman" w:cs="Times New Roman"/>
                <w:b/>
                <w:bCs/>
                <w:color w:val="auto"/>
                <w:sz w:val="21"/>
                <w:szCs w:val="21"/>
                <w:highlight w:val="none"/>
                <w:lang w:val="en-US" w:eastAsia="zh-CN"/>
              </w:rPr>
              <w:t>厅</w:t>
            </w:r>
            <w:r>
              <w:rPr>
                <w:rFonts w:hint="eastAsia" w:ascii="Times New Roman" w:hAnsi="Times New Roman" w:cs="Times New Roman"/>
                <w:b/>
                <w:bCs/>
                <w:color w:val="auto"/>
                <w:sz w:val="21"/>
                <w:szCs w:val="21"/>
                <w:highlight w:val="none"/>
              </w:rPr>
              <w:t>发布的《202</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cs="Times New Roman"/>
                <w:b/>
                <w:bCs/>
                <w:color w:val="auto"/>
                <w:sz w:val="21"/>
                <w:szCs w:val="21"/>
                <w:highlight w:val="none"/>
              </w:rPr>
              <w:t>年</w:t>
            </w:r>
            <w:r>
              <w:rPr>
                <w:rFonts w:hint="eastAsia" w:ascii="Times New Roman" w:hAnsi="Times New Roman" w:cs="Times New Roman"/>
                <w:b/>
                <w:bCs/>
                <w:color w:val="auto"/>
                <w:sz w:val="21"/>
                <w:szCs w:val="21"/>
                <w:highlight w:val="none"/>
                <w:lang w:val="en-US" w:eastAsia="zh-CN"/>
              </w:rPr>
              <w:t>河北省生态</w:t>
            </w:r>
            <w:r>
              <w:rPr>
                <w:rFonts w:hint="eastAsia" w:ascii="Times New Roman" w:hAnsi="Times New Roman" w:cs="Times New Roman"/>
                <w:b/>
                <w:bCs/>
                <w:color w:val="auto"/>
                <w:sz w:val="21"/>
                <w:szCs w:val="21"/>
                <w:highlight w:val="none"/>
              </w:rPr>
              <w:t>环境状况公报》</w:t>
            </w:r>
            <w:r>
              <w:rPr>
                <w:rFonts w:hint="eastAsia" w:ascii="Times New Roman" w:hAnsi="Times New Roman"/>
                <w:b/>
                <w:bCs/>
                <w:color w:val="auto"/>
                <w:sz w:val="21"/>
                <w:szCs w:val="21"/>
                <w:highlight w:val="none"/>
              </w:rPr>
              <w:t>显示，项目所在区域（唐山市）属于</w:t>
            </w:r>
            <w:r>
              <w:rPr>
                <w:rFonts w:hint="eastAsia" w:ascii="Times New Roman" w:hAnsi="Times New Roman"/>
                <w:b/>
                <w:bCs/>
                <w:color w:val="auto"/>
                <w:kern w:val="2"/>
                <w:sz w:val="21"/>
                <w:szCs w:val="24"/>
                <w:highlight w:val="none"/>
              </w:rPr>
              <w:t>不达标区。</w:t>
            </w:r>
            <w:r>
              <w:rPr>
                <w:rFonts w:ascii="Times New Roman" w:hAnsi="Times New Roman"/>
                <w:b/>
                <w:bCs/>
                <w:color w:val="auto"/>
                <w:kern w:val="2"/>
                <w:sz w:val="21"/>
                <w:szCs w:val="24"/>
                <w:highlight w:val="none"/>
              </w:rPr>
              <w:t>由分析数据可知，项目所在区域大气中</w:t>
            </w:r>
            <w:r>
              <w:rPr>
                <w:rFonts w:hint="eastAsia" w:ascii="Times New Roman" w:hAnsi="Times New Roman"/>
                <w:b/>
                <w:bCs/>
                <w:color w:val="auto"/>
                <w:kern w:val="2"/>
                <w:sz w:val="21"/>
                <w:szCs w:val="24"/>
                <w:highlight w:val="none"/>
              </w:rPr>
              <w:t>PM</w:t>
            </w:r>
            <w:r>
              <w:rPr>
                <w:rFonts w:hint="eastAsia" w:ascii="Times New Roman" w:hAnsi="Times New Roman"/>
                <w:b/>
                <w:bCs/>
                <w:color w:val="auto"/>
                <w:kern w:val="2"/>
                <w:sz w:val="21"/>
                <w:szCs w:val="24"/>
                <w:highlight w:val="none"/>
                <w:vertAlign w:val="subscript"/>
              </w:rPr>
              <w:t>10</w:t>
            </w:r>
            <w:r>
              <w:rPr>
                <w:rFonts w:hint="eastAsia" w:ascii="Times New Roman" w:hAnsi="Times New Roman"/>
                <w:b/>
                <w:bCs/>
                <w:color w:val="auto"/>
                <w:kern w:val="2"/>
                <w:sz w:val="21"/>
                <w:szCs w:val="24"/>
                <w:highlight w:val="none"/>
              </w:rPr>
              <w:t>、PM</w:t>
            </w:r>
            <w:r>
              <w:rPr>
                <w:rFonts w:hint="eastAsia" w:ascii="Times New Roman" w:hAnsi="Times New Roman"/>
                <w:b/>
                <w:bCs/>
                <w:color w:val="auto"/>
                <w:kern w:val="2"/>
                <w:sz w:val="21"/>
                <w:szCs w:val="24"/>
                <w:highlight w:val="none"/>
                <w:vertAlign w:val="subscript"/>
              </w:rPr>
              <w:t>2.5</w:t>
            </w:r>
            <w:r>
              <w:rPr>
                <w:rFonts w:hint="eastAsia" w:ascii="Times New Roman" w:hAnsi="Times New Roman"/>
                <w:b/>
                <w:bCs/>
                <w:color w:val="auto"/>
                <w:kern w:val="2"/>
                <w:sz w:val="21"/>
                <w:szCs w:val="24"/>
                <w:highlight w:val="none"/>
              </w:rPr>
              <w:t>、O</w:t>
            </w:r>
            <w:r>
              <w:rPr>
                <w:rFonts w:hint="eastAsia" w:ascii="Times New Roman" w:hAnsi="Times New Roman"/>
                <w:b/>
                <w:bCs/>
                <w:color w:val="auto"/>
                <w:kern w:val="2"/>
                <w:sz w:val="21"/>
                <w:szCs w:val="24"/>
                <w:highlight w:val="none"/>
                <w:vertAlign w:val="subscript"/>
              </w:rPr>
              <w:t>3</w:t>
            </w:r>
            <w:r>
              <w:rPr>
                <w:rFonts w:hint="eastAsia" w:ascii="Times New Roman" w:hAnsi="Times New Roman"/>
                <w:b/>
                <w:bCs/>
                <w:color w:val="auto"/>
                <w:kern w:val="2"/>
                <w:sz w:val="21"/>
                <w:szCs w:val="24"/>
                <w:highlight w:val="none"/>
              </w:rPr>
              <w:t>为超标因子，</w:t>
            </w:r>
            <w:r>
              <w:rPr>
                <w:rFonts w:ascii="Times New Roman" w:hAnsi="Times New Roman" w:eastAsiaTheme="minorEastAsia"/>
                <w:b/>
                <w:bCs/>
                <w:color w:val="auto"/>
                <w:sz w:val="21"/>
                <w:szCs w:val="21"/>
                <w:highlight w:val="none"/>
              </w:rPr>
              <w:t>SO</w:t>
            </w:r>
            <w:r>
              <w:rPr>
                <w:rFonts w:ascii="Times New Roman" w:hAnsi="Times New Roman" w:eastAsiaTheme="minorEastAsia"/>
                <w:b/>
                <w:bCs/>
                <w:color w:val="auto"/>
                <w:sz w:val="21"/>
                <w:szCs w:val="21"/>
                <w:highlight w:val="none"/>
                <w:vertAlign w:val="subscript"/>
              </w:rPr>
              <w:t>2</w:t>
            </w:r>
            <w:r>
              <w:rPr>
                <w:rFonts w:ascii="Times New Roman" w:hAnsi="Times New Roman" w:eastAsiaTheme="minorEastAsia"/>
                <w:b/>
                <w:bCs/>
                <w:color w:val="auto"/>
                <w:sz w:val="21"/>
                <w:szCs w:val="21"/>
                <w:highlight w:val="none"/>
              </w:rPr>
              <w:t>、NO</w:t>
            </w:r>
            <w:r>
              <w:rPr>
                <w:rFonts w:ascii="Times New Roman" w:hAnsi="Times New Roman" w:eastAsiaTheme="minorEastAsia"/>
                <w:b/>
                <w:bCs/>
                <w:color w:val="auto"/>
                <w:sz w:val="21"/>
                <w:szCs w:val="21"/>
                <w:highlight w:val="none"/>
                <w:vertAlign w:val="subscript"/>
              </w:rPr>
              <w:t>2</w:t>
            </w:r>
            <w:r>
              <w:rPr>
                <w:rFonts w:ascii="Times New Roman" w:hAnsi="Times New Roman" w:eastAsiaTheme="minorEastAsia"/>
                <w:b/>
                <w:bCs/>
                <w:color w:val="auto"/>
                <w:sz w:val="21"/>
                <w:szCs w:val="21"/>
                <w:highlight w:val="none"/>
              </w:rPr>
              <w:t>的年平均质量浓度、CO的24小时平均第95百分位数质量浓度均满足《环境空气质量标准》（GB3095-2012）及其修改单中二级标准</w:t>
            </w:r>
            <w:r>
              <w:rPr>
                <w:rFonts w:hint="eastAsia" w:ascii="Times New Roman" w:hAnsi="Times New Roman"/>
                <w:b/>
                <w:bCs/>
                <w:color w:val="auto"/>
                <w:kern w:val="2"/>
                <w:sz w:val="21"/>
                <w:szCs w:val="24"/>
                <w:highlight w:val="none"/>
              </w:rPr>
              <w:t>。</w:t>
            </w:r>
          </w:p>
          <w:p w14:paraId="69EFE0EC">
            <w:pPr>
              <w:autoSpaceDE w:val="0"/>
              <w:autoSpaceDN w:val="0"/>
              <w:adjustRightInd w:val="0"/>
              <w:snapToGrid w:val="0"/>
              <w:spacing w:line="440" w:lineRule="exact"/>
              <w:ind w:firstLine="422" w:firstLineChars="200"/>
              <w:rPr>
                <w:color w:val="auto"/>
                <w:kern w:val="0"/>
                <w:sz w:val="24"/>
              </w:rPr>
            </w:pPr>
            <w:r>
              <w:rPr>
                <w:rFonts w:hint="eastAsia" w:ascii="Times New Roman" w:hAnsi="Times New Roman" w:eastAsia="宋体"/>
                <w:b/>
                <w:bCs/>
                <w:color w:val="auto"/>
                <w:kern w:val="2"/>
                <w:sz w:val="21"/>
                <w:szCs w:val="24"/>
                <w:lang w:val="en-US" w:eastAsia="zh-CN"/>
              </w:rPr>
              <w:t>根据工程分析，拟建项目废气主要污染物为</w:t>
            </w:r>
            <w:r>
              <w:rPr>
                <w:rFonts w:hint="eastAsia"/>
                <w:b/>
                <w:bCs/>
                <w:color w:val="auto"/>
                <w:kern w:val="2"/>
                <w:sz w:val="21"/>
                <w:szCs w:val="24"/>
                <w:lang w:val="en-US" w:eastAsia="zh-CN"/>
              </w:rPr>
              <w:t>颗粒物、</w:t>
            </w:r>
            <w:r>
              <w:rPr>
                <w:rFonts w:hint="eastAsia" w:ascii="Times New Roman" w:hAnsi="Times New Roman"/>
                <w:b/>
                <w:bCs/>
                <w:color w:val="auto"/>
                <w:kern w:val="2"/>
                <w:sz w:val="21"/>
                <w:szCs w:val="24"/>
                <w:lang w:val="en-US" w:eastAsia="zh-CN"/>
              </w:rPr>
              <w:t>非甲烷</w:t>
            </w:r>
            <w:r>
              <w:rPr>
                <w:rFonts w:hint="eastAsia" w:ascii="Times New Roman" w:hAnsi="Times New Roman"/>
                <w:b/>
                <w:bCs/>
                <w:color w:val="auto"/>
                <w:kern w:val="2"/>
                <w:sz w:val="21"/>
                <w:szCs w:val="24"/>
                <w:highlight w:val="none"/>
                <w:lang w:val="en-US" w:eastAsia="zh-CN"/>
              </w:rPr>
              <w:t>总烃、HC</w:t>
            </w:r>
            <w:r>
              <w:rPr>
                <w:rFonts w:hint="eastAsia"/>
                <w:b/>
                <w:bCs/>
                <w:color w:val="auto"/>
                <w:kern w:val="2"/>
                <w:sz w:val="21"/>
                <w:szCs w:val="24"/>
                <w:highlight w:val="none"/>
                <w:lang w:val="en-US" w:eastAsia="zh-CN"/>
              </w:rPr>
              <w:t>l</w:t>
            </w:r>
            <w:r>
              <w:rPr>
                <w:rFonts w:hint="eastAsia" w:ascii="Times New Roman" w:hAnsi="Times New Roman"/>
                <w:b/>
                <w:bCs/>
                <w:color w:val="auto"/>
                <w:kern w:val="2"/>
                <w:sz w:val="21"/>
                <w:szCs w:val="24"/>
                <w:highlight w:val="none"/>
                <w:lang w:val="en-US" w:eastAsia="zh-CN"/>
              </w:rPr>
              <w:t>、硫酸雾</w:t>
            </w:r>
            <w:r>
              <w:rPr>
                <w:rFonts w:hint="eastAsia" w:ascii="Times New Roman" w:hAnsi="Times New Roman" w:eastAsia="宋体"/>
                <w:b/>
                <w:bCs/>
                <w:color w:val="auto"/>
                <w:kern w:val="2"/>
                <w:sz w:val="21"/>
                <w:szCs w:val="24"/>
                <w:highlight w:val="none"/>
                <w:lang w:val="en-US" w:eastAsia="zh-CN"/>
              </w:rPr>
              <w:t>，</w:t>
            </w:r>
            <w:r>
              <w:rPr>
                <w:rFonts w:hint="eastAsia" w:ascii="Times New Roman" w:hAnsi="Times New Roman" w:eastAsia="宋体" w:cs="Times New Roman"/>
                <w:b/>
                <w:bCs/>
                <w:color w:val="auto"/>
                <w:kern w:val="2"/>
                <w:sz w:val="21"/>
                <w:szCs w:val="24"/>
                <w:lang w:val="en-US" w:eastAsia="zh-CN"/>
              </w:rPr>
              <w:t>生产过程中产生的污染负荷较小，</w:t>
            </w:r>
            <w:r>
              <w:rPr>
                <w:rFonts w:hint="eastAsia" w:ascii="Times New Roman" w:hAnsi="Times New Roman" w:eastAsia="宋体"/>
                <w:b/>
                <w:bCs/>
                <w:color w:val="auto"/>
                <w:kern w:val="2"/>
                <w:sz w:val="21"/>
                <w:szCs w:val="24"/>
                <w:highlight w:val="none"/>
                <w:lang w:val="en-US" w:eastAsia="zh-CN"/>
              </w:rPr>
              <w:t>各产污环节均</w:t>
            </w:r>
            <w:r>
              <w:rPr>
                <w:rFonts w:hint="eastAsia" w:ascii="Times New Roman" w:hAnsi="Times New Roman" w:eastAsia="宋体" w:cs="Times New Roman"/>
                <w:b/>
                <w:bCs/>
                <w:color w:val="auto"/>
                <w:kern w:val="2"/>
                <w:sz w:val="21"/>
                <w:szCs w:val="24"/>
                <w:lang w:val="en-US" w:eastAsia="zh-CN"/>
              </w:rPr>
              <w:t>采取完善的废气治理措施</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eastAsia="宋体"/>
                <w:b/>
                <w:bCs/>
                <w:color w:val="auto"/>
                <w:kern w:val="2"/>
                <w:sz w:val="21"/>
                <w:szCs w:val="24"/>
                <w:highlight w:val="none"/>
                <w:lang w:val="en-US" w:eastAsia="zh-CN"/>
              </w:rPr>
              <w:t>废气各产污环节严格控制</w:t>
            </w:r>
            <w:r>
              <w:rPr>
                <w:rFonts w:hint="eastAsia" w:ascii="Times New Roman" w:hAnsi="Times New Roman" w:eastAsia="宋体"/>
                <w:b/>
                <w:bCs/>
                <w:color w:val="auto"/>
                <w:kern w:val="2"/>
                <w:sz w:val="21"/>
                <w:szCs w:val="24"/>
                <w:lang w:val="en-US" w:eastAsia="zh-CN"/>
              </w:rPr>
              <w:t>污染物排放，可以稳定实现达标排放，项目的建设不会突破大气环境质量底线。</w:t>
            </w:r>
          </w:p>
          <w:p w14:paraId="3E5FD455">
            <w:pPr>
              <w:spacing w:line="460" w:lineRule="exact"/>
              <w:ind w:firstLine="422" w:firstLineChars="200"/>
              <w:rPr>
                <w:rFonts w:hint="eastAsia" w:ascii="Times New Roman" w:hAnsi="Times New Roman" w:eastAsia="宋体" w:cs="Times New Roman"/>
                <w:b/>
                <w:bCs/>
                <w:color w:val="auto"/>
                <w:szCs w:val="21"/>
                <w:lang w:val="en-US" w:eastAsia="zh-CN"/>
              </w:rPr>
            </w:pPr>
            <w:r>
              <w:rPr>
                <w:rFonts w:hint="eastAsia" w:ascii="Times New Roman" w:hAnsi="Times New Roman" w:eastAsia="宋体" w:cs="Times New Roman"/>
                <w:b/>
                <w:bCs/>
                <w:color w:val="auto"/>
                <w:szCs w:val="21"/>
                <w:lang w:val="en-US" w:eastAsia="zh-CN"/>
              </w:rPr>
              <w:t>b.地表水环境：</w:t>
            </w:r>
          </w:p>
          <w:p w14:paraId="6D960BB5">
            <w:pPr>
              <w:spacing w:line="460" w:lineRule="exact"/>
              <w:ind w:firstLine="422" w:firstLineChars="200"/>
              <w:rPr>
                <w:rFonts w:hint="eastAsia" w:eastAsia="宋体"/>
                <w:b/>
                <w:bCs/>
                <w:color w:val="auto"/>
                <w:szCs w:val="21"/>
                <w:highlight w:val="none"/>
              </w:rPr>
            </w:pPr>
            <w:r>
              <w:rPr>
                <w:rFonts w:hint="eastAsia" w:eastAsia="宋体"/>
                <w:b/>
                <w:bCs/>
                <w:color w:val="auto"/>
                <w:szCs w:val="21"/>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因此</w:t>
            </w:r>
            <w:r>
              <w:rPr>
                <w:rFonts w:hint="eastAsia" w:eastAsia="宋体"/>
                <w:b/>
                <w:bCs/>
                <w:color w:val="auto"/>
                <w:szCs w:val="21"/>
                <w:highlight w:val="none"/>
              </w:rPr>
              <w:t>，</w:t>
            </w:r>
            <w:r>
              <w:rPr>
                <w:rFonts w:hint="eastAsia" w:eastAsia="宋体"/>
                <w:b/>
                <w:bCs/>
                <w:color w:val="auto"/>
                <w:szCs w:val="21"/>
                <w:highlight w:val="none"/>
                <w:lang w:val="en-US" w:eastAsia="zh-CN"/>
              </w:rPr>
              <w:t>不会对地表水环境产生</w:t>
            </w:r>
            <w:r>
              <w:rPr>
                <w:rFonts w:hint="eastAsia"/>
                <w:b/>
                <w:bCs/>
                <w:color w:val="auto"/>
                <w:szCs w:val="21"/>
                <w:highlight w:val="none"/>
                <w:lang w:val="en-US" w:eastAsia="zh-CN"/>
              </w:rPr>
              <w:t>明显</w:t>
            </w:r>
            <w:r>
              <w:rPr>
                <w:rFonts w:hint="eastAsia" w:eastAsia="宋体"/>
                <w:b/>
                <w:bCs/>
                <w:color w:val="auto"/>
                <w:szCs w:val="21"/>
                <w:highlight w:val="none"/>
                <w:lang w:val="en-US" w:eastAsia="zh-CN"/>
              </w:rPr>
              <w:t>影响</w:t>
            </w:r>
            <w:r>
              <w:rPr>
                <w:rFonts w:hint="eastAsia" w:eastAsia="宋体"/>
                <w:b/>
                <w:bCs/>
                <w:color w:val="auto"/>
                <w:szCs w:val="21"/>
                <w:highlight w:val="none"/>
              </w:rPr>
              <w:t>。</w:t>
            </w:r>
          </w:p>
          <w:p w14:paraId="031CCFD9">
            <w:pPr>
              <w:adjustRightInd w:val="0"/>
              <w:snapToGrid w:val="0"/>
              <w:spacing w:line="460" w:lineRule="exact"/>
              <w:ind w:firstLine="422" w:firstLineChars="200"/>
              <w:rPr>
                <w:rFonts w:eastAsia="宋体"/>
                <w:b/>
                <w:bCs/>
                <w:color w:val="auto"/>
              </w:rPr>
            </w:pPr>
            <w:r>
              <w:rPr>
                <w:rFonts w:hint="eastAsia" w:eastAsia="宋体"/>
                <w:b/>
                <w:bCs/>
                <w:color w:val="auto"/>
                <w:lang w:val="en-US" w:eastAsia="zh-CN"/>
              </w:rPr>
              <w:t>c.</w:t>
            </w:r>
            <w:r>
              <w:rPr>
                <w:rFonts w:eastAsia="宋体"/>
                <w:b/>
                <w:bCs/>
                <w:color w:val="auto"/>
              </w:rPr>
              <w:t>声环境：</w:t>
            </w:r>
            <w:r>
              <w:rPr>
                <w:rFonts w:hint="eastAsia" w:eastAsia="宋体"/>
                <w:b/>
                <w:bCs/>
                <w:color w:val="auto"/>
                <w:lang w:val="en-US" w:eastAsia="zh-CN"/>
              </w:rPr>
              <w:t>拟建</w:t>
            </w:r>
            <w:r>
              <w:rPr>
                <w:rFonts w:eastAsia="宋体"/>
                <w:b/>
                <w:bCs/>
                <w:color w:val="auto"/>
              </w:rPr>
              <w:t>项目采用低噪声设备，设备布置</w:t>
            </w:r>
            <w:r>
              <w:rPr>
                <w:rFonts w:hint="eastAsia"/>
                <w:b/>
                <w:bCs/>
                <w:color w:val="auto"/>
                <w:lang w:val="en-US" w:eastAsia="zh-CN"/>
              </w:rPr>
              <w:t>在实验室内</w:t>
            </w:r>
            <w:r>
              <w:rPr>
                <w:rFonts w:eastAsia="宋体"/>
                <w:b/>
                <w:bCs/>
                <w:color w:val="auto"/>
              </w:rPr>
              <w:t>，风机设置消声装置等措施，根据预测结果</w:t>
            </w:r>
            <w:r>
              <w:rPr>
                <w:rFonts w:eastAsia="宋体"/>
                <w:b/>
                <w:bCs/>
                <w:color w:val="auto"/>
                <w:highlight w:val="none"/>
              </w:rPr>
              <w:t>，厂界</w:t>
            </w:r>
            <w:r>
              <w:rPr>
                <w:rFonts w:hint="eastAsia" w:eastAsia="宋体"/>
                <w:b/>
                <w:bCs/>
                <w:color w:val="auto"/>
                <w:highlight w:val="none"/>
                <w:lang w:val="en-US" w:eastAsia="zh-CN"/>
              </w:rPr>
              <w:t>噪声</w:t>
            </w:r>
            <w:r>
              <w:rPr>
                <w:rFonts w:eastAsia="宋体"/>
                <w:b/>
                <w:bCs/>
                <w:color w:val="auto"/>
                <w:highlight w:val="none"/>
              </w:rPr>
              <w:t>可满足《工业企业厂界环境噪声排放标准》（GB12348-2008）</w:t>
            </w:r>
            <w:r>
              <w:rPr>
                <w:rFonts w:hint="eastAsia"/>
                <w:b/>
                <w:bCs/>
                <w:color w:val="auto"/>
                <w:highlight w:val="none"/>
                <w:lang w:val="en-US" w:eastAsia="zh-CN"/>
              </w:rPr>
              <w:t>2</w:t>
            </w:r>
            <w:r>
              <w:rPr>
                <w:rFonts w:hint="eastAsia" w:eastAsia="宋体"/>
                <w:b/>
                <w:bCs/>
                <w:color w:val="auto"/>
                <w:highlight w:val="none"/>
              </w:rPr>
              <w:t>类</w:t>
            </w:r>
            <w:r>
              <w:rPr>
                <w:rFonts w:eastAsia="宋体"/>
                <w:b/>
                <w:bCs/>
                <w:color w:val="auto"/>
                <w:highlight w:val="none"/>
              </w:rPr>
              <w:t>标准要求，不会改变厂界现有</w:t>
            </w:r>
            <w:r>
              <w:rPr>
                <w:rFonts w:eastAsia="宋体"/>
                <w:b/>
                <w:bCs/>
                <w:color w:val="auto"/>
              </w:rPr>
              <w:t>功能要求。</w:t>
            </w:r>
          </w:p>
          <w:p w14:paraId="2C72A7D6">
            <w:pPr>
              <w:adjustRightInd w:val="0"/>
              <w:snapToGrid w:val="0"/>
              <w:spacing w:line="460" w:lineRule="exact"/>
              <w:ind w:firstLine="422" w:firstLineChars="200"/>
              <w:rPr>
                <w:rFonts w:hint="eastAsia" w:eastAsia="宋体"/>
                <w:b/>
                <w:bCs/>
                <w:color w:val="auto"/>
              </w:rPr>
            </w:pPr>
            <w:r>
              <w:rPr>
                <w:rFonts w:hint="eastAsia" w:eastAsia="宋体"/>
                <w:b/>
                <w:bCs/>
                <w:color w:val="auto"/>
                <w:lang w:val="en-US" w:eastAsia="zh-CN"/>
              </w:rPr>
              <w:t>d.</w:t>
            </w:r>
            <w:r>
              <w:rPr>
                <w:rFonts w:hint="eastAsia" w:eastAsia="宋体"/>
                <w:b/>
                <w:bCs/>
                <w:color w:val="auto"/>
              </w:rPr>
              <w:t>地下水环境：</w:t>
            </w:r>
            <w:r>
              <w:rPr>
                <w:rFonts w:hint="eastAsia"/>
                <w:b/>
                <w:bCs/>
                <w:color w:val="auto"/>
                <w:highlight w:val="none"/>
              </w:rPr>
              <w:t>拟建项目</w:t>
            </w:r>
            <w:r>
              <w:rPr>
                <w:rFonts w:hint="eastAsia"/>
                <w:b/>
                <w:bCs/>
                <w:color w:val="auto"/>
                <w:highlight w:val="none"/>
                <w:lang w:val="en-US" w:eastAsia="zh-CN"/>
              </w:rPr>
              <w:t>根据</w:t>
            </w:r>
            <w:r>
              <w:rPr>
                <w:rFonts w:hint="eastAsia" w:ascii="Times New Roman" w:hAnsi="Times New Roman" w:eastAsia="宋体" w:cs="Times New Roman"/>
                <w:b/>
                <w:bCs/>
                <w:color w:val="auto"/>
                <w:highlight w:val="none"/>
              </w:rPr>
              <w:t>《环境影响评价技术导则  地下水环境》</w:t>
            </w:r>
            <w:r>
              <w:rPr>
                <w:rFonts w:hint="eastAsia" w:ascii="Times New Roman" w:hAnsi="Times New Roman" w:eastAsia="宋体" w:cs="Times New Roman"/>
                <w:b/>
                <w:bCs/>
                <w:color w:val="auto"/>
                <w:highlight w:val="none"/>
                <w:lang w:eastAsia="zh-CN"/>
              </w:rPr>
              <w:t>（</w:t>
            </w:r>
            <w:r>
              <w:rPr>
                <w:rFonts w:hint="eastAsia" w:ascii="Times New Roman" w:hAnsi="Times New Roman" w:eastAsia="宋体" w:cs="Times New Roman"/>
                <w:b/>
                <w:bCs/>
                <w:color w:val="auto"/>
                <w:highlight w:val="none"/>
              </w:rPr>
              <w:t>HJ 610-2016</w:t>
            </w:r>
            <w:r>
              <w:rPr>
                <w:rFonts w:hint="eastAsia" w:ascii="Times New Roman" w:hAnsi="Times New Roman" w:eastAsia="宋体" w:cs="Times New Roman"/>
                <w:b/>
                <w:bCs/>
                <w:color w:val="auto"/>
                <w:highlight w:val="none"/>
                <w:lang w:eastAsia="zh-CN"/>
              </w:rPr>
              <w:t>）</w:t>
            </w:r>
            <w:r>
              <w:rPr>
                <w:rFonts w:hint="eastAsia" w:ascii="Times New Roman" w:hAnsi="Times New Roman" w:eastAsia="宋体" w:cs="Times New Roman"/>
                <w:b/>
                <w:bCs/>
                <w:color w:val="auto"/>
                <w:highlight w:val="none"/>
                <w:lang w:val="en-US" w:eastAsia="zh-CN"/>
              </w:rPr>
              <w:t>的防渗技术要求</w:t>
            </w:r>
            <w:r>
              <w:rPr>
                <w:rFonts w:hint="eastAsia"/>
                <w:b/>
                <w:bCs/>
                <w:color w:val="auto"/>
                <w:highlight w:val="none"/>
              </w:rPr>
              <w:t>，依据项目的工程建设特点，对</w:t>
            </w:r>
            <w:r>
              <w:rPr>
                <w:rFonts w:hint="eastAsia"/>
                <w:b/>
                <w:bCs/>
                <w:color w:val="auto"/>
                <w:highlight w:val="none"/>
                <w:lang w:val="en-US" w:eastAsia="zh-CN"/>
              </w:rPr>
              <w:t>重点防渗区、</w:t>
            </w:r>
            <w:r>
              <w:rPr>
                <w:rFonts w:hint="eastAsia"/>
                <w:b/>
                <w:bCs/>
                <w:color w:val="auto"/>
                <w:highlight w:val="none"/>
              </w:rPr>
              <w:t>一般防渗区、简单防渗区进行分区防渗措施，不会对地下水产生冲击性影响。</w:t>
            </w:r>
          </w:p>
          <w:p w14:paraId="33B54896">
            <w:pPr>
              <w:adjustRightInd w:val="0"/>
              <w:snapToGrid w:val="0"/>
              <w:spacing w:line="460" w:lineRule="exact"/>
              <w:ind w:firstLine="422" w:firstLineChars="200"/>
              <w:rPr>
                <w:rFonts w:hint="eastAsia" w:eastAsia="宋体"/>
                <w:b/>
                <w:bCs/>
                <w:color w:val="auto"/>
              </w:rPr>
            </w:pPr>
            <w:r>
              <w:rPr>
                <w:rFonts w:hint="eastAsia" w:eastAsia="宋体"/>
                <w:b/>
                <w:bCs/>
                <w:color w:val="auto"/>
                <w:lang w:val="en-US" w:eastAsia="zh-CN"/>
              </w:rPr>
              <w:t>e.土壤</w:t>
            </w:r>
            <w:r>
              <w:rPr>
                <w:rFonts w:hint="eastAsia" w:eastAsia="宋体"/>
                <w:b/>
                <w:bCs/>
                <w:color w:val="auto"/>
              </w:rPr>
              <w:t>环境：</w:t>
            </w:r>
            <w:r>
              <w:rPr>
                <w:rFonts w:hint="eastAsia" w:eastAsia="宋体"/>
                <w:b/>
                <w:bCs/>
                <w:color w:val="auto"/>
                <w:lang w:val="en-US" w:eastAsia="zh-CN"/>
              </w:rPr>
              <w:t>土壤</w:t>
            </w:r>
            <w:r>
              <w:rPr>
                <w:rFonts w:hint="eastAsia" w:eastAsia="宋体"/>
                <w:b/>
                <w:bCs/>
                <w:color w:val="auto"/>
              </w:rPr>
              <w:t>环境项目通过采取源头控制措施及过程控制措施等土壤污染防护措施，能够满足对土壤环境质量保护的要求，不会对土壤环境造成冲击性影响。</w:t>
            </w:r>
          </w:p>
          <w:p w14:paraId="763618A4">
            <w:pPr>
              <w:pStyle w:val="22"/>
              <w:adjustRightInd w:val="0"/>
              <w:snapToGrid w:val="0"/>
              <w:spacing w:before="0" w:beforeAutospacing="0" w:after="0" w:afterAutospacing="0" w:line="440" w:lineRule="exact"/>
              <w:ind w:firstLine="422" w:firstLineChars="200"/>
              <w:rPr>
                <w:rFonts w:ascii="Times New Roman" w:hAnsi="Times New Roman"/>
                <w:b/>
                <w:bCs/>
                <w:color w:val="auto"/>
                <w:sz w:val="21"/>
                <w:szCs w:val="21"/>
              </w:rPr>
            </w:pPr>
            <w:r>
              <w:rPr>
                <w:rFonts w:hint="eastAsia" w:ascii="Times New Roman" w:hAnsi="Times New Roman"/>
                <w:b/>
                <w:bCs/>
                <w:color w:val="auto"/>
                <w:sz w:val="21"/>
                <w:szCs w:val="21"/>
              </w:rPr>
              <w:t>因此，在严格落实废气、废水、噪声、固废等污染防治措施前提下，项目的实施不会对周围环境产生明显影响，不会改变区域的环境质量功能类别。</w:t>
            </w:r>
          </w:p>
          <w:p w14:paraId="53B9406E">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③资源是环境的载体，资源利用上线是各地区能源、水、土地等资源消耗不得突破的“天花板”。</w:t>
            </w:r>
          </w:p>
          <w:p w14:paraId="00443AE5">
            <w:pPr>
              <w:pStyle w:val="22"/>
              <w:adjustRightInd w:val="0"/>
              <w:snapToGrid w:val="0"/>
              <w:spacing w:before="0" w:beforeAutospacing="0" w:after="0" w:afterAutospacing="0" w:line="440" w:lineRule="exact"/>
              <w:ind w:firstLine="422" w:firstLineChars="200"/>
              <w:rPr>
                <w:rFonts w:hint="eastAsia" w:ascii="Times New Roman" w:hAnsi="Times New Roman" w:cs="Times New Roman"/>
                <w:b/>
                <w:bCs/>
                <w:color w:val="auto"/>
                <w:sz w:val="21"/>
                <w:szCs w:val="21"/>
                <w:lang w:val="en-US" w:eastAsia="zh-CN"/>
              </w:rPr>
            </w:pPr>
            <w:r>
              <w:rPr>
                <w:rFonts w:hint="eastAsia" w:ascii="Times New Roman" w:hAnsi="Times New Roman" w:cs="Times New Roman"/>
                <w:b/>
                <w:bCs/>
                <w:color w:val="auto"/>
                <w:sz w:val="21"/>
                <w:szCs w:val="21"/>
                <w:lang w:val="en-US" w:eastAsia="zh-CN"/>
              </w:rPr>
              <w:t>项目主要利用的资源是水、电等。项目供水来自迁安市自来水公司供水管网，能够满足生活、生产用水需要；项目年用电</w:t>
            </w:r>
            <w:r>
              <w:rPr>
                <w:rFonts w:hint="eastAsia" w:ascii="Times New Roman" w:hAnsi="Times New Roman" w:cs="Times New Roman"/>
                <w:b/>
                <w:bCs/>
                <w:color w:val="auto"/>
                <w:sz w:val="21"/>
                <w:szCs w:val="21"/>
                <w:highlight w:val="none"/>
                <w:lang w:val="en-US" w:eastAsia="zh-CN"/>
              </w:rPr>
              <w:t>12</w:t>
            </w:r>
            <w:r>
              <w:rPr>
                <w:rFonts w:hint="eastAsia" w:ascii="Times New Roman" w:hAnsi="Times New Roman" w:cs="Times New Roman"/>
                <w:b/>
                <w:bCs/>
                <w:color w:val="auto"/>
                <w:sz w:val="21"/>
                <w:szCs w:val="21"/>
                <w:lang w:val="en-US" w:eastAsia="zh-CN"/>
              </w:rPr>
              <w:t>万kWh，由迁安市供电系统提供，电力供应有保障；项目租用永顺街道昌盛路与兴安大街交叉口620号0001栋1-5层的商业办公楼，根据国有土地使用证可知，本项目占地土地类型为商业用地；</w:t>
            </w:r>
            <w:r>
              <w:rPr>
                <w:rFonts w:hint="eastAsia" w:ascii="Times New Roman" w:hAnsi="Times New Roman" w:eastAsia="宋体" w:cs="Times New Roman"/>
                <w:b/>
                <w:bCs/>
                <w:color w:val="auto"/>
                <w:sz w:val="21"/>
                <w:szCs w:val="21"/>
                <w:lang w:val="en-US" w:eastAsia="zh-CN"/>
              </w:rPr>
              <w:t>根据《迁安市国土空间总体规划（</w:t>
            </w:r>
            <w:r>
              <w:rPr>
                <w:rFonts w:hint="default" w:ascii="Times New Roman" w:hAnsi="Times New Roman" w:eastAsia="宋体" w:cs="Times New Roman"/>
                <w:b/>
                <w:bCs/>
                <w:color w:val="auto"/>
                <w:sz w:val="21"/>
                <w:szCs w:val="21"/>
                <w:lang w:val="en-US" w:eastAsia="zh-CN"/>
              </w:rPr>
              <w:t>2023-2035</w:t>
            </w:r>
            <w:r>
              <w:rPr>
                <w:rFonts w:hint="eastAsia" w:ascii="Times New Roman" w:hAnsi="Times New Roman" w:eastAsia="宋体" w:cs="Times New Roman"/>
                <w:b/>
                <w:bCs/>
                <w:color w:val="auto"/>
                <w:sz w:val="21"/>
                <w:szCs w:val="21"/>
                <w:lang w:val="en-US" w:eastAsia="zh-CN"/>
              </w:rPr>
              <w:t>年）》中“三区三线规划图”，项目所在地位于迁安市国土空间规划“三区三线”划定的城镇开发边界范围内</w:t>
            </w:r>
            <w:r>
              <w:rPr>
                <w:rFonts w:hint="eastAsia" w:ascii="Times New Roman" w:hAnsi="Times New Roman" w:cs="Times New Roman"/>
                <w:b/>
                <w:bCs/>
                <w:color w:val="auto"/>
                <w:sz w:val="21"/>
                <w:szCs w:val="21"/>
                <w:highlight w:val="none"/>
                <w:lang w:val="en-US" w:eastAsia="zh-CN"/>
              </w:rPr>
              <w:t>。</w:t>
            </w:r>
            <w:r>
              <w:rPr>
                <w:rFonts w:hint="eastAsia" w:ascii="Times New Roman" w:hAnsi="Times New Roman" w:cs="Times New Roman"/>
                <w:b/>
                <w:bCs/>
                <w:color w:val="auto"/>
                <w:sz w:val="21"/>
                <w:szCs w:val="21"/>
                <w:lang w:val="en-US" w:eastAsia="zh-CN"/>
              </w:rPr>
              <w:t>总体来说，各项资源量在区域的可承受范围内，不逾越资源利用上线。</w:t>
            </w:r>
          </w:p>
          <w:p w14:paraId="47AD613C">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lang w:eastAsia="zh-CN"/>
              </w:rPr>
              <w:t>（</w:t>
            </w:r>
            <w:r>
              <w:rPr>
                <w:rFonts w:hint="eastAsia" w:ascii="Times New Roman" w:hAnsi="Times New Roman"/>
                <w:color w:val="auto"/>
                <w:sz w:val="21"/>
                <w:szCs w:val="21"/>
                <w:highlight w:val="none"/>
                <w:lang w:val="en-US" w:eastAsia="zh-CN"/>
              </w:rPr>
              <w:t>4</w:t>
            </w:r>
            <w:r>
              <w:rPr>
                <w:rFonts w:hint="eastAsia" w:ascii="Times New Roman" w:hAnsi="Times New Roman"/>
                <w:color w:val="auto"/>
                <w:sz w:val="21"/>
                <w:szCs w:val="21"/>
                <w:highlight w:val="none"/>
                <w:lang w:eastAsia="zh-CN"/>
              </w:rPr>
              <w:t>）</w:t>
            </w:r>
            <w:r>
              <w:rPr>
                <w:rFonts w:hint="eastAsia" w:ascii="Times New Roman" w:hAnsi="Times New Roman"/>
                <w:color w:val="auto"/>
                <w:sz w:val="21"/>
                <w:szCs w:val="21"/>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p w14:paraId="0685100A">
            <w:pPr>
              <w:pStyle w:val="22"/>
              <w:adjustRightInd w:val="0"/>
              <w:snapToGrid w:val="0"/>
              <w:spacing w:before="0" w:beforeAutospacing="0" w:after="0" w:afterAutospacing="0" w:line="440" w:lineRule="exact"/>
              <w:ind w:firstLine="422" w:firstLineChars="200"/>
              <w:rPr>
                <w:rFonts w:ascii="Times New Roman" w:hAnsi="Times New Roman"/>
                <w:b/>
                <w:bCs/>
                <w:color w:val="auto"/>
                <w:sz w:val="21"/>
                <w:szCs w:val="21"/>
              </w:rPr>
            </w:pPr>
            <w:r>
              <w:rPr>
                <w:rFonts w:hint="eastAsia" w:ascii="Times New Roman" w:hAnsi="Times New Roman"/>
                <w:b/>
                <w:bCs/>
                <w:color w:val="auto"/>
                <w:sz w:val="21"/>
                <w:szCs w:val="21"/>
              </w:rPr>
              <w:t>拟建项目不属于《产业结</w:t>
            </w:r>
            <w:r>
              <w:rPr>
                <w:rFonts w:hint="eastAsia" w:ascii="Times New Roman" w:hAnsi="Times New Roman"/>
                <w:b/>
                <w:bCs/>
                <w:color w:val="auto"/>
                <w:sz w:val="21"/>
                <w:szCs w:val="21"/>
                <w:highlight w:val="none"/>
              </w:rPr>
              <w:t>构调整指导目录（20</w:t>
            </w:r>
            <w:r>
              <w:rPr>
                <w:rFonts w:hint="eastAsia" w:ascii="Times New Roman" w:hAnsi="Times New Roman"/>
                <w:b/>
                <w:bCs/>
                <w:color w:val="auto"/>
                <w:sz w:val="21"/>
                <w:szCs w:val="21"/>
                <w:highlight w:val="none"/>
                <w:lang w:val="en-US" w:eastAsia="zh-CN"/>
              </w:rPr>
              <w:t>24</w:t>
            </w:r>
            <w:r>
              <w:rPr>
                <w:rFonts w:hint="eastAsia" w:ascii="Times New Roman" w:hAnsi="Times New Roman"/>
                <w:b/>
                <w:bCs/>
                <w:color w:val="auto"/>
                <w:sz w:val="21"/>
                <w:szCs w:val="21"/>
                <w:highlight w:val="none"/>
              </w:rPr>
              <w:t>年本）》中限制类与淘汰类</w:t>
            </w:r>
            <w:r>
              <w:rPr>
                <w:rFonts w:hint="eastAsia" w:ascii="Times New Roman" w:hAnsi="Times New Roman"/>
                <w:b/>
                <w:bCs/>
                <w:color w:val="auto"/>
                <w:sz w:val="21"/>
                <w:szCs w:val="21"/>
                <w:highlight w:val="none"/>
                <w:lang w:eastAsia="zh-CN"/>
              </w:rPr>
              <w:t>；</w:t>
            </w:r>
            <w:r>
              <w:rPr>
                <w:rFonts w:hint="eastAsia" w:ascii="Times New Roman" w:hAnsi="Times New Roman"/>
                <w:b/>
                <w:bCs/>
                <w:color w:val="auto"/>
                <w:sz w:val="21"/>
                <w:szCs w:val="21"/>
                <w:highlight w:val="none"/>
                <w:lang w:val="en-US" w:eastAsia="zh-CN"/>
              </w:rPr>
              <w:t>不属于</w:t>
            </w:r>
            <w:r>
              <w:rPr>
                <w:rFonts w:hint="eastAsia" w:ascii="Times New Roman" w:hAnsi="Times New Roman"/>
                <w:b/>
                <w:bCs/>
                <w:color w:val="auto"/>
                <w:sz w:val="21"/>
                <w:szCs w:val="21"/>
                <w:highlight w:val="none"/>
              </w:rPr>
              <w:t>《市场准入负面清单（202</w:t>
            </w:r>
            <w:r>
              <w:rPr>
                <w:rFonts w:hint="eastAsia" w:ascii="Times New Roman" w:hAnsi="Times New Roman"/>
                <w:b/>
                <w:bCs/>
                <w:color w:val="auto"/>
                <w:sz w:val="21"/>
                <w:szCs w:val="21"/>
                <w:highlight w:val="none"/>
                <w:lang w:val="en-US" w:eastAsia="zh-CN"/>
              </w:rPr>
              <w:t>5</w:t>
            </w:r>
            <w:r>
              <w:rPr>
                <w:rFonts w:hint="eastAsia" w:ascii="Times New Roman" w:hAnsi="Times New Roman"/>
                <w:b/>
                <w:bCs/>
                <w:color w:val="auto"/>
                <w:sz w:val="21"/>
                <w:szCs w:val="21"/>
                <w:highlight w:val="none"/>
              </w:rPr>
              <w:t>年版）》</w:t>
            </w:r>
            <w:r>
              <w:rPr>
                <w:rFonts w:hint="eastAsia" w:ascii="Times New Roman" w:hAnsi="Times New Roman"/>
                <w:b/>
                <w:bCs/>
                <w:color w:val="auto"/>
                <w:sz w:val="21"/>
                <w:szCs w:val="21"/>
                <w:highlight w:val="none"/>
                <w:lang w:val="en-US" w:eastAsia="zh-CN"/>
              </w:rPr>
              <w:t>中的禁止准入类及许可准入类。迁安市行政审批局</w:t>
            </w:r>
            <w:r>
              <w:rPr>
                <w:rFonts w:hint="eastAsia" w:ascii="Times New Roman" w:hAnsi="Times New Roman"/>
                <w:b/>
                <w:bCs/>
                <w:color w:val="auto"/>
                <w:sz w:val="21"/>
                <w:szCs w:val="21"/>
                <w:highlight w:val="none"/>
              </w:rPr>
              <w:t>进行了项目备案（</w:t>
            </w:r>
            <w:r>
              <w:rPr>
                <w:rFonts w:hint="eastAsia" w:ascii="Times New Roman" w:hAnsi="Times New Roman"/>
                <w:b/>
                <w:bCs/>
                <w:color w:val="auto"/>
                <w:sz w:val="21"/>
                <w:szCs w:val="21"/>
                <w:highlight w:val="none"/>
                <w:lang w:val="en-US" w:eastAsia="zh-CN"/>
              </w:rPr>
              <w:t>迁行审投资</w:t>
            </w:r>
            <w:r>
              <w:rPr>
                <w:rFonts w:hint="eastAsia" w:ascii="Times New Roman" w:hAnsi="Times New Roman"/>
                <w:b/>
                <w:bCs/>
                <w:color w:val="auto"/>
                <w:sz w:val="21"/>
                <w:szCs w:val="21"/>
                <w:highlight w:val="none"/>
              </w:rPr>
              <w:t>备字[202</w:t>
            </w:r>
            <w:r>
              <w:rPr>
                <w:rFonts w:hint="eastAsia" w:ascii="Times New Roman" w:hAnsi="Times New Roman"/>
                <w:b/>
                <w:bCs/>
                <w:color w:val="auto"/>
                <w:sz w:val="21"/>
                <w:szCs w:val="21"/>
                <w:highlight w:val="none"/>
                <w:lang w:val="en-US" w:eastAsia="zh-CN"/>
              </w:rPr>
              <w:t>5</w:t>
            </w:r>
            <w:r>
              <w:rPr>
                <w:rFonts w:hint="eastAsia" w:ascii="Times New Roman" w:hAnsi="Times New Roman"/>
                <w:b/>
                <w:bCs/>
                <w:color w:val="auto"/>
                <w:sz w:val="21"/>
                <w:szCs w:val="21"/>
                <w:highlight w:val="none"/>
              </w:rPr>
              <w:t>]</w:t>
            </w:r>
            <w:r>
              <w:rPr>
                <w:rFonts w:hint="eastAsia" w:ascii="Times New Roman" w:hAnsi="Times New Roman"/>
                <w:b/>
                <w:bCs/>
                <w:color w:val="auto"/>
                <w:sz w:val="21"/>
                <w:szCs w:val="21"/>
                <w:highlight w:val="none"/>
                <w:lang w:val="en-US" w:eastAsia="zh-CN"/>
              </w:rPr>
              <w:t>031</w:t>
            </w:r>
            <w:r>
              <w:rPr>
                <w:rFonts w:hint="eastAsia" w:ascii="Times New Roman" w:hAnsi="Times New Roman"/>
                <w:b/>
                <w:bCs/>
                <w:color w:val="auto"/>
                <w:sz w:val="21"/>
                <w:szCs w:val="21"/>
                <w:highlight w:val="none"/>
              </w:rPr>
              <w:t>号）</w:t>
            </w:r>
            <w:r>
              <w:rPr>
                <w:rFonts w:hint="eastAsia" w:ascii="Times New Roman" w:hAnsi="Times New Roman"/>
                <w:b/>
                <w:bCs/>
                <w:color w:val="auto"/>
                <w:sz w:val="21"/>
                <w:szCs w:val="21"/>
              </w:rPr>
              <w:t>，因此拟建项目建设符合国家产业政策。</w:t>
            </w:r>
          </w:p>
          <w:p w14:paraId="134E4084">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rPr>
            </w:pPr>
            <w:r>
              <w:rPr>
                <w:rFonts w:hint="eastAsia" w:ascii="Times New Roman" w:hAnsi="Times New Roman"/>
                <w:b/>
                <w:color w:val="auto"/>
                <w:sz w:val="21"/>
                <w:szCs w:val="21"/>
                <w:lang w:val="en-US" w:eastAsia="zh-CN"/>
              </w:rPr>
              <w:t>3.2</w:t>
            </w:r>
            <w:r>
              <w:rPr>
                <w:rFonts w:hint="eastAsia" w:ascii="Times New Roman" w:hAnsi="Times New Roman"/>
                <w:b/>
                <w:color w:val="auto"/>
                <w:sz w:val="21"/>
                <w:szCs w:val="21"/>
              </w:rPr>
              <w:t>项目与《唐山市人民政府关于实施“三线一单”生态环境分区管控的意见》符合性分析</w:t>
            </w:r>
          </w:p>
          <w:p w14:paraId="5957B63C">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根据</w:t>
            </w:r>
            <w:r>
              <w:rPr>
                <w:rFonts w:hint="eastAsia" w:ascii="Times New Roman" w:hAnsi="Times New Roman"/>
                <w:color w:val="auto"/>
                <w:sz w:val="21"/>
                <w:szCs w:val="21"/>
                <w:highlight w:val="none"/>
              </w:rPr>
              <w:t>《唐山市人民政府关于实施“三线一单”生态环境分区管控的意见》（唐政字</w:t>
            </w:r>
            <w:r>
              <w:rPr>
                <w:rFonts w:ascii="Times New Roman" w:hAnsi="Times New Roman"/>
                <w:color w:val="auto"/>
                <w:sz w:val="21"/>
                <w:szCs w:val="21"/>
                <w:highlight w:val="none"/>
              </w:rPr>
              <w:t>〔</w:t>
            </w:r>
            <w:r>
              <w:rPr>
                <w:rFonts w:hint="eastAsia" w:ascii="Times New Roman" w:hAnsi="Times New Roman"/>
                <w:color w:val="auto"/>
                <w:sz w:val="21"/>
                <w:szCs w:val="21"/>
                <w:highlight w:val="none"/>
              </w:rPr>
              <w:t>2021</w:t>
            </w:r>
            <w:r>
              <w:rPr>
                <w:rFonts w:ascii="Times New Roman" w:hAnsi="Times New Roman"/>
                <w:color w:val="auto"/>
                <w:sz w:val="21"/>
                <w:szCs w:val="21"/>
                <w:highlight w:val="none"/>
              </w:rPr>
              <w:t>〕</w:t>
            </w:r>
            <w:r>
              <w:rPr>
                <w:rFonts w:hint="eastAsia" w:ascii="Times New Roman" w:hAnsi="Times New Roman"/>
                <w:color w:val="auto"/>
                <w:sz w:val="21"/>
                <w:szCs w:val="21"/>
                <w:highlight w:val="none"/>
              </w:rPr>
              <w:t>48号）</w:t>
            </w:r>
            <w:r>
              <w:rPr>
                <w:rFonts w:ascii="Times New Roman" w:hAnsi="Times New Roman"/>
                <w:color w:val="auto"/>
                <w:sz w:val="21"/>
                <w:szCs w:val="21"/>
                <w:highlight w:val="none"/>
              </w:rPr>
              <w:t>，加快实施</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生态保护红线、环境质量底线、资源利用上线和生态环境准入清单</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（以下简称</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三线一单</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），构建生态环境分区管控体系，</w:t>
            </w:r>
            <w:r>
              <w:rPr>
                <w:rFonts w:hint="eastAsia" w:ascii="Times New Roman" w:hAnsi="Times New Roman"/>
                <w:color w:val="auto"/>
                <w:sz w:val="21"/>
                <w:szCs w:val="21"/>
                <w:highlight w:val="none"/>
              </w:rPr>
              <w:t>推</w:t>
            </w:r>
            <w:r>
              <w:rPr>
                <w:rFonts w:hint="eastAsia" w:ascii="Times New Roman" w:hAnsi="Times New Roman" w:eastAsia="宋体" w:cs="Times New Roman"/>
                <w:color w:val="auto"/>
                <w:sz w:val="21"/>
                <w:szCs w:val="21"/>
                <w:highlight w:val="none"/>
              </w:rPr>
              <w:t>动经济高质量发展和生态环境高水平保护协同并进。项目与《关于实施“三线一单”生态环境分区管控的意见》（唐政字[2021]48号）</w:t>
            </w:r>
            <w:r>
              <w:rPr>
                <w:rFonts w:hint="eastAsia" w:ascii="Times New Roman" w:hAnsi="Times New Roman" w:eastAsia="宋体" w:cs="Times New Roman"/>
                <w:color w:val="auto"/>
                <w:sz w:val="21"/>
                <w:szCs w:val="21"/>
                <w:highlight w:val="none"/>
                <w:lang w:eastAsia="zh-CN"/>
              </w:rPr>
              <w:t>、《唐山市生态环境准入清单》（</w:t>
            </w:r>
            <w:r>
              <w:rPr>
                <w:rFonts w:hint="eastAsia" w:ascii="Times New Roman" w:hAnsi="Times New Roman" w:eastAsia="宋体" w:cs="Times New Roman"/>
                <w:color w:val="auto"/>
                <w:sz w:val="21"/>
                <w:szCs w:val="21"/>
                <w:highlight w:val="none"/>
                <w:lang w:val="en-US" w:eastAsia="zh-CN"/>
              </w:rPr>
              <w:t>2023年版</w:t>
            </w:r>
            <w:r>
              <w:rPr>
                <w:rFonts w:hint="eastAsia" w:ascii="Times New Roman" w:hAnsi="Times New Roman" w:eastAsia="宋体" w:cs="Times New Roman"/>
                <w:color w:val="auto"/>
                <w:sz w:val="21"/>
                <w:szCs w:val="21"/>
                <w:highlight w:val="none"/>
                <w:lang w:eastAsia="zh-CN"/>
              </w:rPr>
              <w:t>）</w:t>
            </w:r>
            <w:r>
              <w:rPr>
                <w:rFonts w:hint="eastAsia" w:ascii="Times New Roman" w:hAnsi="Times New Roman"/>
                <w:color w:val="auto"/>
                <w:sz w:val="21"/>
                <w:szCs w:val="21"/>
                <w:highlight w:val="none"/>
                <w:lang w:val="en-US" w:eastAsia="zh-CN"/>
              </w:rPr>
              <w:t>符合性分析</w:t>
            </w:r>
            <w:r>
              <w:rPr>
                <w:rFonts w:ascii="Times New Roman" w:hAnsi="Times New Roman"/>
                <w:color w:val="auto"/>
                <w:sz w:val="21"/>
                <w:szCs w:val="21"/>
                <w:highlight w:val="none"/>
              </w:rPr>
              <w:t>见表</w:t>
            </w:r>
            <w:r>
              <w:rPr>
                <w:rFonts w:hint="eastAsia" w:ascii="Times New Roman" w:hAnsi="Times New Roman"/>
                <w:color w:val="auto"/>
                <w:sz w:val="21"/>
                <w:szCs w:val="21"/>
                <w:highlight w:val="none"/>
                <w:lang w:val="en-US" w:eastAsia="zh-CN"/>
              </w:rPr>
              <w:t>1</w:t>
            </w:r>
            <w:r>
              <w:rPr>
                <w:rFonts w:ascii="Times New Roman" w:hAnsi="Times New Roman"/>
                <w:color w:val="auto"/>
                <w:sz w:val="21"/>
                <w:szCs w:val="21"/>
                <w:highlight w:val="none"/>
              </w:rPr>
              <w:t>。</w:t>
            </w:r>
          </w:p>
          <w:p w14:paraId="730DACD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6C40DA2">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6323FC7C">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6828F24">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C92E5B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615015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DE934A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21AE711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291E3F33">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75D160F">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6695A70">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70ADC44">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0049E3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EBD5D40">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E3FE0B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CE03CE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BB616DE">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6A65771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24081BBD">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021369B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tc>
      </w:tr>
    </w:tbl>
    <w:p w14:paraId="70ED7353">
      <w:pPr>
        <w:pStyle w:val="37"/>
        <w:rPr>
          <w:color w:val="auto"/>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12145"/>
      </w:tblGrid>
      <w:tr w14:paraId="2FECD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2" w:hRule="atLeast"/>
        </w:trPr>
        <w:tc>
          <w:tcPr>
            <w:tcW w:w="1507" w:type="dxa"/>
          </w:tcPr>
          <w:p w14:paraId="1479C06E">
            <w:pPr>
              <w:pStyle w:val="22"/>
              <w:jc w:val="center"/>
              <w:outlineLvl w:val="0"/>
              <w:rPr>
                <w:rFonts w:hint="eastAsia" w:ascii="黑体" w:hAnsi="黑体" w:eastAsia="黑体"/>
                <w:snapToGrid w:val="0"/>
                <w:color w:val="auto"/>
                <w:sz w:val="30"/>
                <w:szCs w:val="30"/>
                <w:vertAlign w:val="baseline"/>
              </w:rPr>
            </w:pPr>
          </w:p>
        </w:tc>
        <w:tc>
          <w:tcPr>
            <w:tcW w:w="12145" w:type="dxa"/>
          </w:tcPr>
          <w:p w14:paraId="51F0D859">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39"/>
              <w:gridCol w:w="4441"/>
              <w:gridCol w:w="4958"/>
              <w:gridCol w:w="750"/>
            </w:tblGrid>
            <w:tr w14:paraId="419212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826" w:type="dxa"/>
                  <w:gridSpan w:val="2"/>
                  <w:tcBorders>
                    <w:tl2br w:val="nil"/>
                    <w:tr2bl w:val="nil"/>
                  </w:tcBorders>
                  <w:vAlign w:val="center"/>
                </w:tcPr>
                <w:p w14:paraId="544C07C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4441" w:type="dxa"/>
                  <w:tcBorders>
                    <w:tl2br w:val="nil"/>
                    <w:tr2bl w:val="nil"/>
                  </w:tcBorders>
                  <w:vAlign w:val="center"/>
                </w:tcPr>
                <w:p w14:paraId="5456561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4958" w:type="dxa"/>
                  <w:tcBorders>
                    <w:tl2br w:val="nil"/>
                    <w:tr2bl w:val="nil"/>
                  </w:tcBorders>
                  <w:vAlign w:val="center"/>
                </w:tcPr>
                <w:p w14:paraId="22CD0A3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18A1BED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0F4EE1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36DDDEB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主要目标</w:t>
                  </w:r>
                </w:p>
              </w:tc>
              <w:tc>
                <w:tcPr>
                  <w:tcW w:w="1139" w:type="dxa"/>
                  <w:tcBorders>
                    <w:tl2br w:val="nil"/>
                    <w:tr2bl w:val="nil"/>
                  </w:tcBorders>
                  <w:vAlign w:val="center"/>
                </w:tcPr>
                <w:p w14:paraId="42D6D62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生态保护红线</w:t>
                  </w:r>
                </w:p>
              </w:tc>
              <w:tc>
                <w:tcPr>
                  <w:tcW w:w="4441" w:type="dxa"/>
                  <w:tcBorders>
                    <w:tl2br w:val="nil"/>
                    <w:tr2bl w:val="nil"/>
                  </w:tcBorders>
                  <w:vAlign w:val="center"/>
                </w:tcPr>
                <w:p w14:paraId="6983DA9B">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重要生态功能区域生态功能不降低、面积不减少、性质不改变</w:t>
                  </w:r>
                  <w:r>
                    <w:rPr>
                      <w:rFonts w:hint="eastAsia" w:ascii="Times New Roman" w:hAnsi="Times New Roman" w:eastAsia="宋体" w:cs="Times New Roman"/>
                      <w:color w:val="auto"/>
                      <w:spacing w:val="-10"/>
                      <w:sz w:val="18"/>
                      <w:szCs w:val="18"/>
                      <w:highlight w:val="none"/>
                    </w:rPr>
                    <w:t>。</w:t>
                  </w:r>
                </w:p>
              </w:tc>
              <w:tc>
                <w:tcPr>
                  <w:tcW w:w="4958" w:type="dxa"/>
                  <w:tcBorders>
                    <w:tl2br w:val="nil"/>
                    <w:tr2bl w:val="nil"/>
                  </w:tcBorders>
                  <w:vAlign w:val="center"/>
                </w:tcPr>
                <w:p w14:paraId="719BDF87">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本项目位于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项目距离距离最近的生态保护红线1</w:t>
                  </w:r>
                  <w:r>
                    <w:rPr>
                      <w:rFonts w:hint="eastAsia" w:cs="Times New Roman"/>
                      <w:color w:val="auto"/>
                      <w:spacing w:val="-10"/>
                      <w:sz w:val="18"/>
                      <w:szCs w:val="18"/>
                      <w:highlight w:val="none"/>
                      <w:lang w:val="en-US" w:eastAsia="zh-CN"/>
                    </w:rPr>
                    <w:t>85</w:t>
                  </w:r>
                  <w:r>
                    <w:rPr>
                      <w:rFonts w:hint="eastAsia" w:ascii="Times New Roman" w:hAnsi="Times New Roman" w:eastAsia="宋体" w:cs="Times New Roman"/>
                      <w:color w:val="auto"/>
                      <w:spacing w:val="-10"/>
                      <w:sz w:val="18"/>
                      <w:szCs w:val="18"/>
                      <w:highlight w:val="none"/>
                      <w:lang w:val="en-US" w:eastAsia="zh-CN"/>
                    </w:rPr>
                    <w:t>0m，不在生态保护红线范围内。项目符合生态保护红线要求。</w:t>
                  </w:r>
                </w:p>
              </w:tc>
              <w:tc>
                <w:tcPr>
                  <w:tcW w:w="750" w:type="dxa"/>
                  <w:tcBorders>
                    <w:tl2br w:val="nil"/>
                    <w:tr2bl w:val="nil"/>
                  </w:tcBorders>
                  <w:vAlign w:val="center"/>
                </w:tcPr>
                <w:p w14:paraId="64ABF06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rPr>
                    <w:t>符合</w:t>
                  </w:r>
                </w:p>
              </w:tc>
            </w:tr>
            <w:tr w14:paraId="6A8B03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6FCFCEB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9" w:type="dxa"/>
                  <w:tcBorders>
                    <w:tl2br w:val="nil"/>
                    <w:tr2bl w:val="nil"/>
                  </w:tcBorders>
                  <w:vAlign w:val="center"/>
                </w:tcPr>
                <w:p w14:paraId="2F2C64E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环境质量底线</w:t>
                  </w:r>
                </w:p>
              </w:tc>
              <w:tc>
                <w:tcPr>
                  <w:tcW w:w="4441" w:type="dxa"/>
                  <w:tcBorders>
                    <w:tl2br w:val="nil"/>
                    <w:tr2bl w:val="nil"/>
                  </w:tcBorders>
                  <w:vAlign w:val="center"/>
                </w:tcPr>
                <w:p w14:paraId="2E92A9C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到2025年，地表水国</w:t>
                  </w:r>
                  <w:r>
                    <w:rPr>
                      <w:rFonts w:hint="eastAsia" w:ascii="Times New Roman" w:hAnsi="Times New Roman" w:eastAsia="宋体" w:cs="Times New Roman"/>
                      <w:color w:val="auto"/>
                      <w:spacing w:val="-10"/>
                      <w:sz w:val="18"/>
                      <w:szCs w:val="18"/>
                      <w:highlight w:val="none"/>
                      <w:lang w:val="en-US" w:eastAsia="zh-CN"/>
                    </w:rPr>
                    <w:t>省</w:t>
                  </w:r>
                  <w:r>
                    <w:rPr>
                      <w:rFonts w:hint="eastAsia" w:ascii="Times New Roman" w:hAnsi="Times New Roman" w:eastAsia="宋体" w:cs="Times New Roman"/>
                      <w:color w:val="auto"/>
                      <w:spacing w:val="-10"/>
                      <w:sz w:val="18"/>
                      <w:szCs w:val="18"/>
                      <w:highlight w:val="none"/>
                    </w:rPr>
                    <w:t>考断面优良</w:t>
                  </w:r>
                  <w:r>
                    <w:rPr>
                      <w:rFonts w:hint="eastAsia" w:cs="Times New Roman"/>
                      <w:color w:val="auto"/>
                      <w:spacing w:val="-10"/>
                      <w:sz w:val="18"/>
                      <w:szCs w:val="18"/>
                      <w:highlight w:val="none"/>
                      <w:lang w:eastAsia="zh-CN"/>
                    </w:rPr>
                    <w:t>（</w:t>
                  </w:r>
                  <w:r>
                    <w:rPr>
                      <w:rFonts w:hint="eastAsia" w:ascii="Times New Roman" w:hAnsi="Times New Roman" w:eastAsia="宋体" w:cs="Times New Roman"/>
                      <w:color w:val="auto"/>
                      <w:spacing w:val="-10"/>
                      <w:sz w:val="18"/>
                      <w:szCs w:val="18"/>
                      <w:highlight w:val="none"/>
                    </w:rPr>
                    <w:t>Ⅲ类以上</w:t>
                  </w:r>
                  <w:r>
                    <w:rPr>
                      <w:rFonts w:hint="eastAsia" w:cs="Times New Roman"/>
                      <w:color w:val="auto"/>
                      <w:spacing w:val="-10"/>
                      <w:sz w:val="18"/>
                      <w:szCs w:val="18"/>
                      <w:highlight w:val="none"/>
                      <w:lang w:eastAsia="zh-CN"/>
                    </w:rPr>
                    <w:t>）</w:t>
                  </w:r>
                  <w:r>
                    <w:rPr>
                      <w:rFonts w:hint="eastAsia" w:ascii="Times New Roman" w:hAnsi="Times New Roman" w:eastAsia="宋体" w:cs="Times New Roman"/>
                      <w:color w:val="auto"/>
                      <w:spacing w:val="-10"/>
                      <w:sz w:val="18"/>
                      <w:szCs w:val="18"/>
                      <w:highlight w:val="none"/>
                    </w:rPr>
                    <w:t>比例、近岸海域优良海水比例</w:t>
                  </w:r>
                  <w:r>
                    <w:rPr>
                      <w:rFonts w:hint="eastAsia" w:ascii="Times New Roman" w:hAnsi="Times New Roman" w:eastAsia="宋体" w:cs="Times New Roman"/>
                      <w:color w:val="auto"/>
                      <w:spacing w:val="-10"/>
                      <w:sz w:val="18"/>
                      <w:szCs w:val="18"/>
                      <w:highlight w:val="none"/>
                      <w:lang w:val="en-US" w:eastAsia="zh-CN"/>
                    </w:rPr>
                    <w:t>稳定达标</w:t>
                  </w:r>
                  <w:r>
                    <w:rPr>
                      <w:rFonts w:hint="eastAsia" w:ascii="Times New Roman" w:hAnsi="Times New Roman" w:eastAsia="宋体" w:cs="Times New Roman"/>
                      <w:color w:val="auto"/>
                      <w:spacing w:val="-10"/>
                      <w:sz w:val="18"/>
                      <w:szCs w:val="18"/>
                      <w:highlight w:val="none"/>
                    </w:rPr>
                    <w:t>；PM</w:t>
                  </w:r>
                  <w:r>
                    <w:rPr>
                      <w:rFonts w:hint="eastAsia" w:ascii="Times New Roman" w:hAnsi="Times New Roman" w:eastAsia="宋体" w:cs="Times New Roman"/>
                      <w:color w:val="auto"/>
                      <w:spacing w:val="-10"/>
                      <w:sz w:val="18"/>
                      <w:szCs w:val="18"/>
                      <w:highlight w:val="none"/>
                      <w:vertAlign w:val="subscript"/>
                    </w:rPr>
                    <w:t>2.5</w:t>
                  </w:r>
                  <w:r>
                    <w:rPr>
                      <w:rFonts w:hint="eastAsia" w:ascii="Times New Roman" w:hAnsi="Times New Roman" w:eastAsia="宋体" w:cs="Times New Roman"/>
                      <w:color w:val="auto"/>
                      <w:spacing w:val="-10"/>
                      <w:sz w:val="18"/>
                      <w:szCs w:val="18"/>
                      <w:highlight w:val="none"/>
                    </w:rPr>
                    <w:t>年均浓度持续降低、优良天数比例稳步提升；</w:t>
                  </w:r>
                  <w:r>
                    <w:rPr>
                      <w:rFonts w:hint="eastAsia" w:ascii="Times New Roman" w:hAnsi="Times New Roman" w:eastAsia="宋体" w:cs="Times New Roman"/>
                      <w:color w:val="auto"/>
                      <w:spacing w:val="-10"/>
                      <w:sz w:val="18"/>
                      <w:szCs w:val="18"/>
                      <w:highlight w:val="none"/>
                      <w:lang w:val="en-US" w:eastAsia="zh-CN"/>
                    </w:rPr>
                    <w:t>受污染耕地</w:t>
                  </w:r>
                  <w:r>
                    <w:rPr>
                      <w:rFonts w:hint="eastAsia" w:ascii="Times New Roman" w:hAnsi="Times New Roman" w:eastAsia="宋体" w:cs="Times New Roman"/>
                      <w:color w:val="auto"/>
                      <w:spacing w:val="-10"/>
                      <w:sz w:val="18"/>
                      <w:szCs w:val="18"/>
                      <w:highlight w:val="none"/>
                    </w:rPr>
                    <w:t>安全利用率、污染地块安全利用率进一步提升。</w:t>
                  </w:r>
                </w:p>
              </w:tc>
              <w:tc>
                <w:tcPr>
                  <w:tcW w:w="4958" w:type="dxa"/>
                  <w:tcBorders>
                    <w:tl2br w:val="nil"/>
                    <w:tr2bl w:val="nil"/>
                  </w:tcBorders>
                  <w:vAlign w:val="center"/>
                </w:tcPr>
                <w:p w14:paraId="779A0640">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项目废气主各产污环节均采取了完善的污染防治措施，</w:t>
                  </w:r>
                  <w:r>
                    <w:rPr>
                      <w:rFonts w:hint="eastAsia" w:cs="Times New Roman"/>
                      <w:color w:val="auto"/>
                      <w:spacing w:val="-10"/>
                      <w:sz w:val="18"/>
                      <w:szCs w:val="18"/>
                      <w:highlight w:val="none"/>
                      <w:lang w:val="en-US" w:eastAsia="zh-CN"/>
                    </w:rPr>
                    <w:t>颗粒物、</w:t>
                  </w:r>
                  <w:r>
                    <w:rPr>
                      <w:rFonts w:hint="eastAsia" w:ascii="Times New Roman" w:hAnsi="Times New Roman" w:eastAsia="宋体" w:cs="Times New Roman"/>
                      <w:color w:val="auto"/>
                      <w:spacing w:val="-10"/>
                      <w:sz w:val="18"/>
                      <w:szCs w:val="18"/>
                      <w:highlight w:val="none"/>
                      <w:lang w:val="en-US" w:eastAsia="zh-CN"/>
                    </w:rPr>
                    <w:t>非甲烷总烃、HC</w:t>
                  </w:r>
                  <w:r>
                    <w:rPr>
                      <w:rFonts w:hint="eastAsia" w:cs="Times New Roman"/>
                      <w:color w:val="auto"/>
                      <w:spacing w:val="-10"/>
                      <w:sz w:val="18"/>
                      <w:szCs w:val="18"/>
                      <w:highlight w:val="none"/>
                      <w:lang w:val="en-US" w:eastAsia="zh-CN"/>
                    </w:rPr>
                    <w:t>l</w:t>
                  </w:r>
                  <w:r>
                    <w:rPr>
                      <w:rFonts w:hint="eastAsia" w:ascii="Times New Roman" w:hAnsi="Times New Roman" w:eastAsia="宋体" w:cs="Times New Roman"/>
                      <w:color w:val="auto"/>
                      <w:spacing w:val="-10"/>
                      <w:sz w:val="18"/>
                      <w:szCs w:val="18"/>
                      <w:highlight w:val="none"/>
                      <w:lang w:val="en-US" w:eastAsia="zh-CN"/>
                    </w:rPr>
                    <w:t>、硫酸雾排放量较小，可以稳定实现达标排放，对周围环境影响较小，不会对区域大气环境产生明显影响；项目位于永顺街道昌盛路与兴安大街交叉口620号0001栋1-5层的商业办公楼，根据国有土地使用证可知，本项目占地土地类型为商业用地</w:t>
                  </w:r>
                  <w:r>
                    <w:rPr>
                      <w:rFonts w:hint="eastAsia" w:ascii="Times New Roman" w:hAnsi="Times New Roman"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年）》中“三区三线规划图”，项目所在地位于迁安市国土空间规划“三区三线”划定的城镇开发边界范围内；项目</w:t>
                  </w:r>
                  <w:r>
                    <w:rPr>
                      <w:rFonts w:hint="default" w:ascii="Times New Roman" w:hAnsi="Times New Roman" w:eastAsia="宋体" w:cs="Times New Roman"/>
                      <w:color w:val="auto"/>
                      <w:spacing w:val="-10"/>
                      <w:sz w:val="18"/>
                      <w:szCs w:val="18"/>
                      <w:highlight w:val="none"/>
                      <w:lang w:val="en-US" w:eastAsia="zh-CN"/>
                    </w:rPr>
                    <w:t>采取了源头</w:t>
                  </w:r>
                  <w:r>
                    <w:rPr>
                      <w:rFonts w:hint="default" w:ascii="Times New Roman" w:hAnsi="Times New Roman" w:eastAsia="宋体" w:cs="Times New Roman"/>
                      <w:color w:val="auto"/>
                      <w:spacing w:val="-10"/>
                      <w:sz w:val="18"/>
                      <w:szCs w:val="18"/>
                      <w:highlight w:val="none"/>
                      <w:lang w:val="zh-CN" w:eastAsia="zh-CN"/>
                    </w:rPr>
                    <w:t>控制</w:t>
                  </w:r>
                  <w:r>
                    <w:rPr>
                      <w:rFonts w:hint="default" w:ascii="Times New Roman" w:hAnsi="Times New Roman" w:eastAsia="宋体" w:cs="Times New Roman"/>
                      <w:color w:val="auto"/>
                      <w:spacing w:val="-10"/>
                      <w:sz w:val="18"/>
                      <w:szCs w:val="18"/>
                      <w:highlight w:val="none"/>
                      <w:lang w:val="en-US" w:eastAsia="zh-CN"/>
                    </w:rPr>
                    <w:t>措施和过程防控措施，从源头上减少了污染物的排放量，同时通过采取严格的防渗措施，</w:t>
                  </w:r>
                  <w:r>
                    <w:rPr>
                      <w:rFonts w:hint="eastAsia" w:ascii="Times New Roman" w:hAnsi="Times New Roman" w:eastAsia="宋体" w:cs="Times New Roman"/>
                      <w:color w:val="auto"/>
                      <w:spacing w:val="-10"/>
                      <w:sz w:val="18"/>
                      <w:szCs w:val="18"/>
                      <w:highlight w:val="none"/>
                      <w:lang w:val="en-US" w:eastAsia="zh-CN"/>
                    </w:rPr>
                    <w:t>不会对土壤造成明显影响。</w:t>
                  </w:r>
                </w:p>
              </w:tc>
              <w:tc>
                <w:tcPr>
                  <w:tcW w:w="750" w:type="dxa"/>
                  <w:tcBorders>
                    <w:tl2br w:val="nil"/>
                    <w:tr2bl w:val="nil"/>
                  </w:tcBorders>
                  <w:vAlign w:val="center"/>
                </w:tcPr>
                <w:p w14:paraId="5368A7F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rPr>
                    <w:t>符合</w:t>
                  </w:r>
                </w:p>
              </w:tc>
            </w:tr>
            <w:tr w14:paraId="738499A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4741F1A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9" w:type="dxa"/>
                  <w:tcBorders>
                    <w:tl2br w:val="nil"/>
                    <w:tr2bl w:val="nil"/>
                  </w:tcBorders>
                  <w:vAlign w:val="center"/>
                </w:tcPr>
                <w:p w14:paraId="2DCBBCA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资源利用上线</w:t>
                  </w:r>
                </w:p>
              </w:tc>
              <w:tc>
                <w:tcPr>
                  <w:tcW w:w="4441" w:type="dxa"/>
                  <w:tcBorders>
                    <w:tl2br w:val="nil"/>
                    <w:tr2bl w:val="nil"/>
                  </w:tcBorders>
                  <w:vAlign w:val="center"/>
                </w:tcPr>
                <w:p w14:paraId="4476A940">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rPr>
                    <w:t>以保障生态安全、改善环境质量为核心，合理确定全</w:t>
                  </w:r>
                  <w:r>
                    <w:rPr>
                      <w:rFonts w:hint="eastAsia" w:ascii="Times New Roman" w:hAnsi="Times New Roman" w:eastAsia="宋体" w:cs="Times New Roman"/>
                      <w:color w:val="auto"/>
                      <w:spacing w:val="-10"/>
                      <w:sz w:val="18"/>
                      <w:szCs w:val="18"/>
                      <w:highlight w:val="none"/>
                      <w:lang w:val="en-US" w:eastAsia="zh-CN"/>
                    </w:rPr>
                    <w:t>市</w:t>
                  </w:r>
                  <w:r>
                    <w:rPr>
                      <w:rFonts w:hint="eastAsia" w:ascii="Times New Roman" w:hAnsi="Times New Roman" w:eastAsia="宋体" w:cs="Times New Roman"/>
                      <w:color w:val="auto"/>
                      <w:spacing w:val="-10"/>
                      <w:sz w:val="18"/>
                      <w:szCs w:val="18"/>
                      <w:highlight w:val="none"/>
                    </w:rPr>
                    <w:t>资源利用上线目标，实现水资源与水环境、能源与大气环境、岸线与海洋环境的系统管控。</w:t>
                  </w:r>
                </w:p>
              </w:tc>
              <w:tc>
                <w:tcPr>
                  <w:tcW w:w="4958" w:type="dxa"/>
                  <w:tcBorders>
                    <w:tl2br w:val="nil"/>
                    <w:tr2bl w:val="nil"/>
                  </w:tcBorders>
                  <w:vAlign w:val="center"/>
                </w:tcPr>
                <w:p w14:paraId="0591693D">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项目用水量较少，年用水量为</w:t>
                  </w:r>
                  <w:r>
                    <w:rPr>
                      <w:rFonts w:hint="eastAsia" w:cs="Times New Roman"/>
                      <w:color w:val="auto"/>
                      <w:spacing w:val="-10"/>
                      <w:sz w:val="18"/>
                      <w:szCs w:val="18"/>
                      <w:highlight w:val="none"/>
                      <w:lang w:val="en-US" w:eastAsia="zh-CN"/>
                    </w:rPr>
                    <w:t>1806</w:t>
                  </w:r>
                  <w:r>
                    <w:rPr>
                      <w:rFonts w:hint="eastAsia"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vertAlign w:val="superscript"/>
                      <w:lang w:val="en-US" w:eastAsia="zh-CN"/>
                    </w:rPr>
                    <w:t>3</w:t>
                  </w:r>
                  <w:r>
                    <w:rPr>
                      <w:rFonts w:hint="eastAsia" w:ascii="Times New Roman" w:hAnsi="Times New Roman" w:eastAsia="宋体" w:cs="Times New Roman"/>
                      <w:color w:val="auto"/>
                      <w:spacing w:val="-10"/>
                      <w:sz w:val="18"/>
                      <w:szCs w:val="18"/>
                      <w:highlight w:val="none"/>
                      <w:lang w:val="en-US" w:eastAsia="zh-CN"/>
                    </w:rPr>
                    <w:t>，用水引自迁安市自来水公司供水管网，不逾越区域资源利用上线。</w:t>
                  </w:r>
                </w:p>
              </w:tc>
              <w:tc>
                <w:tcPr>
                  <w:tcW w:w="750" w:type="dxa"/>
                  <w:tcBorders>
                    <w:tl2br w:val="nil"/>
                    <w:tr2bl w:val="nil"/>
                  </w:tcBorders>
                  <w:vAlign w:val="center"/>
                </w:tcPr>
                <w:p w14:paraId="13CBE68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rPr>
                    <w:t>符合</w:t>
                  </w:r>
                </w:p>
              </w:tc>
            </w:tr>
            <w:tr w14:paraId="3BE05F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tcBorders>
                    <w:tl2br w:val="nil"/>
                    <w:tr2bl w:val="nil"/>
                  </w:tcBorders>
                  <w:vAlign w:val="center"/>
                </w:tcPr>
                <w:p w14:paraId="6070AC8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分类管控要求</w:t>
                  </w:r>
                </w:p>
              </w:tc>
              <w:tc>
                <w:tcPr>
                  <w:tcW w:w="1139" w:type="dxa"/>
                  <w:tcBorders>
                    <w:tl2br w:val="nil"/>
                    <w:tr2bl w:val="nil"/>
                  </w:tcBorders>
                  <w:vAlign w:val="center"/>
                </w:tcPr>
                <w:p w14:paraId="4633D6B7">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优先保护单元</w:t>
                  </w:r>
                </w:p>
              </w:tc>
              <w:tc>
                <w:tcPr>
                  <w:tcW w:w="4441" w:type="dxa"/>
                  <w:tcBorders>
                    <w:tl2br w:val="nil"/>
                    <w:tr2bl w:val="nil"/>
                  </w:tcBorders>
                  <w:shd w:val="clear" w:color="auto" w:fill="auto"/>
                  <w:vAlign w:val="center"/>
                </w:tcPr>
                <w:p w14:paraId="23E4846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lang w:val="en-US" w:eastAsia="zh-CN" w:bidi="ar-SA"/>
                    </w:rPr>
                  </w:pPr>
                  <w:r>
                    <w:rPr>
                      <w:rFonts w:hint="eastAsia" w:ascii="Times New Roman" w:hAnsi="Times New Roman" w:eastAsia="宋体" w:cs="Times New Roman"/>
                      <w:color w:val="auto"/>
                      <w:spacing w:val="-10"/>
                      <w:sz w:val="18"/>
                      <w:szCs w:val="18"/>
                      <w:lang w:val="en-US" w:eastAsia="zh-CN"/>
                    </w:rPr>
                    <w:t>严格落实生态保护红线管理要求，除有限人为活动外，依法依规禁止其他城镇和建设活动。一般生态空间突出生态保护，严禁不符合主体功能定位的各类开发活动，严禁任意改变用途。</w:t>
                  </w:r>
                </w:p>
              </w:tc>
              <w:tc>
                <w:tcPr>
                  <w:tcW w:w="4958" w:type="dxa"/>
                  <w:tcBorders>
                    <w:tl2br w:val="nil"/>
                    <w:tr2bl w:val="nil"/>
                  </w:tcBorders>
                  <w:shd w:val="clear" w:color="auto" w:fill="auto"/>
                  <w:vAlign w:val="center"/>
                </w:tcPr>
                <w:p w14:paraId="75532FE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lang w:val="en-US" w:eastAsia="zh-CN" w:bidi="ar-SA"/>
                    </w:rPr>
                  </w:pPr>
                  <w:r>
                    <w:rPr>
                      <w:rFonts w:hint="eastAsia" w:ascii="Times New Roman" w:hAnsi="Times New Roman" w:eastAsia="宋体" w:cs="Times New Roman"/>
                      <w:color w:val="auto"/>
                      <w:spacing w:val="-10"/>
                      <w:sz w:val="18"/>
                      <w:szCs w:val="18"/>
                      <w:lang w:val="en-US" w:eastAsia="zh-CN"/>
                    </w:rPr>
                    <w:t>本项目位于优先保护单元，位于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永顺街道昌盛路与兴安大街交叉口620号0001栋1-5层的商业办公楼</w:t>
                  </w:r>
                  <w:r>
                    <w:rPr>
                      <w:rFonts w:hint="eastAsia" w:ascii="Times New Roman" w:hAnsi="Times New Roman" w:eastAsia="宋体" w:cs="Times New Roman"/>
                      <w:color w:val="auto"/>
                      <w:spacing w:val="-10"/>
                      <w:sz w:val="18"/>
                      <w:szCs w:val="18"/>
                      <w:lang w:val="en-US" w:eastAsia="zh-CN"/>
                    </w:rPr>
                    <w:t>，</w:t>
                  </w:r>
                  <w:r>
                    <w:rPr>
                      <w:rFonts w:hint="eastAsia" w:ascii="Times New Roman" w:hAnsi="Times New Roman" w:eastAsia="宋体" w:cs="Times New Roman"/>
                      <w:color w:val="auto"/>
                      <w:spacing w:val="-10"/>
                      <w:sz w:val="18"/>
                      <w:szCs w:val="18"/>
                      <w:highlight w:val="none"/>
                      <w:lang w:val="en-US" w:eastAsia="zh-CN"/>
                    </w:rPr>
                    <w:t>根据国有土地使用证可知，本项目占地土地类型为商业用地</w:t>
                  </w:r>
                  <w:r>
                    <w:rPr>
                      <w:rFonts w:hint="eastAsia" w:ascii="Times New Roman" w:hAnsi="Times New Roman"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本项目已取得企业投资项目备案信息（备案文号为迁行审投资备字[2025]031号；项目代码为2105-130283-89-01-553047）。</w:t>
                  </w:r>
                </w:p>
              </w:tc>
              <w:tc>
                <w:tcPr>
                  <w:tcW w:w="750" w:type="dxa"/>
                  <w:tcBorders>
                    <w:tl2br w:val="nil"/>
                    <w:tr2bl w:val="nil"/>
                  </w:tcBorders>
                  <w:shd w:val="clear" w:color="auto" w:fill="auto"/>
                  <w:vAlign w:val="center"/>
                </w:tcPr>
                <w:p w14:paraId="66A1792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rPr>
                    <w:t>符合</w:t>
                  </w:r>
                </w:p>
              </w:tc>
            </w:tr>
            <w:tr w14:paraId="67583D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tcBorders>
                    <w:tl2br w:val="nil"/>
                    <w:tr2bl w:val="nil"/>
                  </w:tcBorders>
                  <w:vAlign w:val="center"/>
                </w:tcPr>
                <w:p w14:paraId="5D2E111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实施要求</w:t>
                  </w:r>
                </w:p>
              </w:tc>
              <w:tc>
                <w:tcPr>
                  <w:tcW w:w="1139" w:type="dxa"/>
                  <w:tcBorders>
                    <w:tl2br w:val="nil"/>
                    <w:tr2bl w:val="nil"/>
                  </w:tcBorders>
                  <w:vAlign w:val="center"/>
                </w:tcPr>
                <w:p w14:paraId="3CC8789C">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做好产业准入环保支撑</w:t>
                  </w:r>
                </w:p>
              </w:tc>
              <w:tc>
                <w:tcPr>
                  <w:tcW w:w="4441" w:type="dxa"/>
                  <w:tcBorders>
                    <w:tl2br w:val="nil"/>
                    <w:tr2bl w:val="nil"/>
                  </w:tcBorders>
                  <w:vAlign w:val="center"/>
                </w:tcPr>
                <w:p w14:paraId="2DD160E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各县（市）区、各部门要充分发挥生态环境准入清单编制及落实实施等方面的作用，将“三线一单”成果应用到规划环评审查和建设项目环评审批中，将“三线一单”生态环境分区管控要求作为具体区域、工业园区和单元项目准入的重要支撑</w:t>
                  </w:r>
                </w:p>
              </w:tc>
              <w:tc>
                <w:tcPr>
                  <w:tcW w:w="4958" w:type="dxa"/>
                  <w:tcBorders>
                    <w:tl2br w:val="nil"/>
                    <w:tr2bl w:val="nil"/>
                  </w:tcBorders>
                  <w:vAlign w:val="center"/>
                </w:tcPr>
                <w:p w14:paraId="7AB43F23">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属于</w:t>
                  </w:r>
                  <w:r>
                    <w:rPr>
                      <w:rFonts w:hint="eastAsia" w:ascii="Times New Roman" w:hAnsi="Times New Roman" w:eastAsia="宋体" w:cs="Times New Roman"/>
                      <w:color w:val="auto"/>
                      <w:spacing w:val="-10"/>
                      <w:sz w:val="18"/>
                      <w:szCs w:val="18"/>
                      <w:lang w:val="en-US" w:eastAsia="zh-CN"/>
                    </w:rPr>
                    <w:t>优先保护单元</w:t>
                  </w: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项目符合单元项目准入要求</w:t>
                  </w:r>
                  <w:r>
                    <w:rPr>
                      <w:rFonts w:hint="eastAsia" w:ascii="Times New Roman" w:hAnsi="Times New Roman" w:eastAsia="宋体" w:cs="Times New Roman"/>
                      <w:color w:val="auto"/>
                      <w:spacing w:val="-10"/>
                      <w:sz w:val="18"/>
                      <w:szCs w:val="18"/>
                      <w:highlight w:val="none"/>
                      <w:lang w:val="en-US" w:eastAsia="zh-CN"/>
                    </w:rPr>
                    <w:t>。</w:t>
                  </w:r>
                </w:p>
              </w:tc>
              <w:tc>
                <w:tcPr>
                  <w:tcW w:w="750" w:type="dxa"/>
                  <w:tcBorders>
                    <w:tl2br w:val="nil"/>
                    <w:tr2bl w:val="nil"/>
                  </w:tcBorders>
                  <w:vAlign w:val="center"/>
                </w:tcPr>
                <w:p w14:paraId="27CDF80C">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bl>
          <w:p w14:paraId="00E0EDE5">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06BD4EE5">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88"/>
              <w:gridCol w:w="732"/>
              <w:gridCol w:w="5598"/>
              <w:gridCol w:w="3520"/>
              <w:gridCol w:w="750"/>
            </w:tblGrid>
            <w:tr w14:paraId="32C037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3"/>
                  <w:tcBorders>
                    <w:tl2br w:val="nil"/>
                    <w:tr2bl w:val="nil"/>
                  </w:tcBorders>
                  <w:vAlign w:val="center"/>
                </w:tcPr>
                <w:p w14:paraId="2118DD2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5598" w:type="dxa"/>
                  <w:tcBorders>
                    <w:tl2br w:val="nil"/>
                    <w:tr2bl w:val="nil"/>
                  </w:tcBorders>
                  <w:vAlign w:val="center"/>
                </w:tcPr>
                <w:p w14:paraId="6A57DF1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520" w:type="dxa"/>
                  <w:tcBorders>
                    <w:tl2br w:val="nil"/>
                    <w:tr2bl w:val="nil"/>
                  </w:tcBorders>
                  <w:vAlign w:val="center"/>
                </w:tcPr>
                <w:p w14:paraId="6932EAB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470E67C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367821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tcBorders>
                    <w:tl2br w:val="nil"/>
                    <w:tr2bl w:val="nil"/>
                  </w:tcBorders>
                  <w:shd w:val="clear" w:color="auto" w:fill="auto"/>
                  <w:vAlign w:val="center"/>
                </w:tcPr>
                <w:p w14:paraId="5A387835">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生态保护红线区</w:t>
                  </w:r>
                </w:p>
              </w:tc>
              <w:tc>
                <w:tcPr>
                  <w:tcW w:w="688" w:type="dxa"/>
                  <w:tcBorders>
                    <w:tl2br w:val="nil"/>
                    <w:tr2bl w:val="nil"/>
                  </w:tcBorders>
                  <w:shd w:val="clear" w:color="auto" w:fill="auto"/>
                  <w:vAlign w:val="center"/>
                </w:tcPr>
                <w:p w14:paraId="71AC2EF4">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空间布局约束</w:t>
                  </w:r>
                </w:p>
              </w:tc>
              <w:tc>
                <w:tcPr>
                  <w:tcW w:w="732" w:type="dxa"/>
                  <w:tcBorders>
                    <w:tl2br w:val="nil"/>
                    <w:tr2bl w:val="nil"/>
                  </w:tcBorders>
                  <w:shd w:val="clear" w:color="auto" w:fill="auto"/>
                  <w:vAlign w:val="center"/>
                </w:tcPr>
                <w:p w14:paraId="03ADE5B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禁止类管控要求</w:t>
                  </w:r>
                </w:p>
              </w:tc>
              <w:tc>
                <w:tcPr>
                  <w:tcW w:w="5598" w:type="dxa"/>
                  <w:tcBorders>
                    <w:tl2br w:val="nil"/>
                    <w:tr2bl w:val="nil"/>
                  </w:tcBorders>
                  <w:vAlign w:val="center"/>
                </w:tcPr>
                <w:p w14:paraId="009C37A9">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生态保护红线原则上按禁止开发区域的要求进行管理。严禁不符合主体功能定位的各类开发活动，严禁任意改变用途。生态保护红线一经划定，未经批准，严禁擅自调整。根据资源环境承载能力监测、生态保护重要性评价和国土空间规划实施“五年一评估”情况，可由省级人民政府编制生态保护红线局部调整方案，纳入国土空间规划修改方案报国务院批准，并抄送生态环境部。</w:t>
                  </w:r>
                </w:p>
              </w:tc>
              <w:tc>
                <w:tcPr>
                  <w:tcW w:w="3520" w:type="dxa"/>
                  <w:tcBorders>
                    <w:tl2br w:val="nil"/>
                    <w:tr2bl w:val="nil"/>
                  </w:tcBorders>
                  <w:vAlign w:val="center"/>
                </w:tcPr>
                <w:p w14:paraId="583A8106">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rPr>
                    <w:t>本项目位于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rPr>
                    <w:t>，</w:t>
                  </w:r>
                  <w:r>
                    <w:rPr>
                      <w:rFonts w:hint="eastAsia"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rPr>
                    <w:t>距离</w:t>
                  </w:r>
                  <w:r>
                    <w:rPr>
                      <w:rFonts w:hint="eastAsia" w:ascii="Times New Roman" w:hAnsi="Times New Roman" w:eastAsia="宋体" w:cs="Times New Roman"/>
                      <w:color w:val="auto"/>
                      <w:spacing w:val="-10"/>
                      <w:sz w:val="18"/>
                      <w:szCs w:val="18"/>
                      <w:highlight w:val="none"/>
                      <w:lang w:val="en-US" w:eastAsia="zh-CN"/>
                    </w:rPr>
                    <w:t>距离最近的生态保护红线</w:t>
                  </w:r>
                  <w:r>
                    <w:rPr>
                      <w:rFonts w:hint="eastAsia" w:cs="Times New Roman"/>
                      <w:color w:val="auto"/>
                      <w:spacing w:val="-10"/>
                      <w:sz w:val="18"/>
                      <w:szCs w:val="18"/>
                      <w:highlight w:val="none"/>
                      <w:lang w:val="en-US" w:eastAsia="zh-CN"/>
                    </w:rPr>
                    <w:t>1850</w:t>
                  </w:r>
                  <w:r>
                    <w:rPr>
                      <w:rFonts w:hint="eastAsia"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rPr>
                    <w:t>不在生态保护红线范围内。项目符合生态保护红线要求。</w:t>
                  </w:r>
                </w:p>
              </w:tc>
              <w:tc>
                <w:tcPr>
                  <w:tcW w:w="750" w:type="dxa"/>
                  <w:tcBorders>
                    <w:tl2br w:val="nil"/>
                    <w:tr2bl w:val="nil"/>
                  </w:tcBorders>
                  <w:vAlign w:val="center"/>
                </w:tcPr>
                <w:p w14:paraId="79BE1EE4">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58F005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restart"/>
                  <w:tcBorders>
                    <w:tl2br w:val="nil"/>
                    <w:tr2bl w:val="nil"/>
                  </w:tcBorders>
                  <w:vAlign w:val="center"/>
                </w:tcPr>
                <w:p w14:paraId="3C939D7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一般生态空间</w:t>
                  </w:r>
                </w:p>
              </w:tc>
              <w:tc>
                <w:tcPr>
                  <w:tcW w:w="688" w:type="dxa"/>
                  <w:vMerge w:val="restart"/>
                  <w:tcBorders>
                    <w:tl2br w:val="nil"/>
                    <w:tr2bl w:val="nil"/>
                  </w:tcBorders>
                  <w:vAlign w:val="center"/>
                </w:tcPr>
                <w:p w14:paraId="203096D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总体</w:t>
                  </w:r>
                  <w:r>
                    <w:rPr>
                      <w:rFonts w:hint="default" w:ascii="Times New Roman" w:hAnsi="Times New Roman" w:cs="Times New Roman"/>
                      <w:color w:val="auto"/>
                      <w:spacing w:val="-10"/>
                      <w:sz w:val="18"/>
                      <w:szCs w:val="18"/>
                      <w:highlight w:val="none"/>
                      <w:lang w:val="en-US" w:eastAsia="zh-CN"/>
                    </w:rPr>
                    <w:t>要求</w:t>
                  </w:r>
                </w:p>
              </w:tc>
              <w:tc>
                <w:tcPr>
                  <w:tcW w:w="732" w:type="dxa"/>
                  <w:vMerge w:val="restart"/>
                  <w:tcBorders>
                    <w:tl2br w:val="nil"/>
                    <w:tr2bl w:val="nil"/>
                  </w:tcBorders>
                  <w:vAlign w:val="center"/>
                </w:tcPr>
                <w:p w14:paraId="65D7AB9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空间布局约束</w:t>
                  </w:r>
                </w:p>
              </w:tc>
              <w:tc>
                <w:tcPr>
                  <w:tcW w:w="5598" w:type="dxa"/>
                  <w:tcBorders>
                    <w:tl2br w:val="nil"/>
                    <w:tr2bl w:val="nil"/>
                  </w:tcBorders>
                  <w:vAlign w:val="center"/>
                </w:tcPr>
                <w:p w14:paraId="78018ED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根据生态功能保护区的资源禀赋、环境容量，合理确定区域产业发展方向，限制高污染、高能耗、高物耗产业的发展。要依法淘汰严重污染环境、严重破坏区域生态、严重浪费资源能源的产业，要依法关闭破坏资源、污染环境和损害生态系统功能的企业</w:t>
                  </w:r>
                  <w:r>
                    <w:rPr>
                      <w:rFonts w:hint="eastAsia" w:cs="Times New Roman"/>
                      <w:color w:val="auto"/>
                      <w:spacing w:val="-10"/>
                      <w:sz w:val="18"/>
                      <w:szCs w:val="18"/>
                      <w:highlight w:val="none"/>
                      <w:lang w:val="en-US" w:eastAsia="zh-CN"/>
                    </w:rPr>
                    <w:t>。</w:t>
                  </w:r>
                </w:p>
              </w:tc>
              <w:tc>
                <w:tcPr>
                  <w:tcW w:w="3520" w:type="dxa"/>
                  <w:tcBorders>
                    <w:tl2br w:val="nil"/>
                    <w:tr2bl w:val="nil"/>
                  </w:tcBorders>
                  <w:vAlign w:val="center"/>
                </w:tcPr>
                <w:p w14:paraId="7A851E4A">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color w:val="auto"/>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本项目属于服务行业，不属于</w:t>
                  </w:r>
                  <w:r>
                    <w:rPr>
                      <w:rFonts w:hint="default" w:ascii="Times New Roman" w:hAnsi="Times New Roman" w:cs="Times New Roman"/>
                      <w:color w:val="auto"/>
                      <w:spacing w:val="-10"/>
                      <w:sz w:val="18"/>
                      <w:szCs w:val="18"/>
                      <w:highlight w:val="none"/>
                    </w:rPr>
                    <w:t>高污染、</w:t>
                  </w:r>
                  <w:r>
                    <w:rPr>
                      <w:rFonts w:hint="eastAsia" w:ascii="Times New Roman" w:hAnsi="Times New Roman" w:eastAsia="宋体" w:cs="Times New Roman"/>
                      <w:color w:val="auto"/>
                      <w:spacing w:val="-10"/>
                      <w:sz w:val="18"/>
                      <w:szCs w:val="18"/>
                      <w:highlight w:val="none"/>
                      <w:lang w:val="en-US" w:eastAsia="zh-CN"/>
                    </w:rPr>
                    <w:t>高能耗、高物耗工业项目</w:t>
                  </w:r>
                </w:p>
              </w:tc>
              <w:tc>
                <w:tcPr>
                  <w:tcW w:w="750" w:type="dxa"/>
                  <w:tcBorders>
                    <w:tl2br w:val="nil"/>
                    <w:tr2bl w:val="nil"/>
                  </w:tcBorders>
                  <w:vAlign w:val="center"/>
                </w:tcPr>
                <w:p w14:paraId="3DA8B1E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5449F54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63" w:hRule="atLeast"/>
              </w:trPr>
              <w:tc>
                <w:tcPr>
                  <w:tcW w:w="687" w:type="dxa"/>
                  <w:vMerge w:val="continue"/>
                  <w:tcBorders>
                    <w:tl2br w:val="nil"/>
                    <w:tr2bl w:val="nil"/>
                  </w:tcBorders>
                  <w:vAlign w:val="center"/>
                </w:tcPr>
                <w:p w14:paraId="7AE2C3CF">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12E3FE54">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23EF5AD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tc>
              <w:tc>
                <w:tcPr>
                  <w:tcW w:w="5598" w:type="dxa"/>
                  <w:tcBorders>
                    <w:tl2br w:val="nil"/>
                    <w:tr2bl w:val="nil"/>
                  </w:tcBorders>
                  <w:vAlign w:val="center"/>
                </w:tcPr>
                <w:p w14:paraId="663140D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应当按照限制性开发区域管理，限制进行大规模高强度工业化城镇化开发，以保持并提高生态产品供给能力。形成点状开发、面上保护的空间结构。开发强度得到有效控制，保有大片开敞生态空间，水面、湿地、林地、草地等绿色生态空间扩大，人类活动水平的空间控制在目前水平。</w:t>
                  </w:r>
                </w:p>
              </w:tc>
              <w:tc>
                <w:tcPr>
                  <w:tcW w:w="3520" w:type="dxa"/>
                  <w:tcBorders>
                    <w:tl2br w:val="nil"/>
                    <w:tr2bl w:val="nil"/>
                  </w:tcBorders>
                  <w:vAlign w:val="center"/>
                </w:tcPr>
                <w:p w14:paraId="1545370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0A72D337">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3DA26D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687" w:type="dxa"/>
                  <w:vMerge w:val="continue"/>
                  <w:tcBorders>
                    <w:tl2br w:val="nil"/>
                    <w:tr2bl w:val="nil"/>
                  </w:tcBorders>
                  <w:vAlign w:val="center"/>
                </w:tcPr>
                <w:p w14:paraId="18409E81">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426DE1A8">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1BE07700">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4FB0FBE2">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区域内要严格开发区管理，原则上不再新建各类开发区和扩大现有工业开发区的面积，已有的工业开发区要逐步改造成低消耗、可循环、少排放、“零污染”的生态型工业区</w:t>
                  </w:r>
                  <w:r>
                    <w:rPr>
                      <w:rFonts w:hint="eastAsia" w:ascii="Times New Roman" w:hAnsi="Times New Roman" w:cs="Times New Roman"/>
                      <w:color w:val="auto"/>
                      <w:spacing w:val="-10"/>
                      <w:sz w:val="18"/>
                      <w:szCs w:val="18"/>
                      <w:highlight w:val="none"/>
                      <w:lang w:val="en-US" w:eastAsia="zh-CN"/>
                    </w:rPr>
                    <w:t>。</w:t>
                  </w:r>
                </w:p>
              </w:tc>
              <w:tc>
                <w:tcPr>
                  <w:tcW w:w="3520" w:type="dxa"/>
                  <w:tcBorders>
                    <w:tl2br w:val="nil"/>
                    <w:tr2bl w:val="nil"/>
                  </w:tcBorders>
                  <w:vAlign w:val="center"/>
                </w:tcPr>
                <w:p w14:paraId="61BFCCF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6E980EA3">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5357B7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687" w:type="dxa"/>
                  <w:vMerge w:val="continue"/>
                  <w:tcBorders>
                    <w:tl2br w:val="nil"/>
                    <w:tr2bl w:val="nil"/>
                  </w:tcBorders>
                  <w:vAlign w:val="center"/>
                </w:tcPr>
                <w:p w14:paraId="73A70076">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5522A6A0">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7E5B0674">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242AFA95">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严格控制矿产资源开发。禁止在生态保护红线内、永久基本农田、城镇开发边界内、自然保护区、风景名胜区、饮用水水源保护区、地质遗迹保护区、文物保护单位的保护范围内和铁路高速公路国道两侧各</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米范围内新批固体矿产资源开发项目，严格控制新批液体、气体矿产资源开发项目</w:t>
                  </w:r>
                  <w:r>
                    <w:rPr>
                      <w:rFonts w:hint="eastAsia" w:cs="Times New Roman"/>
                      <w:color w:val="auto"/>
                      <w:spacing w:val="-10"/>
                      <w:sz w:val="18"/>
                      <w:szCs w:val="18"/>
                      <w:highlight w:val="none"/>
                      <w:lang w:val="en-US" w:eastAsia="zh-CN"/>
                    </w:rPr>
                    <w:t>。</w:t>
                  </w:r>
                </w:p>
              </w:tc>
              <w:tc>
                <w:tcPr>
                  <w:tcW w:w="3520" w:type="dxa"/>
                  <w:tcBorders>
                    <w:tl2br w:val="nil"/>
                    <w:tr2bl w:val="nil"/>
                  </w:tcBorders>
                  <w:vAlign w:val="center"/>
                </w:tcPr>
                <w:p w14:paraId="1081864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20E6D29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76EE29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687" w:type="dxa"/>
                  <w:vMerge w:val="continue"/>
                  <w:tcBorders>
                    <w:tl2br w:val="nil"/>
                    <w:tr2bl w:val="nil"/>
                  </w:tcBorders>
                  <w:vAlign w:val="center"/>
                </w:tcPr>
                <w:p w14:paraId="7F423C47">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03BFD28F">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584157D3">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23FC2D0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、新建非煤矿山，应当按照绿色矿山建设规范建设。已有非煤矿山，应当按照绿色矿山建设规范升级改造，逐步达到绿色矿山建设标准。</w:t>
                  </w:r>
                </w:p>
              </w:tc>
              <w:tc>
                <w:tcPr>
                  <w:tcW w:w="3520" w:type="dxa"/>
                  <w:tcBorders>
                    <w:tl2br w:val="nil"/>
                    <w:tr2bl w:val="nil"/>
                  </w:tcBorders>
                  <w:vAlign w:val="center"/>
                </w:tcPr>
                <w:p w14:paraId="3F8B96B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项目不涉及</w:t>
                  </w:r>
                </w:p>
              </w:tc>
              <w:tc>
                <w:tcPr>
                  <w:tcW w:w="750" w:type="dxa"/>
                  <w:tcBorders>
                    <w:tl2br w:val="nil"/>
                    <w:tr2bl w:val="nil"/>
                  </w:tcBorders>
                  <w:vAlign w:val="center"/>
                </w:tcPr>
                <w:p w14:paraId="4CB97F7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4B095F3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77" w:hRule="atLeast"/>
              </w:trPr>
              <w:tc>
                <w:tcPr>
                  <w:tcW w:w="687" w:type="dxa"/>
                  <w:vMerge w:val="continue"/>
                  <w:tcBorders>
                    <w:tl2br w:val="nil"/>
                    <w:tr2bl w:val="nil"/>
                  </w:tcBorders>
                  <w:vAlign w:val="center"/>
                </w:tcPr>
                <w:p w14:paraId="5E2A5ECE">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688" w:type="dxa"/>
                  <w:vMerge w:val="continue"/>
                  <w:tcBorders>
                    <w:tl2br w:val="nil"/>
                    <w:tr2bl w:val="nil"/>
                  </w:tcBorders>
                  <w:vAlign w:val="center"/>
                </w:tcPr>
                <w:p w14:paraId="2C6F57FB">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732" w:type="dxa"/>
                  <w:vMerge w:val="continue"/>
                  <w:tcBorders>
                    <w:tl2br w:val="nil"/>
                    <w:tr2bl w:val="nil"/>
                  </w:tcBorders>
                  <w:vAlign w:val="center"/>
                </w:tcPr>
                <w:p w14:paraId="2DB0D683">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5598" w:type="dxa"/>
                  <w:tcBorders>
                    <w:tl2br w:val="nil"/>
                    <w:tr2bl w:val="nil"/>
                  </w:tcBorders>
                  <w:vAlign w:val="center"/>
                </w:tcPr>
                <w:p w14:paraId="2A86679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 xml:space="preserve">、严格控制新增建设占用生态保护红线外的生态空间。符合区域准入条件的建设项目，涉及占用生态空间中的林地、草原等，按有关法律法规规定办理；涉及占用生态空间中其他未作明确规定的用地，应当加强论证和管理。 </w:t>
                  </w:r>
                </w:p>
              </w:tc>
              <w:tc>
                <w:tcPr>
                  <w:tcW w:w="3520" w:type="dxa"/>
                  <w:tcBorders>
                    <w:tl2br w:val="nil"/>
                    <w:tr2bl w:val="nil"/>
                  </w:tcBorders>
                  <w:vAlign w:val="center"/>
                </w:tcPr>
                <w:p w14:paraId="0621D13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项目位于永顺街道昌盛路与兴安大街交叉口620号，根据《迁安市国土空间总体规划（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年）》中“三区三线规划图”，项目所在地位于迁安市国土空间规划“三区三线”划定的城镇开发边界范围内，不涉及占用</w:t>
                  </w:r>
                  <w:r>
                    <w:rPr>
                      <w:rFonts w:hint="default" w:ascii="Times New Roman" w:hAnsi="Times New Roman" w:eastAsia="宋体" w:cs="Times New Roman"/>
                      <w:color w:val="auto"/>
                      <w:spacing w:val="-10"/>
                      <w:sz w:val="18"/>
                      <w:szCs w:val="18"/>
                      <w:highlight w:val="none"/>
                      <w:lang w:val="en-US" w:eastAsia="zh-CN"/>
                    </w:rPr>
                    <w:t>生态空间中的林地、草原等</w:t>
                  </w:r>
                  <w:r>
                    <w:rPr>
                      <w:rFonts w:hint="eastAsia" w:ascii="Times New Roman" w:hAnsi="Times New Roman" w:eastAsia="宋体" w:cs="Times New Roman"/>
                      <w:color w:val="auto"/>
                      <w:spacing w:val="-10"/>
                      <w:sz w:val="18"/>
                      <w:szCs w:val="18"/>
                      <w:highlight w:val="none"/>
                      <w:lang w:val="en-US" w:eastAsia="zh-CN"/>
                    </w:rPr>
                    <w:t>。</w:t>
                  </w:r>
                </w:p>
              </w:tc>
              <w:tc>
                <w:tcPr>
                  <w:tcW w:w="750" w:type="dxa"/>
                  <w:tcBorders>
                    <w:tl2br w:val="nil"/>
                    <w:tr2bl w:val="nil"/>
                  </w:tcBorders>
                  <w:vAlign w:val="center"/>
                </w:tcPr>
                <w:p w14:paraId="3549D49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bl>
          <w:p w14:paraId="4CF1EA43">
            <w:pPr>
              <w:rPr>
                <w:color w:val="auto"/>
              </w:rPr>
            </w:pPr>
          </w:p>
          <w:p w14:paraId="5C78002E">
            <w:pPr>
              <w:rPr>
                <w:color w:val="auto"/>
              </w:rPr>
            </w:pPr>
          </w:p>
          <w:p w14:paraId="07A86342">
            <w:pPr>
              <w:rPr>
                <w:color w:val="auto"/>
              </w:rPr>
            </w:pPr>
          </w:p>
          <w:p w14:paraId="3D85AB44">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88"/>
              <w:gridCol w:w="732"/>
              <w:gridCol w:w="11"/>
              <w:gridCol w:w="5867"/>
              <w:gridCol w:w="3240"/>
              <w:gridCol w:w="750"/>
            </w:tblGrid>
            <w:tr w14:paraId="30E0FC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c>
                <w:tcPr>
                  <w:tcW w:w="2118" w:type="dxa"/>
                  <w:gridSpan w:val="4"/>
                  <w:tcBorders>
                    <w:tl2br w:val="nil"/>
                    <w:tr2bl w:val="nil"/>
                  </w:tcBorders>
                  <w:vAlign w:val="center"/>
                </w:tcPr>
                <w:p w14:paraId="083B1D7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5867" w:type="dxa"/>
                  <w:tcBorders>
                    <w:tl2br w:val="nil"/>
                    <w:tr2bl w:val="nil"/>
                  </w:tcBorders>
                  <w:vAlign w:val="center"/>
                </w:tcPr>
                <w:p w14:paraId="6C9F87C2">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240" w:type="dxa"/>
                  <w:tcBorders>
                    <w:tl2br w:val="nil"/>
                    <w:tr2bl w:val="nil"/>
                  </w:tcBorders>
                  <w:vAlign w:val="center"/>
                </w:tcPr>
                <w:p w14:paraId="3581059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5489994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4B1AE94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77" w:hRule="atLeast"/>
              </w:trPr>
              <w:tc>
                <w:tcPr>
                  <w:tcW w:w="687" w:type="dxa"/>
                  <w:tcBorders>
                    <w:tl2br w:val="nil"/>
                    <w:tr2bl w:val="nil"/>
                  </w:tcBorders>
                  <w:shd w:val="clear" w:color="auto" w:fill="auto"/>
                  <w:vAlign w:val="center"/>
                </w:tcPr>
                <w:p w14:paraId="576426DB">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一般生态空间</w:t>
                  </w:r>
                </w:p>
              </w:tc>
              <w:tc>
                <w:tcPr>
                  <w:tcW w:w="688" w:type="dxa"/>
                  <w:tcBorders>
                    <w:tl2br w:val="nil"/>
                    <w:tr2bl w:val="nil"/>
                  </w:tcBorders>
                  <w:shd w:val="clear" w:color="auto" w:fill="auto"/>
                  <w:vAlign w:val="center"/>
                </w:tcPr>
                <w:p w14:paraId="20437D9E">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总体</w:t>
                  </w:r>
                  <w:r>
                    <w:rPr>
                      <w:rFonts w:hint="default" w:ascii="Times New Roman" w:hAnsi="Times New Roman" w:cs="Times New Roman"/>
                      <w:color w:val="auto"/>
                      <w:spacing w:val="-10"/>
                      <w:sz w:val="18"/>
                      <w:szCs w:val="18"/>
                      <w:highlight w:val="none"/>
                      <w:lang w:val="en-US" w:eastAsia="zh-CN"/>
                    </w:rPr>
                    <w:t>要求</w:t>
                  </w:r>
                </w:p>
              </w:tc>
              <w:tc>
                <w:tcPr>
                  <w:tcW w:w="732" w:type="dxa"/>
                  <w:tcBorders>
                    <w:tl2br w:val="nil"/>
                    <w:tr2bl w:val="nil"/>
                  </w:tcBorders>
                  <w:shd w:val="clear" w:color="auto" w:fill="auto"/>
                  <w:vAlign w:val="center"/>
                </w:tcPr>
                <w:p w14:paraId="7FA8FB2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空间布局约束</w:t>
                  </w:r>
                </w:p>
              </w:tc>
              <w:tc>
                <w:tcPr>
                  <w:tcW w:w="5878" w:type="dxa"/>
                  <w:gridSpan w:val="2"/>
                  <w:tcBorders>
                    <w:tl2br w:val="nil"/>
                    <w:tr2bl w:val="nil"/>
                  </w:tcBorders>
                  <w:shd w:val="clear" w:color="auto" w:fill="auto"/>
                  <w:vAlign w:val="center"/>
                </w:tcPr>
                <w:p w14:paraId="28C8DD08">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7</w:t>
                  </w:r>
                  <w:r>
                    <w:rPr>
                      <w:rFonts w:hint="eastAsia" w:ascii="Times New Roman" w:hAnsi="Times New Roman" w:eastAsia="宋体" w:cs="Times New Roman"/>
                      <w:color w:val="auto"/>
                      <w:spacing w:val="-10"/>
                      <w:sz w:val="18"/>
                      <w:szCs w:val="18"/>
                      <w:highlight w:val="none"/>
                      <w:lang w:val="en-US" w:eastAsia="zh-CN"/>
                    </w:rPr>
                    <w:t>、严格限制农业开发占用生态保护红线外的生态空间，符合条件的农业开发项目，须依法由市县级及以上地方人民政府统筹安排。生态保护红线外的耕地，除符合国家生态退耕条件，并纳入国家生态退耕总体安排，或因国家重大生态工程建设需要外，不得随意转用。</w:t>
                  </w:r>
                </w:p>
              </w:tc>
              <w:tc>
                <w:tcPr>
                  <w:tcW w:w="3240" w:type="dxa"/>
                  <w:tcBorders>
                    <w:tl2br w:val="nil"/>
                    <w:tr2bl w:val="nil"/>
                  </w:tcBorders>
                  <w:shd w:val="clear" w:color="auto" w:fill="auto"/>
                  <w:vAlign w:val="center"/>
                </w:tcPr>
                <w:p w14:paraId="3C8BD00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项目不涉及</w:t>
                  </w:r>
                </w:p>
              </w:tc>
              <w:tc>
                <w:tcPr>
                  <w:tcW w:w="750" w:type="dxa"/>
                  <w:tcBorders>
                    <w:tl2br w:val="nil"/>
                    <w:tr2bl w:val="nil"/>
                  </w:tcBorders>
                  <w:shd w:val="clear" w:color="auto" w:fill="auto"/>
                  <w:vAlign w:val="center"/>
                </w:tcPr>
                <w:p w14:paraId="080B3544">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3ED2CE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7A48C19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大气环境</w:t>
                  </w:r>
                </w:p>
              </w:tc>
              <w:tc>
                <w:tcPr>
                  <w:tcW w:w="1431" w:type="dxa"/>
                  <w:gridSpan w:val="3"/>
                  <w:tcBorders>
                    <w:tl2br w:val="nil"/>
                    <w:tr2bl w:val="nil"/>
                  </w:tcBorders>
                  <w:vAlign w:val="center"/>
                </w:tcPr>
                <w:p w14:paraId="14BF91FE">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污染防控目标</w:t>
                  </w:r>
                </w:p>
              </w:tc>
              <w:tc>
                <w:tcPr>
                  <w:tcW w:w="5867" w:type="dxa"/>
                  <w:tcBorders>
                    <w:tl2br w:val="nil"/>
                    <w:tr2bl w:val="nil"/>
                  </w:tcBorders>
                  <w:vAlign w:val="center"/>
                </w:tcPr>
                <w:p w14:paraId="70E5FDA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16"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1"/>
                      <w:kern w:val="0"/>
                      <w:sz w:val="18"/>
                      <w:szCs w:val="18"/>
                      <w:highlight w:val="none"/>
                      <w:lang w:val="en-US" w:eastAsia="zh-CN"/>
                    </w:rPr>
                    <w:t>2025年，全市细颗粒物（PM</w:t>
                  </w:r>
                  <w:r>
                    <w:rPr>
                      <w:rFonts w:hint="eastAsia" w:ascii="Times New Roman" w:hAnsi="Times New Roman" w:eastAsia="宋体" w:cs="Times New Roman"/>
                      <w:color w:val="auto"/>
                      <w:spacing w:val="-11"/>
                      <w:kern w:val="0"/>
                      <w:sz w:val="18"/>
                      <w:szCs w:val="18"/>
                      <w:highlight w:val="none"/>
                      <w:vertAlign w:val="subscript"/>
                      <w:lang w:val="en-US" w:eastAsia="zh-CN"/>
                    </w:rPr>
                    <w:t>2.5</w:t>
                  </w:r>
                  <w:r>
                    <w:rPr>
                      <w:rFonts w:hint="eastAsia" w:ascii="Times New Roman" w:hAnsi="Times New Roman" w:eastAsia="宋体" w:cs="Times New Roman"/>
                      <w:color w:val="auto"/>
                      <w:spacing w:val="-11"/>
                      <w:kern w:val="0"/>
                      <w:sz w:val="18"/>
                      <w:szCs w:val="18"/>
                      <w:highlight w:val="none"/>
                      <w:lang w:val="en-US" w:eastAsia="zh-CN"/>
                    </w:rPr>
                    <w:t>）平均浓度达到40微克/立方米左右，空气质量优良天数比率达到70%以上，单位地位生产总值二氧化碳排放下降比例达到河北省要求</w:t>
                  </w:r>
                </w:p>
              </w:tc>
              <w:tc>
                <w:tcPr>
                  <w:tcW w:w="3240" w:type="dxa"/>
                  <w:tcBorders>
                    <w:tl2br w:val="nil"/>
                    <w:tr2bl w:val="nil"/>
                  </w:tcBorders>
                  <w:vAlign w:val="center"/>
                </w:tcPr>
                <w:p w14:paraId="6966489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项目废气主各产污环节均采取了完善的污染防治措施，可以稳定实现达标排放，对周围环境影响较小，不会对区域大气环境产生明显</w:t>
                  </w:r>
                  <w:r>
                    <w:rPr>
                      <w:rFonts w:hint="eastAsia" w:cs="Times New Roman"/>
                      <w:color w:val="auto"/>
                      <w:spacing w:val="-10"/>
                      <w:sz w:val="18"/>
                      <w:szCs w:val="18"/>
                      <w:highlight w:val="none"/>
                      <w:lang w:val="en-US" w:eastAsia="zh-CN"/>
                    </w:rPr>
                    <w:t>影响</w:t>
                  </w:r>
                </w:p>
              </w:tc>
              <w:tc>
                <w:tcPr>
                  <w:tcW w:w="750" w:type="dxa"/>
                  <w:tcBorders>
                    <w:tl2br w:val="nil"/>
                    <w:tr2bl w:val="nil"/>
                  </w:tcBorders>
                  <w:vAlign w:val="center"/>
                </w:tcPr>
                <w:p w14:paraId="1AB5513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73D94A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687" w:type="dxa"/>
                  <w:vMerge w:val="continue"/>
                  <w:tcBorders>
                    <w:tl2br w:val="nil"/>
                    <w:tr2bl w:val="nil"/>
                  </w:tcBorders>
                  <w:vAlign w:val="center"/>
                </w:tcPr>
                <w:p w14:paraId="0E1541E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restart"/>
                  <w:tcBorders>
                    <w:tl2br w:val="nil"/>
                    <w:tr2bl w:val="nil"/>
                  </w:tcBorders>
                  <w:vAlign w:val="center"/>
                </w:tcPr>
                <w:p w14:paraId="6CAAEEF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空间布局约束</w:t>
                  </w:r>
                </w:p>
              </w:tc>
              <w:tc>
                <w:tcPr>
                  <w:tcW w:w="5867" w:type="dxa"/>
                  <w:tcBorders>
                    <w:tl2br w:val="nil"/>
                    <w:tr2bl w:val="nil"/>
                  </w:tcBorders>
                  <w:vAlign w:val="center"/>
                </w:tcPr>
                <w:p w14:paraId="1C18849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、全面推进沿海、迁安、滦州、迁西（遵化）</w:t>
                  </w:r>
                  <w:r>
                    <w:rPr>
                      <w:rFonts w:hint="default" w:ascii="Times New Roman" w:hAnsi="Times New Roman" w:eastAsia="宋体" w:cs="Times New Roman"/>
                      <w:color w:val="auto"/>
                      <w:spacing w:val="-10"/>
                      <w:sz w:val="18"/>
                      <w:szCs w:val="18"/>
                      <w:highlight w:val="none"/>
                      <w:lang w:val="en-US" w:eastAsia="zh-CN"/>
                    </w:rPr>
                    <w:t xml:space="preserve">4 </w:t>
                  </w:r>
                  <w:r>
                    <w:rPr>
                      <w:rFonts w:hint="eastAsia" w:ascii="Times New Roman" w:hAnsi="Times New Roman" w:eastAsia="宋体" w:cs="Times New Roman"/>
                      <w:color w:val="auto"/>
                      <w:spacing w:val="-10"/>
                      <w:sz w:val="18"/>
                      <w:szCs w:val="18"/>
                      <w:highlight w:val="none"/>
                      <w:lang w:val="en-US" w:eastAsia="zh-CN"/>
                    </w:rPr>
                    <w:t>大片区规划建设，加快推进钢铁企业整合搬迁项目建设，推进“公转铁”、“公转水”和物料集中输送管廊项目建设，形成“沿海临港、铁路沿线”产业新布局</w:t>
                  </w:r>
                  <w:r>
                    <w:rPr>
                      <w:rFonts w:hint="eastAsia" w:cs="Times New Roman"/>
                      <w:color w:val="auto"/>
                      <w:spacing w:val="-10"/>
                      <w:sz w:val="18"/>
                      <w:szCs w:val="18"/>
                      <w:highlight w:val="none"/>
                      <w:lang w:val="en-US" w:eastAsia="zh-CN"/>
                    </w:rPr>
                    <w:t>。</w:t>
                  </w:r>
                </w:p>
              </w:tc>
              <w:tc>
                <w:tcPr>
                  <w:tcW w:w="3240" w:type="dxa"/>
                  <w:tcBorders>
                    <w:tl2br w:val="nil"/>
                    <w:tr2bl w:val="nil"/>
                  </w:tcBorders>
                  <w:vAlign w:val="center"/>
                </w:tcPr>
                <w:p w14:paraId="420D37E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0D3AFA3C">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657241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687" w:type="dxa"/>
                  <w:vMerge w:val="continue"/>
                  <w:tcBorders>
                    <w:tl2br w:val="nil"/>
                    <w:tr2bl w:val="nil"/>
                  </w:tcBorders>
                  <w:vAlign w:val="center"/>
                </w:tcPr>
                <w:p w14:paraId="0DA1E76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4C8B4E9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738DBC9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、严禁违规新增钢铁、焦化、水泥、平板玻璃等产能，依法推动独立焦化、独立石灰、独立球团逐步退出。</w:t>
                  </w:r>
                </w:p>
              </w:tc>
              <w:tc>
                <w:tcPr>
                  <w:tcW w:w="3240" w:type="dxa"/>
                  <w:tcBorders>
                    <w:tl2br w:val="nil"/>
                    <w:tr2bl w:val="nil"/>
                  </w:tcBorders>
                  <w:vAlign w:val="center"/>
                </w:tcPr>
                <w:p w14:paraId="616288E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项目不涉及钢铁、焦化、平板玻璃、水泥、陶瓷产能增加，根据《产业结构调整指导目录（2024年本）》，项目为</w:t>
                  </w:r>
                  <w:r>
                    <w:rPr>
                      <w:rFonts w:hint="eastAsia" w:cs="Times New Roman"/>
                      <w:color w:val="auto"/>
                      <w:spacing w:val="-10"/>
                      <w:sz w:val="18"/>
                      <w:szCs w:val="18"/>
                      <w:highlight w:val="none"/>
                      <w:lang w:val="en-US" w:eastAsia="zh-CN"/>
                    </w:rPr>
                    <w:t>鼓励类</w:t>
                  </w:r>
                  <w:r>
                    <w:rPr>
                      <w:rFonts w:hint="eastAsia" w:ascii="Times New Roman" w:hAnsi="Times New Roman" w:eastAsia="宋体" w:cs="Times New Roman"/>
                      <w:color w:val="auto"/>
                      <w:spacing w:val="-10"/>
                      <w:sz w:val="18"/>
                      <w:szCs w:val="18"/>
                      <w:highlight w:val="none"/>
                      <w:lang w:val="en-US" w:eastAsia="zh-CN"/>
                    </w:rPr>
                    <w:t>项目</w:t>
                  </w:r>
                </w:p>
              </w:tc>
              <w:tc>
                <w:tcPr>
                  <w:tcW w:w="750" w:type="dxa"/>
                  <w:tcBorders>
                    <w:tl2br w:val="nil"/>
                    <w:tr2bl w:val="nil"/>
                  </w:tcBorders>
                  <w:vAlign w:val="center"/>
                </w:tcPr>
                <w:p w14:paraId="3792EFD2">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394C22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44B2CB0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29DAFB2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53B5E39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 xml:space="preserve">、新（改、扩）建项目严格执行产能置换、煤炭替代和污染物倍量削减替代制度，当地有相关园区规划的，原则上要进入园区并配套建设高效环保治理设施，符合园区规划环评、建设项目环评要求。 </w:t>
                  </w:r>
                </w:p>
              </w:tc>
              <w:tc>
                <w:tcPr>
                  <w:tcW w:w="3240" w:type="dxa"/>
                  <w:tcBorders>
                    <w:tl2br w:val="nil"/>
                    <w:tr2bl w:val="nil"/>
                  </w:tcBorders>
                  <w:vAlign w:val="center"/>
                </w:tcPr>
                <w:p w14:paraId="5677E1A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w:t>
                  </w:r>
                  <w:r>
                    <w:rPr>
                      <w:rFonts w:hint="default" w:ascii="Times New Roman" w:hAnsi="Times New Roman" w:eastAsia="宋体" w:cs="Times New Roman"/>
                      <w:color w:val="auto"/>
                      <w:spacing w:val="-10"/>
                      <w:sz w:val="18"/>
                      <w:szCs w:val="18"/>
                      <w:highlight w:val="none"/>
                      <w:lang w:val="zh-CN" w:eastAsia="zh-CN"/>
                    </w:rPr>
                    <w:t>位于</w:t>
                  </w:r>
                  <w:r>
                    <w:rPr>
                      <w:rFonts w:hint="eastAsia" w:ascii="Times New Roman" w:hAnsi="Times New Roman" w:eastAsia="宋体" w:cs="Times New Roman"/>
                      <w:color w:val="auto"/>
                      <w:spacing w:val="-10"/>
                      <w:sz w:val="18"/>
                      <w:szCs w:val="18"/>
                      <w:highlight w:val="none"/>
                      <w:lang w:val="en-US" w:eastAsia="zh-CN"/>
                    </w:rPr>
                    <w:t>永顺街道昌盛路与兴安大街交叉口620号</w:t>
                  </w:r>
                  <w:r>
                    <w:rPr>
                      <w:rFonts w:hint="default" w:ascii="Times New Roman" w:hAnsi="Times New Roman" w:eastAsia="宋体" w:cs="Times New Roman"/>
                      <w:color w:val="auto"/>
                      <w:spacing w:val="-10"/>
                      <w:sz w:val="18"/>
                      <w:szCs w:val="18"/>
                      <w:highlight w:val="none"/>
                      <w:lang w:val="zh-CN" w:eastAsia="zh-CN"/>
                    </w:rPr>
                    <w:t>，</w:t>
                  </w:r>
                  <w:r>
                    <w:rPr>
                      <w:rFonts w:hint="eastAsia" w:ascii="Times New Roman" w:hAnsi="Times New Roman" w:eastAsia="宋体" w:cs="Times New Roman"/>
                      <w:color w:val="auto"/>
                      <w:spacing w:val="-10"/>
                      <w:sz w:val="18"/>
                      <w:szCs w:val="18"/>
                      <w:highlight w:val="none"/>
                      <w:lang w:val="en-US" w:eastAsia="zh-CN"/>
                    </w:rPr>
                    <w:t>项目配套建设高效环保治理设施，根据最新的环保要求，除六大行业外，均已不需要倍量削减，符合建设项目环评要求</w:t>
                  </w:r>
                </w:p>
              </w:tc>
              <w:tc>
                <w:tcPr>
                  <w:tcW w:w="750" w:type="dxa"/>
                  <w:tcBorders>
                    <w:tl2br w:val="nil"/>
                    <w:tr2bl w:val="nil"/>
                  </w:tcBorders>
                  <w:vAlign w:val="center"/>
                </w:tcPr>
                <w:p w14:paraId="06FFE372">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0CB0EE9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8" w:hRule="atLeast"/>
              </w:trPr>
              <w:tc>
                <w:tcPr>
                  <w:tcW w:w="687" w:type="dxa"/>
                  <w:vMerge w:val="continue"/>
                  <w:tcBorders>
                    <w:tl2br w:val="nil"/>
                    <w:tr2bl w:val="nil"/>
                  </w:tcBorders>
                  <w:vAlign w:val="center"/>
                </w:tcPr>
                <w:p w14:paraId="6C92E94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2FB8F19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7125371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、基本取缔燃煤热风炉和钢铁行业燃煤供热锅炉，基本淘汰热电联产供热管网覆盖范围内的燃煤加热、烘干炉（窑）。</w:t>
                  </w:r>
                </w:p>
              </w:tc>
              <w:tc>
                <w:tcPr>
                  <w:tcW w:w="3240" w:type="dxa"/>
                  <w:tcBorders>
                    <w:tl2br w:val="nil"/>
                    <w:tr2bl w:val="nil"/>
                  </w:tcBorders>
                  <w:vAlign w:val="center"/>
                </w:tcPr>
                <w:p w14:paraId="7004F0EE">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项目实验过程中采用电加热，办公室</w:t>
                  </w:r>
                  <w:r>
                    <w:rPr>
                      <w:rFonts w:hint="eastAsia" w:cs="Times New Roman"/>
                      <w:color w:val="auto"/>
                      <w:spacing w:val="-10"/>
                      <w:sz w:val="18"/>
                      <w:szCs w:val="18"/>
                      <w:highlight w:val="none"/>
                      <w:lang w:val="en-US" w:eastAsia="zh-CN"/>
                    </w:rPr>
                    <w:t>冬天</w:t>
                  </w:r>
                  <w:r>
                    <w:rPr>
                      <w:rFonts w:hint="eastAsia" w:ascii="Times New Roman" w:hAnsi="Times New Roman" w:eastAsia="宋体" w:cs="Times New Roman"/>
                      <w:color w:val="auto"/>
                      <w:spacing w:val="-10"/>
                      <w:sz w:val="18"/>
                      <w:szCs w:val="18"/>
                      <w:highlight w:val="none"/>
                      <w:lang w:val="en-US" w:eastAsia="zh-CN"/>
                    </w:rPr>
                    <w:t>采暖由</w:t>
                  </w:r>
                  <w:r>
                    <w:rPr>
                      <w:rFonts w:hint="eastAsia" w:cs="Times New Roman"/>
                      <w:color w:val="auto"/>
                      <w:spacing w:val="-10"/>
                      <w:sz w:val="18"/>
                      <w:szCs w:val="18"/>
                      <w:highlight w:val="none"/>
                      <w:lang w:val="en-US" w:eastAsia="zh-CN"/>
                    </w:rPr>
                    <w:t>迁安市热力公司提供</w:t>
                  </w:r>
                </w:p>
              </w:tc>
              <w:tc>
                <w:tcPr>
                  <w:tcW w:w="750" w:type="dxa"/>
                  <w:tcBorders>
                    <w:tl2br w:val="nil"/>
                    <w:tr2bl w:val="nil"/>
                  </w:tcBorders>
                  <w:vAlign w:val="center"/>
                </w:tcPr>
                <w:p w14:paraId="32C19453">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4872C9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687" w:type="dxa"/>
                  <w:vMerge w:val="continue"/>
                  <w:tcBorders>
                    <w:tl2br w:val="nil"/>
                    <w:tr2bl w:val="nil"/>
                  </w:tcBorders>
                  <w:vAlign w:val="center"/>
                </w:tcPr>
                <w:p w14:paraId="0191C99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77AFD7FE">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6880934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、企业事业单位和其他生产经营者应当在规定期限内，淘汰列入河北省淘汰落后生产工艺、设备和产品名录的生产工艺、设备和产品。</w:t>
                  </w:r>
                </w:p>
              </w:tc>
              <w:tc>
                <w:tcPr>
                  <w:tcW w:w="3240" w:type="dxa"/>
                  <w:tcBorders>
                    <w:tl2br w:val="nil"/>
                    <w:tr2bl w:val="nil"/>
                  </w:tcBorders>
                  <w:vAlign w:val="center"/>
                </w:tcPr>
                <w:p w14:paraId="28A4E62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采用的设备无淘汰</w:t>
                  </w:r>
                  <w:r>
                    <w:rPr>
                      <w:rFonts w:hint="eastAsia" w:ascii="Times New Roman" w:hAnsi="Times New Roman" w:eastAsia="宋体" w:cs="Times New Roman"/>
                      <w:color w:val="auto"/>
                      <w:spacing w:val="-10"/>
                      <w:sz w:val="18"/>
                      <w:szCs w:val="18"/>
                      <w:highlight w:val="none"/>
                      <w:lang w:val="en-US" w:eastAsia="zh-CN"/>
                    </w:rPr>
                    <w:t>落后设备</w:t>
                  </w:r>
                </w:p>
              </w:tc>
              <w:tc>
                <w:tcPr>
                  <w:tcW w:w="750" w:type="dxa"/>
                  <w:tcBorders>
                    <w:tl2br w:val="nil"/>
                    <w:tr2bl w:val="nil"/>
                  </w:tcBorders>
                  <w:vAlign w:val="center"/>
                </w:tcPr>
                <w:p w14:paraId="13431E82">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3C254F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687" w:type="dxa"/>
                  <w:vMerge w:val="continue"/>
                  <w:tcBorders>
                    <w:tl2br w:val="nil"/>
                    <w:tr2bl w:val="nil"/>
                  </w:tcBorders>
                  <w:vAlign w:val="center"/>
                </w:tcPr>
                <w:p w14:paraId="05FEC01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vMerge w:val="continue"/>
                  <w:tcBorders>
                    <w:tl2br w:val="nil"/>
                    <w:tr2bl w:val="nil"/>
                  </w:tcBorders>
                  <w:vAlign w:val="center"/>
                </w:tcPr>
                <w:p w14:paraId="79EC79D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5867" w:type="dxa"/>
                  <w:tcBorders>
                    <w:tl2br w:val="nil"/>
                    <w:tr2bl w:val="nil"/>
                  </w:tcBorders>
                  <w:vAlign w:val="center"/>
                </w:tcPr>
                <w:p w14:paraId="2BCA647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、全面取缔</w:t>
                  </w:r>
                  <w:r>
                    <w:rPr>
                      <w:rFonts w:hint="default" w:ascii="Times New Roman" w:hAnsi="Times New Roman" w:eastAsia="宋体" w:cs="Times New Roman"/>
                      <w:color w:val="auto"/>
                      <w:spacing w:val="-10"/>
                      <w:sz w:val="18"/>
                      <w:szCs w:val="18"/>
                      <w:highlight w:val="none"/>
                      <w:lang w:val="en-US" w:eastAsia="zh-CN"/>
                    </w:rPr>
                    <w:t>35</w:t>
                  </w:r>
                  <w:r>
                    <w:rPr>
                      <w:rFonts w:hint="eastAsia" w:ascii="Times New Roman" w:hAnsi="Times New Roman" w:eastAsia="宋体" w:cs="Times New Roman"/>
                      <w:color w:val="auto"/>
                      <w:spacing w:val="-10"/>
                      <w:sz w:val="18"/>
                      <w:szCs w:val="18"/>
                      <w:highlight w:val="none"/>
                      <w:lang w:val="en-US" w:eastAsia="zh-CN"/>
                    </w:rPr>
                    <w:t>蒸吨及以下燃煤锅炉，发现一台，拆除一台，确保实现动态“清零”；严禁新增</w:t>
                  </w:r>
                  <w:r>
                    <w:rPr>
                      <w:rFonts w:hint="default" w:ascii="Times New Roman" w:hAnsi="Times New Roman" w:eastAsia="宋体" w:cs="Times New Roman"/>
                      <w:color w:val="auto"/>
                      <w:spacing w:val="-10"/>
                      <w:sz w:val="18"/>
                      <w:szCs w:val="18"/>
                      <w:highlight w:val="none"/>
                      <w:lang w:val="en-US" w:eastAsia="zh-CN"/>
                    </w:rPr>
                    <w:t>35</w:t>
                  </w:r>
                  <w:r>
                    <w:rPr>
                      <w:rFonts w:hint="eastAsia" w:ascii="Times New Roman" w:hAnsi="Times New Roman" w:eastAsia="宋体" w:cs="Times New Roman"/>
                      <w:color w:val="auto"/>
                      <w:spacing w:val="-10"/>
                      <w:sz w:val="18"/>
                      <w:szCs w:val="18"/>
                      <w:highlight w:val="none"/>
                      <w:lang w:val="en-US" w:eastAsia="zh-CN"/>
                    </w:rPr>
                    <w:t>蒸吨及以下燃煤锅炉。路南区、路北区、高新区、开平区、古冶区、丰润区、丰南区、曹妃甸区全面取缔燃生物质燃料、燃油（醇基燃料）锅炉，建成区范围内改为电锅炉，其他区域改为燃气锅炉或电锅炉。其他县（市）、开发区（管理区）全面取缔燃用生物质燃料非专用锅炉，改为燃气锅炉或电锅炉。</w:t>
                  </w:r>
                </w:p>
              </w:tc>
              <w:tc>
                <w:tcPr>
                  <w:tcW w:w="3240" w:type="dxa"/>
                  <w:tcBorders>
                    <w:tl2br w:val="nil"/>
                    <w:tr2bl w:val="nil"/>
                  </w:tcBorders>
                  <w:vAlign w:val="center"/>
                </w:tcPr>
                <w:p w14:paraId="0E30C90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1BA7689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BD2A3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687" w:type="dxa"/>
                  <w:vMerge w:val="continue"/>
                  <w:tcBorders>
                    <w:tl2br w:val="nil"/>
                    <w:tr2bl w:val="nil"/>
                  </w:tcBorders>
                  <w:vAlign w:val="center"/>
                </w:tcPr>
                <w:p w14:paraId="50B6329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31" w:type="dxa"/>
                  <w:gridSpan w:val="3"/>
                  <w:tcBorders>
                    <w:tl2br w:val="nil"/>
                    <w:tr2bl w:val="nil"/>
                  </w:tcBorders>
                  <w:vAlign w:val="center"/>
                </w:tcPr>
                <w:p w14:paraId="020F916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污染物排放管控</w:t>
                  </w:r>
                </w:p>
              </w:tc>
              <w:tc>
                <w:tcPr>
                  <w:tcW w:w="5867" w:type="dxa"/>
                  <w:tcBorders>
                    <w:tl2br w:val="nil"/>
                    <w:tr2bl w:val="nil"/>
                  </w:tcBorders>
                  <w:shd w:val="clear" w:color="auto" w:fill="auto"/>
                  <w:vAlign w:val="center"/>
                </w:tcPr>
                <w:p w14:paraId="76758BF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、细颗粒物（</w:t>
                  </w:r>
                  <w:r>
                    <w:rPr>
                      <w:rFonts w:hint="default" w:ascii="Times New Roman" w:hAnsi="Times New Roman" w:eastAsia="宋体" w:cs="Times New Roman"/>
                      <w:color w:val="auto"/>
                      <w:spacing w:val="-10"/>
                      <w:sz w:val="18"/>
                      <w:szCs w:val="18"/>
                      <w:highlight w:val="none"/>
                      <w:lang w:val="en-US" w:eastAsia="zh-CN"/>
                    </w:rPr>
                    <w:t>PM</w:t>
                  </w:r>
                  <w:r>
                    <w:rPr>
                      <w:rFonts w:hint="default" w:ascii="Times New Roman" w:hAnsi="Times New Roman" w:eastAsia="宋体" w:cs="Times New Roman"/>
                      <w:color w:val="auto"/>
                      <w:spacing w:val="-10"/>
                      <w:sz w:val="18"/>
                      <w:szCs w:val="18"/>
                      <w:highlight w:val="none"/>
                      <w:vertAlign w:val="subscript"/>
                      <w:lang w:val="en-US" w:eastAsia="zh-CN"/>
                    </w:rPr>
                    <w:t>2.5</w:t>
                  </w:r>
                  <w:r>
                    <w:rPr>
                      <w:rFonts w:hint="eastAsia" w:ascii="Times New Roman" w:hAnsi="Times New Roman" w:eastAsia="宋体" w:cs="Times New Roman"/>
                      <w:color w:val="auto"/>
                      <w:spacing w:val="-10"/>
                      <w:sz w:val="18"/>
                      <w:szCs w:val="18"/>
                      <w:highlight w:val="none"/>
                      <w:lang w:val="en-US" w:eastAsia="zh-CN"/>
                    </w:rPr>
                    <w:t>）年平均浓度不达标的城市，二氧化硫、氮氧化物、烟粉尘、挥发性有机物四项污染物均需进行</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倍削减替代（燃煤发电机组大气污染物排放浓度基本达到燃气轮机组排放限值的除外）。</w:t>
                  </w:r>
                </w:p>
              </w:tc>
              <w:tc>
                <w:tcPr>
                  <w:tcW w:w="3240" w:type="dxa"/>
                  <w:tcBorders>
                    <w:tl2br w:val="nil"/>
                    <w:tr2bl w:val="nil"/>
                  </w:tcBorders>
                  <w:shd w:val="clear" w:color="auto" w:fill="auto"/>
                  <w:vAlign w:val="center"/>
                </w:tcPr>
                <w:p w14:paraId="2567B4F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根据最新的环保要求，除六大行业外，均已不需要倍量削减</w:t>
                  </w:r>
                </w:p>
              </w:tc>
              <w:tc>
                <w:tcPr>
                  <w:tcW w:w="750" w:type="dxa"/>
                  <w:tcBorders>
                    <w:tl2br w:val="nil"/>
                    <w:tr2bl w:val="nil"/>
                  </w:tcBorders>
                  <w:shd w:val="clear" w:color="auto" w:fill="auto"/>
                  <w:vAlign w:val="center"/>
                </w:tcPr>
                <w:p w14:paraId="6C355EA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4EC7CA0C">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7D229C04">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09"/>
              <w:gridCol w:w="6708"/>
              <w:gridCol w:w="2721"/>
              <w:gridCol w:w="750"/>
            </w:tblGrid>
            <w:tr w14:paraId="147A84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796" w:type="dxa"/>
                  <w:gridSpan w:val="2"/>
                  <w:tcBorders>
                    <w:tl2br w:val="nil"/>
                    <w:tr2bl w:val="nil"/>
                  </w:tcBorders>
                  <w:vAlign w:val="center"/>
                </w:tcPr>
                <w:p w14:paraId="0BC75A1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708" w:type="dxa"/>
                  <w:tcBorders>
                    <w:tl2br w:val="nil"/>
                    <w:tr2bl w:val="nil"/>
                  </w:tcBorders>
                  <w:vAlign w:val="center"/>
                </w:tcPr>
                <w:p w14:paraId="0E1CDBC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721" w:type="dxa"/>
                  <w:tcBorders>
                    <w:tl2br w:val="nil"/>
                    <w:tr2bl w:val="nil"/>
                  </w:tcBorders>
                  <w:vAlign w:val="center"/>
                </w:tcPr>
                <w:p w14:paraId="5E75F5F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670CB8C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5E88B8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11" w:hRule="atLeast"/>
              </w:trPr>
              <w:tc>
                <w:tcPr>
                  <w:tcW w:w="687" w:type="dxa"/>
                  <w:vMerge w:val="restart"/>
                  <w:tcBorders>
                    <w:tl2br w:val="nil"/>
                    <w:tr2bl w:val="nil"/>
                  </w:tcBorders>
                  <w:vAlign w:val="center"/>
                </w:tcPr>
                <w:p w14:paraId="5F98FD0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大气环境</w:t>
                  </w:r>
                </w:p>
              </w:tc>
              <w:tc>
                <w:tcPr>
                  <w:tcW w:w="1109" w:type="dxa"/>
                  <w:vMerge w:val="restart"/>
                  <w:tcBorders>
                    <w:tl2br w:val="nil"/>
                    <w:tr2bl w:val="nil"/>
                  </w:tcBorders>
                  <w:vAlign w:val="center"/>
                </w:tcPr>
                <w:p w14:paraId="7AAFAEBB">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污染物排放管控</w:t>
                  </w:r>
                </w:p>
              </w:tc>
              <w:tc>
                <w:tcPr>
                  <w:tcW w:w="6708" w:type="dxa"/>
                  <w:tcBorders>
                    <w:tl2br w:val="nil"/>
                    <w:tr2bl w:val="nil"/>
                  </w:tcBorders>
                  <w:shd w:val="clear" w:color="auto" w:fill="auto"/>
                  <w:vAlign w:val="center"/>
                </w:tcPr>
                <w:p w14:paraId="4357ABE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 xml:space="preserve">35 </w:t>
                  </w:r>
                  <w:r>
                    <w:rPr>
                      <w:rFonts w:hint="eastAsia" w:ascii="Times New Roman" w:hAnsi="Times New Roman" w:eastAsia="宋体" w:cs="Times New Roman"/>
                      <w:color w:val="auto"/>
                      <w:spacing w:val="-10"/>
                      <w:sz w:val="18"/>
                      <w:szCs w:val="18"/>
                      <w:highlight w:val="none"/>
                      <w:lang w:val="en-US" w:eastAsia="zh-CN"/>
                    </w:rPr>
                    <w:t>蒸吨以上燃煤锅炉、燃油（醇基燃料）锅炉、燃用生物质专用锅炉各污染物排放浓度达到《河北省锅炉大气污染物排放标准（</w:t>
                  </w:r>
                  <w:r>
                    <w:rPr>
                      <w:rFonts w:hint="default" w:ascii="Times New Roman" w:hAnsi="Times New Roman" w:eastAsia="宋体" w:cs="Times New Roman"/>
                      <w:color w:val="auto"/>
                      <w:spacing w:val="-10"/>
                      <w:sz w:val="18"/>
                      <w:szCs w:val="18"/>
                      <w:highlight w:val="none"/>
                      <w:lang w:val="en-US" w:eastAsia="zh-CN"/>
                    </w:rPr>
                    <w:t>DB13/5161</w:t>
                  </w:r>
                  <w:r>
                    <w:rPr>
                      <w:rFonts w:hint="eastAsia" w:ascii="Times New Roman" w:hAnsi="Times New Roman" w:eastAsia="宋体" w:cs="Times New Roman"/>
                      <w:color w:val="auto"/>
                      <w:spacing w:val="-10"/>
                      <w:sz w:val="18"/>
                      <w:szCs w:val="18"/>
                      <w:highlight w:val="none"/>
                      <w:lang w:val="en-US" w:eastAsia="zh-CN"/>
                    </w:rPr>
                    <w:t>）》要求；燃煤气、天然气锅炉各污染物排放浓度达到《唐山市锅炉治理专项实施方案》（唐气领办〔</w:t>
                  </w:r>
                  <w:r>
                    <w:rPr>
                      <w:rFonts w:hint="default" w:ascii="Times New Roman" w:hAnsi="Times New Roman" w:eastAsia="宋体" w:cs="Times New Roman"/>
                      <w:color w:val="auto"/>
                      <w:spacing w:val="-10"/>
                      <w:sz w:val="18"/>
                      <w:szCs w:val="18"/>
                      <w:highlight w:val="none"/>
                      <w:lang w:val="en-US" w:eastAsia="zh-CN"/>
                    </w:rPr>
                    <w:t>2019</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 xml:space="preserve">10 </w:t>
                  </w:r>
                  <w:r>
                    <w:rPr>
                      <w:rFonts w:hint="eastAsia" w:ascii="Times New Roman" w:hAnsi="Times New Roman" w:eastAsia="宋体" w:cs="Times New Roman"/>
                      <w:color w:val="auto"/>
                      <w:spacing w:val="-10"/>
                      <w:sz w:val="18"/>
                      <w:szCs w:val="18"/>
                      <w:highlight w:val="none"/>
                      <w:lang w:val="en-US" w:eastAsia="zh-CN"/>
                    </w:rPr>
                    <w:t>号）要求。</w:t>
                  </w:r>
                </w:p>
              </w:tc>
              <w:tc>
                <w:tcPr>
                  <w:tcW w:w="2721" w:type="dxa"/>
                  <w:tcBorders>
                    <w:tl2br w:val="nil"/>
                    <w:tr2bl w:val="nil"/>
                  </w:tcBorders>
                  <w:shd w:val="clear" w:color="auto" w:fill="auto"/>
                  <w:vAlign w:val="center"/>
                </w:tcPr>
                <w:p w14:paraId="10C2D0A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0C964A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33AD9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11" w:hRule="atLeast"/>
              </w:trPr>
              <w:tc>
                <w:tcPr>
                  <w:tcW w:w="687" w:type="dxa"/>
                  <w:vMerge w:val="continue"/>
                  <w:tcBorders>
                    <w:tl2br w:val="nil"/>
                    <w:tr2bl w:val="nil"/>
                  </w:tcBorders>
                  <w:vAlign w:val="center"/>
                </w:tcPr>
                <w:p w14:paraId="016325D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07E41B57">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shd w:val="clear" w:color="auto" w:fill="auto"/>
                  <w:vAlign w:val="center"/>
                </w:tcPr>
                <w:p w14:paraId="31B0649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加强农村燃煤污染治理：（一）推广使用民用清洁燃烧炉具，加快淘汰低效直燃式高污染炉具，严禁生产、销售、使用不符合环保要求的炉具；（二）加强洁净型煤、优质煤炭的推广使用，实现农村地区洁净型煤配送网点建设全覆盖，严禁使用高硫分和劣质煤炭；（三）推广太阳能、电能、燃气、沼气、地热等使用，加强农作物秸秆能源化，推进农村清洁能源的替代和开发利用。</w:t>
                  </w:r>
                </w:p>
              </w:tc>
              <w:tc>
                <w:tcPr>
                  <w:tcW w:w="2721" w:type="dxa"/>
                  <w:tcBorders>
                    <w:tl2br w:val="nil"/>
                    <w:tr2bl w:val="nil"/>
                  </w:tcBorders>
                  <w:shd w:val="clear" w:color="auto" w:fill="auto"/>
                  <w:vAlign w:val="center"/>
                </w:tcPr>
                <w:p w14:paraId="48A85CC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50FD3AD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7357C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687" w:type="dxa"/>
                  <w:vMerge w:val="continue"/>
                  <w:tcBorders>
                    <w:tl2br w:val="nil"/>
                    <w:tr2bl w:val="nil"/>
                  </w:tcBorders>
                  <w:vAlign w:val="center"/>
                </w:tcPr>
                <w:p w14:paraId="6129430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55424F5C">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20ACA43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对保留的工业炉窑开展环保提标改造，配套建设高效脱硫脱硝除尘设施，确保稳定达标排放。加快推进钢铁行业超低排放改造，积极推进平板玻璃行业和水泥行业污染治理升级改造。鼓励具备条件的陶瓷企业陶瓷窑、喷雾干燥塔开展超低排放改造。平板玻璃、建筑陶瓷企业逐步取消脱硫脱硝烟气旁路或设置备用脱硫脱硝等设施，鼓励水泥企业实施全流程污染深度治理。推进具备条件的焦化企业实施干熄焦改造。在保证生产安全前提下，钢铁烧结（球团）、高炉、转炉</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轧钢工序实施车间封闭生产。对标行业先进，持续推动污染物排放总量降低。</w:t>
                  </w:r>
                </w:p>
              </w:tc>
              <w:tc>
                <w:tcPr>
                  <w:tcW w:w="2721" w:type="dxa"/>
                  <w:tcBorders>
                    <w:tl2br w:val="nil"/>
                    <w:tr2bl w:val="nil"/>
                  </w:tcBorders>
                  <w:vAlign w:val="center"/>
                </w:tcPr>
                <w:p w14:paraId="0C0BA45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1BDF261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6A1F1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687" w:type="dxa"/>
                  <w:vMerge w:val="continue"/>
                  <w:tcBorders>
                    <w:tl2br w:val="nil"/>
                    <w:tr2bl w:val="nil"/>
                  </w:tcBorders>
                  <w:vAlign w:val="center"/>
                </w:tcPr>
                <w:p w14:paraId="374A411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299B4D32">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372BF56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推广新能源机动车，建设相应的充电站（桩）、加气站等基础设施，新建居民住宅小区停车位应当建设相应的充电设施；鼓励和支持公共交通、出租车、环境卫生、邮政、快递等行业用车和公务用车率先使用新能源机动车。加强城市步行和自行车交通系统建设，引导公众绿色、低碳出行。船舶靠港后应当优先使用岸电。新建码头应当规划、设计和建设岸基供电设施；已建成的码头应当逐步实施岸基供电设施改造。</w:t>
                  </w:r>
                </w:p>
              </w:tc>
              <w:tc>
                <w:tcPr>
                  <w:tcW w:w="2721" w:type="dxa"/>
                  <w:tcBorders>
                    <w:tl2br w:val="nil"/>
                    <w:tr2bl w:val="nil"/>
                  </w:tcBorders>
                  <w:vAlign w:val="center"/>
                </w:tcPr>
                <w:p w14:paraId="0FEE5B2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250C1AF4">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A7A11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687" w:type="dxa"/>
                  <w:vMerge w:val="continue"/>
                  <w:tcBorders>
                    <w:tl2br w:val="nil"/>
                    <w:tr2bl w:val="nil"/>
                  </w:tcBorders>
                  <w:vAlign w:val="center"/>
                </w:tcPr>
                <w:p w14:paraId="52B1F3F2">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13E1983B">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7EADA96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、加快油品质量升级。停止销售低于国</w:t>
                  </w:r>
                  <w:r>
                    <w:rPr>
                      <w:rFonts w:hint="default" w:ascii="Times New Roman" w:hAnsi="Times New Roman" w:eastAsia="宋体" w:cs="Times New Roman"/>
                      <w:color w:val="auto"/>
                      <w:spacing w:val="-10"/>
                      <w:sz w:val="18"/>
                      <w:szCs w:val="18"/>
                      <w:highlight w:val="none"/>
                      <w:lang w:val="en-US" w:eastAsia="zh-CN"/>
                    </w:rPr>
                    <w:t>Ⅵ</w:t>
                  </w:r>
                  <w:r>
                    <w:rPr>
                      <w:rFonts w:hint="eastAsia" w:ascii="Times New Roman" w:hAnsi="Times New Roman" w:eastAsia="宋体" w:cs="Times New Roman"/>
                      <w:color w:val="auto"/>
                      <w:spacing w:val="-10"/>
                      <w:sz w:val="18"/>
                      <w:szCs w:val="18"/>
                      <w:highlight w:val="none"/>
                      <w:lang w:val="en-US" w:eastAsia="zh-CN"/>
                    </w:rPr>
                    <w:t>标准的汽柴油，实现车用柴油、普通柴油、部分船舶用油“三油并轨”。</w:t>
                  </w:r>
                </w:p>
              </w:tc>
              <w:tc>
                <w:tcPr>
                  <w:tcW w:w="2721" w:type="dxa"/>
                  <w:tcBorders>
                    <w:tl2br w:val="nil"/>
                    <w:tr2bl w:val="nil"/>
                  </w:tcBorders>
                  <w:vAlign w:val="center"/>
                </w:tcPr>
                <w:p w14:paraId="1902E9A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06286DC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BAB7B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687" w:type="dxa"/>
                  <w:vMerge w:val="continue"/>
                  <w:tcBorders>
                    <w:tl2br w:val="nil"/>
                    <w:tr2bl w:val="nil"/>
                  </w:tcBorders>
                  <w:vAlign w:val="center"/>
                </w:tcPr>
                <w:p w14:paraId="60C7D8A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5C08A5A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38C3198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7</w:t>
                  </w:r>
                  <w:r>
                    <w:rPr>
                      <w:rFonts w:hint="eastAsia" w:ascii="Times New Roman" w:hAnsi="Times New Roman" w:eastAsia="宋体" w:cs="Times New Roman"/>
                      <w:color w:val="auto"/>
                      <w:spacing w:val="-10"/>
                      <w:sz w:val="18"/>
                      <w:szCs w:val="18"/>
                      <w:highlight w:val="none"/>
                      <w:lang w:val="en-US" w:eastAsia="zh-CN"/>
                    </w:rPr>
                    <w:t>、推进矿山综合整治。按照“能关则关、应合尽合、能转则转”的原则，对违反法律法规、列入关闭计划、整改不达标、乱采滥挖的矿山，依法依规坚决关闭取缔。</w:t>
                  </w:r>
                </w:p>
              </w:tc>
              <w:tc>
                <w:tcPr>
                  <w:tcW w:w="2721" w:type="dxa"/>
                  <w:tcBorders>
                    <w:tl2br w:val="nil"/>
                    <w:tr2bl w:val="nil"/>
                  </w:tcBorders>
                  <w:vAlign w:val="center"/>
                </w:tcPr>
                <w:p w14:paraId="1BBEDD3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5E57EF8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1269B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687" w:type="dxa"/>
                  <w:vMerge w:val="continue"/>
                  <w:tcBorders>
                    <w:tl2br w:val="nil"/>
                    <w:tr2bl w:val="nil"/>
                  </w:tcBorders>
                  <w:vAlign w:val="center"/>
                </w:tcPr>
                <w:p w14:paraId="2B27B38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3005B692">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22BE44A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8</w:t>
                  </w:r>
                  <w:r>
                    <w:rPr>
                      <w:rFonts w:hint="eastAsia" w:ascii="Times New Roman" w:hAnsi="Times New Roman" w:eastAsia="宋体" w:cs="Times New Roman"/>
                      <w:color w:val="auto"/>
                      <w:spacing w:val="-10"/>
                      <w:sz w:val="18"/>
                      <w:szCs w:val="18"/>
                      <w:highlight w:val="none"/>
                      <w:lang w:val="en-US" w:eastAsia="zh-CN"/>
                    </w:rPr>
                    <w:t>、强化建筑施工扬尘污染防治，严格落实《河北省扬尘污染防治办法》，对城市建成区、县城建筑施工工地实施全面监管。强化道路扬尘综合治理，按照《河北省城市精细化管理标准》有关要求，全面巩固洁净城市创建成果。</w:t>
                  </w:r>
                </w:p>
              </w:tc>
              <w:tc>
                <w:tcPr>
                  <w:tcW w:w="2721" w:type="dxa"/>
                  <w:tcBorders>
                    <w:tl2br w:val="nil"/>
                    <w:tr2bl w:val="nil"/>
                  </w:tcBorders>
                  <w:vAlign w:val="center"/>
                </w:tcPr>
                <w:p w14:paraId="44F536A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本项目已建成</w:t>
                  </w:r>
                </w:p>
              </w:tc>
              <w:tc>
                <w:tcPr>
                  <w:tcW w:w="750" w:type="dxa"/>
                  <w:tcBorders>
                    <w:tl2br w:val="nil"/>
                    <w:tr2bl w:val="nil"/>
                  </w:tcBorders>
                  <w:vAlign w:val="center"/>
                </w:tcPr>
                <w:p w14:paraId="1A8E9117">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1799E1C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48CA24B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2FF16D85">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vAlign w:val="center"/>
                </w:tcPr>
                <w:p w14:paraId="68E5B09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9</w:t>
                  </w:r>
                  <w:r>
                    <w:rPr>
                      <w:rFonts w:hint="eastAsia" w:ascii="Times New Roman" w:hAnsi="Times New Roman" w:eastAsia="宋体" w:cs="Times New Roman"/>
                      <w:color w:val="auto"/>
                      <w:spacing w:val="-10"/>
                      <w:sz w:val="18"/>
                      <w:szCs w:val="18"/>
                      <w:highlight w:val="none"/>
                      <w:lang w:val="en-US" w:eastAsia="zh-CN"/>
                    </w:rPr>
                    <w:t>、深化重点行业深度治理。巩固钢铁、焦化、煤电、水泥、平板玻璃等重点行业超低排放改造成效，实施工艺全流程深度治理，推进全过程无组织排放管控。</w:t>
                  </w:r>
                </w:p>
              </w:tc>
              <w:tc>
                <w:tcPr>
                  <w:tcW w:w="2721" w:type="dxa"/>
                  <w:tcBorders>
                    <w:tl2br w:val="nil"/>
                    <w:tr2bl w:val="nil"/>
                  </w:tcBorders>
                  <w:vAlign w:val="center"/>
                </w:tcPr>
                <w:p w14:paraId="70BB222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不属于重点行业，同时项目</w:t>
                  </w:r>
                  <w:r>
                    <w:rPr>
                      <w:rFonts w:hint="eastAsia" w:ascii="Times New Roman" w:hAnsi="Times New Roman" w:eastAsia="宋体" w:cs="Times New Roman"/>
                      <w:color w:val="auto"/>
                      <w:spacing w:val="-10"/>
                      <w:sz w:val="18"/>
                      <w:szCs w:val="18"/>
                      <w:highlight w:val="none"/>
                      <w:lang w:val="en-US" w:eastAsia="zh-CN"/>
                    </w:rPr>
                    <w:t>配套建设</w:t>
                  </w:r>
                  <w:r>
                    <w:rPr>
                      <w:rFonts w:hint="eastAsia" w:cs="Times New Roman"/>
                      <w:color w:val="auto"/>
                      <w:spacing w:val="-10"/>
                      <w:sz w:val="18"/>
                      <w:szCs w:val="18"/>
                      <w:highlight w:val="none"/>
                      <w:lang w:val="en-US" w:eastAsia="zh-CN"/>
                    </w:rPr>
                    <w:t>了</w:t>
                  </w:r>
                  <w:r>
                    <w:rPr>
                      <w:rFonts w:hint="eastAsia" w:ascii="Times New Roman" w:hAnsi="Times New Roman" w:eastAsia="宋体" w:cs="Times New Roman"/>
                      <w:color w:val="auto"/>
                      <w:spacing w:val="-10"/>
                      <w:sz w:val="18"/>
                      <w:szCs w:val="18"/>
                      <w:highlight w:val="none"/>
                      <w:lang w:val="en-US" w:eastAsia="zh-CN"/>
                    </w:rPr>
                    <w:t>高效环保治理设施，污染物达标排放。</w:t>
                  </w:r>
                </w:p>
              </w:tc>
              <w:tc>
                <w:tcPr>
                  <w:tcW w:w="750" w:type="dxa"/>
                  <w:tcBorders>
                    <w:tl2br w:val="nil"/>
                    <w:tr2bl w:val="nil"/>
                  </w:tcBorders>
                  <w:vAlign w:val="center"/>
                </w:tcPr>
                <w:p w14:paraId="40AC3B35">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27F8AC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53CA336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09" w:type="dxa"/>
                  <w:vMerge w:val="continue"/>
                  <w:tcBorders>
                    <w:tl2br w:val="nil"/>
                    <w:tr2bl w:val="nil"/>
                  </w:tcBorders>
                  <w:vAlign w:val="center"/>
                </w:tcPr>
                <w:p w14:paraId="1950EA0E">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708" w:type="dxa"/>
                  <w:tcBorders>
                    <w:tl2br w:val="nil"/>
                    <w:tr2bl w:val="nil"/>
                  </w:tcBorders>
                  <w:shd w:val="clear" w:color="auto" w:fill="auto"/>
                  <w:vAlign w:val="center"/>
                </w:tcPr>
                <w:p w14:paraId="569303B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加强重污染天气应急联动。加强污染气象条件和空气污染监测、预报预警和评估能力建设，建成全市区域传输监控预警系统，提高重污染天气预报预警的准确度。加大秋冬季工业企业生产调控力度，按照基本抵消新增污染物排放量的原则，对钢铁、建材、焦化、铸造、化工等高排放行业实行强化管控。</w:t>
                  </w:r>
                </w:p>
              </w:tc>
              <w:tc>
                <w:tcPr>
                  <w:tcW w:w="2721" w:type="dxa"/>
                  <w:tcBorders>
                    <w:tl2br w:val="nil"/>
                    <w:tr2bl w:val="nil"/>
                  </w:tcBorders>
                  <w:shd w:val="clear" w:color="auto" w:fill="auto"/>
                  <w:vAlign w:val="center"/>
                </w:tcPr>
                <w:p w14:paraId="319E382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本项目属于服务行业，不属于钢铁、建材、焦化、铸造、化工等高排放行业</w:t>
                  </w:r>
                </w:p>
              </w:tc>
              <w:tc>
                <w:tcPr>
                  <w:tcW w:w="750" w:type="dxa"/>
                  <w:tcBorders>
                    <w:tl2br w:val="nil"/>
                    <w:tr2bl w:val="nil"/>
                  </w:tcBorders>
                  <w:shd w:val="clear" w:color="auto" w:fill="auto"/>
                  <w:vAlign w:val="center"/>
                </w:tcPr>
                <w:p w14:paraId="3CE9CE5B">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13D8CB02">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20"/>
              <w:gridCol w:w="6311"/>
              <w:gridCol w:w="3107"/>
              <w:gridCol w:w="750"/>
            </w:tblGrid>
            <w:tr w14:paraId="312EFA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807" w:type="dxa"/>
                  <w:gridSpan w:val="2"/>
                  <w:tcBorders>
                    <w:tl2br w:val="nil"/>
                    <w:tr2bl w:val="nil"/>
                  </w:tcBorders>
                  <w:vAlign w:val="center"/>
                </w:tcPr>
                <w:p w14:paraId="00A0381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311" w:type="dxa"/>
                  <w:tcBorders>
                    <w:tl2br w:val="nil"/>
                    <w:tr2bl w:val="nil"/>
                  </w:tcBorders>
                  <w:vAlign w:val="center"/>
                </w:tcPr>
                <w:p w14:paraId="49EACA9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107" w:type="dxa"/>
                  <w:tcBorders>
                    <w:tl2br w:val="nil"/>
                    <w:tr2bl w:val="nil"/>
                  </w:tcBorders>
                  <w:vAlign w:val="center"/>
                </w:tcPr>
                <w:p w14:paraId="58B72362">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475FAA0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643F15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87" w:type="dxa"/>
                  <w:vMerge w:val="restart"/>
                  <w:tcBorders>
                    <w:tl2br w:val="nil"/>
                    <w:tr2bl w:val="nil"/>
                  </w:tcBorders>
                  <w:vAlign w:val="center"/>
                </w:tcPr>
                <w:p w14:paraId="0A9E8BE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大气环境</w:t>
                  </w:r>
                </w:p>
              </w:tc>
              <w:tc>
                <w:tcPr>
                  <w:tcW w:w="1120" w:type="dxa"/>
                  <w:vMerge w:val="restart"/>
                  <w:tcBorders>
                    <w:tl2br w:val="nil"/>
                    <w:tr2bl w:val="nil"/>
                  </w:tcBorders>
                  <w:vAlign w:val="center"/>
                </w:tcPr>
                <w:p w14:paraId="43D4D06E">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污染物排放管控</w:t>
                  </w:r>
                </w:p>
              </w:tc>
              <w:tc>
                <w:tcPr>
                  <w:tcW w:w="6311" w:type="dxa"/>
                  <w:tcBorders>
                    <w:tl2br w:val="nil"/>
                    <w:tr2bl w:val="nil"/>
                  </w:tcBorders>
                  <w:shd w:val="clear" w:color="auto" w:fill="auto"/>
                  <w:vAlign w:val="center"/>
                </w:tcPr>
                <w:p w14:paraId="43FF869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11</w:t>
                  </w:r>
                  <w:r>
                    <w:rPr>
                      <w:rFonts w:hint="eastAsia" w:ascii="Times New Roman" w:hAnsi="Times New Roman" w:eastAsia="宋体" w:cs="Times New Roman"/>
                      <w:color w:val="auto"/>
                      <w:spacing w:val="-10"/>
                      <w:sz w:val="18"/>
                      <w:szCs w:val="18"/>
                      <w:highlight w:val="none"/>
                      <w:lang w:val="en-US" w:eastAsia="zh-CN"/>
                    </w:rPr>
                    <w:t>、强化柴油货车污染防治。加快柴油货车治理，推动货运经营整合升级、提质增效，加快规模化发展、连锁化经营。实施清洁柴油车、清洁运输和清洁油品行动，降低污染排放总量。</w:t>
                  </w:r>
                </w:p>
              </w:tc>
              <w:tc>
                <w:tcPr>
                  <w:tcW w:w="3107" w:type="dxa"/>
                  <w:tcBorders>
                    <w:tl2br w:val="nil"/>
                    <w:tr2bl w:val="nil"/>
                  </w:tcBorders>
                  <w:shd w:val="clear" w:color="auto" w:fill="auto"/>
                  <w:vAlign w:val="center"/>
                </w:tcPr>
                <w:p w14:paraId="7793A14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0C3609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9A67E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87" w:type="dxa"/>
                  <w:vMerge w:val="continue"/>
                  <w:tcBorders>
                    <w:tl2br w:val="nil"/>
                    <w:tr2bl w:val="nil"/>
                  </w:tcBorders>
                  <w:vAlign w:val="center"/>
                </w:tcPr>
                <w:p w14:paraId="17A424ED">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007975DD">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shd w:val="clear" w:color="auto" w:fill="auto"/>
                  <w:vAlign w:val="center"/>
                </w:tcPr>
                <w:p w14:paraId="0DFAFB4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12</w:t>
                  </w:r>
                  <w:r>
                    <w:rPr>
                      <w:rFonts w:hint="eastAsia" w:ascii="Times New Roman" w:hAnsi="Times New Roman" w:eastAsia="宋体" w:cs="Times New Roman"/>
                      <w:color w:val="auto"/>
                      <w:spacing w:val="-10"/>
                      <w:sz w:val="18"/>
                      <w:szCs w:val="18"/>
                      <w:highlight w:val="none"/>
                      <w:lang w:val="en-US" w:eastAsia="zh-CN"/>
                    </w:rPr>
                    <w:t>、禁止露天焚烧秸秆、落叶、枯草等产生烟尘污染的物质，以及电子废弃物、油毡、橡胶、 塑料、皮革、沥青、垃圾等产生有毒有害、恶臭或者强烈异味气体的物质。</w:t>
                  </w:r>
                </w:p>
              </w:tc>
              <w:tc>
                <w:tcPr>
                  <w:tcW w:w="3107" w:type="dxa"/>
                  <w:tcBorders>
                    <w:tl2br w:val="nil"/>
                    <w:tr2bl w:val="nil"/>
                  </w:tcBorders>
                  <w:shd w:val="clear" w:color="auto" w:fill="auto"/>
                  <w:vAlign w:val="center"/>
                </w:tcPr>
                <w:p w14:paraId="54B4A82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097CC9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ECCFD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687" w:type="dxa"/>
                  <w:vMerge w:val="continue"/>
                  <w:tcBorders>
                    <w:tl2br w:val="nil"/>
                    <w:tr2bl w:val="nil"/>
                  </w:tcBorders>
                  <w:vAlign w:val="center"/>
                </w:tcPr>
                <w:p w14:paraId="3A656F1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41505F08">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vAlign w:val="center"/>
                </w:tcPr>
                <w:p w14:paraId="22247A5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13</w:t>
                  </w:r>
                  <w:r>
                    <w:rPr>
                      <w:rFonts w:hint="eastAsia" w:ascii="Times New Roman" w:hAnsi="Times New Roman" w:eastAsia="宋体" w:cs="Times New Roman"/>
                      <w:color w:val="auto"/>
                      <w:spacing w:val="-10"/>
                      <w:sz w:val="18"/>
                      <w:szCs w:val="18"/>
                      <w:highlight w:val="none"/>
                      <w:lang w:val="en-US" w:eastAsia="zh-CN"/>
                    </w:rPr>
                    <w:t xml:space="preserve">、以化工、工业涂装、包装印刷、油品储运销等行业领域为重点，安全高效推进挥发性有机物综合治理，无组织排放和末端深度治理等提升改造工程。 </w:t>
                  </w:r>
                </w:p>
              </w:tc>
              <w:tc>
                <w:tcPr>
                  <w:tcW w:w="3107" w:type="dxa"/>
                  <w:tcBorders>
                    <w:tl2br w:val="nil"/>
                    <w:tr2bl w:val="nil"/>
                  </w:tcBorders>
                  <w:vAlign w:val="center"/>
                </w:tcPr>
                <w:p w14:paraId="13F13B1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项目为</w:t>
                  </w:r>
                  <w:r>
                    <w:rPr>
                      <w:rFonts w:hint="eastAsia" w:ascii="Times New Roman" w:hAnsi="Times New Roman" w:eastAsia="宋体" w:cs="Times New Roman"/>
                      <w:color w:val="auto"/>
                      <w:spacing w:val="-10"/>
                      <w:sz w:val="18"/>
                      <w:szCs w:val="18"/>
                      <w:highlight w:val="none"/>
                      <w:lang w:val="en-US" w:eastAsia="zh-CN"/>
                    </w:rPr>
                    <w:t>M7461环境保护监测</w:t>
                  </w:r>
                  <w:r>
                    <w:rPr>
                      <w:rFonts w:hint="default" w:ascii="Times New Roman" w:hAnsi="Times New Roman" w:eastAsia="宋体" w:cs="Times New Roman"/>
                      <w:color w:val="auto"/>
                      <w:spacing w:val="-10"/>
                      <w:sz w:val="18"/>
                      <w:szCs w:val="18"/>
                      <w:highlight w:val="none"/>
                      <w:lang w:val="en-US" w:eastAsia="zh-CN"/>
                    </w:rPr>
                    <w:t>，不属于</w:t>
                  </w:r>
                  <w:r>
                    <w:rPr>
                      <w:rFonts w:hint="eastAsia" w:ascii="Times New Roman" w:hAnsi="Times New Roman" w:eastAsia="宋体" w:cs="Times New Roman"/>
                      <w:color w:val="auto"/>
                      <w:spacing w:val="-10"/>
                      <w:sz w:val="18"/>
                      <w:szCs w:val="18"/>
                      <w:highlight w:val="none"/>
                      <w:lang w:val="en-US" w:eastAsia="zh-CN"/>
                    </w:rPr>
                    <w:t>化工、工业涂装、包装印刷、油品储运销等行业。项目涉及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w:t>
                  </w:r>
                  <w:r>
                    <w:rPr>
                      <w:rFonts w:hint="default" w:ascii="Times New Roman" w:hAnsi="Times New Roman" w:eastAsia="宋体" w:cs="Times New Roman"/>
                      <w:color w:val="auto"/>
                      <w:spacing w:val="-10"/>
                      <w:sz w:val="18"/>
                      <w:szCs w:val="18"/>
                      <w:highlight w:val="none"/>
                      <w:lang w:val="en-US" w:eastAsia="zh-CN"/>
                    </w:rPr>
                    <w:t>减少无组织排放</w:t>
                  </w:r>
                  <w:r>
                    <w:rPr>
                      <w:rFonts w:hint="eastAsia" w:ascii="Times New Roman" w:hAnsi="Times New Roman" w:eastAsia="宋体" w:cs="Times New Roman"/>
                      <w:color w:val="auto"/>
                      <w:spacing w:val="-10"/>
                      <w:sz w:val="18"/>
                      <w:szCs w:val="18"/>
                      <w:highlight w:val="none"/>
                      <w:lang w:val="en-US" w:eastAsia="zh-CN"/>
                    </w:rPr>
                    <w:t>；项目属于小风量、低浓度有机废气，实验区域为封闭空间，采用整体排风，经通风橱与万向罩收集设施收集后由二级活性炭吸附装置处理，达标后经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w:t>
                  </w:r>
                </w:p>
              </w:tc>
              <w:tc>
                <w:tcPr>
                  <w:tcW w:w="750" w:type="dxa"/>
                  <w:tcBorders>
                    <w:tl2br w:val="nil"/>
                    <w:tr2bl w:val="nil"/>
                  </w:tcBorders>
                  <w:vAlign w:val="center"/>
                </w:tcPr>
                <w:p w14:paraId="2687100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A0D52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687" w:type="dxa"/>
                  <w:vMerge w:val="continue"/>
                  <w:tcBorders>
                    <w:tl2br w:val="nil"/>
                    <w:tr2bl w:val="nil"/>
                  </w:tcBorders>
                  <w:vAlign w:val="center"/>
                </w:tcPr>
                <w:p w14:paraId="31ACF9E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62AA8685">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vAlign w:val="center"/>
                </w:tcPr>
                <w:p w14:paraId="0B5C647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14</w:t>
                  </w:r>
                  <w:r>
                    <w:rPr>
                      <w:rFonts w:hint="eastAsia" w:ascii="Times New Roman" w:hAnsi="Times New Roman" w:eastAsia="宋体" w:cs="Times New Roman"/>
                      <w:color w:val="auto"/>
                      <w:spacing w:val="-10"/>
                      <w:sz w:val="18"/>
                      <w:szCs w:val="18"/>
                      <w:highlight w:val="none"/>
                      <w:lang w:val="en-US" w:eastAsia="zh-CN"/>
                    </w:rPr>
                    <w:t>、推动大气氨排放控制。加强烟气脱硝和氨法脱硫氨逃逸控制。推进种植业、养殖业大气氨减排，加强源头防控，优化肥料、饲料结构。</w:t>
                  </w:r>
                </w:p>
              </w:tc>
              <w:tc>
                <w:tcPr>
                  <w:tcW w:w="3107" w:type="dxa"/>
                  <w:tcBorders>
                    <w:tl2br w:val="nil"/>
                    <w:tr2bl w:val="nil"/>
                  </w:tcBorders>
                  <w:vAlign w:val="center"/>
                </w:tcPr>
                <w:p w14:paraId="566696F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57F6A11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63057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3" w:hRule="atLeast"/>
              </w:trPr>
              <w:tc>
                <w:tcPr>
                  <w:tcW w:w="687" w:type="dxa"/>
                  <w:vMerge w:val="continue"/>
                  <w:tcBorders>
                    <w:tl2br w:val="nil"/>
                    <w:tr2bl w:val="nil"/>
                  </w:tcBorders>
                  <w:vAlign w:val="center"/>
                </w:tcPr>
                <w:p w14:paraId="452764C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vMerge w:val="continue"/>
                  <w:tcBorders>
                    <w:tl2br w:val="nil"/>
                    <w:tr2bl w:val="nil"/>
                  </w:tcBorders>
                  <w:vAlign w:val="center"/>
                </w:tcPr>
                <w:p w14:paraId="53F327F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6311" w:type="dxa"/>
                  <w:tcBorders>
                    <w:tl2br w:val="nil"/>
                    <w:tr2bl w:val="nil"/>
                  </w:tcBorders>
                  <w:vAlign w:val="center"/>
                </w:tcPr>
                <w:p w14:paraId="43D230D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15</w:t>
                  </w:r>
                  <w:r>
                    <w:rPr>
                      <w:rFonts w:hint="eastAsia" w:ascii="Times New Roman" w:hAnsi="Times New Roman" w:eastAsia="宋体" w:cs="Times New Roman"/>
                      <w:color w:val="auto"/>
                      <w:spacing w:val="-10"/>
                      <w:sz w:val="18"/>
                      <w:szCs w:val="18"/>
                      <w:highlight w:val="none"/>
                      <w:lang w:val="en-US" w:eastAsia="zh-CN"/>
                    </w:rPr>
                    <w:t>、严格控制二氧化碳排放强度。加强甲烷等非二氧化碳温室气体管控。</w:t>
                  </w:r>
                </w:p>
              </w:tc>
              <w:tc>
                <w:tcPr>
                  <w:tcW w:w="3107" w:type="dxa"/>
                  <w:tcBorders>
                    <w:tl2br w:val="nil"/>
                    <w:tr2bl w:val="nil"/>
                  </w:tcBorders>
                  <w:vAlign w:val="center"/>
                </w:tcPr>
                <w:p w14:paraId="32AD9F2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50798F3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6C79CC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4343659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20" w:type="dxa"/>
                  <w:tcBorders>
                    <w:tl2br w:val="nil"/>
                    <w:tr2bl w:val="nil"/>
                  </w:tcBorders>
                  <w:vAlign w:val="center"/>
                </w:tcPr>
                <w:p w14:paraId="05EE95A9">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环境风险防控</w:t>
                  </w:r>
                </w:p>
              </w:tc>
              <w:tc>
                <w:tcPr>
                  <w:tcW w:w="6311" w:type="dxa"/>
                  <w:tcBorders>
                    <w:tl2br w:val="nil"/>
                    <w:tr2bl w:val="nil"/>
                  </w:tcBorders>
                  <w:vAlign w:val="center"/>
                </w:tcPr>
                <w:p w14:paraId="3AF4E48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完善市、县、乡、村网格化环境监管体系，建立信息全面、要素齐全、处置高效、决策科学的市级大气环境监管大数据平台，实现对各级网格和各类污染源的集中在线监测、全程监控和监管指挥。</w:t>
                  </w:r>
                </w:p>
              </w:tc>
              <w:tc>
                <w:tcPr>
                  <w:tcW w:w="3107" w:type="dxa"/>
                  <w:tcBorders>
                    <w:tl2br w:val="nil"/>
                    <w:tr2bl w:val="nil"/>
                  </w:tcBorders>
                  <w:vAlign w:val="center"/>
                </w:tcPr>
                <w:p w14:paraId="5A6EB52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0" w:type="dxa"/>
                  <w:tcBorders>
                    <w:tl2br w:val="nil"/>
                    <w:tr2bl w:val="nil"/>
                  </w:tcBorders>
                  <w:vAlign w:val="center"/>
                </w:tcPr>
                <w:p w14:paraId="107D466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83D48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restart"/>
                  <w:tcBorders>
                    <w:tl2br w:val="nil"/>
                    <w:tr2bl w:val="nil"/>
                  </w:tcBorders>
                  <w:vAlign w:val="center"/>
                </w:tcPr>
                <w:p w14:paraId="261463E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地表水环境</w:t>
                  </w:r>
                </w:p>
              </w:tc>
              <w:tc>
                <w:tcPr>
                  <w:tcW w:w="1120" w:type="dxa"/>
                  <w:tcBorders>
                    <w:tl2br w:val="nil"/>
                    <w:tr2bl w:val="nil"/>
                  </w:tcBorders>
                  <w:vAlign w:val="center"/>
                </w:tcPr>
                <w:p w14:paraId="3FE35F2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污染防控目标</w:t>
                  </w:r>
                </w:p>
              </w:tc>
              <w:tc>
                <w:tcPr>
                  <w:tcW w:w="6311" w:type="dxa"/>
                  <w:tcBorders>
                    <w:tl2br w:val="nil"/>
                    <w:tr2bl w:val="nil"/>
                  </w:tcBorders>
                  <w:vAlign w:val="center"/>
                </w:tcPr>
                <w:p w14:paraId="65DFE15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到2025年全市水生态环境质量持续改善，地表水国家和河北省考核断面，达到或优于Ⅲ类水体断面比例达到</w:t>
                  </w:r>
                  <w:r>
                    <w:rPr>
                      <w:rFonts w:hint="eastAsia" w:cs="Times New Roman"/>
                      <w:color w:val="auto"/>
                      <w:spacing w:val="-10"/>
                      <w:sz w:val="18"/>
                      <w:szCs w:val="18"/>
                      <w:highlight w:val="none"/>
                      <w:lang w:val="en-US" w:eastAsia="zh-CN"/>
                    </w:rPr>
                    <w:t>85.71</w:t>
                  </w:r>
                  <w:r>
                    <w:rPr>
                      <w:rFonts w:hint="eastAsia" w:ascii="Times New Roman" w:hAnsi="Times New Roman" w:eastAsia="宋体" w:cs="Times New Roman"/>
                      <w:color w:val="auto"/>
                      <w:spacing w:val="-10"/>
                      <w:sz w:val="18"/>
                      <w:szCs w:val="18"/>
                      <w:highlight w:val="none"/>
                      <w:lang w:val="en-US" w:eastAsia="zh-CN"/>
                    </w:rPr>
                    <w:t>%，劣Ⅴ类水体比例全部消除；城市集中式饮用水水源水质达到或优于Ⅲ类比例为100%</w:t>
                  </w:r>
                </w:p>
              </w:tc>
              <w:tc>
                <w:tcPr>
                  <w:tcW w:w="3107" w:type="dxa"/>
                  <w:tcBorders>
                    <w:tl2br w:val="nil"/>
                    <w:tr2bl w:val="nil"/>
                  </w:tcBorders>
                  <w:vAlign w:val="center"/>
                </w:tcPr>
                <w:p w14:paraId="367D224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职工生活污水一并经化粪池处理后排入迁安市污水处理厂进行处理，不会对地表水环境产生明显影响</w:t>
                  </w:r>
                </w:p>
              </w:tc>
              <w:tc>
                <w:tcPr>
                  <w:tcW w:w="750" w:type="dxa"/>
                  <w:tcBorders>
                    <w:tl2br w:val="nil"/>
                    <w:tr2bl w:val="nil"/>
                  </w:tcBorders>
                  <w:vAlign w:val="center"/>
                </w:tcPr>
                <w:p w14:paraId="61A838D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CE7C42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5D5C6FC1">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120" w:type="dxa"/>
                  <w:tcBorders>
                    <w:tl2br w:val="nil"/>
                    <w:tr2bl w:val="nil"/>
                  </w:tcBorders>
                  <w:vAlign w:val="center"/>
                </w:tcPr>
                <w:p w14:paraId="428E261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311" w:type="dxa"/>
                  <w:tcBorders>
                    <w:tl2br w:val="nil"/>
                    <w:tr2bl w:val="nil"/>
                  </w:tcBorders>
                  <w:vAlign w:val="center"/>
                </w:tcPr>
                <w:p w14:paraId="3AAA4C7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、涉地表水自然保护区、湿地公园、饮用水水源保护区管控参照生态环境空间总体管控要求中各类保护地总体管控要求。</w:t>
                  </w:r>
                </w:p>
              </w:tc>
              <w:tc>
                <w:tcPr>
                  <w:tcW w:w="3107" w:type="dxa"/>
                  <w:tcBorders>
                    <w:tl2br w:val="nil"/>
                    <w:tr2bl w:val="nil"/>
                  </w:tcBorders>
                  <w:vAlign w:val="center"/>
                </w:tcPr>
                <w:p w14:paraId="322F0123">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位于迁安市永顺街道昌盛路与兴安大街交叉口620号，不在</w:t>
                  </w:r>
                  <w:r>
                    <w:rPr>
                      <w:rFonts w:hint="default" w:ascii="Times New Roman" w:hAnsi="Times New Roman" w:eastAsia="宋体" w:cs="Times New Roman"/>
                      <w:color w:val="auto"/>
                      <w:spacing w:val="-10"/>
                      <w:sz w:val="18"/>
                      <w:szCs w:val="18"/>
                      <w:highlight w:val="none"/>
                      <w:lang w:val="en-US" w:eastAsia="zh-CN"/>
                    </w:rPr>
                    <w:t>涉</w:t>
                  </w:r>
                  <w:r>
                    <w:rPr>
                      <w:rFonts w:hint="eastAsia" w:ascii="Times New Roman" w:hAnsi="Times New Roman" w:eastAsia="宋体" w:cs="Times New Roman"/>
                      <w:color w:val="auto"/>
                      <w:spacing w:val="-10"/>
                      <w:sz w:val="18"/>
                      <w:szCs w:val="18"/>
                      <w:highlight w:val="none"/>
                      <w:lang w:val="en-US" w:eastAsia="zh-CN"/>
                    </w:rPr>
                    <w:t>地表水</w:t>
                  </w:r>
                  <w:r>
                    <w:rPr>
                      <w:rFonts w:hint="default" w:ascii="Times New Roman" w:hAnsi="Times New Roman" w:eastAsia="宋体" w:cs="Times New Roman"/>
                      <w:color w:val="auto"/>
                      <w:spacing w:val="-10"/>
                      <w:sz w:val="18"/>
                      <w:szCs w:val="18"/>
                      <w:highlight w:val="none"/>
                      <w:lang w:val="en-US" w:eastAsia="zh-CN"/>
                    </w:rPr>
                    <w:t>自然保护区</w:t>
                  </w:r>
                  <w:r>
                    <w:rPr>
                      <w:rFonts w:hint="eastAsia" w:ascii="Times New Roman" w:hAnsi="Times New Roman" w:eastAsia="宋体" w:cs="Times New Roman"/>
                      <w:color w:val="auto"/>
                      <w:spacing w:val="-10"/>
                      <w:sz w:val="18"/>
                      <w:szCs w:val="18"/>
                      <w:highlight w:val="none"/>
                      <w:lang w:val="en-US" w:eastAsia="zh-CN"/>
                    </w:rPr>
                    <w:t>、湿地公园</w:t>
                  </w:r>
                  <w:r>
                    <w:rPr>
                      <w:rFonts w:hint="default" w:ascii="Times New Roman" w:hAnsi="Times New Roman" w:eastAsia="宋体" w:cs="Times New Roman"/>
                      <w:color w:val="auto"/>
                      <w:spacing w:val="-10"/>
                      <w:sz w:val="18"/>
                      <w:szCs w:val="18"/>
                      <w:highlight w:val="none"/>
                      <w:lang w:val="en-US" w:eastAsia="zh-CN"/>
                    </w:rPr>
                    <w:t>及饮用水源保护区</w:t>
                  </w:r>
                  <w:r>
                    <w:rPr>
                      <w:rFonts w:hint="eastAsia" w:ascii="Times New Roman" w:hAnsi="Times New Roman" w:eastAsia="宋体" w:cs="Times New Roman"/>
                      <w:color w:val="auto"/>
                      <w:spacing w:val="-10"/>
                      <w:sz w:val="18"/>
                      <w:szCs w:val="18"/>
                      <w:highlight w:val="none"/>
                      <w:lang w:val="en-US" w:eastAsia="zh-CN"/>
                    </w:rPr>
                    <w:t>范围内</w:t>
                  </w:r>
                </w:p>
              </w:tc>
              <w:tc>
                <w:tcPr>
                  <w:tcW w:w="750" w:type="dxa"/>
                  <w:tcBorders>
                    <w:tl2br w:val="nil"/>
                    <w:tr2bl w:val="nil"/>
                  </w:tcBorders>
                  <w:vAlign w:val="center"/>
                </w:tcPr>
                <w:p w14:paraId="4E88AFA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52F361C8">
            <w:pPr>
              <w:rPr>
                <w:color w:val="auto"/>
              </w:rPr>
            </w:pPr>
          </w:p>
          <w:p w14:paraId="6ABC9214">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820"/>
              <w:gridCol w:w="6105"/>
              <w:gridCol w:w="3613"/>
              <w:gridCol w:w="750"/>
            </w:tblGrid>
            <w:tr w14:paraId="20EF0C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507" w:type="dxa"/>
                  <w:gridSpan w:val="2"/>
                  <w:tcBorders>
                    <w:tl2br w:val="nil"/>
                    <w:tr2bl w:val="nil"/>
                  </w:tcBorders>
                  <w:vAlign w:val="center"/>
                </w:tcPr>
                <w:p w14:paraId="6257F94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105" w:type="dxa"/>
                  <w:tcBorders>
                    <w:tl2br w:val="nil"/>
                    <w:tr2bl w:val="nil"/>
                  </w:tcBorders>
                  <w:vAlign w:val="center"/>
                </w:tcPr>
                <w:p w14:paraId="09F4351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613" w:type="dxa"/>
                  <w:tcBorders>
                    <w:tl2br w:val="nil"/>
                    <w:tr2bl w:val="nil"/>
                  </w:tcBorders>
                  <w:vAlign w:val="center"/>
                </w:tcPr>
                <w:p w14:paraId="72B4E31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24E50288">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63637B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restart"/>
                  <w:tcBorders>
                    <w:tl2br w:val="nil"/>
                    <w:tr2bl w:val="nil"/>
                  </w:tcBorders>
                  <w:vAlign w:val="center"/>
                </w:tcPr>
                <w:p w14:paraId="405315D4">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地表水环境</w:t>
                  </w:r>
                </w:p>
              </w:tc>
              <w:tc>
                <w:tcPr>
                  <w:tcW w:w="820" w:type="dxa"/>
                  <w:vMerge w:val="restart"/>
                  <w:tcBorders>
                    <w:tl2br w:val="nil"/>
                    <w:tr2bl w:val="nil"/>
                  </w:tcBorders>
                  <w:vAlign w:val="center"/>
                </w:tcPr>
                <w:p w14:paraId="0EC91A1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105" w:type="dxa"/>
                  <w:tcBorders>
                    <w:tl2br w:val="nil"/>
                    <w:tr2bl w:val="nil"/>
                  </w:tcBorders>
                  <w:shd w:val="clear" w:color="auto" w:fill="auto"/>
                  <w:vAlign w:val="center"/>
                </w:tcPr>
                <w:p w14:paraId="47993EA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、鼓励发展节水高效现代农业、低耗水高新技术产业以及生态保护型旅游业，严格控制缺水地区、水污染严重地区和敏感区域高耗水、高污染行业发展。</w:t>
                  </w:r>
                </w:p>
              </w:tc>
              <w:tc>
                <w:tcPr>
                  <w:tcW w:w="3613" w:type="dxa"/>
                  <w:tcBorders>
                    <w:tl2br w:val="nil"/>
                    <w:tr2bl w:val="nil"/>
                  </w:tcBorders>
                  <w:shd w:val="clear" w:color="auto" w:fill="auto"/>
                  <w:vAlign w:val="center"/>
                </w:tcPr>
                <w:p w14:paraId="370852BA">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项目为</w:t>
                  </w:r>
                  <w:r>
                    <w:rPr>
                      <w:rFonts w:hint="eastAsia" w:ascii="Times New Roman" w:hAnsi="Times New Roman" w:eastAsia="宋体" w:cs="Times New Roman"/>
                      <w:color w:val="auto"/>
                      <w:spacing w:val="-10"/>
                      <w:sz w:val="18"/>
                      <w:szCs w:val="18"/>
                      <w:highlight w:val="none"/>
                      <w:lang w:val="en-US" w:eastAsia="zh-CN"/>
                    </w:rPr>
                    <w:t>M7461环境保护监测</w:t>
                  </w:r>
                  <w:r>
                    <w:rPr>
                      <w:rFonts w:hint="default" w:ascii="Times New Roman" w:hAnsi="Times New Roman" w:eastAsia="宋体" w:cs="Times New Roman"/>
                      <w:color w:val="auto"/>
                      <w:spacing w:val="-10"/>
                      <w:sz w:val="18"/>
                      <w:szCs w:val="18"/>
                      <w:highlight w:val="none"/>
                      <w:lang w:val="en-US" w:eastAsia="zh-CN"/>
                    </w:rPr>
                    <w:t>，不属于高耗水、高污染行业</w:t>
                  </w:r>
                </w:p>
              </w:tc>
              <w:tc>
                <w:tcPr>
                  <w:tcW w:w="750" w:type="dxa"/>
                  <w:tcBorders>
                    <w:tl2br w:val="nil"/>
                    <w:tr2bl w:val="nil"/>
                  </w:tcBorders>
                  <w:shd w:val="clear" w:color="auto" w:fill="auto"/>
                  <w:vAlign w:val="center"/>
                </w:tcPr>
                <w:p w14:paraId="3887F29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EEB13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660F6593">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vMerge w:val="continue"/>
                  <w:tcBorders>
                    <w:tl2br w:val="nil"/>
                    <w:tr2bl w:val="nil"/>
                  </w:tcBorders>
                  <w:vAlign w:val="center"/>
                </w:tcPr>
                <w:p w14:paraId="373CCA2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p>
              </w:tc>
              <w:tc>
                <w:tcPr>
                  <w:tcW w:w="6105" w:type="dxa"/>
                  <w:tcBorders>
                    <w:tl2br w:val="nil"/>
                    <w:tr2bl w:val="nil"/>
                  </w:tcBorders>
                  <w:shd w:val="clear" w:color="auto" w:fill="auto"/>
                  <w:vAlign w:val="center"/>
                </w:tcPr>
                <w:p w14:paraId="37B8D45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 xml:space="preserve">、全市重点河流沿岸、重要饮用水水源地补给区，严格控制化学原料和化学制品制造、医药制造、制革、造纸、焦化、化学纤维制造、石油加工、纺织印染等项目环境风险，合理布局生产装置及危险化学品仓储等设施。重大项目原则上布局在优化开发区和重点开发区，并符合城乡规划和土地利用总体规划。 </w:t>
                  </w:r>
                </w:p>
              </w:tc>
              <w:tc>
                <w:tcPr>
                  <w:tcW w:w="3613" w:type="dxa"/>
                  <w:tcBorders>
                    <w:tl2br w:val="nil"/>
                    <w:tr2bl w:val="nil"/>
                  </w:tcBorders>
                  <w:shd w:val="clear" w:color="auto" w:fill="auto"/>
                  <w:vAlign w:val="center"/>
                </w:tcPr>
                <w:p w14:paraId="1B842DA8">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本项目不涉及重大地表水环境风险源，项目布局合理，</w:t>
                  </w:r>
                  <w:r>
                    <w:rPr>
                      <w:rFonts w:hint="default" w:ascii="Times New Roman" w:hAnsi="Times New Roman" w:eastAsia="宋体" w:cs="Times New Roman"/>
                      <w:color w:val="auto"/>
                      <w:spacing w:val="-10"/>
                      <w:sz w:val="18"/>
                      <w:szCs w:val="18"/>
                      <w:highlight w:val="none"/>
                      <w:lang w:val="en-US" w:eastAsia="zh-CN"/>
                    </w:rPr>
                    <w:t>项目位于</w:t>
                  </w:r>
                  <w:r>
                    <w:rPr>
                      <w:rFonts w:hint="eastAsia" w:ascii="Times New Roman" w:hAnsi="Times New Roman" w:eastAsia="宋体" w:cs="Times New Roman"/>
                      <w:color w:val="auto"/>
                      <w:spacing w:val="-10"/>
                      <w:sz w:val="18"/>
                      <w:szCs w:val="18"/>
                      <w:highlight w:val="none"/>
                      <w:lang w:val="en-US" w:eastAsia="zh-CN"/>
                    </w:rPr>
                    <w:t>迁安市永顺街道昌盛路与兴安大街交叉口620号</w:t>
                  </w:r>
                  <w:r>
                    <w:rPr>
                      <w:rFonts w:hint="default" w:ascii="Times New Roman" w:hAnsi="Times New Roman" w:eastAsia="宋体" w:cs="Times New Roman"/>
                      <w:color w:val="auto"/>
                      <w:spacing w:val="-10"/>
                      <w:sz w:val="18"/>
                      <w:szCs w:val="18"/>
                      <w:highlight w:val="none"/>
                      <w:lang w:val="en-US" w:eastAsia="zh-CN"/>
                    </w:rPr>
                    <w:t>，符合城乡规划和土地利用总体规划。</w:t>
                  </w:r>
                </w:p>
              </w:tc>
              <w:tc>
                <w:tcPr>
                  <w:tcW w:w="750" w:type="dxa"/>
                  <w:tcBorders>
                    <w:tl2br w:val="nil"/>
                    <w:tr2bl w:val="nil"/>
                  </w:tcBorders>
                  <w:shd w:val="clear" w:color="auto" w:fill="auto"/>
                  <w:vAlign w:val="center"/>
                </w:tcPr>
                <w:p w14:paraId="53A6BDA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0CC7D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6B5046CE">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vMerge w:val="continue"/>
                  <w:tcBorders>
                    <w:tl2br w:val="nil"/>
                    <w:tr2bl w:val="nil"/>
                  </w:tcBorders>
                  <w:vAlign w:val="center"/>
                </w:tcPr>
                <w:p w14:paraId="567960D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p>
              </w:tc>
              <w:tc>
                <w:tcPr>
                  <w:tcW w:w="6105" w:type="dxa"/>
                  <w:tcBorders>
                    <w:tl2br w:val="nil"/>
                    <w:tr2bl w:val="nil"/>
                  </w:tcBorders>
                  <w:shd w:val="clear" w:color="auto" w:fill="auto"/>
                  <w:vAlign w:val="center"/>
                </w:tcPr>
                <w:p w14:paraId="055D2DD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未按照规定完成污水集中处理设施以及管网建设的工业园区（工业集聚区），暂停审批和核准其增加水污染物排放的建设项目。向污水集中处理设施排放工业废水的，应当按照国家有关规定进行预处理，达到集中处理设施处理工艺要求后方可排放。</w:t>
                  </w:r>
                </w:p>
              </w:tc>
              <w:tc>
                <w:tcPr>
                  <w:tcW w:w="3613" w:type="dxa"/>
                  <w:tcBorders>
                    <w:tl2br w:val="nil"/>
                    <w:tr2bl w:val="nil"/>
                  </w:tcBorders>
                  <w:shd w:val="clear" w:color="auto" w:fill="auto"/>
                  <w:vAlign w:val="center"/>
                </w:tcPr>
                <w:p w14:paraId="70F2B1C1">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c>
                <w:tcPr>
                  <w:tcW w:w="750" w:type="dxa"/>
                  <w:tcBorders>
                    <w:tl2br w:val="nil"/>
                    <w:tr2bl w:val="nil"/>
                  </w:tcBorders>
                  <w:shd w:val="clear" w:color="auto" w:fill="auto"/>
                  <w:vAlign w:val="center"/>
                </w:tcPr>
                <w:p w14:paraId="2052AF8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86C77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687" w:type="dxa"/>
                  <w:vMerge w:val="continue"/>
                  <w:tcBorders>
                    <w:tl2br w:val="nil"/>
                    <w:tr2bl w:val="nil"/>
                  </w:tcBorders>
                  <w:vAlign w:val="center"/>
                </w:tcPr>
                <w:p w14:paraId="73D30000">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vMerge w:val="continue"/>
                  <w:tcBorders>
                    <w:tl2br w:val="nil"/>
                    <w:tr2bl w:val="nil"/>
                  </w:tcBorders>
                  <w:vAlign w:val="center"/>
                </w:tcPr>
                <w:p w14:paraId="3A352E0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color w:val="auto"/>
                      <w:spacing w:val="-10"/>
                      <w:sz w:val="18"/>
                      <w:szCs w:val="18"/>
                      <w:highlight w:val="none"/>
                      <w:lang w:val="en-US" w:eastAsia="zh-CN"/>
                    </w:rPr>
                  </w:pPr>
                </w:p>
              </w:tc>
              <w:tc>
                <w:tcPr>
                  <w:tcW w:w="6105" w:type="dxa"/>
                  <w:tcBorders>
                    <w:tl2br w:val="nil"/>
                    <w:tr2bl w:val="nil"/>
                  </w:tcBorders>
                  <w:shd w:val="clear" w:color="auto" w:fill="auto"/>
                  <w:vAlign w:val="center"/>
                </w:tcPr>
                <w:p w14:paraId="736B855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推进现有企业向依法合规设立、环保设施齐全、符合规划环评要求、满足水法律法规规定的工业集聚区集中，明确涉水工业企业入园时间表；确因不具备入园条件需原地保留的涉水工业企业，明确保留条件，其中直排环境企业应达到排入水体功能区标准。</w:t>
                  </w:r>
                </w:p>
              </w:tc>
              <w:tc>
                <w:tcPr>
                  <w:tcW w:w="3613" w:type="dxa"/>
                  <w:tcBorders>
                    <w:tl2br w:val="nil"/>
                    <w:tr2bl w:val="nil"/>
                  </w:tcBorders>
                  <w:shd w:val="clear" w:color="auto" w:fill="auto"/>
                  <w:vAlign w:val="center"/>
                </w:tcPr>
                <w:p w14:paraId="6E69A2C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w:t>
                  </w: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属于服务行业，位于迁安市永顺街道昌盛路与兴安大街交叉口620号，根据《迁安市国土空间总体规划（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c>
                <w:tcPr>
                  <w:tcW w:w="750" w:type="dxa"/>
                  <w:tcBorders>
                    <w:tl2br w:val="nil"/>
                    <w:tr2bl w:val="nil"/>
                  </w:tcBorders>
                  <w:shd w:val="clear" w:color="auto" w:fill="auto"/>
                  <w:vAlign w:val="center"/>
                </w:tcPr>
                <w:p w14:paraId="3749158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8CCE8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5B203CA6">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820" w:type="dxa"/>
                  <w:tcBorders>
                    <w:tl2br w:val="nil"/>
                    <w:tr2bl w:val="nil"/>
                  </w:tcBorders>
                  <w:vAlign w:val="center"/>
                </w:tcPr>
                <w:p w14:paraId="0ADE4A5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污染物排放管控</w:t>
                  </w:r>
                </w:p>
              </w:tc>
              <w:tc>
                <w:tcPr>
                  <w:tcW w:w="6105" w:type="dxa"/>
                  <w:tcBorders>
                    <w:tl2br w:val="nil"/>
                    <w:tr2bl w:val="nil"/>
                  </w:tcBorders>
                  <w:shd w:val="clear" w:color="auto" w:fill="auto"/>
                  <w:vAlign w:val="center"/>
                </w:tcPr>
                <w:p w14:paraId="00ABC8F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 xml:space="preserve">、严格控制高污染、高耗水行业新增产能。产能过剩产业实行新增产能等量替代、涉水主要污染物排放同行业倍量替代。对造纸、焦化、氮肥、石油化工、印染、农副食品加工、原料药制造、制革、农药、电镀等“十大”重点行业，新建、改建、扩建项目实行新增主要污染物排放倍量替代。 </w:t>
                  </w:r>
                </w:p>
              </w:tc>
              <w:tc>
                <w:tcPr>
                  <w:tcW w:w="3613" w:type="dxa"/>
                  <w:tcBorders>
                    <w:tl2br w:val="nil"/>
                    <w:tr2bl w:val="nil"/>
                  </w:tcBorders>
                  <w:shd w:val="clear" w:color="auto" w:fill="auto"/>
                  <w:vAlign w:val="center"/>
                </w:tcPr>
                <w:p w14:paraId="41D826C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r>
                    <w:rPr>
                      <w:rFonts w:hint="default" w:ascii="Times New Roman" w:hAnsi="Times New Roman" w:eastAsia="宋体" w:cs="Times New Roman"/>
                      <w:color w:val="auto"/>
                      <w:spacing w:val="-10"/>
                      <w:sz w:val="18"/>
                      <w:szCs w:val="18"/>
                      <w:highlight w:val="none"/>
                      <w:lang w:val="en-US" w:eastAsia="zh-CN"/>
                    </w:rPr>
                    <w:t>项目为</w:t>
                  </w:r>
                  <w:r>
                    <w:rPr>
                      <w:rFonts w:hint="eastAsia" w:ascii="Times New Roman" w:hAnsi="Times New Roman" w:eastAsia="宋体" w:cs="Times New Roman"/>
                      <w:color w:val="auto"/>
                      <w:spacing w:val="-10"/>
                      <w:sz w:val="18"/>
                      <w:szCs w:val="18"/>
                      <w:highlight w:val="none"/>
                      <w:lang w:val="en-US" w:eastAsia="zh-CN"/>
                    </w:rPr>
                    <w:t>M7461环境保护监测</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为服务行业，</w:t>
                  </w:r>
                  <w:r>
                    <w:rPr>
                      <w:rFonts w:hint="default" w:ascii="Times New Roman" w:hAnsi="Times New Roman" w:eastAsia="宋体" w:cs="Times New Roman"/>
                      <w:color w:val="auto"/>
                      <w:spacing w:val="-10"/>
                      <w:sz w:val="18"/>
                      <w:szCs w:val="18"/>
                      <w:highlight w:val="none"/>
                      <w:lang w:val="en-US" w:eastAsia="zh-CN"/>
                    </w:rPr>
                    <w:t>不属于高污染、高耗水行业，不属于产能过剩产业。</w:t>
                  </w:r>
                </w:p>
              </w:tc>
              <w:tc>
                <w:tcPr>
                  <w:tcW w:w="750" w:type="dxa"/>
                  <w:tcBorders>
                    <w:tl2br w:val="nil"/>
                    <w:tr2bl w:val="nil"/>
                  </w:tcBorders>
                  <w:shd w:val="clear" w:color="auto" w:fill="auto"/>
                  <w:vAlign w:val="center"/>
                </w:tcPr>
                <w:p w14:paraId="1518038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7DD11B76">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62"/>
              <w:gridCol w:w="913"/>
              <w:gridCol w:w="7112"/>
              <w:gridCol w:w="2436"/>
              <w:gridCol w:w="752"/>
            </w:tblGrid>
            <w:tr w14:paraId="37A607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675" w:type="dxa"/>
                  <w:gridSpan w:val="2"/>
                  <w:tcBorders>
                    <w:tl2br w:val="nil"/>
                    <w:tr2bl w:val="nil"/>
                  </w:tcBorders>
                  <w:vAlign w:val="center"/>
                </w:tcPr>
                <w:p w14:paraId="4A4876C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7112" w:type="dxa"/>
                  <w:tcBorders>
                    <w:tl2br w:val="nil"/>
                    <w:tr2bl w:val="nil"/>
                  </w:tcBorders>
                  <w:vAlign w:val="center"/>
                </w:tcPr>
                <w:p w14:paraId="33BD91D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436" w:type="dxa"/>
                  <w:tcBorders>
                    <w:tl2br w:val="nil"/>
                    <w:tr2bl w:val="nil"/>
                  </w:tcBorders>
                  <w:vAlign w:val="center"/>
                </w:tcPr>
                <w:p w14:paraId="2D3C2F1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2" w:type="dxa"/>
                  <w:tcBorders>
                    <w:tl2br w:val="nil"/>
                    <w:tr2bl w:val="nil"/>
                  </w:tcBorders>
                  <w:vAlign w:val="center"/>
                </w:tcPr>
                <w:p w14:paraId="7D01E4C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0ECFEA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2" w:type="dxa"/>
                  <w:vMerge w:val="restart"/>
                  <w:tcBorders>
                    <w:tl2br w:val="nil"/>
                    <w:tr2bl w:val="nil"/>
                  </w:tcBorders>
                  <w:vAlign w:val="center"/>
                </w:tcPr>
                <w:p w14:paraId="12B29079">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地表水环境</w:t>
                  </w:r>
                </w:p>
              </w:tc>
              <w:tc>
                <w:tcPr>
                  <w:tcW w:w="913" w:type="dxa"/>
                  <w:vMerge w:val="restart"/>
                  <w:tcBorders>
                    <w:tl2br w:val="nil"/>
                    <w:tr2bl w:val="nil"/>
                  </w:tcBorders>
                  <w:vAlign w:val="center"/>
                </w:tcPr>
                <w:p w14:paraId="7D708DE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污染物排放管控</w:t>
                  </w:r>
                </w:p>
              </w:tc>
              <w:tc>
                <w:tcPr>
                  <w:tcW w:w="7112" w:type="dxa"/>
                  <w:tcBorders>
                    <w:tl2br w:val="nil"/>
                    <w:tr2bl w:val="nil"/>
                  </w:tcBorders>
                  <w:shd w:val="clear" w:color="auto" w:fill="auto"/>
                  <w:vAlign w:val="center"/>
                </w:tcPr>
                <w:p w14:paraId="51A6816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全面加强城镇污水管网建设，提升污水收集能力。扩大城镇污水管网覆盖范围，推进新建城区、扩建新区以及城乡结合部等污水截留、收集纳管；进一步加强城区支管、毛细管等管网建设，提高污水收集率。推进城镇排水系统雨污分流建设，新建城区、扩建新区、新开发区建设排水管网一律实行雨污分流；强化各县（市、区）城区和重点城镇污水管网建设，新建污水处理设施应与配套管网同步设计、同步建设、同步投运。推进初期雨水收集、处理与资源化利用。</w:t>
                  </w:r>
                </w:p>
              </w:tc>
              <w:tc>
                <w:tcPr>
                  <w:tcW w:w="2436" w:type="dxa"/>
                  <w:tcBorders>
                    <w:tl2br w:val="nil"/>
                    <w:tr2bl w:val="nil"/>
                  </w:tcBorders>
                  <w:shd w:val="clear" w:color="auto" w:fill="auto"/>
                  <w:vAlign w:val="center"/>
                </w:tcPr>
                <w:p w14:paraId="500D7DC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2" w:type="dxa"/>
                  <w:tcBorders>
                    <w:tl2br w:val="nil"/>
                    <w:tr2bl w:val="nil"/>
                  </w:tcBorders>
                  <w:shd w:val="clear" w:color="auto" w:fill="auto"/>
                  <w:vAlign w:val="center"/>
                </w:tcPr>
                <w:p w14:paraId="2E063B5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01AF2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0F5D141A">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vMerge w:val="continue"/>
                  <w:tcBorders>
                    <w:tl2br w:val="nil"/>
                    <w:tr2bl w:val="nil"/>
                  </w:tcBorders>
                  <w:vAlign w:val="center"/>
                </w:tcPr>
                <w:p w14:paraId="0F44741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7112" w:type="dxa"/>
                  <w:tcBorders>
                    <w:tl2br w:val="nil"/>
                    <w:tr2bl w:val="nil"/>
                  </w:tcBorders>
                  <w:vAlign w:val="center"/>
                </w:tcPr>
                <w:p w14:paraId="6012AEC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强化工业污水限期达标整治。推进废水直排外环境的工业企业全面达标排放。强化入河排污口监督管理，推动入河排污口规范化建设，取缔非法入河排污口。加大超标排放整治力度，对超标和超总量的企业依法查处，对企业超标现象普遍、超标企业集中地区政府采取挂牌督办、公开约谈等措施。对整治仍不能达到要求且情节严重的企业，由所在地政府依法责令限期关闭。</w:t>
                  </w:r>
                </w:p>
              </w:tc>
              <w:tc>
                <w:tcPr>
                  <w:tcW w:w="2436" w:type="dxa"/>
                  <w:tcBorders>
                    <w:tl2br w:val="nil"/>
                    <w:tr2bl w:val="nil"/>
                  </w:tcBorders>
                  <w:vAlign w:val="center"/>
                </w:tcPr>
                <w:p w14:paraId="0E7ABBE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职工生活污水一并经化粪池处理后排入迁安市污水处理厂进行处理，为间接排放，本项目不涉及废水直接排放</w:t>
                  </w:r>
                </w:p>
              </w:tc>
              <w:tc>
                <w:tcPr>
                  <w:tcW w:w="752" w:type="dxa"/>
                  <w:tcBorders>
                    <w:tl2br w:val="nil"/>
                    <w:tr2bl w:val="nil"/>
                  </w:tcBorders>
                  <w:vAlign w:val="center"/>
                </w:tcPr>
                <w:p w14:paraId="09CC658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9768D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3AB2AE15">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vMerge w:val="continue"/>
                  <w:tcBorders>
                    <w:tl2br w:val="nil"/>
                    <w:tr2bl w:val="nil"/>
                  </w:tcBorders>
                  <w:vAlign w:val="center"/>
                </w:tcPr>
                <w:p w14:paraId="46A10A3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7112" w:type="dxa"/>
                  <w:tcBorders>
                    <w:tl2br w:val="nil"/>
                    <w:tr2bl w:val="nil"/>
                  </w:tcBorders>
                  <w:shd w:val="clear" w:color="auto" w:fill="auto"/>
                  <w:vAlign w:val="center"/>
                </w:tcPr>
                <w:p w14:paraId="5931FFA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 xml:space="preserve">、推进农业面源污染治理。减少化肥农药使用量，严格控制高毒高风险农药使用，推进有机肥替代化肥、病虫害绿色防控替代化学防治，积极推进废旧农膜回收，完善废旧地膜和包装废弃物等回收处理制度。 </w:t>
                  </w:r>
                </w:p>
              </w:tc>
              <w:tc>
                <w:tcPr>
                  <w:tcW w:w="2436" w:type="dxa"/>
                  <w:tcBorders>
                    <w:tl2br w:val="nil"/>
                    <w:tr2bl w:val="nil"/>
                  </w:tcBorders>
                  <w:shd w:val="clear" w:color="auto" w:fill="auto"/>
                  <w:vAlign w:val="center"/>
                </w:tcPr>
                <w:p w14:paraId="2D46176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w:t>
                  </w:r>
                </w:p>
              </w:tc>
              <w:tc>
                <w:tcPr>
                  <w:tcW w:w="752" w:type="dxa"/>
                  <w:tcBorders>
                    <w:tl2br w:val="nil"/>
                    <w:tr2bl w:val="nil"/>
                  </w:tcBorders>
                  <w:shd w:val="clear" w:color="auto" w:fill="auto"/>
                  <w:vAlign w:val="center"/>
                </w:tcPr>
                <w:p w14:paraId="2C3A7F1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299AF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298CD288">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vMerge w:val="continue"/>
                  <w:tcBorders>
                    <w:tl2br w:val="nil"/>
                    <w:tr2bl w:val="nil"/>
                  </w:tcBorders>
                  <w:vAlign w:val="center"/>
                </w:tcPr>
                <w:p w14:paraId="48A86AA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7112" w:type="dxa"/>
                  <w:tcBorders>
                    <w:tl2br w:val="nil"/>
                    <w:tr2bl w:val="nil"/>
                  </w:tcBorders>
                  <w:shd w:val="clear" w:color="auto" w:fill="auto"/>
                  <w:vAlign w:val="center"/>
                </w:tcPr>
                <w:p w14:paraId="1FB0DEB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、推进养殖废弃物资源化利用。坚持种植和养殖相结合，就地就近消纳利用畜禽养殖废弃物。合理布局水产养殖空间，深入推进生态健康养殖，开展重点河流湖库及近岸海域破坏生态环境的养殖方式综合整治。</w:t>
                  </w:r>
                </w:p>
              </w:tc>
              <w:tc>
                <w:tcPr>
                  <w:tcW w:w="2436" w:type="dxa"/>
                  <w:tcBorders>
                    <w:tl2br w:val="nil"/>
                    <w:tr2bl w:val="nil"/>
                  </w:tcBorders>
                  <w:shd w:val="clear" w:color="auto" w:fill="auto"/>
                  <w:vAlign w:val="center"/>
                </w:tcPr>
                <w:p w14:paraId="3B6DA25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2" w:type="dxa"/>
                  <w:tcBorders>
                    <w:tl2br w:val="nil"/>
                    <w:tr2bl w:val="nil"/>
                  </w:tcBorders>
                  <w:shd w:val="clear" w:color="auto" w:fill="auto"/>
                  <w:vAlign w:val="center"/>
                </w:tcPr>
                <w:p w14:paraId="4A9538A1">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96255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05907326">
                  <w:pPr>
                    <w:spacing w:line="240" w:lineRule="exact"/>
                    <w:jc w:val="center"/>
                    <w:rPr>
                      <w:rFonts w:hint="default" w:ascii="Times New Roman" w:hAnsi="Times New Roman" w:eastAsia="宋体" w:cs="Times New Roman"/>
                      <w:color w:val="auto"/>
                      <w:spacing w:val="-10"/>
                      <w:sz w:val="18"/>
                      <w:szCs w:val="18"/>
                      <w:highlight w:val="yellow"/>
                      <w:lang w:val="en-US" w:eastAsia="zh-CN"/>
                    </w:rPr>
                  </w:pPr>
                </w:p>
              </w:tc>
              <w:tc>
                <w:tcPr>
                  <w:tcW w:w="913" w:type="dxa"/>
                  <w:vMerge w:val="continue"/>
                  <w:tcBorders>
                    <w:tl2br w:val="nil"/>
                    <w:tr2bl w:val="nil"/>
                  </w:tcBorders>
                  <w:vAlign w:val="center"/>
                </w:tcPr>
                <w:p w14:paraId="19CA5986">
                  <w:pPr>
                    <w:spacing w:line="240" w:lineRule="exact"/>
                    <w:jc w:val="center"/>
                    <w:rPr>
                      <w:rFonts w:hint="default" w:ascii="Times New Roman" w:hAnsi="Times New Roman" w:cs="Times New Roman"/>
                      <w:color w:val="auto"/>
                      <w:spacing w:val="-10"/>
                      <w:sz w:val="18"/>
                      <w:szCs w:val="18"/>
                      <w:highlight w:val="yellow"/>
                      <w:lang w:val="en-US" w:eastAsia="zh-CN"/>
                    </w:rPr>
                  </w:pPr>
                </w:p>
              </w:tc>
              <w:tc>
                <w:tcPr>
                  <w:tcW w:w="7112" w:type="dxa"/>
                  <w:tcBorders>
                    <w:tl2br w:val="nil"/>
                    <w:tr2bl w:val="nil"/>
                  </w:tcBorders>
                  <w:shd w:val="clear" w:color="auto" w:fill="auto"/>
                  <w:vAlign w:val="center"/>
                </w:tcPr>
                <w:p w14:paraId="51DFD72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、实施总氮排放总量控制，新建、改建、扩建涉及总氮排放的建设项目，实施总氮排放总量指标减量替代，并在相关单位排污许可证中予以明确、严格落实，严控新增总氮排放量。</w:t>
                  </w:r>
                </w:p>
              </w:tc>
              <w:tc>
                <w:tcPr>
                  <w:tcW w:w="2436" w:type="dxa"/>
                  <w:tcBorders>
                    <w:tl2br w:val="nil"/>
                    <w:tr2bl w:val="nil"/>
                  </w:tcBorders>
                  <w:shd w:val="clear" w:color="auto" w:fill="auto"/>
                  <w:vAlign w:val="center"/>
                </w:tcPr>
                <w:p w14:paraId="68B089F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项目实施总氮</w:t>
                  </w:r>
                  <w:r>
                    <w:rPr>
                      <w:rFonts w:hint="eastAsia" w:ascii="Times New Roman" w:hAnsi="Times New Roman" w:eastAsia="宋体" w:cs="Times New Roman"/>
                      <w:color w:val="auto"/>
                      <w:spacing w:val="-10"/>
                      <w:sz w:val="18"/>
                      <w:szCs w:val="18"/>
                      <w:highlight w:val="none"/>
                      <w:lang w:val="en-US" w:eastAsia="zh-CN"/>
                    </w:rPr>
                    <w:t>排放总量控制</w:t>
                  </w:r>
                  <w:r>
                    <w:rPr>
                      <w:rFonts w:hint="eastAsia" w:ascii="Times New Roman" w:hAnsi="Times New Roman" w:cs="Times New Roman"/>
                      <w:color w:val="auto"/>
                      <w:spacing w:val="-10"/>
                      <w:sz w:val="18"/>
                      <w:szCs w:val="18"/>
                      <w:highlight w:val="none"/>
                      <w:lang w:val="en-US" w:eastAsia="zh-CN"/>
                    </w:rPr>
                    <w:t>。落实</w:t>
                  </w:r>
                  <w:r>
                    <w:rPr>
                      <w:rFonts w:hint="eastAsia" w:ascii="Times New Roman" w:hAnsi="Times New Roman" w:eastAsia="宋体" w:cs="Times New Roman"/>
                      <w:color w:val="auto"/>
                      <w:spacing w:val="-10"/>
                      <w:sz w:val="18"/>
                      <w:szCs w:val="18"/>
                      <w:highlight w:val="none"/>
                      <w:lang w:val="en-US" w:eastAsia="zh-CN"/>
                    </w:rPr>
                    <w:t>总氮排放总量指标减量替代</w:t>
                  </w:r>
                </w:p>
              </w:tc>
              <w:tc>
                <w:tcPr>
                  <w:tcW w:w="752" w:type="dxa"/>
                  <w:tcBorders>
                    <w:tl2br w:val="nil"/>
                    <w:tr2bl w:val="nil"/>
                  </w:tcBorders>
                  <w:shd w:val="clear" w:color="auto" w:fill="auto"/>
                  <w:vAlign w:val="center"/>
                </w:tcPr>
                <w:p w14:paraId="0E14E20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98E4BD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vMerge w:val="continue"/>
                  <w:tcBorders>
                    <w:tl2br w:val="nil"/>
                    <w:tr2bl w:val="nil"/>
                  </w:tcBorders>
                  <w:vAlign w:val="center"/>
                </w:tcPr>
                <w:p w14:paraId="43E5890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913" w:type="dxa"/>
                  <w:tcBorders>
                    <w:tl2br w:val="nil"/>
                    <w:tr2bl w:val="nil"/>
                  </w:tcBorders>
                  <w:shd w:val="clear" w:color="auto" w:fill="auto"/>
                  <w:vAlign w:val="center"/>
                </w:tcPr>
                <w:p w14:paraId="4147435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环境风险防控</w:t>
                  </w:r>
                </w:p>
              </w:tc>
              <w:tc>
                <w:tcPr>
                  <w:tcW w:w="7112" w:type="dxa"/>
                  <w:tcBorders>
                    <w:tl2br w:val="nil"/>
                    <w:tr2bl w:val="nil"/>
                  </w:tcBorders>
                  <w:shd w:val="clear" w:color="auto" w:fill="auto"/>
                  <w:vAlign w:val="center"/>
                </w:tcPr>
                <w:p w14:paraId="37FA575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效防控水源地环境风险。每年对集中式饮用水水源保护区开展基础调查与评估，将可能影响水源水质安全的风险源全部列入档案，加强风险应急防控，建立联防联控应急机制。推广供水水厂应急净化技术，储备应急供水专项物资，配置移动式应急净水设备，加强应急抢险专业队伍建设，及时有效处置饮用水水源突发环境事件。</w:t>
                  </w:r>
                </w:p>
              </w:tc>
              <w:tc>
                <w:tcPr>
                  <w:tcW w:w="2436" w:type="dxa"/>
                  <w:tcBorders>
                    <w:tl2br w:val="nil"/>
                    <w:tr2bl w:val="nil"/>
                  </w:tcBorders>
                  <w:shd w:val="clear" w:color="auto" w:fill="auto"/>
                  <w:vAlign w:val="center"/>
                </w:tcPr>
                <w:p w14:paraId="725A729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项目不涉及</w:t>
                  </w:r>
                </w:p>
              </w:tc>
              <w:tc>
                <w:tcPr>
                  <w:tcW w:w="752" w:type="dxa"/>
                  <w:tcBorders>
                    <w:tl2br w:val="nil"/>
                    <w:tr2bl w:val="nil"/>
                  </w:tcBorders>
                  <w:shd w:val="clear" w:color="auto" w:fill="auto"/>
                  <w:vAlign w:val="center"/>
                </w:tcPr>
                <w:p w14:paraId="7954BE1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A883F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762" w:type="dxa"/>
                  <w:tcBorders>
                    <w:tl2br w:val="nil"/>
                    <w:tr2bl w:val="nil"/>
                  </w:tcBorders>
                  <w:vAlign w:val="center"/>
                </w:tcPr>
                <w:p w14:paraId="6CE1334B">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913" w:type="dxa"/>
                  <w:tcBorders>
                    <w:tl2br w:val="nil"/>
                    <w:tr2bl w:val="nil"/>
                  </w:tcBorders>
                  <w:shd w:val="clear" w:color="auto" w:fill="auto"/>
                  <w:vAlign w:val="center"/>
                </w:tcPr>
                <w:p w14:paraId="735DE24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污染防控目标</w:t>
                  </w:r>
                </w:p>
              </w:tc>
              <w:tc>
                <w:tcPr>
                  <w:tcW w:w="7112" w:type="dxa"/>
                  <w:tcBorders>
                    <w:tl2br w:val="nil"/>
                    <w:tr2bl w:val="nil"/>
                  </w:tcBorders>
                  <w:shd w:val="clear" w:color="auto" w:fill="auto"/>
                  <w:vAlign w:val="center"/>
                </w:tcPr>
                <w:p w14:paraId="159B436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2025年底前，受污染耕地安全利用率完成河北省下达任务，受污染耕地管控措施覆盖率100%；重点建设用地安全利用得到有效保障，拟开发利用污染地块治理修复或风险管控目标达标率100%，暂不开发利用污染地块管控措施覆盖率100%；国家地下水环境质量区域考核点位Ⅴ类水比例控制在20%以下，“双源”考核点位水质总体保持稳定</w:t>
                  </w:r>
                  <w:r>
                    <w:rPr>
                      <w:rFonts w:hint="eastAsia" w:cs="Times New Roman"/>
                      <w:color w:val="auto"/>
                      <w:spacing w:val="-10"/>
                      <w:sz w:val="18"/>
                      <w:szCs w:val="18"/>
                      <w:highlight w:val="none"/>
                      <w:lang w:val="en-US" w:eastAsia="zh-CN"/>
                    </w:rPr>
                    <w:t>。</w:t>
                  </w:r>
                </w:p>
              </w:tc>
              <w:tc>
                <w:tcPr>
                  <w:tcW w:w="2436" w:type="dxa"/>
                  <w:tcBorders>
                    <w:tl2br w:val="nil"/>
                    <w:tr2bl w:val="nil"/>
                  </w:tcBorders>
                  <w:shd w:val="clear" w:color="auto" w:fill="auto"/>
                  <w:vAlign w:val="center"/>
                </w:tcPr>
                <w:p w14:paraId="6CBB7C0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本项目设置完善的防渗措施，并设置完善的巡检制度。</w:t>
                  </w:r>
                </w:p>
              </w:tc>
              <w:tc>
                <w:tcPr>
                  <w:tcW w:w="752" w:type="dxa"/>
                  <w:tcBorders>
                    <w:tl2br w:val="nil"/>
                    <w:tr2bl w:val="nil"/>
                  </w:tcBorders>
                  <w:shd w:val="clear" w:color="auto" w:fill="auto"/>
                  <w:vAlign w:val="center"/>
                </w:tcPr>
                <w:p w14:paraId="2AE7FD0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bl>
          <w:p w14:paraId="679206DF">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31"/>
              <w:gridCol w:w="6234"/>
              <w:gridCol w:w="3173"/>
              <w:gridCol w:w="750"/>
            </w:tblGrid>
            <w:tr w14:paraId="7EC535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818" w:type="dxa"/>
                  <w:gridSpan w:val="2"/>
                  <w:tcBorders>
                    <w:tl2br w:val="nil"/>
                    <w:tr2bl w:val="nil"/>
                  </w:tcBorders>
                  <w:vAlign w:val="center"/>
                </w:tcPr>
                <w:p w14:paraId="4AF2591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234" w:type="dxa"/>
                  <w:tcBorders>
                    <w:tl2br w:val="nil"/>
                    <w:tr2bl w:val="nil"/>
                  </w:tcBorders>
                  <w:vAlign w:val="center"/>
                </w:tcPr>
                <w:p w14:paraId="79A9A81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3173" w:type="dxa"/>
                  <w:tcBorders>
                    <w:tl2br w:val="nil"/>
                    <w:tr2bl w:val="nil"/>
                  </w:tcBorders>
                  <w:vAlign w:val="center"/>
                </w:tcPr>
                <w:p w14:paraId="48D73823">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6082F79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536370E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70F44F5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1131" w:type="dxa"/>
                  <w:vMerge w:val="restart"/>
                  <w:tcBorders>
                    <w:tl2br w:val="nil"/>
                    <w:tr2bl w:val="nil"/>
                  </w:tcBorders>
                  <w:vAlign w:val="center"/>
                </w:tcPr>
                <w:p w14:paraId="45EC5AC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234" w:type="dxa"/>
                  <w:tcBorders>
                    <w:tl2br w:val="nil"/>
                    <w:tr2bl w:val="nil"/>
                  </w:tcBorders>
                  <w:shd w:val="clear" w:color="auto" w:fill="auto"/>
                  <w:vAlign w:val="center"/>
                </w:tcPr>
                <w:p w14:paraId="2464759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、严格执行相关行业企业布局选址要求，禁止在居民区和学校、医院、疗养院、养老院等单位周边新建、改建、扩建可能造成土壤污染的建设项目。</w:t>
                  </w:r>
                </w:p>
              </w:tc>
              <w:tc>
                <w:tcPr>
                  <w:tcW w:w="3173" w:type="dxa"/>
                  <w:tcBorders>
                    <w:tl2br w:val="nil"/>
                    <w:tr2bl w:val="nil"/>
                  </w:tcBorders>
                  <w:shd w:val="clear" w:color="auto" w:fill="auto"/>
                  <w:vAlign w:val="center"/>
                </w:tcPr>
                <w:p w14:paraId="0C8A36D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项目50m范围内无</w:t>
                  </w:r>
                  <w:r>
                    <w:rPr>
                      <w:rFonts w:hint="default" w:ascii="Times New Roman" w:hAnsi="Times New Roman" w:eastAsia="宋体" w:cs="Times New Roman"/>
                      <w:color w:val="auto"/>
                      <w:spacing w:val="-10"/>
                      <w:sz w:val="18"/>
                      <w:szCs w:val="18"/>
                      <w:highlight w:val="none"/>
                      <w:lang w:val="en-US" w:eastAsia="zh-CN"/>
                    </w:rPr>
                    <w:t>居民区和学校、医院、疗养院、养老院等单位</w:t>
                  </w:r>
                  <w:r>
                    <w:rPr>
                      <w:rFonts w:hint="eastAsia" w:ascii="Times New Roman" w:hAnsi="Times New Roman" w:eastAsia="宋体" w:cs="Times New Roman"/>
                      <w:color w:val="auto"/>
                      <w:spacing w:val="-10"/>
                      <w:sz w:val="18"/>
                      <w:szCs w:val="18"/>
                      <w:highlight w:val="none"/>
                      <w:lang w:val="en-US" w:eastAsia="zh-CN"/>
                    </w:rPr>
                    <w:t>，项目采取严格的源头控制、分区防渗措施，并设置完善的巡检制度，不会对土壤造成污染</w:t>
                  </w:r>
                </w:p>
              </w:tc>
              <w:tc>
                <w:tcPr>
                  <w:tcW w:w="750" w:type="dxa"/>
                  <w:tcBorders>
                    <w:tl2br w:val="nil"/>
                    <w:tr2bl w:val="nil"/>
                  </w:tcBorders>
                  <w:shd w:val="clear" w:color="auto" w:fill="auto"/>
                  <w:vAlign w:val="center"/>
                </w:tcPr>
                <w:p w14:paraId="6BA6FA50">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75E88A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2D0F1CB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6F19AEB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5D67078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、禁止在集中式地下水饮用水水源地建设需要取水的地热能开发利用项目。禁止抽取难以更新的地下水用于需要取水的地热能开发利用项目。</w:t>
                  </w:r>
                </w:p>
              </w:tc>
              <w:tc>
                <w:tcPr>
                  <w:tcW w:w="3173" w:type="dxa"/>
                  <w:tcBorders>
                    <w:tl2br w:val="nil"/>
                    <w:tr2bl w:val="nil"/>
                  </w:tcBorders>
                  <w:shd w:val="clear" w:color="auto" w:fill="auto"/>
                  <w:vAlign w:val="center"/>
                </w:tcPr>
                <w:p w14:paraId="5BD664E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本项目不涉及</w:t>
                  </w:r>
                </w:p>
              </w:tc>
              <w:tc>
                <w:tcPr>
                  <w:tcW w:w="750" w:type="dxa"/>
                  <w:tcBorders>
                    <w:tl2br w:val="nil"/>
                    <w:tr2bl w:val="nil"/>
                  </w:tcBorders>
                  <w:shd w:val="clear" w:color="auto" w:fill="auto"/>
                  <w:vAlign w:val="center"/>
                </w:tcPr>
                <w:p w14:paraId="676C23F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14AB84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7A41812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5CB90FB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369BB9E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、地下水饮用水水源地优先保护区管控参照生态环境空间总体管控要求中地下水饮用水水源地保护区总体管控要求。</w:t>
                  </w:r>
                </w:p>
              </w:tc>
              <w:tc>
                <w:tcPr>
                  <w:tcW w:w="3173" w:type="dxa"/>
                  <w:tcBorders>
                    <w:tl2br w:val="nil"/>
                    <w:tr2bl w:val="nil"/>
                  </w:tcBorders>
                  <w:shd w:val="clear" w:color="auto" w:fill="auto"/>
                  <w:vAlign w:val="center"/>
                </w:tcPr>
                <w:p w14:paraId="53D2873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本项目不涉及地下水饮用水水源地优先保护区</w:t>
                  </w:r>
                </w:p>
              </w:tc>
              <w:tc>
                <w:tcPr>
                  <w:tcW w:w="750" w:type="dxa"/>
                  <w:tcBorders>
                    <w:tl2br w:val="nil"/>
                    <w:tr2bl w:val="nil"/>
                  </w:tcBorders>
                  <w:shd w:val="clear" w:color="auto" w:fill="auto"/>
                  <w:vAlign w:val="center"/>
                </w:tcPr>
                <w:p w14:paraId="072A378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3F7ECCA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687" w:type="dxa"/>
                  <w:vMerge w:val="continue"/>
                  <w:tcBorders>
                    <w:tl2br w:val="nil"/>
                    <w:tr2bl w:val="nil"/>
                  </w:tcBorders>
                  <w:vAlign w:val="center"/>
                </w:tcPr>
                <w:p w14:paraId="05E17F1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restart"/>
                  <w:tcBorders>
                    <w:tl2br w:val="nil"/>
                    <w:tr2bl w:val="nil"/>
                  </w:tcBorders>
                  <w:vAlign w:val="center"/>
                </w:tcPr>
                <w:p w14:paraId="5520FE3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污染物排放管控</w:t>
                  </w:r>
                </w:p>
              </w:tc>
              <w:tc>
                <w:tcPr>
                  <w:tcW w:w="6234" w:type="dxa"/>
                  <w:tcBorders>
                    <w:tl2br w:val="nil"/>
                    <w:tr2bl w:val="nil"/>
                  </w:tcBorders>
                  <w:shd w:val="clear" w:color="auto" w:fill="auto"/>
                  <w:vAlign w:val="center"/>
                </w:tcPr>
                <w:p w14:paraId="3EE13D2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1、严禁将污泥直接用作肥料，禁止不达标污泥就地堆放，结合污泥处理设施升级改造，逐步取消原生污泥简易填埋等不符合环保要求的处置方式。鼓励利用水泥厂等工业窑炉，开展污泥协同焚烧处置。</w:t>
                  </w:r>
                </w:p>
              </w:tc>
              <w:tc>
                <w:tcPr>
                  <w:tcW w:w="3173" w:type="dxa"/>
                  <w:tcBorders>
                    <w:tl2br w:val="nil"/>
                    <w:tr2bl w:val="nil"/>
                  </w:tcBorders>
                  <w:shd w:val="clear" w:color="auto" w:fill="auto"/>
                  <w:vAlign w:val="center"/>
                </w:tcPr>
                <w:p w14:paraId="6FBEF52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本项目不涉及</w:t>
                  </w:r>
                </w:p>
              </w:tc>
              <w:tc>
                <w:tcPr>
                  <w:tcW w:w="750" w:type="dxa"/>
                  <w:tcBorders>
                    <w:tl2br w:val="nil"/>
                    <w:tr2bl w:val="nil"/>
                  </w:tcBorders>
                  <w:shd w:val="clear" w:color="auto" w:fill="auto"/>
                  <w:vAlign w:val="center"/>
                </w:tcPr>
                <w:p w14:paraId="7F23CD5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C7889B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687" w:type="dxa"/>
                  <w:vMerge w:val="continue"/>
                  <w:tcBorders>
                    <w:tl2br w:val="nil"/>
                    <w:tr2bl w:val="nil"/>
                  </w:tcBorders>
                  <w:vAlign w:val="center"/>
                </w:tcPr>
                <w:p w14:paraId="54B253B8">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28F0624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63ACD39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严格落实总量控制制度，减少重金属污染物排放。新、改、扩建涉重金属重点行业建设项目，污染物排放实施等量或倍量替换，对重金属排放量继续上升的地区，暂停审批新增重金属污染物排放的建设项目。加大减排项目督导力度，确保项目按期实施。</w:t>
                  </w:r>
                </w:p>
              </w:tc>
              <w:tc>
                <w:tcPr>
                  <w:tcW w:w="3173" w:type="dxa"/>
                  <w:tcBorders>
                    <w:tl2br w:val="nil"/>
                    <w:tr2bl w:val="nil"/>
                  </w:tcBorders>
                  <w:shd w:val="clear" w:color="auto" w:fill="auto"/>
                  <w:vAlign w:val="center"/>
                </w:tcPr>
                <w:p w14:paraId="00B1179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本项目不属于涉重金属重点行业建设项目</w:t>
                  </w:r>
                </w:p>
              </w:tc>
              <w:tc>
                <w:tcPr>
                  <w:tcW w:w="750" w:type="dxa"/>
                  <w:tcBorders>
                    <w:tl2br w:val="nil"/>
                    <w:tr2bl w:val="nil"/>
                  </w:tcBorders>
                  <w:shd w:val="clear" w:color="auto" w:fill="auto"/>
                  <w:vAlign w:val="center"/>
                </w:tcPr>
                <w:p w14:paraId="44CD308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34B04A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7" w:type="dxa"/>
                  <w:vMerge w:val="continue"/>
                  <w:tcBorders>
                    <w:tl2br w:val="nil"/>
                    <w:tr2bl w:val="nil"/>
                  </w:tcBorders>
                  <w:vAlign w:val="center"/>
                </w:tcPr>
                <w:p w14:paraId="169598E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70DC9FF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6234" w:type="dxa"/>
                  <w:tcBorders>
                    <w:tl2br w:val="nil"/>
                    <w:tr2bl w:val="nil"/>
                  </w:tcBorders>
                  <w:vAlign w:val="center"/>
                </w:tcPr>
                <w:p w14:paraId="5A6687B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严格危险废物经营许可审批，加强危险废物处置单位规范化管理核查。统筹推进危险废物利用处置能力建设，加快补齐利用处置设施短板。积极推进重点监管源智能监控体系建设，加大危险废物产生、贮存、转运、利用、处置全流程监管力度。规范和完善医疗废物分类收集处置体系。</w:t>
                  </w:r>
                </w:p>
              </w:tc>
              <w:tc>
                <w:tcPr>
                  <w:tcW w:w="3173" w:type="dxa"/>
                  <w:tcBorders>
                    <w:tl2br w:val="nil"/>
                    <w:tr2bl w:val="nil"/>
                  </w:tcBorders>
                  <w:vAlign w:val="center"/>
                </w:tcPr>
                <w:p w14:paraId="1F5A07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产生的危险废物暂存于危险废物暂存间内，定期交有资质单位运输、处置</w:t>
                  </w:r>
                </w:p>
              </w:tc>
              <w:tc>
                <w:tcPr>
                  <w:tcW w:w="750" w:type="dxa"/>
                  <w:tcBorders>
                    <w:tl2br w:val="nil"/>
                    <w:tr2bl w:val="nil"/>
                  </w:tcBorders>
                  <w:vAlign w:val="center"/>
                </w:tcPr>
                <w:p w14:paraId="040B2B9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CC318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687" w:type="dxa"/>
                  <w:vMerge w:val="continue"/>
                  <w:tcBorders>
                    <w:tl2br w:val="nil"/>
                    <w:tr2bl w:val="nil"/>
                  </w:tcBorders>
                  <w:vAlign w:val="center"/>
                </w:tcPr>
                <w:p w14:paraId="6582ECA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65B0106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vAlign w:val="center"/>
                </w:tcPr>
                <w:p w14:paraId="44EE953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 xml:space="preserve">、建设和运行固体废物处置设施，应当采取防扬散、防流失、防渗漏等措施，依法贮存、利用、处置固体废物。处置生活垃圾，应当优先采用焚烧处理技术，有计划地实现垃圾零填埋，已有的垃圾填埋处置设施应当建设渗滤液收集和处理、处置设施，并采取相应措施防止土壤污染。 </w:t>
                  </w:r>
                </w:p>
              </w:tc>
              <w:tc>
                <w:tcPr>
                  <w:tcW w:w="3173" w:type="dxa"/>
                  <w:tcBorders>
                    <w:tl2br w:val="nil"/>
                    <w:tr2bl w:val="nil"/>
                  </w:tcBorders>
                  <w:vAlign w:val="center"/>
                </w:tcPr>
                <w:p w14:paraId="3C721831">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项目一般固废</w:t>
                  </w:r>
                  <w:r>
                    <w:rPr>
                      <w:rFonts w:hint="eastAsia" w:cs="Times New Roman"/>
                      <w:color w:val="auto"/>
                      <w:spacing w:val="-10"/>
                      <w:sz w:val="18"/>
                      <w:szCs w:val="18"/>
                      <w:highlight w:val="none"/>
                      <w:lang w:val="en-US" w:eastAsia="zh-CN"/>
                    </w:rPr>
                    <w:t>废反渗透膜更换后由厂家回收；未参与实验过程的剩余土样、生活垃圾</w:t>
                  </w:r>
                  <w:r>
                    <w:rPr>
                      <w:rFonts w:hint="eastAsia" w:ascii="Times New Roman" w:hAnsi="Times New Roman" w:eastAsia="宋体" w:cs="Times New Roman"/>
                      <w:color w:val="auto"/>
                      <w:spacing w:val="-10"/>
                      <w:sz w:val="18"/>
                      <w:szCs w:val="18"/>
                      <w:highlight w:val="none"/>
                      <w:lang w:val="en-US" w:eastAsia="zh-CN"/>
                    </w:rPr>
                    <w:t>由环卫部门处理</w:t>
                  </w:r>
                  <w:r>
                    <w:rPr>
                      <w:rFonts w:hint="eastAsia" w:ascii="Times New Roman" w:hAnsi="Times New Roman"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不含有毒有害物质的破损的玻璃器、废一般包装物均</w:t>
                  </w:r>
                  <w:r>
                    <w:rPr>
                      <w:rFonts w:hint="eastAsia" w:ascii="Times New Roman" w:hAnsi="Times New Roman" w:eastAsia="宋体" w:cs="Times New Roman"/>
                      <w:color w:val="auto"/>
                      <w:spacing w:val="-10"/>
                      <w:sz w:val="18"/>
                      <w:szCs w:val="18"/>
                      <w:highlight w:val="none"/>
                      <w:lang w:val="en-US" w:eastAsia="zh-CN"/>
                    </w:rPr>
                    <w:t>暂存于一般固废暂存区，</w:t>
                  </w:r>
                  <w:r>
                    <w:rPr>
                      <w:rFonts w:hint="eastAsia" w:cs="Times New Roman"/>
                      <w:color w:val="auto"/>
                      <w:spacing w:val="-10"/>
                      <w:sz w:val="18"/>
                      <w:szCs w:val="18"/>
                      <w:highlight w:val="none"/>
                      <w:lang w:val="en-US" w:eastAsia="zh-CN"/>
                    </w:rPr>
                    <w:t>之后外售资源回收单位综合利用</w:t>
                  </w:r>
                  <w:r>
                    <w:rPr>
                      <w:rFonts w:hint="eastAsia" w:ascii="Times New Roman" w:hAnsi="Times New Roman" w:eastAsia="宋体" w:cs="Times New Roman"/>
                      <w:color w:val="auto"/>
                      <w:spacing w:val="-10"/>
                      <w:sz w:val="18"/>
                      <w:szCs w:val="18"/>
                      <w:highlight w:val="none"/>
                      <w:lang w:val="en-US" w:eastAsia="zh-CN"/>
                    </w:rPr>
                    <w:t>；危险废物暂存于危险废物暂存间内，委托有资质单位运输、处置。同时项目采取了严格的防扬散、防流失、防渗漏措施。</w:t>
                  </w:r>
                </w:p>
              </w:tc>
              <w:tc>
                <w:tcPr>
                  <w:tcW w:w="750" w:type="dxa"/>
                  <w:tcBorders>
                    <w:tl2br w:val="nil"/>
                    <w:tr2bl w:val="nil"/>
                  </w:tcBorders>
                  <w:vAlign w:val="center"/>
                </w:tcPr>
                <w:p w14:paraId="48F563F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34A801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687" w:type="dxa"/>
                  <w:vMerge w:val="continue"/>
                  <w:tcBorders>
                    <w:tl2br w:val="nil"/>
                    <w:tr2bl w:val="nil"/>
                  </w:tcBorders>
                  <w:vAlign w:val="center"/>
                </w:tcPr>
                <w:p w14:paraId="7CBE797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131" w:type="dxa"/>
                  <w:vMerge w:val="continue"/>
                  <w:tcBorders>
                    <w:tl2br w:val="nil"/>
                    <w:tr2bl w:val="nil"/>
                  </w:tcBorders>
                  <w:vAlign w:val="center"/>
                </w:tcPr>
                <w:p w14:paraId="19C9953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234" w:type="dxa"/>
                  <w:tcBorders>
                    <w:tl2br w:val="nil"/>
                    <w:tr2bl w:val="nil"/>
                  </w:tcBorders>
                  <w:shd w:val="clear" w:color="auto" w:fill="auto"/>
                  <w:vAlign w:val="center"/>
                </w:tcPr>
                <w:p w14:paraId="43EA5F9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、严格危险废物源头管控，优化利用处置结构布局，提高应急保障能力。发展生态循环农业，提升农业废弃物综合利用率。健全完善制度、技术、市场、监管四大政策体系，实现固体废物和危险废物全链条监管。</w:t>
                  </w:r>
                </w:p>
              </w:tc>
              <w:tc>
                <w:tcPr>
                  <w:tcW w:w="3173" w:type="dxa"/>
                  <w:tcBorders>
                    <w:tl2br w:val="nil"/>
                    <w:tr2bl w:val="nil"/>
                  </w:tcBorders>
                  <w:shd w:val="clear" w:color="auto" w:fill="auto"/>
                  <w:vAlign w:val="center"/>
                </w:tcPr>
                <w:p w14:paraId="20358C6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产生的危险废物暂存于危险废物暂存间内，定期交有资质单位运输、处置；本项目危险废物收集、贮存和运输严格按照《危险废物收集、贮存、运输技术规范》（HJ2025-2012）、《危险废物贮存污染控制标准》（GB18597-2023）执行</w:t>
                  </w:r>
                </w:p>
              </w:tc>
              <w:tc>
                <w:tcPr>
                  <w:tcW w:w="750" w:type="dxa"/>
                  <w:tcBorders>
                    <w:tl2br w:val="nil"/>
                    <w:tr2bl w:val="nil"/>
                  </w:tcBorders>
                  <w:shd w:val="clear" w:color="auto" w:fill="auto"/>
                  <w:vAlign w:val="center"/>
                </w:tcPr>
                <w:p w14:paraId="49A0A21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79398300">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420"/>
              <w:gridCol w:w="6593"/>
              <w:gridCol w:w="2525"/>
              <w:gridCol w:w="750"/>
            </w:tblGrid>
            <w:tr w14:paraId="74B543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2"/>
                  <w:tcBorders>
                    <w:tl2br w:val="nil"/>
                    <w:tr2bl w:val="nil"/>
                  </w:tcBorders>
                  <w:vAlign w:val="center"/>
                </w:tcPr>
                <w:p w14:paraId="768DA27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93" w:type="dxa"/>
                  <w:tcBorders>
                    <w:tl2br w:val="nil"/>
                    <w:tr2bl w:val="nil"/>
                  </w:tcBorders>
                  <w:vAlign w:val="center"/>
                </w:tcPr>
                <w:p w14:paraId="76923B6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25" w:type="dxa"/>
                  <w:tcBorders>
                    <w:tl2br w:val="nil"/>
                    <w:tr2bl w:val="nil"/>
                  </w:tcBorders>
                  <w:vAlign w:val="center"/>
                </w:tcPr>
                <w:p w14:paraId="398F1367">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12F091F5">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5D6A6D3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restart"/>
                  <w:tcBorders>
                    <w:tl2br w:val="nil"/>
                    <w:tr2bl w:val="nil"/>
                  </w:tcBorders>
                  <w:vAlign w:val="center"/>
                </w:tcPr>
                <w:p w14:paraId="5AA4DE89">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1420" w:type="dxa"/>
                  <w:vMerge w:val="restart"/>
                  <w:tcBorders>
                    <w:tl2br w:val="nil"/>
                    <w:tr2bl w:val="nil"/>
                  </w:tcBorders>
                  <w:vAlign w:val="center"/>
                </w:tcPr>
                <w:p w14:paraId="48361EB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环境风险防控</w:t>
                  </w:r>
                </w:p>
              </w:tc>
              <w:tc>
                <w:tcPr>
                  <w:tcW w:w="6593" w:type="dxa"/>
                  <w:tcBorders>
                    <w:tl2br w:val="nil"/>
                    <w:tr2bl w:val="nil"/>
                  </w:tcBorders>
                  <w:shd w:val="clear" w:color="auto" w:fill="auto"/>
                  <w:vAlign w:val="center"/>
                </w:tcPr>
                <w:p w14:paraId="7431097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1</w:t>
                  </w:r>
                  <w:r>
                    <w:rPr>
                      <w:rFonts w:hint="eastAsia" w:ascii="Times New Roman" w:hAnsi="Times New Roman" w:eastAsia="宋体" w:cs="Times New Roman"/>
                      <w:color w:val="auto"/>
                      <w:spacing w:val="-10"/>
                      <w:kern w:val="2"/>
                      <w:sz w:val="18"/>
                      <w:szCs w:val="18"/>
                      <w:highlight w:val="none"/>
                      <w:lang w:val="en-US" w:eastAsia="zh-CN" w:bidi="ar-SA"/>
                    </w:rPr>
                    <w:t>、每年对集中式饮用水水源保护区开展基础调查与评估，将可能影响水源水质安全的风险源全部列入档案，实行“一源一案”，对每个风险源开展隐患排查、整改，编制风险应急方案，建立联防联控应急机制。</w:t>
                  </w:r>
                </w:p>
              </w:tc>
              <w:tc>
                <w:tcPr>
                  <w:tcW w:w="2525" w:type="dxa"/>
                  <w:tcBorders>
                    <w:tl2br w:val="nil"/>
                    <w:tr2bl w:val="nil"/>
                  </w:tcBorders>
                  <w:shd w:val="clear" w:color="auto" w:fill="auto"/>
                  <w:vAlign w:val="center"/>
                </w:tcPr>
                <w:p w14:paraId="0DB53E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05F5FE6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4F30B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continue"/>
                  <w:tcBorders>
                    <w:tl2br w:val="nil"/>
                    <w:tr2bl w:val="nil"/>
                  </w:tcBorders>
                  <w:vAlign w:val="center"/>
                </w:tcPr>
                <w:p w14:paraId="21FE9BCC">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44BB259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30DAC2B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2</w:t>
                  </w:r>
                  <w:r>
                    <w:rPr>
                      <w:rFonts w:hint="eastAsia" w:ascii="Times New Roman" w:hAnsi="Times New Roman" w:eastAsia="宋体" w:cs="Times New Roman"/>
                      <w:color w:val="auto"/>
                      <w:spacing w:val="-10"/>
                      <w:kern w:val="2"/>
                      <w:sz w:val="18"/>
                      <w:szCs w:val="18"/>
                      <w:highlight w:val="none"/>
                      <w:lang w:val="en-US" w:eastAsia="zh-CN" w:bidi="ar-SA"/>
                    </w:rPr>
                    <w:t>、尾矿库运营、管理单位应当按照规定加强尾矿库的安全管理，采取措施防止土壤污染。危库、险库、病库以及其他需要重点监管的尾矿库运营、管理单位应当按照规定进行土壤污染状况监测和定期评估。</w:t>
                  </w:r>
                </w:p>
              </w:tc>
              <w:tc>
                <w:tcPr>
                  <w:tcW w:w="2525" w:type="dxa"/>
                  <w:tcBorders>
                    <w:tl2br w:val="nil"/>
                    <w:tr2bl w:val="nil"/>
                  </w:tcBorders>
                  <w:shd w:val="clear" w:color="auto" w:fill="auto"/>
                  <w:vAlign w:val="center"/>
                </w:tcPr>
                <w:p w14:paraId="64B4279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F97272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FBF79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continue"/>
                  <w:tcBorders>
                    <w:tl2br w:val="nil"/>
                    <w:tr2bl w:val="nil"/>
                  </w:tcBorders>
                  <w:vAlign w:val="center"/>
                </w:tcPr>
                <w:p w14:paraId="48860B24">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354ECFB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5469EAB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3</w:t>
                  </w:r>
                  <w:r>
                    <w:rPr>
                      <w:rFonts w:hint="eastAsia" w:ascii="Times New Roman" w:hAnsi="Times New Roman" w:eastAsia="宋体" w:cs="Times New Roman"/>
                      <w:color w:val="auto"/>
                      <w:spacing w:val="-10"/>
                      <w:kern w:val="2"/>
                      <w:sz w:val="18"/>
                      <w:szCs w:val="18"/>
                      <w:highlight w:val="none"/>
                      <w:lang w:val="en-US" w:eastAsia="zh-CN" w:bidi="ar-SA"/>
                    </w:rPr>
                    <w:t>、产生、收集、贮存、运输、利用、处置危险废物的单位，应当依法制定意外事故的防范措施和应急预案，并向所在地生态环境主管部门和其他负有固体废物污染环境防治监督管理职责的部门备案。</w:t>
                  </w:r>
                </w:p>
              </w:tc>
              <w:tc>
                <w:tcPr>
                  <w:tcW w:w="2525" w:type="dxa"/>
                  <w:tcBorders>
                    <w:tl2br w:val="nil"/>
                    <w:tr2bl w:val="nil"/>
                  </w:tcBorders>
                  <w:shd w:val="clear" w:color="auto" w:fill="auto"/>
                  <w:vAlign w:val="center"/>
                </w:tcPr>
                <w:p w14:paraId="4E8219D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项目建成后根据危险废物产生情况制定意外事故的防范措施，同时本环评要求企业编制突发环境事件应急预案，并向所在地生态环境主管部门备案。</w:t>
                  </w:r>
                </w:p>
              </w:tc>
              <w:tc>
                <w:tcPr>
                  <w:tcW w:w="750" w:type="dxa"/>
                  <w:tcBorders>
                    <w:tl2br w:val="nil"/>
                    <w:tr2bl w:val="nil"/>
                  </w:tcBorders>
                  <w:shd w:val="clear" w:color="auto" w:fill="auto"/>
                  <w:vAlign w:val="center"/>
                </w:tcPr>
                <w:p w14:paraId="7CAFDE5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478ED9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87" w:type="dxa"/>
                  <w:vMerge w:val="continue"/>
                  <w:tcBorders>
                    <w:tl2br w:val="nil"/>
                    <w:tr2bl w:val="nil"/>
                  </w:tcBorders>
                  <w:vAlign w:val="center"/>
                </w:tcPr>
                <w:p w14:paraId="052E9F33">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37654529">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3181B04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4</w:t>
                  </w:r>
                  <w:r>
                    <w:rPr>
                      <w:rFonts w:hint="eastAsia" w:ascii="Times New Roman" w:hAnsi="Times New Roman" w:eastAsia="宋体" w:cs="Times New Roman"/>
                      <w:color w:val="auto"/>
                      <w:spacing w:val="-10"/>
                      <w:kern w:val="2"/>
                      <w:sz w:val="18"/>
                      <w:szCs w:val="18"/>
                      <w:highlight w:val="none"/>
                      <w:lang w:val="en-US" w:eastAsia="zh-CN" w:bidi="ar-SA"/>
                    </w:rPr>
                    <w:t>、严格落实耕地风险防范措施。对安全利用类耕地，应结合当地主要作物品种和种植习惯，采取农艺调控、低积累品种替代、轮作间作等措施，降低农产品超标风险；对严格管控类耕地，依法划定特定农产品禁止生产区域，鼓励采取调整种植结构、退耕还林还草、退耕还湿、轮作休耕等风险管控措施</w:t>
                  </w:r>
                  <w:r>
                    <w:rPr>
                      <w:rFonts w:hint="eastAsia" w:cs="Times New Roman"/>
                      <w:color w:val="auto"/>
                      <w:spacing w:val="-10"/>
                      <w:kern w:val="2"/>
                      <w:sz w:val="18"/>
                      <w:szCs w:val="18"/>
                      <w:highlight w:val="none"/>
                      <w:lang w:val="en-US" w:eastAsia="zh-CN" w:bidi="ar-SA"/>
                    </w:rPr>
                    <w:t>。</w:t>
                  </w:r>
                </w:p>
              </w:tc>
              <w:tc>
                <w:tcPr>
                  <w:tcW w:w="2525" w:type="dxa"/>
                  <w:tcBorders>
                    <w:tl2br w:val="nil"/>
                    <w:tr2bl w:val="nil"/>
                  </w:tcBorders>
                  <w:shd w:val="clear" w:color="auto" w:fill="auto"/>
                  <w:vAlign w:val="center"/>
                </w:tcPr>
                <w:p w14:paraId="608CF33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023900B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C155B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687" w:type="dxa"/>
                  <w:vMerge w:val="continue"/>
                  <w:tcBorders>
                    <w:tl2br w:val="nil"/>
                    <w:tr2bl w:val="nil"/>
                  </w:tcBorders>
                  <w:vAlign w:val="center"/>
                </w:tcPr>
                <w:p w14:paraId="4ADF234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5B2CB72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vAlign w:val="center"/>
                </w:tcPr>
                <w:p w14:paraId="434EE25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5</w:t>
                  </w:r>
                  <w:r>
                    <w:rPr>
                      <w:rFonts w:hint="eastAsia" w:ascii="Times New Roman" w:hAnsi="Times New Roman" w:eastAsia="宋体" w:cs="Times New Roman"/>
                      <w:color w:val="auto"/>
                      <w:spacing w:val="-10"/>
                      <w:kern w:val="2"/>
                      <w:sz w:val="18"/>
                      <w:szCs w:val="18"/>
                      <w:highlight w:val="none"/>
                      <w:lang w:val="en-US" w:eastAsia="zh-CN" w:bidi="ar-SA"/>
                    </w:rPr>
                    <w:t>、强化污染地块土壤环境联动监管。抓好退城搬迁工业企业工矿用地土壤环境监督管理，土壤污染重点监管单位拆除设施、设备或者建筑物、构筑物，要制定土壤污染防治工作方案并按要求备案，防范拆除活动造成土壤和地下水污染，切实保障生态环境安全。</w:t>
                  </w:r>
                </w:p>
              </w:tc>
              <w:tc>
                <w:tcPr>
                  <w:tcW w:w="2525" w:type="dxa"/>
                  <w:tcBorders>
                    <w:tl2br w:val="nil"/>
                    <w:tr2bl w:val="nil"/>
                  </w:tcBorders>
                  <w:vAlign w:val="center"/>
                </w:tcPr>
                <w:p w14:paraId="2024CFB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335FCC2A">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61A25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687" w:type="dxa"/>
                  <w:vMerge w:val="continue"/>
                  <w:tcBorders>
                    <w:tl2br w:val="nil"/>
                    <w:tr2bl w:val="nil"/>
                  </w:tcBorders>
                  <w:vAlign w:val="center"/>
                </w:tcPr>
                <w:p w14:paraId="1C4EB30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19B1248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vAlign w:val="center"/>
                </w:tcPr>
                <w:p w14:paraId="378A174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6</w:t>
                  </w:r>
                  <w:r>
                    <w:rPr>
                      <w:rFonts w:hint="eastAsia" w:ascii="Times New Roman" w:hAnsi="Times New Roman" w:eastAsia="宋体" w:cs="Times New Roman"/>
                      <w:color w:val="auto"/>
                      <w:spacing w:val="-10"/>
                      <w:kern w:val="2"/>
                      <w:sz w:val="18"/>
                      <w:szCs w:val="18"/>
                      <w:highlight w:val="none"/>
                      <w:lang w:val="en-US" w:eastAsia="zh-CN" w:bidi="ar-SA"/>
                    </w:rPr>
                    <w:t>、严格建设用地准入管理。加强对土地征收、收回、收购的监督管理，对应当开展土壤污染状况调查而未进行调查的地块，以及列入疑似污染地块名单、污染地块名录、建设用地土壤污染风险管控和修复名录且未达到规划用途土壤环境质量要求的地块，不得进入供地程序进行再开发利用，未达到土壤污染风险管控、修复目标的地块，禁止开工建设任何与风险管控、修复无关的项目，不得批准环境影响评价技术文件、建设工程规划许可证等事项。涉及成片污染地块分期分批开发或周边土地开发的，要科学设定开发时序，防止受污染土壤及其后续风险管控和修复措施对周边人群产生影响。</w:t>
                  </w:r>
                </w:p>
              </w:tc>
              <w:tc>
                <w:tcPr>
                  <w:tcW w:w="2525" w:type="dxa"/>
                  <w:tcBorders>
                    <w:tl2br w:val="nil"/>
                    <w:tr2bl w:val="nil"/>
                  </w:tcBorders>
                  <w:vAlign w:val="center"/>
                </w:tcPr>
                <w:p w14:paraId="44AFD45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vAlign w:val="center"/>
                </w:tcPr>
                <w:p w14:paraId="1650D91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ACABB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687" w:type="dxa"/>
                  <w:vMerge w:val="continue"/>
                  <w:tcBorders>
                    <w:tl2br w:val="nil"/>
                    <w:tr2bl w:val="nil"/>
                  </w:tcBorders>
                  <w:vAlign w:val="center"/>
                </w:tcPr>
                <w:p w14:paraId="32FEC22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688BDD9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72A4072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7</w:t>
                  </w:r>
                  <w:r>
                    <w:rPr>
                      <w:rFonts w:hint="eastAsia" w:ascii="Times New Roman" w:hAnsi="Times New Roman" w:eastAsia="宋体" w:cs="Times New Roman"/>
                      <w:color w:val="auto"/>
                      <w:spacing w:val="-10"/>
                      <w:kern w:val="2"/>
                      <w:sz w:val="18"/>
                      <w:szCs w:val="18"/>
                      <w:highlight w:val="none"/>
                      <w:lang w:val="en-US" w:eastAsia="zh-CN" w:bidi="ar-SA"/>
                    </w:rPr>
                    <w:t>、加强污染地块风险管控及修复。对暂不开发利用的污染地块，实施以防止污染扩散为目的的风险管控，设立标识、发布公告，并组织开展土壤、地表水、地下水、空气环境监测。对需要实施治理与修复的污染地块，应结合土地利用总体规划和城乡规划编制修复方案并组织实施。加强治理与修复施工的环境监理，并严防治理与修复过程中产生废水、废气和固体废物二次污染。</w:t>
                  </w:r>
                </w:p>
              </w:tc>
              <w:tc>
                <w:tcPr>
                  <w:tcW w:w="2525" w:type="dxa"/>
                  <w:tcBorders>
                    <w:tl2br w:val="nil"/>
                    <w:tr2bl w:val="nil"/>
                  </w:tcBorders>
                  <w:shd w:val="clear" w:color="auto" w:fill="auto"/>
                  <w:vAlign w:val="center"/>
                </w:tcPr>
                <w:p w14:paraId="7627D94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0EA3C9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60CE9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687" w:type="dxa"/>
                  <w:vMerge w:val="continue"/>
                  <w:tcBorders>
                    <w:tl2br w:val="nil"/>
                    <w:tr2bl w:val="nil"/>
                  </w:tcBorders>
                  <w:vAlign w:val="center"/>
                </w:tcPr>
                <w:p w14:paraId="4A5F0566">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1F51445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93" w:type="dxa"/>
                  <w:tcBorders>
                    <w:tl2br w:val="nil"/>
                    <w:tr2bl w:val="nil"/>
                  </w:tcBorders>
                  <w:shd w:val="clear" w:color="auto" w:fill="auto"/>
                  <w:vAlign w:val="center"/>
                </w:tcPr>
                <w:p w14:paraId="04BD721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8</w:t>
                  </w:r>
                  <w:r>
                    <w:rPr>
                      <w:rFonts w:hint="eastAsia" w:ascii="Times New Roman" w:hAnsi="Times New Roman" w:eastAsia="宋体" w:cs="Times New Roman"/>
                      <w:color w:val="auto"/>
                      <w:spacing w:val="-10"/>
                      <w:kern w:val="2"/>
                      <w:sz w:val="18"/>
                      <w:szCs w:val="18"/>
                      <w:highlight w:val="none"/>
                      <w:lang w:val="en-US" w:eastAsia="zh-CN" w:bidi="ar-SA"/>
                    </w:rPr>
                    <w:t>、县级以上地方人民政府应当根据地下水水源条件和需要，建设应急备用饮用水水源，制定应急预案，确保需要时正常使用。应急备用地下水水源结束应急使用后，应当立即停止取水。</w:t>
                  </w:r>
                </w:p>
              </w:tc>
              <w:tc>
                <w:tcPr>
                  <w:tcW w:w="2525" w:type="dxa"/>
                  <w:tcBorders>
                    <w:tl2br w:val="nil"/>
                    <w:tr2bl w:val="nil"/>
                  </w:tcBorders>
                  <w:shd w:val="clear" w:color="auto" w:fill="auto"/>
                  <w:vAlign w:val="center"/>
                </w:tcPr>
                <w:p w14:paraId="018C857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337935A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5638A01A">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62"/>
              <w:gridCol w:w="758"/>
              <w:gridCol w:w="6532"/>
              <w:gridCol w:w="2586"/>
              <w:gridCol w:w="750"/>
            </w:tblGrid>
            <w:tr w14:paraId="769DCB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3"/>
                  <w:tcBorders>
                    <w:tl2br w:val="nil"/>
                    <w:tr2bl w:val="nil"/>
                  </w:tcBorders>
                  <w:vAlign w:val="center"/>
                </w:tcPr>
                <w:p w14:paraId="341A56B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32" w:type="dxa"/>
                  <w:tcBorders>
                    <w:tl2br w:val="nil"/>
                    <w:tr2bl w:val="nil"/>
                  </w:tcBorders>
                  <w:vAlign w:val="center"/>
                </w:tcPr>
                <w:p w14:paraId="3303BD3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86" w:type="dxa"/>
                  <w:tcBorders>
                    <w:tl2br w:val="nil"/>
                    <w:tr2bl w:val="nil"/>
                  </w:tcBorders>
                  <w:vAlign w:val="center"/>
                </w:tcPr>
                <w:p w14:paraId="5F02D2D6">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314EDFD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7C524C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restart"/>
                  <w:tcBorders>
                    <w:tl2br w:val="nil"/>
                    <w:tr2bl w:val="nil"/>
                  </w:tcBorders>
                  <w:vAlign w:val="center"/>
                </w:tcPr>
                <w:p w14:paraId="7041DE6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土壤环境及地下水环境</w:t>
                  </w:r>
                </w:p>
              </w:tc>
              <w:tc>
                <w:tcPr>
                  <w:tcW w:w="1420" w:type="dxa"/>
                  <w:gridSpan w:val="2"/>
                  <w:vMerge w:val="restart"/>
                  <w:tcBorders>
                    <w:tl2br w:val="nil"/>
                    <w:tr2bl w:val="nil"/>
                  </w:tcBorders>
                  <w:vAlign w:val="center"/>
                </w:tcPr>
                <w:p w14:paraId="54D6019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环境风险防控</w:t>
                  </w:r>
                </w:p>
              </w:tc>
              <w:tc>
                <w:tcPr>
                  <w:tcW w:w="6532" w:type="dxa"/>
                  <w:tcBorders>
                    <w:tl2br w:val="nil"/>
                    <w:tr2bl w:val="nil"/>
                  </w:tcBorders>
                  <w:shd w:val="clear" w:color="auto" w:fill="auto"/>
                  <w:vAlign w:val="center"/>
                </w:tcPr>
                <w:p w14:paraId="3F49533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9</w:t>
                  </w:r>
                  <w:r>
                    <w:rPr>
                      <w:rFonts w:hint="eastAsia" w:ascii="Times New Roman" w:hAnsi="Times New Roman" w:eastAsia="宋体" w:cs="Times New Roman"/>
                      <w:color w:val="auto"/>
                      <w:spacing w:val="-10"/>
                      <w:kern w:val="2"/>
                      <w:sz w:val="18"/>
                      <w:szCs w:val="18"/>
                      <w:highlight w:val="none"/>
                      <w:lang w:val="en-US" w:eastAsia="zh-CN" w:bidi="ar-SA"/>
                    </w:rPr>
                    <w:t>、针对存在地下水污染的化工园区、危险废物处置场和生活垃圾填埋场等，实施地下水污染风险管控，因地制宜选择阻隔、制度控制、渗透反应格栅等技术，阻止污染扩散，加强风险管控后期地下水环境监管。</w:t>
                  </w:r>
                </w:p>
              </w:tc>
              <w:tc>
                <w:tcPr>
                  <w:tcW w:w="2586" w:type="dxa"/>
                  <w:tcBorders>
                    <w:tl2br w:val="nil"/>
                    <w:tr2bl w:val="nil"/>
                  </w:tcBorders>
                  <w:shd w:val="clear" w:color="auto" w:fill="auto"/>
                  <w:vAlign w:val="center"/>
                </w:tcPr>
                <w:p w14:paraId="1011FB8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8B1EC2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D72CD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87" w:type="dxa"/>
                  <w:vMerge w:val="continue"/>
                  <w:tcBorders>
                    <w:tl2br w:val="nil"/>
                    <w:tr2bl w:val="nil"/>
                  </w:tcBorders>
                  <w:vAlign w:val="center"/>
                </w:tcPr>
                <w:p w14:paraId="300F6FFD">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gridSpan w:val="2"/>
                  <w:vMerge w:val="continue"/>
                  <w:tcBorders>
                    <w:tl2br w:val="nil"/>
                    <w:tr2bl w:val="nil"/>
                  </w:tcBorders>
                  <w:vAlign w:val="center"/>
                </w:tcPr>
                <w:p w14:paraId="0F7B1D1A">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32" w:type="dxa"/>
                  <w:tcBorders>
                    <w:tl2br w:val="nil"/>
                    <w:tr2bl w:val="nil"/>
                  </w:tcBorders>
                  <w:shd w:val="clear" w:color="auto" w:fill="auto"/>
                  <w:vAlign w:val="center"/>
                </w:tcPr>
                <w:p w14:paraId="4006F2B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kern w:val="2"/>
                      <w:sz w:val="18"/>
                      <w:szCs w:val="18"/>
                      <w:highlight w:val="none"/>
                      <w:lang w:val="en-US" w:eastAsia="zh-CN" w:bidi="ar-SA"/>
                    </w:rPr>
                    <w:t>10</w:t>
                  </w:r>
                  <w:r>
                    <w:rPr>
                      <w:rFonts w:hint="eastAsia" w:ascii="Times New Roman" w:hAnsi="Times New Roman" w:eastAsia="宋体" w:cs="Times New Roman"/>
                      <w:color w:val="auto"/>
                      <w:spacing w:val="-10"/>
                      <w:kern w:val="2"/>
                      <w:sz w:val="18"/>
                      <w:szCs w:val="18"/>
                      <w:highlight w:val="none"/>
                      <w:lang w:val="en-US" w:eastAsia="zh-CN" w:bidi="ar-SA"/>
                    </w:rPr>
                    <w:t>、地下水污染风险重点管控区执行《唐山市地下水污染防治重点区划定方案（试行）》中管控类区域管理要求。</w:t>
                  </w:r>
                </w:p>
              </w:tc>
              <w:tc>
                <w:tcPr>
                  <w:tcW w:w="2586" w:type="dxa"/>
                  <w:tcBorders>
                    <w:tl2br w:val="nil"/>
                    <w:tr2bl w:val="nil"/>
                  </w:tcBorders>
                  <w:shd w:val="clear" w:color="auto" w:fill="auto"/>
                  <w:vAlign w:val="center"/>
                </w:tcPr>
                <w:p w14:paraId="0AB35145">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项目采取严格的源头控制、分区防渗措施，并设置完善的巡检制度，不会对土壤造成污染</w:t>
                  </w:r>
                </w:p>
              </w:tc>
              <w:tc>
                <w:tcPr>
                  <w:tcW w:w="750" w:type="dxa"/>
                  <w:tcBorders>
                    <w:tl2br w:val="nil"/>
                    <w:tr2bl w:val="nil"/>
                  </w:tcBorders>
                  <w:shd w:val="clear" w:color="auto" w:fill="auto"/>
                  <w:vAlign w:val="center"/>
                </w:tcPr>
                <w:p w14:paraId="31B8EABB">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1990B1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6" w:hRule="atLeast"/>
              </w:trPr>
              <w:tc>
                <w:tcPr>
                  <w:tcW w:w="687" w:type="dxa"/>
                  <w:vMerge w:val="restart"/>
                  <w:tcBorders>
                    <w:tl2br w:val="nil"/>
                    <w:tr2bl w:val="nil"/>
                  </w:tcBorders>
                  <w:vAlign w:val="center"/>
                </w:tcPr>
                <w:p w14:paraId="556C5AAA">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资源</w:t>
                  </w:r>
                </w:p>
              </w:tc>
              <w:tc>
                <w:tcPr>
                  <w:tcW w:w="662" w:type="dxa"/>
                  <w:vMerge w:val="restart"/>
                  <w:tcBorders>
                    <w:tl2br w:val="nil"/>
                    <w:tr2bl w:val="nil"/>
                  </w:tcBorders>
                  <w:vAlign w:val="center"/>
                </w:tcPr>
                <w:p w14:paraId="5BEA1596">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水资源</w:t>
                  </w:r>
                </w:p>
              </w:tc>
              <w:tc>
                <w:tcPr>
                  <w:tcW w:w="758" w:type="dxa"/>
                  <w:tcBorders>
                    <w:tl2br w:val="nil"/>
                    <w:tr2bl w:val="nil"/>
                  </w:tcBorders>
                  <w:vAlign w:val="center"/>
                </w:tcPr>
                <w:p w14:paraId="08620EED">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总量和强度要求</w:t>
                  </w:r>
                </w:p>
              </w:tc>
              <w:tc>
                <w:tcPr>
                  <w:tcW w:w="6532" w:type="dxa"/>
                  <w:tcBorders>
                    <w:tl2br w:val="nil"/>
                    <w:tr2bl w:val="nil"/>
                  </w:tcBorders>
                  <w:vAlign w:val="center"/>
                </w:tcPr>
                <w:p w14:paraId="4DB3B9DF">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到</w:t>
                  </w:r>
                  <w:r>
                    <w:rPr>
                      <w:rFonts w:hint="default" w:ascii="Times New Roman" w:hAnsi="Times New Roman" w:eastAsia="宋体" w:cs="Times New Roman"/>
                      <w:color w:val="auto"/>
                      <w:spacing w:val="-10"/>
                      <w:sz w:val="18"/>
                      <w:szCs w:val="18"/>
                      <w:highlight w:val="none"/>
                      <w:lang w:val="en-US" w:eastAsia="zh-CN"/>
                    </w:rPr>
                    <w:t>2025</w:t>
                  </w:r>
                  <w:r>
                    <w:rPr>
                      <w:rFonts w:hint="eastAsia" w:ascii="Times New Roman" w:hAnsi="Times New Roman" w:eastAsia="宋体" w:cs="Times New Roman"/>
                      <w:color w:val="auto"/>
                      <w:spacing w:val="-10"/>
                      <w:sz w:val="18"/>
                      <w:szCs w:val="18"/>
                      <w:highlight w:val="none"/>
                      <w:lang w:val="en-US" w:eastAsia="zh-CN"/>
                    </w:rPr>
                    <w:t>年，全市用水总量控制在</w:t>
                  </w:r>
                  <w:r>
                    <w:rPr>
                      <w:rFonts w:hint="default" w:ascii="Times New Roman" w:hAnsi="Times New Roman" w:eastAsia="宋体" w:cs="Times New Roman"/>
                      <w:color w:val="auto"/>
                      <w:spacing w:val="-10"/>
                      <w:sz w:val="18"/>
                      <w:szCs w:val="18"/>
                      <w:highlight w:val="none"/>
                      <w:lang w:val="en-US" w:eastAsia="zh-CN"/>
                    </w:rPr>
                    <w:t>28.48</w:t>
                  </w:r>
                  <w:r>
                    <w:rPr>
                      <w:rFonts w:hint="eastAsia" w:ascii="Times New Roman" w:hAnsi="Times New Roman" w:eastAsia="宋体" w:cs="Times New Roman"/>
                      <w:color w:val="auto"/>
                      <w:spacing w:val="-10"/>
                      <w:sz w:val="18"/>
                      <w:szCs w:val="18"/>
                      <w:highlight w:val="none"/>
                      <w:lang w:val="en-US" w:eastAsia="zh-CN"/>
                    </w:rPr>
                    <w:t>亿立方米以内；万元</w:t>
                  </w:r>
                  <w:r>
                    <w:rPr>
                      <w:rFonts w:hint="default" w:ascii="Times New Roman" w:hAnsi="Times New Roman" w:eastAsia="宋体" w:cs="Times New Roman"/>
                      <w:color w:val="auto"/>
                      <w:spacing w:val="-10"/>
                      <w:sz w:val="18"/>
                      <w:szCs w:val="18"/>
                      <w:highlight w:val="none"/>
                      <w:lang w:val="en-US" w:eastAsia="zh-CN"/>
                    </w:rPr>
                    <w:t>GDP</w:t>
                  </w:r>
                  <w:r>
                    <w:rPr>
                      <w:rFonts w:hint="eastAsia" w:ascii="Times New Roman" w:hAnsi="Times New Roman" w:eastAsia="宋体" w:cs="Times New Roman"/>
                      <w:color w:val="auto"/>
                      <w:spacing w:val="-10"/>
                      <w:sz w:val="18"/>
                      <w:szCs w:val="18"/>
                      <w:highlight w:val="none"/>
                      <w:lang w:val="en-US" w:eastAsia="zh-CN"/>
                    </w:rPr>
                    <w:t xml:space="preserve">用水量规划目标值 </w:t>
                  </w:r>
                  <w:r>
                    <w:rPr>
                      <w:rFonts w:hint="default" w:ascii="Times New Roman" w:hAnsi="Times New Roman" w:eastAsia="宋体" w:cs="Times New Roman"/>
                      <w:color w:val="auto"/>
                      <w:spacing w:val="-10"/>
                      <w:sz w:val="18"/>
                      <w:szCs w:val="18"/>
                      <w:highlight w:val="none"/>
                      <w:lang w:val="en-US" w:eastAsia="zh-CN"/>
                    </w:rPr>
                    <w:t>30.0m³</w:t>
                  </w:r>
                  <w:r>
                    <w:rPr>
                      <w:rFonts w:hint="eastAsia" w:ascii="Times New Roman" w:hAnsi="Times New Roman" w:eastAsia="宋体" w:cs="Times New Roman"/>
                      <w:color w:val="auto"/>
                      <w:spacing w:val="-10"/>
                      <w:sz w:val="18"/>
                      <w:szCs w:val="18"/>
                      <w:highlight w:val="none"/>
                      <w:lang w:val="en-US" w:eastAsia="zh-CN"/>
                    </w:rPr>
                    <w:t>，较</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年下降率为</w:t>
                  </w:r>
                  <w:r>
                    <w:rPr>
                      <w:rFonts w:hint="default" w:ascii="Times New Roman" w:hAnsi="Times New Roman" w:eastAsia="宋体" w:cs="Times New Roman"/>
                      <w:color w:val="auto"/>
                      <w:spacing w:val="-10"/>
                      <w:sz w:val="18"/>
                      <w:szCs w:val="18"/>
                      <w:highlight w:val="none"/>
                      <w:lang w:val="en-US" w:eastAsia="zh-CN"/>
                    </w:rPr>
                    <w:t>7.4%</w:t>
                  </w:r>
                  <w:r>
                    <w:rPr>
                      <w:rFonts w:hint="eastAsia" w:ascii="Times New Roman" w:hAnsi="Times New Roman" w:eastAsia="宋体" w:cs="Times New Roman"/>
                      <w:color w:val="auto"/>
                      <w:spacing w:val="-10"/>
                      <w:sz w:val="18"/>
                      <w:szCs w:val="18"/>
                      <w:highlight w:val="none"/>
                      <w:lang w:val="en-US" w:eastAsia="zh-CN"/>
                    </w:rPr>
                    <w:t>；万元工业增加值用水量较</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年下降</w:t>
                  </w:r>
                  <w:r>
                    <w:rPr>
                      <w:rFonts w:hint="default" w:ascii="Times New Roman" w:hAnsi="Times New Roman" w:eastAsia="宋体" w:cs="Times New Roman"/>
                      <w:color w:val="auto"/>
                      <w:spacing w:val="-10"/>
                      <w:sz w:val="18"/>
                      <w:szCs w:val="18"/>
                      <w:highlight w:val="none"/>
                      <w:lang w:val="en-US" w:eastAsia="zh-CN"/>
                    </w:rPr>
                    <w:t>14.4%</w:t>
                  </w:r>
                  <w:r>
                    <w:rPr>
                      <w:rFonts w:hint="eastAsia" w:ascii="Times New Roman" w:hAnsi="Times New Roman" w:eastAsia="宋体" w:cs="Times New Roman"/>
                      <w:color w:val="auto"/>
                      <w:spacing w:val="-10"/>
                      <w:sz w:val="18"/>
                      <w:szCs w:val="18"/>
                      <w:highlight w:val="none"/>
                      <w:lang w:val="en-US" w:eastAsia="zh-CN"/>
                    </w:rPr>
                    <w:t>；农田灌溉水有效利用系数提高到</w:t>
                  </w:r>
                  <w:r>
                    <w:rPr>
                      <w:rFonts w:hint="default" w:ascii="Times New Roman" w:hAnsi="Times New Roman" w:eastAsia="宋体" w:cs="Times New Roman"/>
                      <w:color w:val="auto"/>
                      <w:spacing w:val="-10"/>
                      <w:sz w:val="18"/>
                      <w:szCs w:val="18"/>
                      <w:highlight w:val="none"/>
                      <w:lang w:val="en-US" w:eastAsia="zh-CN"/>
                    </w:rPr>
                    <w:t>0.6766</w:t>
                  </w:r>
                  <w:r>
                    <w:rPr>
                      <w:rFonts w:hint="eastAsia" w:ascii="Times New Roman" w:hAnsi="Times New Roman" w:eastAsia="宋体" w:cs="Times New Roman"/>
                      <w:color w:val="auto"/>
                      <w:spacing w:val="-10"/>
                      <w:sz w:val="18"/>
                      <w:szCs w:val="18"/>
                      <w:highlight w:val="none"/>
                      <w:lang w:val="en-US" w:eastAsia="zh-CN"/>
                    </w:rPr>
                    <w:t>以上；城市公共供水管网漏损率控制在</w:t>
                  </w: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以内。</w:t>
                  </w:r>
                </w:p>
              </w:tc>
              <w:tc>
                <w:tcPr>
                  <w:tcW w:w="2586" w:type="dxa"/>
                  <w:tcBorders>
                    <w:tl2br w:val="nil"/>
                    <w:tr2bl w:val="nil"/>
                  </w:tcBorders>
                  <w:vAlign w:val="center"/>
                </w:tcPr>
                <w:p w14:paraId="39510651">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项目用水量为1806m</w:t>
                  </w:r>
                  <w:r>
                    <w:rPr>
                      <w:rFonts w:hint="eastAsia" w:cs="Times New Roman"/>
                      <w:color w:val="auto"/>
                      <w:spacing w:val="-10"/>
                      <w:sz w:val="18"/>
                      <w:szCs w:val="18"/>
                      <w:highlight w:val="none"/>
                      <w:vertAlign w:val="superscript"/>
                      <w:lang w:val="en-US" w:eastAsia="zh-CN"/>
                    </w:rPr>
                    <w:t>3</w:t>
                  </w:r>
                  <w:r>
                    <w:rPr>
                      <w:rFonts w:hint="eastAsia" w:cs="Times New Roman"/>
                      <w:color w:val="auto"/>
                      <w:spacing w:val="-10"/>
                      <w:sz w:val="18"/>
                      <w:szCs w:val="18"/>
                      <w:highlight w:val="none"/>
                      <w:lang w:val="en-US" w:eastAsia="zh-CN"/>
                    </w:rPr>
                    <w:t>/a，年用水量较小，不超过资源利用上线</w:t>
                  </w:r>
                </w:p>
              </w:tc>
              <w:tc>
                <w:tcPr>
                  <w:tcW w:w="750" w:type="dxa"/>
                  <w:tcBorders>
                    <w:tl2br w:val="nil"/>
                    <w:tr2bl w:val="nil"/>
                  </w:tcBorders>
                  <w:vAlign w:val="center"/>
                </w:tcPr>
                <w:p w14:paraId="422A74AC">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83917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687" w:type="dxa"/>
                  <w:vMerge w:val="continue"/>
                  <w:tcBorders>
                    <w:tl2br w:val="nil"/>
                    <w:tr2bl w:val="nil"/>
                  </w:tcBorders>
                  <w:vAlign w:val="center"/>
                </w:tcPr>
                <w:p w14:paraId="1FD868F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34FDEB64">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758" w:type="dxa"/>
                  <w:vMerge w:val="restart"/>
                  <w:tcBorders>
                    <w:tl2br w:val="nil"/>
                    <w:tr2bl w:val="nil"/>
                  </w:tcBorders>
                  <w:vAlign w:val="center"/>
                </w:tcPr>
                <w:p w14:paraId="28258731">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资源利用效率要求</w:t>
                  </w:r>
                </w:p>
              </w:tc>
              <w:tc>
                <w:tcPr>
                  <w:tcW w:w="6532" w:type="dxa"/>
                  <w:tcBorders>
                    <w:tl2br w:val="nil"/>
                    <w:tr2bl w:val="nil"/>
                  </w:tcBorders>
                  <w:vAlign w:val="center"/>
                </w:tcPr>
                <w:p w14:paraId="7585F970">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严格地下水管理。在地下水禁采区内，除为保障地下工程施工安全和生产安全必须进行临时应急取（排）水、为消除对公共安全或者公共利益的危害临时应急取水，以及为开展地下水监测、勘探、试验少量取水外，禁止取用地下水。在地下水限采区内，对当地社会发展和群众生活有重大影响的重点建设项目确需取用地下水的，应按照用</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减</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的比例以及先减后加的原则，同步削减其他取水单位的地下水开采量，且不得深层、浅层地下水相互替代。地下水开发利用应当以浅层地下水为主。深层地下水作为战略储备水源、应急供水水源、无替代水源地区的居民生活水源，应当严格限制开采。</w:t>
                  </w:r>
                </w:p>
              </w:tc>
              <w:tc>
                <w:tcPr>
                  <w:tcW w:w="2586" w:type="dxa"/>
                  <w:tcBorders>
                    <w:tl2br w:val="nil"/>
                    <w:tr2bl w:val="nil"/>
                  </w:tcBorders>
                  <w:vAlign w:val="center"/>
                </w:tcPr>
                <w:p w14:paraId="59CC3EBD">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eastAsia"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项目不取用地下水，</w:t>
                  </w:r>
                  <w:r>
                    <w:rPr>
                      <w:rFonts w:hint="eastAsia" w:ascii="Times New Roman" w:hAnsi="Times New Roman" w:cs="Times New Roman"/>
                      <w:color w:val="auto"/>
                      <w:spacing w:val="-10"/>
                      <w:sz w:val="18"/>
                      <w:szCs w:val="18"/>
                      <w:highlight w:val="none"/>
                    </w:rPr>
                    <w:t>项目实验、生活用新鲜水由迁安市自来水公司供给</w:t>
                  </w:r>
                  <w:r>
                    <w:rPr>
                      <w:rFonts w:hint="eastAsia" w:ascii="Times New Roman" w:hAnsi="Times New Roman" w:cs="Times New Roman"/>
                      <w:color w:val="auto"/>
                      <w:spacing w:val="-10"/>
                      <w:sz w:val="18"/>
                      <w:szCs w:val="18"/>
                      <w:highlight w:val="none"/>
                      <w:lang w:eastAsia="zh-CN"/>
                    </w:rPr>
                    <w:t>。</w:t>
                  </w:r>
                </w:p>
              </w:tc>
              <w:tc>
                <w:tcPr>
                  <w:tcW w:w="750" w:type="dxa"/>
                  <w:tcBorders>
                    <w:tl2br w:val="nil"/>
                    <w:tr2bl w:val="nil"/>
                  </w:tcBorders>
                  <w:vAlign w:val="center"/>
                </w:tcPr>
                <w:p w14:paraId="3055784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1C3364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687" w:type="dxa"/>
                  <w:vMerge w:val="continue"/>
                  <w:tcBorders>
                    <w:tl2br w:val="nil"/>
                    <w:tr2bl w:val="nil"/>
                  </w:tcBorders>
                  <w:vAlign w:val="center"/>
                </w:tcPr>
                <w:p w14:paraId="4C3FF747">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73D4BB5E">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6FF6AC0D">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6532" w:type="dxa"/>
                  <w:tcBorders>
                    <w:tl2br w:val="nil"/>
                    <w:tr2bl w:val="nil"/>
                  </w:tcBorders>
                  <w:shd w:val="clear" w:color="auto" w:fill="auto"/>
                  <w:vAlign w:val="center"/>
                </w:tcPr>
                <w:p w14:paraId="61C2F5D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在地下水严重超采地区，实施轮作休耕、旱作雨养，适度退减灌溉面积。严格限制开采深层地下水用于农业灌溉。科学利用水库调蓄功能，用足用好外调水，合理利用当地地表水，鼓励利用非常规水，严格控制开采地下水，确需开采地下水的，由县级人民政府逐级报省人民政府批准。县级以上人民政府水行政主管部门应当加强大中型灌区续建配套和现代化改造，改善灌溉条件，提高灌溉用水效率，建设节水型灌区。</w:t>
                  </w:r>
                </w:p>
              </w:tc>
              <w:tc>
                <w:tcPr>
                  <w:tcW w:w="2586" w:type="dxa"/>
                  <w:tcBorders>
                    <w:tl2br w:val="nil"/>
                    <w:tr2bl w:val="nil"/>
                  </w:tcBorders>
                  <w:shd w:val="clear" w:color="auto" w:fill="auto"/>
                  <w:vAlign w:val="center"/>
                </w:tcPr>
                <w:p w14:paraId="22F5588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699E7FB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75C3F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687" w:type="dxa"/>
                  <w:vMerge w:val="continue"/>
                  <w:tcBorders>
                    <w:tl2br w:val="nil"/>
                    <w:tr2bl w:val="nil"/>
                  </w:tcBorders>
                  <w:vAlign w:val="center"/>
                </w:tcPr>
                <w:p w14:paraId="4BBC863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69C0CBB2">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004985AC">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6532" w:type="dxa"/>
                  <w:tcBorders>
                    <w:tl2br w:val="nil"/>
                    <w:tr2bl w:val="nil"/>
                  </w:tcBorders>
                  <w:shd w:val="clear" w:color="auto" w:fill="auto"/>
                  <w:vAlign w:val="center"/>
                </w:tcPr>
                <w:p w14:paraId="35D8A17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、把节水作为水资源开发、利用、保护、配置、调度的前提，加强水资源调度管理。开展城镇后备水源建设，大力开发利用非常规水源，提高水资源的利用效率和效益。</w:t>
                  </w:r>
                </w:p>
              </w:tc>
              <w:tc>
                <w:tcPr>
                  <w:tcW w:w="2586" w:type="dxa"/>
                  <w:tcBorders>
                    <w:tl2br w:val="nil"/>
                    <w:tr2bl w:val="nil"/>
                  </w:tcBorders>
                  <w:shd w:val="clear" w:color="auto" w:fill="auto"/>
                  <w:vAlign w:val="center"/>
                </w:tcPr>
                <w:p w14:paraId="6425186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cs="Times New Roman"/>
                      <w:color w:val="auto"/>
                      <w:spacing w:val="-10"/>
                      <w:sz w:val="18"/>
                      <w:szCs w:val="18"/>
                      <w:highlight w:val="none"/>
                      <w:lang w:val="en-US" w:eastAsia="zh-CN"/>
                    </w:rPr>
                    <w:t>采取节水器具、制定节水制度</w:t>
                  </w:r>
                  <w:r>
                    <w:rPr>
                      <w:rFonts w:hint="default" w:ascii="Times New Roman" w:hAnsi="Times New Roman" w:eastAsia="宋体"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加强用水环节管理，</w:t>
                  </w:r>
                  <w:r>
                    <w:rPr>
                      <w:rFonts w:hint="default" w:ascii="Times New Roman" w:hAnsi="Times New Roman" w:eastAsia="宋体" w:cs="Times New Roman"/>
                      <w:color w:val="auto"/>
                      <w:spacing w:val="-10"/>
                      <w:sz w:val="18"/>
                      <w:szCs w:val="18"/>
                      <w:highlight w:val="none"/>
                      <w:lang w:val="en-US" w:eastAsia="zh-CN"/>
                    </w:rPr>
                    <w:t>节约用水</w:t>
                  </w:r>
                  <w:r>
                    <w:rPr>
                      <w:rFonts w:hint="eastAsia" w:ascii="Times New Roman" w:hAnsi="Times New Roman" w:eastAsia="宋体" w:cs="Times New Roman"/>
                      <w:color w:val="auto"/>
                      <w:spacing w:val="-10"/>
                      <w:sz w:val="18"/>
                      <w:szCs w:val="18"/>
                      <w:highlight w:val="none"/>
                      <w:lang w:val="en-US" w:eastAsia="zh-CN"/>
                    </w:rPr>
                    <w:t>。</w:t>
                  </w:r>
                </w:p>
              </w:tc>
              <w:tc>
                <w:tcPr>
                  <w:tcW w:w="750" w:type="dxa"/>
                  <w:tcBorders>
                    <w:tl2br w:val="nil"/>
                    <w:tr2bl w:val="nil"/>
                  </w:tcBorders>
                  <w:shd w:val="clear" w:color="auto" w:fill="auto"/>
                  <w:vAlign w:val="center"/>
                </w:tcPr>
                <w:p w14:paraId="5393152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C7A47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687" w:type="dxa"/>
                  <w:vMerge w:val="continue"/>
                  <w:tcBorders>
                    <w:tl2br w:val="nil"/>
                    <w:tr2bl w:val="nil"/>
                  </w:tcBorders>
                  <w:vAlign w:val="center"/>
                </w:tcPr>
                <w:p w14:paraId="4BF246C2">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restart"/>
                  <w:tcBorders>
                    <w:tl2br w:val="nil"/>
                    <w:tr2bl w:val="nil"/>
                  </w:tcBorders>
                  <w:vAlign w:val="center"/>
                </w:tcPr>
                <w:p w14:paraId="1B8A0E35">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p>
              </w:tc>
              <w:tc>
                <w:tcPr>
                  <w:tcW w:w="758" w:type="dxa"/>
                  <w:tcBorders>
                    <w:tl2br w:val="nil"/>
                    <w:tr2bl w:val="nil"/>
                  </w:tcBorders>
                  <w:vAlign w:val="center"/>
                </w:tcPr>
                <w:p w14:paraId="1239AB46">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总量和强度要求</w:t>
                  </w:r>
                </w:p>
              </w:tc>
              <w:tc>
                <w:tcPr>
                  <w:tcW w:w="6532" w:type="dxa"/>
                  <w:tcBorders>
                    <w:tl2br w:val="nil"/>
                    <w:tr2bl w:val="nil"/>
                  </w:tcBorders>
                  <w:shd w:val="clear" w:color="auto" w:fill="auto"/>
                  <w:vAlign w:val="center"/>
                </w:tcPr>
                <w:p w14:paraId="63D334B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 xml:space="preserve">到 </w:t>
                  </w:r>
                  <w:r>
                    <w:rPr>
                      <w:rFonts w:hint="default" w:ascii="Times New Roman" w:hAnsi="Times New Roman" w:eastAsia="宋体" w:cs="Times New Roman"/>
                      <w:color w:val="auto"/>
                      <w:spacing w:val="-10"/>
                      <w:sz w:val="18"/>
                      <w:szCs w:val="18"/>
                      <w:highlight w:val="none"/>
                      <w:lang w:val="en-US" w:eastAsia="zh-CN"/>
                    </w:rPr>
                    <w:t>2025</w:t>
                  </w:r>
                  <w:r>
                    <w:rPr>
                      <w:rFonts w:hint="eastAsia" w:ascii="Times New Roman" w:hAnsi="Times New Roman" w:eastAsia="宋体" w:cs="Times New Roman"/>
                      <w:color w:val="auto"/>
                      <w:spacing w:val="-10"/>
                      <w:sz w:val="18"/>
                      <w:szCs w:val="18"/>
                      <w:highlight w:val="none"/>
                      <w:lang w:val="en-US" w:eastAsia="zh-CN"/>
                    </w:rPr>
                    <w:t>年，全市单位地区生产总值能耗、煤炭消费量比</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年分别下降</w:t>
                  </w:r>
                  <w:r>
                    <w:rPr>
                      <w:rFonts w:hint="default" w:ascii="Times New Roman" w:hAnsi="Times New Roman" w:eastAsia="宋体" w:cs="Times New Roman"/>
                      <w:color w:val="auto"/>
                      <w:spacing w:val="-10"/>
                      <w:sz w:val="18"/>
                      <w:szCs w:val="18"/>
                      <w:highlight w:val="none"/>
                      <w:lang w:val="en-US" w:eastAsia="zh-CN"/>
                    </w:rPr>
                    <w:t>19%</w:t>
                  </w:r>
                  <w:r>
                    <w:rPr>
                      <w:rFonts w:hint="eastAsia" w:ascii="Times New Roman" w:hAnsi="Times New Roman" w:eastAsia="宋体" w:cs="Times New Roman"/>
                      <w:color w:val="auto"/>
                      <w:spacing w:val="-10"/>
                      <w:sz w:val="18"/>
                      <w:szCs w:val="18"/>
                      <w:highlight w:val="none"/>
                      <w:lang w:val="en-US" w:eastAsia="zh-CN"/>
                    </w:rPr>
                    <w:t>和</w:t>
                  </w: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；非化石能源占能源消费总量比重达到</w:t>
                  </w:r>
                  <w:r>
                    <w:rPr>
                      <w:rFonts w:hint="default" w:ascii="Times New Roman" w:hAnsi="Times New Roman" w:eastAsia="宋体" w:cs="Times New Roman"/>
                      <w:color w:val="auto"/>
                      <w:spacing w:val="-10"/>
                      <w:sz w:val="18"/>
                      <w:szCs w:val="18"/>
                      <w:highlight w:val="none"/>
                      <w:lang w:val="en-US" w:eastAsia="zh-CN"/>
                    </w:rPr>
                    <w:t>1.3</w:t>
                  </w:r>
                  <w:r>
                    <w:rPr>
                      <w:rFonts w:hint="eastAsia" w:ascii="Times New Roman" w:hAnsi="Times New Roman" w:eastAsia="宋体" w:cs="Times New Roman"/>
                      <w:color w:val="auto"/>
                      <w:spacing w:val="-10"/>
                      <w:sz w:val="18"/>
                      <w:szCs w:val="18"/>
                      <w:highlight w:val="none"/>
                      <w:lang w:val="en-US" w:eastAsia="zh-CN"/>
                    </w:rPr>
                    <w:t>％左右。</w:t>
                  </w:r>
                </w:p>
              </w:tc>
              <w:tc>
                <w:tcPr>
                  <w:tcW w:w="2586" w:type="dxa"/>
                  <w:tcBorders>
                    <w:tl2br w:val="nil"/>
                    <w:tr2bl w:val="nil"/>
                  </w:tcBorders>
                  <w:shd w:val="clear" w:color="auto" w:fill="auto"/>
                  <w:vAlign w:val="center"/>
                </w:tcPr>
                <w:p w14:paraId="76D2B57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shd w:val="clear" w:color="auto" w:fill="auto"/>
                  <w:vAlign w:val="center"/>
                </w:tcPr>
                <w:p w14:paraId="1AB0140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07C61E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687" w:type="dxa"/>
                  <w:vMerge w:val="continue"/>
                  <w:tcBorders>
                    <w:tl2br w:val="nil"/>
                    <w:tr2bl w:val="nil"/>
                  </w:tcBorders>
                  <w:vAlign w:val="center"/>
                </w:tcPr>
                <w:p w14:paraId="6199DF0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77B5E650">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restart"/>
                  <w:tcBorders>
                    <w:tl2br w:val="nil"/>
                    <w:tr2bl w:val="nil"/>
                  </w:tcBorders>
                  <w:vAlign w:val="center"/>
                </w:tcPr>
                <w:p w14:paraId="26E6E1A2">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r>
                    <w:rPr>
                      <w:rFonts w:hint="default" w:ascii="Times New Roman" w:hAnsi="Times New Roman" w:eastAsia="宋体" w:cs="Times New Roman"/>
                      <w:color w:val="auto"/>
                      <w:kern w:val="0"/>
                      <w:sz w:val="18"/>
                      <w:szCs w:val="18"/>
                      <w:highlight w:val="none"/>
                      <w:lang w:val="en-US" w:eastAsia="zh-CN" w:bidi="ar"/>
                    </w:rPr>
                    <w:t>利用效率要求</w:t>
                  </w:r>
                </w:p>
              </w:tc>
              <w:tc>
                <w:tcPr>
                  <w:tcW w:w="6532" w:type="dxa"/>
                  <w:tcBorders>
                    <w:tl2br w:val="nil"/>
                    <w:tr2bl w:val="nil"/>
                  </w:tcBorders>
                  <w:vAlign w:val="center"/>
                </w:tcPr>
                <w:p w14:paraId="475BA52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、禁燃区内不得新建燃烧煤炭、重油、渣油等高污染燃料的设施；现有燃烧高污染燃料的设 施，应当限期改用清洁能源；未改用清洁能源替代的高污染燃料设施，应当配套建设先进工艺的脱硫、脱硝、除尘装置或者采取其他措施，控制二氧化硫、氮氧化物和烟尘等排放；仍未达到大气污染物排放标准的，应当停止使用。禁燃区内禁止原煤散烧。</w:t>
                  </w:r>
                </w:p>
              </w:tc>
              <w:tc>
                <w:tcPr>
                  <w:tcW w:w="2586" w:type="dxa"/>
                  <w:tcBorders>
                    <w:tl2br w:val="nil"/>
                    <w:tr2bl w:val="nil"/>
                  </w:tcBorders>
                  <w:vAlign w:val="center"/>
                </w:tcPr>
                <w:p w14:paraId="5455AF7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vAlign w:val="center"/>
                </w:tcPr>
                <w:p w14:paraId="3CEDD4A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r w14:paraId="2D8BCF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687" w:type="dxa"/>
                  <w:vMerge w:val="continue"/>
                  <w:tcBorders>
                    <w:tl2br w:val="nil"/>
                    <w:tr2bl w:val="nil"/>
                  </w:tcBorders>
                  <w:vAlign w:val="center"/>
                </w:tcPr>
                <w:p w14:paraId="11A9F83E">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7AEF73F4">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19310878">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32" w:type="dxa"/>
                  <w:tcBorders>
                    <w:tl2br w:val="nil"/>
                    <w:tr2bl w:val="nil"/>
                  </w:tcBorders>
                  <w:vAlign w:val="center"/>
                </w:tcPr>
                <w:p w14:paraId="19693C4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禁燃区内禁止销售高污染燃料；禁止燃用煤炭及其制品（原料煤和发电、集中供热等具备高效污染治理设施企业用煤除外）；石油焦、油页岩、原油、重油、渣油、煤焦油；非专用锅炉或未配置高效除尘设施的专用锅炉燃用的生物质成型燃料等高污染燃料。</w:t>
                  </w:r>
                </w:p>
              </w:tc>
              <w:tc>
                <w:tcPr>
                  <w:tcW w:w="2586" w:type="dxa"/>
                  <w:tcBorders>
                    <w:tl2br w:val="nil"/>
                    <w:tr2bl w:val="nil"/>
                  </w:tcBorders>
                  <w:vAlign w:val="center"/>
                </w:tcPr>
                <w:p w14:paraId="2652F65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vAlign w:val="center"/>
                </w:tcPr>
                <w:p w14:paraId="7C46F04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w:t>
                  </w:r>
                </w:p>
              </w:tc>
            </w:tr>
          </w:tbl>
          <w:p w14:paraId="2B7AE5F7">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662"/>
              <w:gridCol w:w="758"/>
              <w:gridCol w:w="6521"/>
              <w:gridCol w:w="2597"/>
              <w:gridCol w:w="750"/>
            </w:tblGrid>
            <w:tr w14:paraId="3808F4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3"/>
                  <w:tcBorders>
                    <w:tl2br w:val="nil"/>
                    <w:tr2bl w:val="nil"/>
                  </w:tcBorders>
                  <w:vAlign w:val="center"/>
                </w:tcPr>
                <w:p w14:paraId="0E9D040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21" w:type="dxa"/>
                  <w:tcBorders>
                    <w:tl2br w:val="nil"/>
                    <w:tr2bl w:val="nil"/>
                  </w:tcBorders>
                  <w:vAlign w:val="center"/>
                </w:tcPr>
                <w:p w14:paraId="58B1296F">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97" w:type="dxa"/>
                  <w:tcBorders>
                    <w:tl2br w:val="nil"/>
                    <w:tr2bl w:val="nil"/>
                  </w:tcBorders>
                  <w:vAlign w:val="center"/>
                </w:tcPr>
                <w:p w14:paraId="4A0F18F1">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2E55D10B">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3F4035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restart"/>
                  <w:tcBorders>
                    <w:tl2br w:val="nil"/>
                    <w:tr2bl w:val="nil"/>
                  </w:tcBorders>
                  <w:vAlign w:val="center"/>
                </w:tcPr>
                <w:p w14:paraId="470FE18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资源</w:t>
                  </w:r>
                </w:p>
              </w:tc>
              <w:tc>
                <w:tcPr>
                  <w:tcW w:w="662" w:type="dxa"/>
                  <w:vMerge w:val="restart"/>
                  <w:tcBorders>
                    <w:tl2br w:val="nil"/>
                    <w:tr2bl w:val="nil"/>
                  </w:tcBorders>
                  <w:vAlign w:val="center"/>
                </w:tcPr>
                <w:p w14:paraId="18028952">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p>
              </w:tc>
              <w:tc>
                <w:tcPr>
                  <w:tcW w:w="758" w:type="dxa"/>
                  <w:vMerge w:val="restart"/>
                  <w:tcBorders>
                    <w:tl2br w:val="nil"/>
                    <w:tr2bl w:val="nil"/>
                  </w:tcBorders>
                  <w:vAlign w:val="center"/>
                </w:tcPr>
                <w:p w14:paraId="11F99DF3">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能源</w:t>
                  </w:r>
                  <w:r>
                    <w:rPr>
                      <w:rFonts w:hint="default" w:ascii="Times New Roman" w:hAnsi="Times New Roman" w:eastAsia="宋体" w:cs="Times New Roman"/>
                      <w:color w:val="auto"/>
                      <w:kern w:val="0"/>
                      <w:sz w:val="18"/>
                      <w:szCs w:val="18"/>
                      <w:highlight w:val="none"/>
                      <w:lang w:val="en-US" w:eastAsia="zh-CN" w:bidi="ar"/>
                    </w:rPr>
                    <w:t>利用效率要求</w:t>
                  </w:r>
                </w:p>
              </w:tc>
              <w:tc>
                <w:tcPr>
                  <w:tcW w:w="6521" w:type="dxa"/>
                  <w:tcBorders>
                    <w:tl2br w:val="nil"/>
                    <w:tr2bl w:val="nil"/>
                  </w:tcBorders>
                  <w:shd w:val="clear" w:color="auto" w:fill="auto"/>
                  <w:vAlign w:val="center"/>
                </w:tcPr>
                <w:p w14:paraId="2792AFE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、新建项目禁止配套建设自备燃煤电站。除热电联产外，禁止审批新建燃煤发电项目，现有多台燃煤机组装机容量合计达到国家规定要求的，可以按照煤炭等量替代的原则建设为大容量燃煤机组。</w:t>
                  </w:r>
                </w:p>
              </w:tc>
              <w:tc>
                <w:tcPr>
                  <w:tcW w:w="2597" w:type="dxa"/>
                  <w:tcBorders>
                    <w:tl2br w:val="nil"/>
                    <w:tr2bl w:val="nil"/>
                  </w:tcBorders>
                  <w:shd w:val="clear" w:color="auto" w:fill="auto"/>
                  <w:vAlign w:val="center"/>
                </w:tcPr>
                <w:p w14:paraId="7FD4449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项目不涉及燃料燃烧</w:t>
                  </w:r>
                </w:p>
              </w:tc>
              <w:tc>
                <w:tcPr>
                  <w:tcW w:w="750" w:type="dxa"/>
                  <w:tcBorders>
                    <w:tl2br w:val="nil"/>
                    <w:tr2bl w:val="nil"/>
                  </w:tcBorders>
                  <w:shd w:val="clear" w:color="auto" w:fill="auto"/>
                  <w:vAlign w:val="center"/>
                </w:tcPr>
                <w:p w14:paraId="293EEB1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411618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7441E1D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2BC9B95D">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66D59E6A">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tcBorders>
                    <w:tl2br w:val="nil"/>
                    <w:tr2bl w:val="nil"/>
                  </w:tcBorders>
                  <w:shd w:val="clear" w:color="auto" w:fill="auto"/>
                  <w:vAlign w:val="center"/>
                </w:tcPr>
                <w:p w14:paraId="07A91AB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 xml:space="preserve">、对以煤、石油焦、渣油、重油等为燃料的工业炉窑，加快使用清洁低碳能源以及利用工厂余热、电厂热力等进行替代，全市禁止掺烧高硫石油焦（硫含量大于 </w:t>
                  </w: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）。玻璃行业全面禁止掺烧高硫石油焦。</w:t>
                  </w:r>
                </w:p>
              </w:tc>
              <w:tc>
                <w:tcPr>
                  <w:tcW w:w="2597" w:type="dxa"/>
                  <w:tcBorders>
                    <w:tl2br w:val="nil"/>
                    <w:tr2bl w:val="nil"/>
                  </w:tcBorders>
                  <w:shd w:val="clear" w:color="auto" w:fill="auto"/>
                  <w:vAlign w:val="center"/>
                </w:tcPr>
                <w:p w14:paraId="1A2962D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A6E1E08">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68818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6D348515">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515E315B">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5E9EC027">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tcBorders>
                    <w:tl2br w:val="nil"/>
                    <w:tr2bl w:val="nil"/>
                  </w:tcBorders>
                  <w:shd w:val="clear" w:color="auto" w:fill="auto"/>
                  <w:vAlign w:val="center"/>
                </w:tcPr>
                <w:p w14:paraId="7EE9D97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、钢铁行业按期完成</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立方米以下高炉、</w:t>
                  </w:r>
                  <w:r>
                    <w:rPr>
                      <w:rFonts w:hint="default" w:ascii="Times New Roman" w:hAnsi="Times New Roman" w:eastAsia="宋体" w:cs="Times New Roman"/>
                      <w:color w:val="auto"/>
                      <w:spacing w:val="-10"/>
                      <w:sz w:val="18"/>
                      <w:szCs w:val="18"/>
                      <w:highlight w:val="none"/>
                      <w:lang w:val="en-US" w:eastAsia="zh-CN"/>
                    </w:rPr>
                    <w:t>100</w:t>
                  </w:r>
                  <w:r>
                    <w:rPr>
                      <w:rFonts w:hint="eastAsia" w:ascii="Times New Roman" w:hAnsi="Times New Roman" w:eastAsia="宋体" w:cs="Times New Roman"/>
                      <w:color w:val="auto"/>
                      <w:spacing w:val="-10"/>
                      <w:sz w:val="18"/>
                      <w:szCs w:val="18"/>
                      <w:highlight w:val="none"/>
                      <w:lang w:val="en-US" w:eastAsia="zh-CN"/>
                    </w:rPr>
                    <w:t>吨以下转炉升级改造，大力推广高炉富氧喷煤、大球团比等先进冶炼工艺技术，探索推进气基竖炉直接还原炼铁、熔融还原炼铁、富氢燃气炼铁积极推进全废钢电炉工艺，有序实施短流程炼钢改造。焦化行业加快高效精馏系统、高温高压干熄焦等节能技术推广应用。推动工业窑炉、油机、压缩机等重点用能设备进行系统节能改造。</w:t>
                  </w:r>
                </w:p>
              </w:tc>
              <w:tc>
                <w:tcPr>
                  <w:tcW w:w="2597" w:type="dxa"/>
                  <w:tcBorders>
                    <w:tl2br w:val="nil"/>
                    <w:tr2bl w:val="nil"/>
                  </w:tcBorders>
                  <w:shd w:val="clear" w:color="auto" w:fill="auto"/>
                  <w:vAlign w:val="center"/>
                </w:tcPr>
                <w:p w14:paraId="77CF473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327E171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6501D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7F053C7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restart"/>
                  <w:tcBorders>
                    <w:tl2br w:val="nil"/>
                    <w:tr2bl w:val="nil"/>
                  </w:tcBorders>
                  <w:vAlign w:val="center"/>
                </w:tcPr>
                <w:p w14:paraId="1E49E424">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土地资源</w:t>
                  </w:r>
                </w:p>
              </w:tc>
              <w:tc>
                <w:tcPr>
                  <w:tcW w:w="758" w:type="dxa"/>
                  <w:vMerge w:val="restart"/>
                  <w:tcBorders>
                    <w:tl2br w:val="nil"/>
                    <w:tr2bl w:val="nil"/>
                  </w:tcBorders>
                  <w:shd w:val="clear" w:color="auto" w:fill="auto"/>
                  <w:vAlign w:val="center"/>
                </w:tcPr>
                <w:p w14:paraId="213CA0FC">
                  <w:pPr>
                    <w:keepNext w:val="0"/>
                    <w:keepLines w:val="0"/>
                    <w:widowControl/>
                    <w:suppressLineNumbers w:val="0"/>
                    <w:jc w:val="center"/>
                    <w:rPr>
                      <w:rFonts w:hint="eastAsia"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资源利用效率要求</w:t>
                  </w:r>
                </w:p>
              </w:tc>
              <w:tc>
                <w:tcPr>
                  <w:tcW w:w="6521" w:type="dxa"/>
                  <w:tcBorders>
                    <w:tl2br w:val="nil"/>
                    <w:tr2bl w:val="nil"/>
                  </w:tcBorders>
                  <w:shd w:val="clear" w:color="auto" w:fill="auto"/>
                  <w:vAlign w:val="center"/>
                </w:tcPr>
                <w:p w14:paraId="1A32194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、不得擅自突破城镇建设用地规模和城镇开发边界扩展倍数，严禁违反法律和规划开展用地用海审批。</w:t>
                  </w:r>
                </w:p>
              </w:tc>
              <w:tc>
                <w:tcPr>
                  <w:tcW w:w="2597" w:type="dxa"/>
                  <w:tcBorders>
                    <w:tl2br w:val="nil"/>
                    <w:tr2bl w:val="nil"/>
                  </w:tcBorders>
                  <w:shd w:val="clear" w:color="auto" w:fill="auto"/>
                  <w:vAlign w:val="center"/>
                </w:tcPr>
                <w:p w14:paraId="42B10A6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yellow"/>
                      <w:lang w:val="en-US" w:eastAsia="zh-CN"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租用迁安市昌盛路与兴安大街交叉口620号5层的商业服务楼</w:t>
                  </w:r>
                  <w:r>
                    <w:rPr>
                      <w:rFonts w:hint="eastAsia" w:ascii="Times New Roman" w:hAnsi="Times New Roman" w:cs="Times New Roman"/>
                      <w:color w:val="auto"/>
                      <w:spacing w:val="-10"/>
                      <w:sz w:val="18"/>
                      <w:szCs w:val="18"/>
                      <w:highlight w:val="none"/>
                      <w:lang w:val="en-US" w:eastAsia="zh-CN"/>
                    </w:rPr>
                    <w:t>用于本项目建设</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年）》中“三区三线规划图”，项目所在地位于迁安市国土空间规划“三区三线”划定的城镇开发边界范围内，不新增城镇建设用地规模</w:t>
                  </w:r>
                </w:p>
              </w:tc>
              <w:tc>
                <w:tcPr>
                  <w:tcW w:w="750" w:type="dxa"/>
                  <w:tcBorders>
                    <w:tl2br w:val="nil"/>
                    <w:tr2bl w:val="nil"/>
                  </w:tcBorders>
                  <w:shd w:val="clear" w:color="auto" w:fill="auto"/>
                  <w:vAlign w:val="center"/>
                </w:tcPr>
                <w:p w14:paraId="09910FC3">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D9EEA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Borders>
                    <w:tl2br w:val="nil"/>
                    <w:tr2bl w:val="nil"/>
                  </w:tcBorders>
                  <w:vAlign w:val="center"/>
                </w:tcPr>
                <w:p w14:paraId="6657CE5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62" w:type="dxa"/>
                  <w:vMerge w:val="continue"/>
                  <w:tcBorders>
                    <w:tl2br w:val="nil"/>
                    <w:tr2bl w:val="nil"/>
                  </w:tcBorders>
                  <w:vAlign w:val="center"/>
                </w:tcPr>
                <w:p w14:paraId="11C79A77">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758" w:type="dxa"/>
                  <w:vMerge w:val="continue"/>
                  <w:tcBorders>
                    <w:tl2br w:val="nil"/>
                    <w:tr2bl w:val="nil"/>
                  </w:tcBorders>
                  <w:vAlign w:val="center"/>
                </w:tcPr>
                <w:p w14:paraId="01637EE0">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tcBorders>
                    <w:tl2br w:val="nil"/>
                    <w:tr2bl w:val="nil"/>
                  </w:tcBorders>
                  <w:shd w:val="clear" w:color="auto" w:fill="auto"/>
                  <w:vAlign w:val="center"/>
                </w:tcPr>
                <w:p w14:paraId="7DBB322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、城镇开发边界外不得进行城镇集中建设，不得规划建设各类开发区和产业园区，不得规划城镇居住用地。</w:t>
                  </w:r>
                </w:p>
              </w:tc>
              <w:tc>
                <w:tcPr>
                  <w:tcW w:w="2597" w:type="dxa"/>
                  <w:tcBorders>
                    <w:tl2br w:val="nil"/>
                    <w:tr2bl w:val="nil"/>
                  </w:tcBorders>
                  <w:shd w:val="clear" w:color="auto" w:fill="auto"/>
                  <w:vAlign w:val="center"/>
                </w:tcPr>
                <w:p w14:paraId="3F79FF0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5C3F6FE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20F7DB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restart"/>
                  <w:tcBorders>
                    <w:tl2br w:val="nil"/>
                    <w:tr2bl w:val="nil"/>
                  </w:tcBorders>
                  <w:vAlign w:val="center"/>
                </w:tcPr>
                <w:p w14:paraId="6768E2A6">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产业总体布局</w:t>
                  </w:r>
                </w:p>
                <w:p w14:paraId="004FEE5A">
                  <w:pPr>
                    <w:keepNext w:val="0"/>
                    <w:keepLines w:val="0"/>
                    <w:widowControl/>
                    <w:suppressLineNumbers w:val="0"/>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要求</w:t>
                  </w:r>
                </w:p>
              </w:tc>
              <w:tc>
                <w:tcPr>
                  <w:tcW w:w="1420" w:type="dxa"/>
                  <w:gridSpan w:val="2"/>
                  <w:vMerge w:val="restart"/>
                  <w:tcBorders>
                    <w:tl2br w:val="nil"/>
                    <w:tr2bl w:val="nil"/>
                  </w:tcBorders>
                  <w:vAlign w:val="center"/>
                </w:tcPr>
                <w:p w14:paraId="5AEE29FB">
                  <w:pPr>
                    <w:keepNext w:val="0"/>
                    <w:keepLines w:val="0"/>
                    <w:widowControl/>
                    <w:suppressLineNumbers w:val="0"/>
                    <w:jc w:val="center"/>
                    <w:rPr>
                      <w:rFonts w:hint="eastAsia" w:cs="Times New Roman"/>
                      <w:color w:val="auto"/>
                      <w:kern w:val="0"/>
                      <w:sz w:val="18"/>
                      <w:szCs w:val="18"/>
                      <w:highlight w:val="none"/>
                      <w:lang w:val="en-US" w:eastAsia="zh-CN" w:bidi="ar"/>
                    </w:rPr>
                  </w:pPr>
                  <w:r>
                    <w:rPr>
                      <w:rFonts w:hint="default" w:ascii="Times New Roman" w:hAnsi="Times New Roman" w:cs="Times New Roman"/>
                      <w:color w:val="auto"/>
                      <w:spacing w:val="-10"/>
                      <w:sz w:val="18"/>
                      <w:szCs w:val="18"/>
                      <w:highlight w:val="none"/>
                      <w:lang w:val="en-US" w:eastAsia="zh-CN"/>
                    </w:rPr>
                    <w:t>空间布局约束</w:t>
                  </w:r>
                </w:p>
              </w:tc>
              <w:tc>
                <w:tcPr>
                  <w:tcW w:w="6521" w:type="dxa"/>
                  <w:tcBorders>
                    <w:tl2br w:val="nil"/>
                    <w:tr2bl w:val="nil"/>
                  </w:tcBorders>
                  <w:shd w:val="clear" w:color="auto" w:fill="auto"/>
                  <w:vAlign w:val="center"/>
                </w:tcPr>
                <w:p w14:paraId="7827FA5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、严格执行《产业结构调整指导目录》《市场准入负面清单》《河北省禁止投资的产业目录》 相关要求。</w:t>
                  </w:r>
                </w:p>
              </w:tc>
              <w:tc>
                <w:tcPr>
                  <w:tcW w:w="2597" w:type="dxa"/>
                  <w:tcBorders>
                    <w:tl2br w:val="nil"/>
                    <w:tr2bl w:val="nil"/>
                  </w:tcBorders>
                  <w:shd w:val="clear" w:color="auto" w:fill="auto"/>
                  <w:vAlign w:val="center"/>
                </w:tcPr>
                <w:p w14:paraId="0025796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color w:val="auto"/>
                      <w:highlight w:val="none"/>
                      <w:lang w:val="en-US" w:eastAsia="zh-CN"/>
                    </w:rPr>
                  </w:pPr>
                  <w:r>
                    <w:rPr>
                      <w:rFonts w:hint="eastAsia" w:ascii="Times New Roman" w:hAnsi="Times New Roman" w:eastAsia="宋体" w:cs="Times New Roman"/>
                      <w:color w:val="auto"/>
                      <w:spacing w:val="-10"/>
                      <w:kern w:val="2"/>
                      <w:sz w:val="18"/>
                      <w:szCs w:val="18"/>
                      <w:highlight w:val="none"/>
                      <w:lang w:val="en-US" w:eastAsia="zh-CN" w:bidi="ar-SA"/>
                    </w:rPr>
                    <w:t>根据《产业结构调整指导目录（2024年本）》，本项目为鼓励类项目；项目</w:t>
                  </w:r>
                  <w:r>
                    <w:rPr>
                      <w:rFonts w:hint="default" w:ascii="Times New Roman" w:hAnsi="Times New Roman" w:eastAsia="宋体" w:cs="Times New Roman"/>
                      <w:color w:val="auto"/>
                      <w:spacing w:val="-10"/>
                      <w:kern w:val="2"/>
                      <w:sz w:val="18"/>
                      <w:szCs w:val="18"/>
                      <w:highlight w:val="none"/>
                      <w:lang w:val="en-US" w:eastAsia="zh-CN" w:bidi="ar-SA"/>
                    </w:rPr>
                    <w:t>不</w:t>
                  </w:r>
                  <w:r>
                    <w:rPr>
                      <w:rFonts w:hint="eastAsia" w:ascii="Times New Roman" w:hAnsi="Times New Roman" w:eastAsia="宋体" w:cs="Times New Roman"/>
                      <w:color w:val="auto"/>
                      <w:spacing w:val="-10"/>
                      <w:kern w:val="2"/>
                      <w:sz w:val="18"/>
                      <w:szCs w:val="18"/>
                      <w:highlight w:val="none"/>
                      <w:lang w:val="en-US" w:eastAsia="zh-CN" w:bidi="ar-SA"/>
                    </w:rPr>
                    <w:t>属于</w:t>
                  </w:r>
                  <w:r>
                    <w:rPr>
                      <w:rFonts w:hint="default" w:ascii="Times New Roman" w:hAnsi="Times New Roman" w:eastAsia="宋体" w:cs="Times New Roman"/>
                      <w:color w:val="auto"/>
                      <w:spacing w:val="-10"/>
                      <w:kern w:val="2"/>
                      <w:sz w:val="18"/>
                      <w:szCs w:val="18"/>
                      <w:highlight w:val="none"/>
                      <w:lang w:val="en-US" w:eastAsia="zh-CN" w:bidi="ar-SA"/>
                    </w:rPr>
                    <w:t>《市场准入负面清单</w:t>
                  </w:r>
                  <w:r>
                    <w:rPr>
                      <w:rFonts w:hint="eastAsia" w:ascii="Times New Roman" w:hAnsi="Times New Roman" w:eastAsia="宋体" w:cs="Times New Roman"/>
                      <w:color w:val="auto"/>
                      <w:spacing w:val="-10"/>
                      <w:kern w:val="2"/>
                      <w:sz w:val="18"/>
                      <w:szCs w:val="18"/>
                      <w:highlight w:val="none"/>
                      <w:lang w:val="en-US" w:eastAsia="zh-CN" w:bidi="ar-SA"/>
                    </w:rPr>
                    <w:t>（202</w:t>
                  </w:r>
                  <w:r>
                    <w:rPr>
                      <w:rFonts w:hint="eastAsia" w:cs="Times New Roman"/>
                      <w:color w:val="auto"/>
                      <w:spacing w:val="-10"/>
                      <w:kern w:val="2"/>
                      <w:sz w:val="18"/>
                      <w:szCs w:val="18"/>
                      <w:highlight w:val="none"/>
                      <w:lang w:val="en-US" w:eastAsia="zh-CN" w:bidi="ar-SA"/>
                    </w:rPr>
                    <w:t>5</w:t>
                  </w:r>
                  <w:r>
                    <w:rPr>
                      <w:rFonts w:hint="eastAsia" w:ascii="Times New Roman" w:hAnsi="Times New Roman" w:eastAsia="宋体" w:cs="Times New Roman"/>
                      <w:color w:val="auto"/>
                      <w:spacing w:val="-10"/>
                      <w:kern w:val="2"/>
                      <w:sz w:val="18"/>
                      <w:szCs w:val="18"/>
                      <w:highlight w:val="none"/>
                      <w:lang w:val="en-US" w:eastAsia="zh-CN" w:bidi="ar-SA"/>
                    </w:rPr>
                    <w:t>年</w:t>
                  </w:r>
                  <w:r>
                    <w:rPr>
                      <w:rFonts w:hint="eastAsia" w:cs="Times New Roman"/>
                      <w:color w:val="auto"/>
                      <w:spacing w:val="-10"/>
                      <w:kern w:val="2"/>
                      <w:sz w:val="18"/>
                      <w:szCs w:val="18"/>
                      <w:highlight w:val="none"/>
                      <w:lang w:val="en-US" w:eastAsia="zh-CN" w:bidi="ar-SA"/>
                    </w:rPr>
                    <w:t>版</w:t>
                  </w:r>
                  <w:r>
                    <w:rPr>
                      <w:rFonts w:hint="eastAsia" w:ascii="Times New Roman" w:hAnsi="Times New Roman" w:eastAsia="宋体" w:cs="Times New Roman"/>
                      <w:color w:val="auto"/>
                      <w:spacing w:val="-10"/>
                      <w:kern w:val="2"/>
                      <w:sz w:val="18"/>
                      <w:szCs w:val="18"/>
                      <w:highlight w:val="none"/>
                      <w:lang w:val="en-US" w:eastAsia="zh-CN" w:bidi="ar-SA"/>
                    </w:rPr>
                    <w:t>）</w:t>
                  </w:r>
                  <w:r>
                    <w:rPr>
                      <w:rFonts w:hint="default" w:ascii="Times New Roman" w:hAnsi="Times New Roman" w:eastAsia="宋体" w:cs="Times New Roman"/>
                      <w:color w:val="auto"/>
                      <w:spacing w:val="-10"/>
                      <w:kern w:val="2"/>
                      <w:sz w:val="18"/>
                      <w:szCs w:val="18"/>
                      <w:highlight w:val="none"/>
                      <w:lang w:val="en-US" w:eastAsia="zh-CN" w:bidi="ar-SA"/>
                    </w:rPr>
                    <w:t>》</w:t>
                  </w:r>
                  <w:r>
                    <w:rPr>
                      <w:rFonts w:hint="eastAsia" w:ascii="Times New Roman" w:hAnsi="Times New Roman" w:eastAsia="宋体" w:cs="Times New Roman"/>
                      <w:color w:val="auto"/>
                      <w:spacing w:val="-10"/>
                      <w:kern w:val="2"/>
                      <w:sz w:val="18"/>
                      <w:szCs w:val="18"/>
                      <w:highlight w:val="none"/>
                      <w:lang w:val="en-US" w:eastAsia="zh-CN" w:bidi="ar-SA"/>
                    </w:rPr>
                    <w:t>的禁止准入类建设项目；项目不属于</w:t>
                  </w:r>
                  <w:r>
                    <w:rPr>
                      <w:rFonts w:hint="default" w:ascii="Times New Roman" w:hAnsi="Times New Roman" w:eastAsia="宋体" w:cs="Times New Roman"/>
                      <w:color w:val="auto"/>
                      <w:spacing w:val="-10"/>
                      <w:kern w:val="2"/>
                      <w:sz w:val="18"/>
                      <w:szCs w:val="18"/>
                      <w:highlight w:val="none"/>
                      <w:lang w:val="en-US" w:eastAsia="zh-CN" w:bidi="ar-SA"/>
                    </w:rPr>
                    <w:t>《河北省禁止投资的产业目录》</w:t>
                  </w:r>
                  <w:r>
                    <w:rPr>
                      <w:rFonts w:hint="eastAsia" w:ascii="Times New Roman" w:hAnsi="Times New Roman" w:eastAsia="宋体" w:cs="Times New Roman"/>
                      <w:color w:val="auto"/>
                      <w:spacing w:val="-10"/>
                      <w:kern w:val="2"/>
                      <w:sz w:val="18"/>
                      <w:szCs w:val="18"/>
                      <w:highlight w:val="none"/>
                      <w:lang w:val="en-US" w:eastAsia="zh-CN" w:bidi="ar-SA"/>
                    </w:rPr>
                    <w:t>中的禁止投资项目</w:t>
                  </w:r>
                </w:p>
              </w:tc>
              <w:tc>
                <w:tcPr>
                  <w:tcW w:w="750" w:type="dxa"/>
                  <w:tcBorders>
                    <w:tl2br w:val="nil"/>
                    <w:tr2bl w:val="nil"/>
                  </w:tcBorders>
                  <w:shd w:val="clear" w:color="auto" w:fill="auto"/>
                  <w:vAlign w:val="center"/>
                </w:tcPr>
                <w:p w14:paraId="7781D3B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6B7A3F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Pr>
                <w:p w14:paraId="2A7F4B22">
                  <w:pPr>
                    <w:keepNext w:val="0"/>
                    <w:keepLines w:val="0"/>
                    <w:widowControl/>
                    <w:suppressLineNumbers w:val="0"/>
                    <w:jc w:val="center"/>
                    <w:rPr>
                      <w:rFonts w:hint="default" w:ascii="Times New Roman" w:hAnsi="Times New Roman" w:cs="Times New Roman"/>
                      <w:color w:val="auto"/>
                      <w:spacing w:val="-10"/>
                      <w:sz w:val="18"/>
                      <w:szCs w:val="18"/>
                      <w:highlight w:val="none"/>
                      <w:lang w:val="en-US" w:eastAsia="zh-CN"/>
                    </w:rPr>
                  </w:pPr>
                </w:p>
              </w:tc>
              <w:tc>
                <w:tcPr>
                  <w:tcW w:w="1420" w:type="dxa"/>
                  <w:gridSpan w:val="2"/>
                  <w:vMerge w:val="continue"/>
                </w:tcPr>
                <w:p w14:paraId="018ED4A4">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shd w:val="clear" w:color="auto" w:fill="auto"/>
                  <w:vAlign w:val="center"/>
                </w:tcPr>
                <w:p w14:paraId="7D41D75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、严格执行国家产业政策和准入标准，实行生态环境准入清单制度，禁止新建、扩建高污染项目，严格控制高耗能、高排放项目准入。新建、改建和扩建项目按照相关规定实行减量置换或者等量置换。</w:t>
                  </w:r>
                </w:p>
              </w:tc>
              <w:tc>
                <w:tcPr>
                  <w:tcW w:w="2597" w:type="dxa"/>
                  <w:shd w:val="clear" w:color="auto" w:fill="auto"/>
                  <w:vAlign w:val="center"/>
                </w:tcPr>
                <w:p w14:paraId="3E9E5DD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项目不属于高污染</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高耗能、高排放</w:t>
                  </w:r>
                  <w:r>
                    <w:rPr>
                      <w:rFonts w:hint="default" w:ascii="Times New Roman" w:hAnsi="Times New Roman" w:eastAsia="宋体" w:cs="Times New Roman"/>
                      <w:color w:val="auto"/>
                      <w:spacing w:val="-10"/>
                      <w:sz w:val="18"/>
                      <w:szCs w:val="18"/>
                      <w:highlight w:val="none"/>
                      <w:lang w:val="en-US" w:eastAsia="zh-CN"/>
                    </w:rPr>
                    <w:t>项目</w:t>
                  </w:r>
                </w:p>
              </w:tc>
              <w:tc>
                <w:tcPr>
                  <w:tcW w:w="750" w:type="dxa"/>
                  <w:shd w:val="clear" w:color="auto" w:fill="auto"/>
                  <w:vAlign w:val="center"/>
                </w:tcPr>
                <w:p w14:paraId="274173C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60BD0C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687" w:type="dxa"/>
                  <w:vMerge w:val="continue"/>
                </w:tcPr>
                <w:p w14:paraId="45D21726">
                  <w:pPr>
                    <w:keepNext w:val="0"/>
                    <w:keepLines w:val="0"/>
                    <w:widowControl/>
                    <w:suppressLineNumbers w:val="0"/>
                    <w:jc w:val="center"/>
                    <w:rPr>
                      <w:rFonts w:hint="default" w:ascii="Times New Roman" w:hAnsi="Times New Roman" w:cs="Times New Roman"/>
                      <w:color w:val="auto"/>
                      <w:spacing w:val="-10"/>
                      <w:sz w:val="18"/>
                      <w:szCs w:val="18"/>
                      <w:highlight w:val="none"/>
                      <w:lang w:val="en-US" w:eastAsia="zh-CN"/>
                    </w:rPr>
                  </w:pPr>
                </w:p>
              </w:tc>
              <w:tc>
                <w:tcPr>
                  <w:tcW w:w="1420" w:type="dxa"/>
                  <w:gridSpan w:val="2"/>
                  <w:vMerge w:val="continue"/>
                </w:tcPr>
                <w:p w14:paraId="26D8E866">
                  <w:pPr>
                    <w:keepNext w:val="0"/>
                    <w:keepLines w:val="0"/>
                    <w:widowControl/>
                    <w:suppressLineNumbers w:val="0"/>
                    <w:jc w:val="center"/>
                    <w:rPr>
                      <w:rFonts w:hint="eastAsia" w:cs="Times New Roman"/>
                      <w:color w:val="auto"/>
                      <w:kern w:val="0"/>
                      <w:sz w:val="18"/>
                      <w:szCs w:val="18"/>
                      <w:highlight w:val="none"/>
                      <w:lang w:val="en-US" w:eastAsia="zh-CN" w:bidi="ar"/>
                    </w:rPr>
                  </w:pPr>
                </w:p>
              </w:tc>
              <w:tc>
                <w:tcPr>
                  <w:tcW w:w="6521" w:type="dxa"/>
                  <w:shd w:val="clear" w:color="auto" w:fill="auto"/>
                  <w:vAlign w:val="center"/>
                </w:tcPr>
                <w:p w14:paraId="74D4BDBE">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、禁止投资钢铁冶炼、水泥、电解铝、平板玻璃等产能严重过剩行业和炼焦、有色、电石、铁合金等新增产能项目。</w:t>
                  </w:r>
                </w:p>
              </w:tc>
              <w:tc>
                <w:tcPr>
                  <w:tcW w:w="2597" w:type="dxa"/>
                  <w:shd w:val="clear" w:color="auto" w:fill="auto"/>
                  <w:vAlign w:val="center"/>
                </w:tcPr>
                <w:p w14:paraId="1EC4939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shd w:val="clear" w:color="auto" w:fill="auto"/>
                  <w:vAlign w:val="center"/>
                </w:tcPr>
                <w:p w14:paraId="55D9B04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26135CB7">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420"/>
              <w:gridCol w:w="6568"/>
              <w:gridCol w:w="2550"/>
              <w:gridCol w:w="750"/>
            </w:tblGrid>
            <w:tr w14:paraId="7ACC50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2"/>
                  <w:tcBorders>
                    <w:tl2br w:val="nil"/>
                    <w:tr2bl w:val="nil"/>
                  </w:tcBorders>
                  <w:vAlign w:val="center"/>
                </w:tcPr>
                <w:p w14:paraId="400B0DC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68" w:type="dxa"/>
                  <w:tcBorders>
                    <w:tl2br w:val="nil"/>
                    <w:tr2bl w:val="nil"/>
                  </w:tcBorders>
                  <w:vAlign w:val="center"/>
                </w:tcPr>
                <w:p w14:paraId="61D0DE32">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50" w:type="dxa"/>
                  <w:tcBorders>
                    <w:tl2br w:val="nil"/>
                    <w:tr2bl w:val="nil"/>
                  </w:tcBorders>
                  <w:vAlign w:val="center"/>
                </w:tcPr>
                <w:p w14:paraId="1AC681BE">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097274A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6E90F3D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restart"/>
                  <w:tcBorders>
                    <w:tl2br w:val="nil"/>
                    <w:tr2bl w:val="nil"/>
                  </w:tcBorders>
                  <w:vAlign w:val="center"/>
                </w:tcPr>
                <w:p w14:paraId="0838396E">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产业总体布局</w:t>
                  </w:r>
                </w:p>
                <w:p w14:paraId="42B5BCB2">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要求</w:t>
                  </w:r>
                </w:p>
                <w:p w14:paraId="14B34A5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restart"/>
                  <w:tcBorders>
                    <w:tl2br w:val="nil"/>
                    <w:tr2bl w:val="nil"/>
                  </w:tcBorders>
                  <w:vAlign w:val="center"/>
                </w:tcPr>
                <w:p w14:paraId="1E11DA9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568" w:type="dxa"/>
                  <w:tcBorders>
                    <w:tl2br w:val="nil"/>
                    <w:tr2bl w:val="nil"/>
                  </w:tcBorders>
                  <w:shd w:val="clear" w:color="auto" w:fill="auto"/>
                  <w:vAlign w:val="center"/>
                </w:tcPr>
                <w:p w14:paraId="5A18B999">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、上一年度环境空气质量年平均浓度不达标的城市、水环境质量未达到要求的市县，相关污染物应按照建设项目所需替代的主要污染物排放总量指标的</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倍进行削减替代（燃煤发电机组大气污染物排放浓度基本达到燃气轮机组排放限值的除外）</w:t>
                  </w:r>
                  <w:r>
                    <w:rPr>
                      <w:rFonts w:hint="eastAsia" w:cs="Times New Roman"/>
                      <w:color w:val="auto"/>
                      <w:spacing w:val="-10"/>
                      <w:sz w:val="18"/>
                      <w:szCs w:val="18"/>
                      <w:highlight w:val="none"/>
                      <w:lang w:val="en-US" w:eastAsia="zh-CN"/>
                    </w:rPr>
                    <w:t>。</w:t>
                  </w:r>
                </w:p>
              </w:tc>
              <w:tc>
                <w:tcPr>
                  <w:tcW w:w="2550" w:type="dxa"/>
                  <w:tcBorders>
                    <w:tl2br w:val="nil"/>
                    <w:tr2bl w:val="nil"/>
                  </w:tcBorders>
                  <w:shd w:val="clear" w:color="auto" w:fill="auto"/>
                  <w:vAlign w:val="center"/>
                </w:tcPr>
                <w:p w14:paraId="0BAFFCD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kern w:val="2"/>
                      <w:sz w:val="21"/>
                      <w:szCs w:val="24"/>
                      <w:highlight w:val="none"/>
                      <w:lang w:val="en-US" w:eastAsia="zh-CN" w:bidi="ar-SA"/>
                    </w:rPr>
                  </w:pPr>
                  <w:r>
                    <w:rPr>
                      <w:rFonts w:hint="eastAsia" w:cs="Times New Roman"/>
                      <w:color w:val="auto"/>
                      <w:spacing w:val="-10"/>
                      <w:sz w:val="18"/>
                      <w:szCs w:val="18"/>
                      <w:highlight w:val="none"/>
                      <w:lang w:val="en-US" w:eastAsia="zh-CN"/>
                    </w:rPr>
                    <w:t>根据最新的环保要求，除六大行业外，均已不需要倍量削减</w:t>
                  </w:r>
                </w:p>
              </w:tc>
              <w:tc>
                <w:tcPr>
                  <w:tcW w:w="750" w:type="dxa"/>
                  <w:tcBorders>
                    <w:tl2br w:val="nil"/>
                    <w:tr2bl w:val="nil"/>
                  </w:tcBorders>
                  <w:shd w:val="clear" w:color="auto" w:fill="auto"/>
                  <w:vAlign w:val="center"/>
                </w:tcPr>
                <w:p w14:paraId="0475C65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0FC7C0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4A6CD43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4A535EAF">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5C00FD02">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以水泥、平板玻璃、焦化、化工、制药等行业为重点，加快城市建成区重污染企业搬迁改造或关闭退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tc>
              <w:tc>
                <w:tcPr>
                  <w:tcW w:w="2550" w:type="dxa"/>
                  <w:tcBorders>
                    <w:tl2br w:val="nil"/>
                    <w:tr2bl w:val="nil"/>
                  </w:tcBorders>
                  <w:shd w:val="clear" w:color="auto" w:fill="auto"/>
                  <w:vAlign w:val="center"/>
                </w:tcPr>
                <w:p w14:paraId="2678A25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95508A3">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14D23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FD2C870">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243BE6E8">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4020A9AD">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、在优先保护类耕地集中区域严格控制新建有色金属冶炼、石油加工、化工、焦化、电镀、 制革、铅蓄电池等行业企业，防止对耕地造成污染。</w:t>
                  </w:r>
                </w:p>
              </w:tc>
              <w:tc>
                <w:tcPr>
                  <w:tcW w:w="2550" w:type="dxa"/>
                  <w:tcBorders>
                    <w:tl2br w:val="nil"/>
                    <w:tr2bl w:val="nil"/>
                  </w:tcBorders>
                  <w:shd w:val="clear" w:color="auto" w:fill="auto"/>
                  <w:vAlign w:val="center"/>
                </w:tcPr>
                <w:p w14:paraId="70572D2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617B8FC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74A5A4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302BD55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1420" w:type="dxa"/>
                  <w:vMerge w:val="continue"/>
                  <w:tcBorders>
                    <w:tl2br w:val="nil"/>
                    <w:tr2bl w:val="nil"/>
                  </w:tcBorders>
                  <w:vAlign w:val="center"/>
                </w:tcPr>
                <w:p w14:paraId="128EC751">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10C57DA5">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7</w:t>
                  </w:r>
                  <w:r>
                    <w:rPr>
                      <w:rFonts w:hint="eastAsia" w:ascii="Times New Roman" w:hAnsi="Times New Roman" w:eastAsia="宋体" w:cs="Times New Roman"/>
                      <w:color w:val="auto"/>
                      <w:spacing w:val="-10"/>
                      <w:sz w:val="18"/>
                      <w:szCs w:val="18"/>
                      <w:highlight w:val="none"/>
                      <w:lang w:val="en-US" w:eastAsia="zh-CN"/>
                    </w:rPr>
                    <w:t>、新建、改建、扩建“两高”项目须符合生态环境保护法律法规和相关法定规划，满足重点污染物排放总量控制、碳排放达峰目标、生态环境准入清单、相关规划环评和相应行业建设项目环境准入条件、环评文件审批原则要求。</w:t>
                  </w:r>
                </w:p>
              </w:tc>
              <w:tc>
                <w:tcPr>
                  <w:tcW w:w="2550" w:type="dxa"/>
                  <w:tcBorders>
                    <w:tl2br w:val="nil"/>
                    <w:tr2bl w:val="nil"/>
                  </w:tcBorders>
                  <w:shd w:val="clear" w:color="auto" w:fill="auto"/>
                  <w:vAlign w:val="center"/>
                </w:tcPr>
                <w:p w14:paraId="437536C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项目不属于</w:t>
                  </w:r>
                  <w:r>
                    <w:rPr>
                      <w:rFonts w:hint="default" w:ascii="Times New Roman" w:hAnsi="Times New Roman" w:eastAsia="宋体" w:cs="Times New Roman"/>
                      <w:color w:val="auto"/>
                      <w:spacing w:val="-10"/>
                      <w:sz w:val="18"/>
                      <w:szCs w:val="18"/>
                      <w:highlight w:val="none"/>
                      <w:lang w:val="en-US" w:eastAsia="zh-CN"/>
                    </w:rPr>
                    <w:t>“两高”行业项目</w:t>
                  </w:r>
                </w:p>
              </w:tc>
              <w:tc>
                <w:tcPr>
                  <w:tcW w:w="750" w:type="dxa"/>
                  <w:tcBorders>
                    <w:tl2br w:val="nil"/>
                    <w:tr2bl w:val="nil"/>
                  </w:tcBorders>
                  <w:shd w:val="clear" w:color="auto" w:fill="auto"/>
                  <w:vAlign w:val="center"/>
                </w:tcPr>
                <w:p w14:paraId="1AA60DC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spacing w:val="-10"/>
                      <w:sz w:val="18"/>
                      <w:szCs w:val="18"/>
                      <w:highlight w:val="none"/>
                      <w:lang w:val="en-US" w:eastAsia="zh-CN"/>
                    </w:rPr>
                    <w:t>符合</w:t>
                  </w:r>
                </w:p>
              </w:tc>
            </w:tr>
            <w:tr w14:paraId="1EE865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F7CB48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7478043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26AA02E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8</w:t>
                  </w:r>
                  <w:r>
                    <w:rPr>
                      <w:rFonts w:hint="eastAsia" w:ascii="Times New Roman" w:hAnsi="Times New Roman" w:eastAsia="宋体" w:cs="Times New Roman"/>
                      <w:color w:val="auto"/>
                      <w:spacing w:val="-10"/>
                      <w:sz w:val="18"/>
                      <w:szCs w:val="18"/>
                      <w:highlight w:val="none"/>
                      <w:lang w:val="en-US" w:eastAsia="zh-CN"/>
                    </w:rPr>
                    <w:t>、鼓励钢铁冶炼项目建设依托具备条件的现有钢铁冶炼生产厂区集聚发展，在现有厂区建设钢铁冶炼项目没有粗钢产能建设规模限制要求。对确有必要新选址（指不能与现有生产厂区共用公辅设施，下同）建设的钢铁冶炼项目粗钢产能规模要求如下：沿海地区（指拥有海岸线的设区市）不低于</w:t>
                  </w:r>
                  <w:r>
                    <w:rPr>
                      <w:rFonts w:hint="default" w:ascii="Times New Roman" w:hAnsi="Times New Roman" w:eastAsia="宋体" w:cs="Times New Roman"/>
                      <w:color w:val="auto"/>
                      <w:spacing w:val="-10"/>
                      <w:sz w:val="18"/>
                      <w:szCs w:val="18"/>
                      <w:highlight w:val="none"/>
                      <w:lang w:val="en-US" w:eastAsia="zh-CN"/>
                    </w:rPr>
                    <w:t>2000</w:t>
                  </w:r>
                  <w:r>
                    <w:rPr>
                      <w:rFonts w:hint="eastAsia" w:ascii="Times New Roman" w:hAnsi="Times New Roman" w:eastAsia="宋体" w:cs="Times New Roman"/>
                      <w:color w:val="auto"/>
                      <w:spacing w:val="-10"/>
                      <w:sz w:val="18"/>
                      <w:szCs w:val="18"/>
                      <w:highlight w:val="none"/>
                      <w:lang w:val="en-US" w:eastAsia="zh-CN"/>
                    </w:rPr>
                    <w:t>万吨</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年（允许分两期建设，</w:t>
                  </w:r>
                  <w:r>
                    <w:rPr>
                      <w:rFonts w:hint="default" w:ascii="Times New Roman" w:hAnsi="Times New Roman" w:eastAsia="宋体"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年内全部建成，一期不低于</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万吨</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年）。</w:t>
                  </w:r>
                </w:p>
              </w:tc>
              <w:tc>
                <w:tcPr>
                  <w:tcW w:w="2550" w:type="dxa"/>
                  <w:tcBorders>
                    <w:tl2br w:val="nil"/>
                    <w:tr2bl w:val="nil"/>
                  </w:tcBorders>
                  <w:shd w:val="clear" w:color="auto" w:fill="auto"/>
                  <w:vAlign w:val="center"/>
                </w:tcPr>
                <w:p w14:paraId="7FB1708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C801997">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326D8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4ACE3D3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2BE1DC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0AD266BB">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9</w:t>
                  </w:r>
                  <w:r>
                    <w:rPr>
                      <w:rFonts w:hint="eastAsia" w:ascii="Times New Roman" w:hAnsi="Times New Roman" w:eastAsia="宋体" w:cs="Times New Roman"/>
                      <w:color w:val="auto"/>
                      <w:spacing w:val="-10"/>
                      <w:sz w:val="18"/>
                      <w:szCs w:val="18"/>
                      <w:highlight w:val="none"/>
                      <w:lang w:val="en-US" w:eastAsia="zh-CN"/>
                    </w:rPr>
                    <w:t>、严格规范危化品管理，逐步退出人口聚集区内危化品的生产、储存、加工机构，加快实施重污染企业搬迁；加强居住区生态环境防护，建设封闭式石化园区，严格控制危化品仓储基地、 运输路径等，减少对居民生活影响。</w:t>
                  </w:r>
                </w:p>
              </w:tc>
              <w:tc>
                <w:tcPr>
                  <w:tcW w:w="2550" w:type="dxa"/>
                  <w:tcBorders>
                    <w:tl2br w:val="nil"/>
                    <w:tr2bl w:val="nil"/>
                  </w:tcBorders>
                  <w:shd w:val="clear" w:color="auto" w:fill="auto"/>
                  <w:vAlign w:val="center"/>
                </w:tcPr>
                <w:p w14:paraId="22218AD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7D45FE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22D5E8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9EB5EA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3F03CE8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0FE5CE84">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严格控制尿素、磷铵、电石、烧碱、聚氯乙烯、纯碱、黄磷等过剩行业新增产能，相关部门和机构不得违规办理土地（海域）供应、能评、环评和新增授信等业务，对符合政策要求的先进工艺改造提升项目应实行等量或减量置换。有序推进曹妃甸石化产业基地建设。未纳入《石化产业规划布局方案》的新建炼化项目一律不得建设。强化安全卫生防护距离和规划环评约束，不符合要求的化工园区、化工品储存项目要关闭退出，危险化学品生产企业搬迁改造及新建化工项目必须进入规范化工园区。</w:t>
                  </w:r>
                </w:p>
              </w:tc>
              <w:tc>
                <w:tcPr>
                  <w:tcW w:w="2550" w:type="dxa"/>
                  <w:tcBorders>
                    <w:tl2br w:val="nil"/>
                    <w:tr2bl w:val="nil"/>
                  </w:tcBorders>
                  <w:shd w:val="clear" w:color="auto" w:fill="auto"/>
                  <w:vAlign w:val="center"/>
                </w:tcPr>
                <w:p w14:paraId="4EAF5F9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79CD4D36">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1E0F2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0C2F6BF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6DFF5E8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68" w:type="dxa"/>
                  <w:tcBorders>
                    <w:tl2br w:val="nil"/>
                    <w:tr2bl w:val="nil"/>
                  </w:tcBorders>
                  <w:shd w:val="clear" w:color="auto" w:fill="auto"/>
                  <w:vAlign w:val="center"/>
                </w:tcPr>
                <w:p w14:paraId="22207CF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11</w:t>
                  </w:r>
                  <w:r>
                    <w:rPr>
                      <w:rFonts w:hint="eastAsia" w:ascii="Times New Roman" w:hAnsi="Times New Roman" w:eastAsia="宋体" w:cs="Times New Roman"/>
                      <w:color w:val="auto"/>
                      <w:spacing w:val="-10"/>
                      <w:sz w:val="18"/>
                      <w:szCs w:val="18"/>
                      <w:highlight w:val="none"/>
                      <w:lang w:val="en-US" w:eastAsia="zh-CN"/>
                    </w:rPr>
                    <w:t>、逐步淘汰</w:t>
                  </w:r>
                  <w:r>
                    <w:rPr>
                      <w:rFonts w:hint="default" w:ascii="Times New Roman" w:hAnsi="Times New Roman" w:eastAsia="宋体" w:cs="Times New Roman"/>
                      <w:color w:val="auto"/>
                      <w:spacing w:val="-10"/>
                      <w:sz w:val="18"/>
                      <w:szCs w:val="18"/>
                      <w:highlight w:val="none"/>
                      <w:lang w:val="en-US" w:eastAsia="zh-CN"/>
                    </w:rPr>
                    <w:t>180</w:t>
                  </w:r>
                  <w:r>
                    <w:rPr>
                      <w:rFonts w:hint="eastAsia" w:ascii="Times New Roman" w:hAnsi="Times New Roman" w:eastAsia="宋体" w:cs="Times New Roman"/>
                      <w:color w:val="auto"/>
                      <w:spacing w:val="-10"/>
                      <w:sz w:val="18"/>
                      <w:szCs w:val="18"/>
                      <w:highlight w:val="none"/>
                      <w:lang w:val="en-US" w:eastAsia="zh-CN"/>
                    </w:rPr>
                    <w:t>平方米以下烧结机，逐步淘汰平面步进式烧结机，按照有关规定改造升级为大型带式烧结机；禁止新建球团竖炉，现有球团竖炉炉役到期不得大修，加快推动以链篦机</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回转窑或带式焙烧机工艺取代球团竖炉工艺，鼓励企业之间通过合资合作方式建设大型链篦机</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 xml:space="preserve">回转窑、带式焙烧机；加快推动以密闭皮带机取代汽车转运厂内大宗物料。 </w:t>
                  </w:r>
                </w:p>
              </w:tc>
              <w:tc>
                <w:tcPr>
                  <w:tcW w:w="2550" w:type="dxa"/>
                  <w:tcBorders>
                    <w:tl2br w:val="nil"/>
                    <w:tr2bl w:val="nil"/>
                  </w:tcBorders>
                  <w:shd w:val="clear" w:color="auto" w:fill="auto"/>
                  <w:vAlign w:val="center"/>
                </w:tcPr>
                <w:p w14:paraId="6FDF5CB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68C6F184">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bl>
          <w:p w14:paraId="6876C580">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6635807E">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续表1 项目与唐山市生态环境准入清单符合性分析</w:t>
            </w:r>
          </w:p>
          <w:tbl>
            <w:tblPr>
              <w:tblStyle w:val="27"/>
              <w:tblW w:w="11975"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420"/>
              <w:gridCol w:w="6568"/>
              <w:gridCol w:w="9"/>
              <w:gridCol w:w="2541"/>
              <w:gridCol w:w="750"/>
            </w:tblGrid>
            <w:tr w14:paraId="6DA938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107" w:type="dxa"/>
                  <w:gridSpan w:val="2"/>
                  <w:tcBorders>
                    <w:tl2br w:val="nil"/>
                    <w:tr2bl w:val="nil"/>
                  </w:tcBorders>
                  <w:vAlign w:val="center"/>
                </w:tcPr>
                <w:p w14:paraId="7937B639">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管控单元</w:t>
                  </w:r>
                </w:p>
              </w:tc>
              <w:tc>
                <w:tcPr>
                  <w:tcW w:w="6568" w:type="dxa"/>
                  <w:tcBorders>
                    <w:tl2br w:val="nil"/>
                    <w:tr2bl w:val="nil"/>
                  </w:tcBorders>
                  <w:vAlign w:val="center"/>
                </w:tcPr>
                <w:p w14:paraId="7B9749B4">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要求</w:t>
                  </w:r>
                </w:p>
              </w:tc>
              <w:tc>
                <w:tcPr>
                  <w:tcW w:w="2550" w:type="dxa"/>
                  <w:gridSpan w:val="2"/>
                  <w:tcBorders>
                    <w:tl2br w:val="nil"/>
                    <w:tr2bl w:val="nil"/>
                  </w:tcBorders>
                  <w:vAlign w:val="center"/>
                </w:tcPr>
                <w:p w14:paraId="2EDD1B1D">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项目情况</w:t>
                  </w:r>
                </w:p>
              </w:tc>
              <w:tc>
                <w:tcPr>
                  <w:tcW w:w="750" w:type="dxa"/>
                  <w:tcBorders>
                    <w:tl2br w:val="nil"/>
                    <w:tr2bl w:val="nil"/>
                  </w:tcBorders>
                  <w:vAlign w:val="center"/>
                </w:tcPr>
                <w:p w14:paraId="644B9FA0">
                  <w:pPr>
                    <w:spacing w:line="240" w:lineRule="exact"/>
                    <w:jc w:val="center"/>
                    <w:rPr>
                      <w:rFonts w:hint="default"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符合性</w:t>
                  </w:r>
                </w:p>
              </w:tc>
            </w:tr>
            <w:tr w14:paraId="1225AD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restart"/>
                  <w:tcBorders>
                    <w:tl2br w:val="nil"/>
                    <w:tr2bl w:val="nil"/>
                  </w:tcBorders>
                  <w:vAlign w:val="center"/>
                </w:tcPr>
                <w:p w14:paraId="44094D5F">
                  <w:pPr>
                    <w:keepNext w:val="0"/>
                    <w:keepLines w:val="0"/>
                    <w:widowControl/>
                    <w:suppressLineNumbers w:val="0"/>
                    <w:jc w:val="center"/>
                    <w:rPr>
                      <w:rFonts w:hint="default" w:ascii="Times New Roman" w:hAnsi="Times New Roman" w:cs="Times New Roman"/>
                      <w:color w:val="auto"/>
                      <w:highlight w:val="none"/>
                    </w:rPr>
                  </w:pPr>
                  <w:r>
                    <w:rPr>
                      <w:rFonts w:hint="default" w:ascii="Times New Roman" w:hAnsi="Times New Roman" w:eastAsia="宋体" w:cs="Times New Roman"/>
                      <w:color w:val="auto"/>
                      <w:kern w:val="0"/>
                      <w:sz w:val="18"/>
                      <w:szCs w:val="18"/>
                      <w:highlight w:val="none"/>
                      <w:lang w:val="en-US" w:eastAsia="zh-CN" w:bidi="ar"/>
                    </w:rPr>
                    <w:t>产业总体布局</w:t>
                  </w:r>
                </w:p>
                <w:p w14:paraId="72D51C3A">
                  <w:pPr>
                    <w:keepNext w:val="0"/>
                    <w:keepLines w:val="0"/>
                    <w:widowControl/>
                    <w:suppressLineNumbers w:val="0"/>
                    <w:jc w:val="center"/>
                    <w:rPr>
                      <w:rFonts w:hint="default"/>
                      <w:color w:val="auto"/>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要求</w:t>
                  </w:r>
                </w:p>
              </w:tc>
              <w:tc>
                <w:tcPr>
                  <w:tcW w:w="1420" w:type="dxa"/>
                  <w:vMerge w:val="restart"/>
                  <w:tcBorders>
                    <w:tl2br w:val="nil"/>
                    <w:tr2bl w:val="nil"/>
                  </w:tcBorders>
                  <w:vAlign w:val="center"/>
                </w:tcPr>
                <w:p w14:paraId="650CD5F2">
                  <w:pPr>
                    <w:spacing w:line="240" w:lineRule="exact"/>
                    <w:jc w:val="center"/>
                    <w:rPr>
                      <w:rFonts w:hint="default"/>
                      <w:color w:val="auto"/>
                      <w:highlight w:val="none"/>
                      <w:lang w:val="en-US" w:eastAsia="zh-CN"/>
                    </w:rPr>
                  </w:pPr>
                  <w:r>
                    <w:rPr>
                      <w:rFonts w:hint="default" w:ascii="Times New Roman" w:hAnsi="Times New Roman" w:cs="Times New Roman"/>
                      <w:color w:val="auto"/>
                      <w:spacing w:val="-10"/>
                      <w:sz w:val="18"/>
                      <w:szCs w:val="18"/>
                      <w:highlight w:val="none"/>
                      <w:lang w:val="en-US" w:eastAsia="zh-CN"/>
                    </w:rPr>
                    <w:t>空间布局约束</w:t>
                  </w:r>
                </w:p>
              </w:tc>
              <w:tc>
                <w:tcPr>
                  <w:tcW w:w="6568" w:type="dxa"/>
                  <w:tcBorders>
                    <w:tl2br w:val="nil"/>
                    <w:tr2bl w:val="nil"/>
                  </w:tcBorders>
                  <w:shd w:val="clear" w:color="auto" w:fill="auto"/>
                  <w:vAlign w:val="center"/>
                </w:tcPr>
                <w:p w14:paraId="6FACFDC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12</w:t>
                  </w:r>
                  <w:r>
                    <w:rPr>
                      <w:rFonts w:hint="eastAsia" w:ascii="Times New Roman" w:hAnsi="Times New Roman" w:eastAsia="宋体" w:cs="Times New Roman"/>
                      <w:color w:val="auto"/>
                      <w:spacing w:val="-10"/>
                      <w:sz w:val="18"/>
                      <w:szCs w:val="18"/>
                      <w:highlight w:val="none"/>
                      <w:lang w:val="en-US" w:eastAsia="zh-CN"/>
                    </w:rPr>
                    <w:t>、技术装备全面升级，高炉逐步达到</w:t>
                  </w:r>
                  <w:r>
                    <w:rPr>
                      <w:rFonts w:hint="default" w:ascii="Times New Roman" w:hAnsi="Times New Roman" w:eastAsia="宋体" w:cs="Times New Roman"/>
                      <w:color w:val="auto"/>
                      <w:spacing w:val="-10"/>
                      <w:sz w:val="18"/>
                      <w:szCs w:val="18"/>
                      <w:highlight w:val="none"/>
                      <w:lang w:val="en-US" w:eastAsia="zh-CN"/>
                    </w:rPr>
                    <w:t>1000</w:t>
                  </w:r>
                  <w:r>
                    <w:rPr>
                      <w:rFonts w:hint="eastAsia" w:ascii="Times New Roman" w:hAnsi="Times New Roman" w:eastAsia="宋体" w:cs="Times New Roman"/>
                      <w:color w:val="auto"/>
                      <w:spacing w:val="-10"/>
                      <w:sz w:val="18"/>
                      <w:szCs w:val="18"/>
                      <w:highlight w:val="none"/>
                      <w:lang w:val="en-US" w:eastAsia="zh-CN"/>
                    </w:rPr>
                    <w:t>立方米及以上、转炉逐步达到</w:t>
                  </w:r>
                  <w:r>
                    <w:rPr>
                      <w:rFonts w:hint="default" w:ascii="Times New Roman" w:hAnsi="Times New Roman" w:eastAsia="宋体" w:cs="Times New Roman"/>
                      <w:color w:val="auto"/>
                      <w:spacing w:val="-10"/>
                      <w:sz w:val="18"/>
                      <w:szCs w:val="18"/>
                      <w:highlight w:val="none"/>
                      <w:lang w:val="en-US" w:eastAsia="zh-CN"/>
                    </w:rPr>
                    <w:t>100</w:t>
                  </w:r>
                  <w:r>
                    <w:rPr>
                      <w:rFonts w:hint="eastAsia" w:ascii="Times New Roman" w:hAnsi="Times New Roman" w:eastAsia="宋体" w:cs="Times New Roman"/>
                      <w:color w:val="auto"/>
                      <w:spacing w:val="-10"/>
                      <w:sz w:val="18"/>
                      <w:szCs w:val="18"/>
                      <w:highlight w:val="none"/>
                      <w:lang w:val="en-US" w:eastAsia="zh-CN"/>
                    </w:rPr>
                    <w:t>吨及以上、烧结机逐步达到</w:t>
                  </w:r>
                  <w:r>
                    <w:rPr>
                      <w:rFonts w:hint="default" w:ascii="Times New Roman" w:hAnsi="Times New Roman" w:eastAsia="宋体" w:cs="Times New Roman"/>
                      <w:color w:val="auto"/>
                      <w:spacing w:val="-10"/>
                      <w:sz w:val="18"/>
                      <w:szCs w:val="18"/>
                      <w:highlight w:val="none"/>
                      <w:lang w:val="en-US" w:eastAsia="zh-CN"/>
                    </w:rPr>
                    <w:t>180</w:t>
                  </w:r>
                  <w:r>
                    <w:rPr>
                      <w:rFonts w:hint="eastAsia" w:ascii="Times New Roman" w:hAnsi="Times New Roman" w:eastAsia="宋体" w:cs="Times New Roman"/>
                      <w:color w:val="auto"/>
                      <w:spacing w:val="-10"/>
                      <w:sz w:val="18"/>
                      <w:szCs w:val="18"/>
                      <w:highlight w:val="none"/>
                      <w:lang w:val="en-US" w:eastAsia="zh-CN"/>
                    </w:rPr>
                    <w:t>平方米烧结机及以上。严格按照国家规定的产能减量置换政策实施改造升级，坚决杜绝借改造升级之机变相扩大生产能力；推广“一罐到底”工艺或采用鱼雷罐车运输铁水。</w:t>
                  </w:r>
                </w:p>
              </w:tc>
              <w:tc>
                <w:tcPr>
                  <w:tcW w:w="2550" w:type="dxa"/>
                  <w:gridSpan w:val="2"/>
                  <w:tcBorders>
                    <w:tl2br w:val="nil"/>
                    <w:tr2bl w:val="nil"/>
                  </w:tcBorders>
                  <w:shd w:val="clear" w:color="auto" w:fill="auto"/>
                  <w:vAlign w:val="center"/>
                </w:tcPr>
                <w:p w14:paraId="63E16BB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40A2943E">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12AAFB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7FD4FCF0">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76699EAB">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0C8729AE">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13</w:t>
                  </w:r>
                  <w:r>
                    <w:rPr>
                      <w:rFonts w:hint="eastAsia" w:ascii="Times New Roman" w:hAnsi="Times New Roman" w:eastAsia="宋体" w:cs="Times New Roman"/>
                      <w:color w:val="auto"/>
                      <w:spacing w:val="-10"/>
                      <w:sz w:val="18"/>
                      <w:szCs w:val="18"/>
                      <w:highlight w:val="none"/>
                      <w:lang w:val="en-US" w:eastAsia="zh-CN"/>
                    </w:rPr>
                    <w:t>、尚未配备脱硫装置的球团竖炉，立即停产淘汰，不再予以改造；烧结厂房实现全封闭。</w:t>
                  </w:r>
                </w:p>
              </w:tc>
              <w:tc>
                <w:tcPr>
                  <w:tcW w:w="2550" w:type="dxa"/>
                  <w:gridSpan w:val="2"/>
                  <w:tcBorders>
                    <w:tl2br w:val="nil"/>
                    <w:tr2bl w:val="nil"/>
                  </w:tcBorders>
                  <w:shd w:val="clear" w:color="auto" w:fill="auto"/>
                  <w:vAlign w:val="center"/>
                </w:tcPr>
                <w:p w14:paraId="2A65310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177F256B">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026388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B0AF256">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63B843F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26BDEE09">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14</w:t>
                  </w:r>
                  <w:r>
                    <w:rPr>
                      <w:rFonts w:hint="eastAsia" w:ascii="Times New Roman" w:hAnsi="Times New Roman" w:eastAsia="宋体" w:cs="Times New Roman"/>
                      <w:color w:val="auto"/>
                      <w:spacing w:val="-10"/>
                      <w:sz w:val="18"/>
                      <w:szCs w:val="18"/>
                      <w:highlight w:val="none"/>
                      <w:lang w:val="en-US" w:eastAsia="zh-CN"/>
                    </w:rPr>
                    <w:t>、严禁备案和新建扩大产能的水泥熟料、平板玻璃项目。确有必要新建的，必须制定产能置换方案，实施产能置换。用于产能置换的生产线，必须在建设项目投产前关停并完成拆除退出。</w:t>
                  </w:r>
                </w:p>
              </w:tc>
              <w:tc>
                <w:tcPr>
                  <w:tcW w:w="2550" w:type="dxa"/>
                  <w:gridSpan w:val="2"/>
                  <w:tcBorders>
                    <w:tl2br w:val="nil"/>
                    <w:tr2bl w:val="nil"/>
                  </w:tcBorders>
                  <w:shd w:val="clear" w:color="auto" w:fill="auto"/>
                  <w:vAlign w:val="center"/>
                </w:tcPr>
                <w:p w14:paraId="3C22AC1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9E11B4F">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59F068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6E4F9915">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4C58B644">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22708587">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15</w:t>
                  </w:r>
                  <w:r>
                    <w:rPr>
                      <w:rFonts w:hint="eastAsia" w:ascii="Times New Roman" w:hAnsi="Times New Roman" w:eastAsia="宋体" w:cs="Times New Roman"/>
                      <w:color w:val="auto"/>
                      <w:spacing w:val="-10"/>
                      <w:sz w:val="18"/>
                      <w:szCs w:val="18"/>
                      <w:highlight w:val="none"/>
                      <w:lang w:val="en-US" w:eastAsia="zh-CN"/>
                    </w:rPr>
                    <w:t>、引导和支持优势水泥熟料企业开展对单独粉磨企业的整合。</w:t>
                  </w:r>
                </w:p>
              </w:tc>
              <w:tc>
                <w:tcPr>
                  <w:tcW w:w="2550" w:type="dxa"/>
                  <w:gridSpan w:val="2"/>
                  <w:tcBorders>
                    <w:tl2br w:val="nil"/>
                    <w:tr2bl w:val="nil"/>
                  </w:tcBorders>
                  <w:shd w:val="clear" w:color="auto" w:fill="auto"/>
                  <w:vAlign w:val="center"/>
                </w:tcPr>
                <w:p w14:paraId="4EEE7B1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24DEA179">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4B62E9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B4AC00F">
                  <w:pPr>
                    <w:keepNext w:val="0"/>
                    <w:keepLines w:val="0"/>
                    <w:widowControl/>
                    <w:suppressLineNumbers w:val="0"/>
                    <w:jc w:val="center"/>
                    <w:rPr>
                      <w:rFonts w:hint="default" w:ascii="Times New Roman" w:hAnsi="Times New Roman" w:eastAsia="宋体" w:cs="Times New Roman"/>
                      <w:color w:val="auto"/>
                      <w:kern w:val="0"/>
                      <w:sz w:val="18"/>
                      <w:szCs w:val="18"/>
                      <w:highlight w:val="none"/>
                      <w:lang w:val="en-US" w:eastAsia="zh-CN" w:bidi="ar"/>
                    </w:rPr>
                  </w:pPr>
                </w:p>
              </w:tc>
              <w:tc>
                <w:tcPr>
                  <w:tcW w:w="1420" w:type="dxa"/>
                  <w:vMerge w:val="continue"/>
                  <w:tcBorders>
                    <w:tl2br w:val="nil"/>
                    <w:tr2bl w:val="nil"/>
                  </w:tcBorders>
                  <w:vAlign w:val="center"/>
                </w:tcPr>
                <w:p w14:paraId="0991FFE3">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68" w:type="dxa"/>
                  <w:tcBorders>
                    <w:tl2br w:val="nil"/>
                    <w:tr2bl w:val="nil"/>
                  </w:tcBorders>
                  <w:shd w:val="clear" w:color="auto" w:fill="auto"/>
                  <w:vAlign w:val="center"/>
                </w:tcPr>
                <w:p w14:paraId="6888959B">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16</w:t>
                  </w:r>
                  <w:r>
                    <w:rPr>
                      <w:rFonts w:hint="eastAsia" w:ascii="Times New Roman" w:hAnsi="Times New Roman" w:eastAsia="宋体" w:cs="Times New Roman"/>
                      <w:color w:val="auto"/>
                      <w:spacing w:val="-10"/>
                      <w:sz w:val="18"/>
                      <w:szCs w:val="18"/>
                      <w:highlight w:val="none"/>
                      <w:lang w:val="en-US" w:eastAsia="zh-CN"/>
                    </w:rPr>
                    <w:t>、平板玻璃行业生产布局应满足《平板玻璃行业规范条件》要求。</w:t>
                  </w:r>
                </w:p>
              </w:tc>
              <w:tc>
                <w:tcPr>
                  <w:tcW w:w="2550" w:type="dxa"/>
                  <w:gridSpan w:val="2"/>
                  <w:tcBorders>
                    <w:tl2br w:val="nil"/>
                    <w:tr2bl w:val="nil"/>
                  </w:tcBorders>
                  <w:shd w:val="clear" w:color="auto" w:fill="auto"/>
                  <w:vAlign w:val="center"/>
                </w:tcPr>
                <w:p w14:paraId="7648F94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03E5C3F2">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6DB332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 w:hRule="atLeast"/>
              </w:trPr>
              <w:tc>
                <w:tcPr>
                  <w:tcW w:w="687" w:type="dxa"/>
                  <w:vMerge w:val="continue"/>
                  <w:tcBorders>
                    <w:tl2br w:val="nil"/>
                    <w:tr2bl w:val="nil"/>
                  </w:tcBorders>
                  <w:vAlign w:val="center"/>
                </w:tcPr>
                <w:p w14:paraId="71B6BF05">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1420" w:type="dxa"/>
                  <w:vMerge w:val="continue"/>
                  <w:tcBorders>
                    <w:tl2br w:val="nil"/>
                    <w:tr2bl w:val="nil"/>
                  </w:tcBorders>
                  <w:vAlign w:val="center"/>
                </w:tcPr>
                <w:p w14:paraId="0420F14C">
                  <w:pPr>
                    <w:spacing w:line="240" w:lineRule="exact"/>
                    <w:jc w:val="center"/>
                    <w:rPr>
                      <w:rFonts w:hint="default" w:ascii="Times New Roman" w:hAnsi="Times New Roman" w:cs="Times New Roman"/>
                      <w:color w:val="auto"/>
                      <w:spacing w:val="-10"/>
                      <w:sz w:val="18"/>
                      <w:szCs w:val="18"/>
                      <w:highlight w:val="none"/>
                      <w:lang w:val="en-US" w:eastAsia="zh-CN"/>
                    </w:rPr>
                  </w:pPr>
                </w:p>
              </w:tc>
              <w:tc>
                <w:tcPr>
                  <w:tcW w:w="6577" w:type="dxa"/>
                  <w:gridSpan w:val="2"/>
                  <w:tcBorders>
                    <w:tl2br w:val="nil"/>
                    <w:tr2bl w:val="nil"/>
                  </w:tcBorders>
                  <w:shd w:val="clear" w:color="auto" w:fill="auto"/>
                  <w:vAlign w:val="center"/>
                </w:tcPr>
                <w:p w14:paraId="60E9DF1C">
                  <w:pPr>
                    <w:keepNext w:val="0"/>
                    <w:keepLines w:val="0"/>
                    <w:pageBreakBefore w:val="0"/>
                    <w:widowControl w:val="0"/>
                    <w:kinsoku/>
                    <w:wordWrap/>
                    <w:overflowPunct/>
                    <w:topLinePunct w:val="0"/>
                    <w:autoSpaceDE/>
                    <w:autoSpaceDN/>
                    <w:bidi w:val="0"/>
                    <w:adjustRightInd/>
                    <w:snapToGrid/>
                    <w:spacing w:line="240" w:lineRule="exact"/>
                    <w:ind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17</w:t>
                  </w:r>
                  <w:r>
                    <w:rPr>
                      <w:rFonts w:hint="eastAsia" w:ascii="Times New Roman" w:hAnsi="Times New Roman" w:eastAsia="宋体" w:cs="Times New Roman"/>
                      <w:color w:val="auto"/>
                      <w:spacing w:val="-10"/>
                      <w:sz w:val="18"/>
                      <w:szCs w:val="18"/>
                      <w:highlight w:val="none"/>
                      <w:lang w:val="en-US" w:eastAsia="zh-CN"/>
                    </w:rPr>
                    <w:t>、严格控制矿产资源开采总量，重点压减与煤炭、水泥、玻璃等过剩产能行业配套的矿产资源开采总量。停止新批石膏矿项目、平原区煤炭开发项目。暂停新增生产能力的产能过剩矿产开发项目审批，已有矿山暂停扩大矿区范围审批。暂停新上露天矿产开发项目审批，已有露天矿山暂停扩大矿区范围审批。暂停新上达不到工业品位的铁矿开发项目审批。做好矿区开发生态环境影响评估论证，论证不通过，一律禁止开发。</w:t>
                  </w:r>
                </w:p>
              </w:tc>
              <w:tc>
                <w:tcPr>
                  <w:tcW w:w="2541" w:type="dxa"/>
                  <w:tcBorders>
                    <w:tl2br w:val="nil"/>
                    <w:tr2bl w:val="nil"/>
                  </w:tcBorders>
                  <w:shd w:val="clear" w:color="auto" w:fill="auto"/>
                  <w:vAlign w:val="center"/>
                </w:tcPr>
                <w:p w14:paraId="38500F3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337EA03D">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r w14:paraId="386586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2" w:hRule="atLeast"/>
              </w:trPr>
              <w:tc>
                <w:tcPr>
                  <w:tcW w:w="687" w:type="dxa"/>
                  <w:vMerge w:val="continue"/>
                  <w:tcBorders>
                    <w:tl2br w:val="nil"/>
                    <w:tr2bl w:val="nil"/>
                  </w:tcBorders>
                  <w:vAlign w:val="center"/>
                </w:tcPr>
                <w:p w14:paraId="151151F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1420" w:type="dxa"/>
                  <w:vMerge w:val="continue"/>
                  <w:tcBorders>
                    <w:tl2br w:val="nil"/>
                    <w:tr2bl w:val="nil"/>
                  </w:tcBorders>
                  <w:vAlign w:val="center"/>
                </w:tcPr>
                <w:p w14:paraId="04F3830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color w:val="auto"/>
                      <w:highlight w:val="none"/>
                      <w:lang w:val="en-US" w:eastAsia="zh-CN"/>
                    </w:rPr>
                  </w:pPr>
                </w:p>
              </w:tc>
              <w:tc>
                <w:tcPr>
                  <w:tcW w:w="6577" w:type="dxa"/>
                  <w:gridSpan w:val="2"/>
                  <w:tcBorders>
                    <w:tl2br w:val="nil"/>
                    <w:tr2bl w:val="nil"/>
                  </w:tcBorders>
                  <w:shd w:val="clear" w:color="auto" w:fill="auto"/>
                  <w:vAlign w:val="center"/>
                </w:tcPr>
                <w:p w14:paraId="19888C9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320" w:firstLineChars="200"/>
                    <w:jc w:val="left"/>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18</w:t>
                  </w:r>
                  <w:r>
                    <w:rPr>
                      <w:rFonts w:hint="eastAsia" w:ascii="Times New Roman" w:hAnsi="Times New Roman" w:eastAsia="宋体" w:cs="Times New Roman"/>
                      <w:color w:val="auto"/>
                      <w:spacing w:val="-10"/>
                      <w:sz w:val="18"/>
                      <w:szCs w:val="18"/>
                      <w:highlight w:val="none"/>
                      <w:lang w:val="en-US" w:eastAsia="zh-CN"/>
                    </w:rPr>
                    <w:t>、实施矿山关闭和停批。依法关闭严重破坏生态环境和严重浪费水资源的矿山；依法关闭列入煤炭去产能计划的煤矿；依法关闭限期整改仍达不到生态环境保护要求和环保、安全标准的矿山；依法关闭现有石膏矿和严重污染环境的石灰窑、小建材加工点。</w:t>
                  </w:r>
                </w:p>
              </w:tc>
              <w:tc>
                <w:tcPr>
                  <w:tcW w:w="2541" w:type="dxa"/>
                  <w:tcBorders>
                    <w:tl2br w:val="nil"/>
                    <w:tr2bl w:val="nil"/>
                  </w:tcBorders>
                  <w:shd w:val="clear" w:color="auto" w:fill="auto"/>
                  <w:vAlign w:val="center"/>
                </w:tcPr>
                <w:p w14:paraId="21AC2AD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项目不涉及</w:t>
                  </w:r>
                </w:p>
              </w:tc>
              <w:tc>
                <w:tcPr>
                  <w:tcW w:w="750" w:type="dxa"/>
                  <w:tcBorders>
                    <w:tl2br w:val="nil"/>
                    <w:tr2bl w:val="nil"/>
                  </w:tcBorders>
                  <w:shd w:val="clear" w:color="auto" w:fill="auto"/>
                  <w:vAlign w:val="center"/>
                </w:tcPr>
                <w:p w14:paraId="421A3923">
                  <w:pPr>
                    <w:spacing w:line="24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符合</w:t>
                  </w:r>
                </w:p>
              </w:tc>
            </w:tr>
          </w:tbl>
          <w:p w14:paraId="5D4918CE">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293A7654">
            <w:pPr>
              <w:pStyle w:val="22"/>
              <w:jc w:val="center"/>
              <w:outlineLvl w:val="0"/>
              <w:rPr>
                <w:rFonts w:hint="eastAsia" w:ascii="黑体" w:hAnsi="黑体" w:eastAsia="黑体"/>
                <w:snapToGrid w:val="0"/>
                <w:color w:val="auto"/>
                <w:sz w:val="30"/>
                <w:szCs w:val="30"/>
                <w:vertAlign w:val="baseline"/>
              </w:rPr>
            </w:pPr>
          </w:p>
          <w:p w14:paraId="0612F84B">
            <w:pPr>
              <w:pStyle w:val="22"/>
              <w:jc w:val="center"/>
              <w:outlineLvl w:val="0"/>
              <w:rPr>
                <w:rFonts w:hint="eastAsia" w:ascii="黑体" w:hAnsi="黑体" w:eastAsia="黑体"/>
                <w:snapToGrid w:val="0"/>
                <w:color w:val="auto"/>
                <w:sz w:val="30"/>
                <w:szCs w:val="30"/>
                <w:vertAlign w:val="baseline"/>
              </w:rPr>
            </w:pPr>
          </w:p>
          <w:p w14:paraId="07BC737F">
            <w:pPr>
              <w:pStyle w:val="22"/>
              <w:jc w:val="center"/>
              <w:outlineLvl w:val="0"/>
              <w:rPr>
                <w:rFonts w:hint="eastAsia" w:ascii="黑体" w:hAnsi="黑体" w:eastAsia="黑体"/>
                <w:snapToGrid w:val="0"/>
                <w:color w:val="auto"/>
                <w:sz w:val="30"/>
                <w:szCs w:val="30"/>
                <w:vertAlign w:val="baseline"/>
              </w:rPr>
            </w:pPr>
          </w:p>
          <w:p w14:paraId="0A7B0F7E">
            <w:pPr>
              <w:pStyle w:val="22"/>
              <w:jc w:val="center"/>
              <w:outlineLvl w:val="0"/>
              <w:rPr>
                <w:rFonts w:hint="eastAsia" w:ascii="黑体" w:hAnsi="黑体" w:eastAsia="黑体"/>
                <w:snapToGrid w:val="0"/>
                <w:color w:val="auto"/>
                <w:sz w:val="30"/>
                <w:szCs w:val="30"/>
                <w:vertAlign w:val="baseline"/>
              </w:rPr>
            </w:pPr>
          </w:p>
        </w:tc>
      </w:tr>
    </w:tbl>
    <w:p w14:paraId="5E7DA031">
      <w:pPr>
        <w:rPr>
          <w:rFonts w:eastAsia="黑体"/>
          <w:color w:val="auto"/>
          <w:sz w:val="30"/>
          <w:highlight w:val="none"/>
        </w:rPr>
        <w:sectPr>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14"/>
        <w:gridCol w:w="7156"/>
      </w:tblGrid>
      <w:tr w14:paraId="675C98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714" w:type="dxa"/>
            <w:vAlign w:val="center"/>
          </w:tcPr>
          <w:p w14:paraId="6D899673">
            <w:pPr>
              <w:autoSpaceDE w:val="0"/>
              <w:autoSpaceDN w:val="0"/>
              <w:adjustRightInd w:val="0"/>
              <w:snapToGrid w:val="0"/>
              <w:jc w:val="center"/>
              <w:rPr>
                <w:color w:val="auto"/>
                <w:kern w:val="0"/>
                <w:szCs w:val="21"/>
                <w:highlight w:val="none"/>
              </w:rPr>
            </w:pPr>
            <w:r>
              <w:rPr>
                <w:color w:val="auto"/>
                <w:kern w:val="0"/>
                <w:szCs w:val="21"/>
                <w:highlight w:val="none"/>
              </w:rPr>
              <w:t>其他符合性分析</w:t>
            </w:r>
          </w:p>
        </w:tc>
        <w:tc>
          <w:tcPr>
            <w:tcW w:w="7156" w:type="dxa"/>
            <w:vAlign w:val="center"/>
          </w:tcPr>
          <w:p w14:paraId="23B9D0D2">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yellow"/>
                <w:lang w:val="en-US" w:eastAsia="zh-CN"/>
              </w:rPr>
            </w:pPr>
            <w:r>
              <w:rPr>
                <w:rFonts w:hint="eastAsia" w:ascii="Times New Roman" w:hAnsi="Times New Roman" w:eastAsia="宋体" w:cs="Times New Roman"/>
                <w:color w:val="auto"/>
                <w:sz w:val="21"/>
                <w:szCs w:val="21"/>
                <w:highlight w:val="none"/>
                <w:lang w:val="en-US" w:eastAsia="zh-CN"/>
              </w:rPr>
              <w:t>根据《唐山市生态环境准入清单》，项目位于</w:t>
            </w:r>
            <w:r>
              <w:rPr>
                <w:rFonts w:hint="default" w:ascii="Times New Roman" w:hAnsi="Times New Roman" w:eastAsia="宋体" w:cs="Times New Roman"/>
                <w:color w:val="auto"/>
                <w:sz w:val="21"/>
                <w:szCs w:val="21"/>
                <w:highlight w:val="none"/>
                <w:lang w:val="en-US" w:eastAsia="zh-CN"/>
              </w:rPr>
              <w:t>ZH13028310005</w:t>
            </w:r>
            <w:r>
              <w:rPr>
                <w:rFonts w:hint="eastAsia" w:ascii="Times New Roman" w:hAnsi="Times New Roman" w:eastAsia="宋体" w:cs="Times New Roman"/>
                <w:color w:val="auto"/>
                <w:sz w:val="21"/>
                <w:szCs w:val="21"/>
                <w:highlight w:val="none"/>
                <w:lang w:val="en-US" w:eastAsia="zh-CN"/>
              </w:rPr>
              <w:t>优先保护单元。该单元管控措施</w:t>
            </w:r>
            <w:r>
              <w:rPr>
                <w:rFonts w:hint="eastAsia" w:ascii="Times New Roman" w:hAnsi="Times New Roman"/>
                <w:color w:val="auto"/>
                <w:sz w:val="21"/>
                <w:szCs w:val="21"/>
                <w:highlight w:val="none"/>
                <w:lang w:val="en-US" w:eastAsia="zh-CN"/>
              </w:rPr>
              <w:t>及符合性分析见表2。</w:t>
            </w:r>
          </w:p>
          <w:p w14:paraId="5035B37C">
            <w:pPr>
              <w:pStyle w:val="22"/>
              <w:adjustRightInd w:val="0"/>
              <w:snapToGrid w:val="0"/>
              <w:spacing w:before="0" w:beforeAutospacing="0" w:after="0" w:afterAutospacing="0" w:line="440" w:lineRule="exact"/>
              <w:jc w:val="center"/>
              <w:rPr>
                <w:rFonts w:ascii="Times New Roman" w:hAnsi="Times New Roman"/>
                <w:b/>
                <w:color w:val="auto"/>
                <w:sz w:val="21"/>
                <w:szCs w:val="21"/>
              </w:rPr>
            </w:pPr>
            <w:r>
              <w:rPr>
                <w:rFonts w:ascii="Times New Roman" w:hAnsi="Times New Roman"/>
                <w:b/>
                <w:color w:val="auto"/>
                <w:sz w:val="21"/>
                <w:szCs w:val="21"/>
              </w:rPr>
              <w:t>表</w:t>
            </w:r>
            <w:r>
              <w:rPr>
                <w:rFonts w:hint="eastAsia" w:ascii="Times New Roman" w:hAnsi="Times New Roman"/>
                <w:b/>
                <w:color w:val="auto"/>
                <w:sz w:val="21"/>
                <w:szCs w:val="21"/>
                <w:lang w:val="en-US" w:eastAsia="zh-CN"/>
              </w:rPr>
              <w:t xml:space="preserve">2 </w:t>
            </w:r>
            <w:r>
              <w:rPr>
                <w:rFonts w:hint="eastAsia" w:ascii="Times New Roman" w:hAnsi="Times New Roman"/>
                <w:b/>
                <w:color w:val="auto"/>
                <w:sz w:val="21"/>
                <w:szCs w:val="21"/>
              </w:rPr>
              <w:t>项目与唐山市生态环境准入清单</w:t>
            </w:r>
            <w:r>
              <w:rPr>
                <w:rFonts w:ascii="Times New Roman" w:hAnsi="Times New Roman"/>
                <w:b/>
                <w:color w:val="auto"/>
                <w:sz w:val="21"/>
                <w:szCs w:val="21"/>
              </w:rPr>
              <w:t>符合性</w:t>
            </w:r>
          </w:p>
          <w:tbl>
            <w:tblPr>
              <w:tblStyle w:val="26"/>
              <w:tblW w:w="7080" w:type="dxa"/>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1376"/>
              <w:gridCol w:w="2036"/>
              <w:gridCol w:w="427"/>
              <w:gridCol w:w="2541"/>
              <w:gridCol w:w="700"/>
            </w:tblGrid>
            <w:tr w14:paraId="10922A3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023C5BA5">
                  <w:pPr>
                    <w:spacing w:line="240" w:lineRule="exact"/>
                    <w:jc w:val="center"/>
                    <w:rPr>
                      <w:rFonts w:hint="default" w:ascii="Times New Roman" w:hAnsi="Times New Roman" w:eastAsia="宋体" w:cs="Times New Roman"/>
                      <w:color w:val="auto"/>
                      <w:spacing w:val="-10"/>
                      <w:sz w:val="18"/>
                      <w:szCs w:val="18"/>
                    </w:rPr>
                  </w:pPr>
                  <w:r>
                    <w:rPr>
                      <w:rFonts w:hint="eastAsia" w:ascii="Times New Roman" w:hAnsi="Times New Roman" w:eastAsia="宋体" w:cs="Times New Roman"/>
                      <w:color w:val="auto"/>
                      <w:spacing w:val="-10"/>
                      <w:sz w:val="18"/>
                      <w:szCs w:val="18"/>
                    </w:rPr>
                    <w:t>编号</w:t>
                  </w:r>
                </w:p>
              </w:tc>
              <w:tc>
                <w:tcPr>
                  <w:tcW w:w="2036" w:type="dxa"/>
                  <w:tcBorders>
                    <w:right w:val="single" w:color="auto" w:sz="4" w:space="0"/>
                  </w:tcBorders>
                  <w:vAlign w:val="center"/>
                </w:tcPr>
                <w:p w14:paraId="1A3FBD75">
                  <w:pPr>
                    <w:spacing w:line="240" w:lineRule="exact"/>
                    <w:jc w:val="center"/>
                    <w:rPr>
                      <w:rFonts w:hint="default" w:ascii="Times New Roman" w:hAns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lang w:val="en-US" w:eastAsia="zh-CN"/>
                    </w:rPr>
                    <w:t>区县</w:t>
                  </w:r>
                </w:p>
              </w:tc>
              <w:tc>
                <w:tcPr>
                  <w:tcW w:w="3668" w:type="dxa"/>
                  <w:gridSpan w:val="3"/>
                  <w:tcBorders>
                    <w:left w:val="single" w:color="auto" w:sz="4" w:space="0"/>
                  </w:tcBorders>
                  <w:vAlign w:val="center"/>
                </w:tcPr>
                <w:p w14:paraId="5FFAD4DC">
                  <w:pPr>
                    <w:spacing w:line="240" w:lineRule="exact"/>
                    <w:jc w:val="center"/>
                    <w:rPr>
                      <w:rFonts w:hint="default" w:ascii="Times New Roman" w:hAnsi="Times New Roman" w:eastAsia="宋体" w:cs="Times New Roman"/>
                      <w:color w:val="auto"/>
                      <w:spacing w:val="-10"/>
                      <w:sz w:val="18"/>
                      <w:szCs w:val="18"/>
                    </w:rPr>
                  </w:pPr>
                  <w:r>
                    <w:rPr>
                      <w:rFonts w:hint="eastAsia" w:ascii="Times New Roman" w:hAnsi="Times New Roman" w:eastAsia="宋体" w:cs="Times New Roman"/>
                      <w:color w:val="auto"/>
                      <w:spacing w:val="-10"/>
                      <w:sz w:val="18"/>
                      <w:szCs w:val="18"/>
                      <w:lang w:val="en-US" w:eastAsia="zh-CN"/>
                    </w:rPr>
                    <w:t>乡镇</w:t>
                  </w:r>
                </w:p>
              </w:tc>
            </w:tr>
            <w:tr w14:paraId="7C084CF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7599BB12">
                  <w:pPr>
                    <w:spacing w:line="240" w:lineRule="exact"/>
                    <w:jc w:val="center"/>
                    <w:rPr>
                      <w:rFonts w:hint="eastAsia" w:ascii="Times New Roman" w:hAnsi="Times New Roman" w:eastAsia="宋体" w:cs="Times New Roman"/>
                      <w:color w:val="auto"/>
                      <w:spacing w:val="-10"/>
                      <w:sz w:val="18"/>
                      <w:szCs w:val="18"/>
                      <w:lang w:val="en-US" w:eastAsia="zh-CN"/>
                    </w:rPr>
                  </w:pPr>
                  <w:r>
                    <w:rPr>
                      <w:rFonts w:hint="default" w:ascii="Times New Roman" w:hAnsi="Times New Roman" w:eastAsia="宋体" w:cs="Times New Roman"/>
                      <w:color w:val="auto"/>
                      <w:spacing w:val="-10"/>
                      <w:sz w:val="18"/>
                      <w:szCs w:val="18"/>
                      <w:lang w:val="en-US" w:eastAsia="zh-CN"/>
                    </w:rPr>
                    <w:t>ZH13028310005</w:t>
                  </w:r>
                </w:p>
              </w:tc>
              <w:tc>
                <w:tcPr>
                  <w:tcW w:w="2036" w:type="dxa"/>
                  <w:tcBorders>
                    <w:right w:val="single" w:color="auto" w:sz="4" w:space="0"/>
                  </w:tcBorders>
                  <w:vAlign w:val="center"/>
                </w:tcPr>
                <w:p w14:paraId="31BE6D05">
                  <w:pPr>
                    <w:spacing w:line="240" w:lineRule="exact"/>
                    <w:jc w:val="center"/>
                    <w:rPr>
                      <w:rFonts w:hint="default" w:ascii="Times New Roman" w:hAns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lang w:val="en-US" w:eastAsia="zh-CN"/>
                    </w:rPr>
                    <w:t>迁安市</w:t>
                  </w:r>
                </w:p>
              </w:tc>
              <w:tc>
                <w:tcPr>
                  <w:tcW w:w="3668" w:type="dxa"/>
                  <w:gridSpan w:val="3"/>
                  <w:tcBorders>
                    <w:left w:val="single" w:color="auto" w:sz="4" w:space="0"/>
                  </w:tcBorders>
                  <w:vAlign w:val="center"/>
                </w:tcPr>
                <w:p w14:paraId="1A5DAE96">
                  <w:pPr>
                    <w:spacing w:line="240" w:lineRule="exact"/>
                    <w:jc w:val="center"/>
                    <w:rPr>
                      <w:rFonts w:hint="eastAsia" w:ascii="Times New Roman" w:hAnsi="Times New Roman" w:eastAsia="宋体" w:cs="Times New Roman"/>
                      <w:color w:val="auto"/>
                      <w:spacing w:val="-10"/>
                      <w:sz w:val="18"/>
                      <w:szCs w:val="18"/>
                    </w:rPr>
                  </w:pPr>
                  <w:r>
                    <w:rPr>
                      <w:rFonts w:hint="eastAsia" w:ascii="Times New Roman" w:hAnsi="Times New Roman" w:eastAsia="宋体" w:cs="Times New Roman"/>
                      <w:color w:val="auto"/>
                      <w:spacing w:val="-10"/>
                      <w:sz w:val="18"/>
                      <w:szCs w:val="18"/>
                      <w:lang w:val="en-US" w:eastAsia="zh-CN"/>
                    </w:rPr>
                    <w:t>滨河街道、兴安街道、永顺街道、杨店子街道</w:t>
                  </w:r>
                </w:p>
              </w:tc>
            </w:tr>
            <w:tr w14:paraId="5DBCD39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1146BFB7">
                  <w:pPr>
                    <w:spacing w:line="240" w:lineRule="exact"/>
                    <w:jc w:val="center"/>
                    <w:rPr>
                      <w:rFonts w:hint="eastAsia"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rPr>
                    <w:t>单元类别</w:t>
                  </w:r>
                </w:p>
              </w:tc>
              <w:tc>
                <w:tcPr>
                  <w:tcW w:w="5704" w:type="dxa"/>
                  <w:gridSpan w:val="4"/>
                  <w:vAlign w:val="center"/>
                </w:tcPr>
                <w:p w14:paraId="7EF6B939">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优先保护单元</w:t>
                  </w:r>
                </w:p>
              </w:tc>
            </w:tr>
            <w:tr w14:paraId="178C2D6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vAlign w:val="center"/>
                </w:tcPr>
                <w:p w14:paraId="0AF2D520">
                  <w:pPr>
                    <w:spacing w:line="240" w:lineRule="exact"/>
                    <w:jc w:val="center"/>
                    <w:rPr>
                      <w:rFonts w:hint="eastAsia"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rPr>
                    <w:t>环境要素类别</w:t>
                  </w:r>
                </w:p>
              </w:tc>
              <w:tc>
                <w:tcPr>
                  <w:tcW w:w="5704" w:type="dxa"/>
                  <w:gridSpan w:val="4"/>
                  <w:vAlign w:val="center"/>
                </w:tcPr>
                <w:p w14:paraId="29A3E8A0">
                  <w:pPr>
                    <w:spacing w:line="240" w:lineRule="exact"/>
                    <w:jc w:val="both"/>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1、迁安市</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号、</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号水源地一级、二级、准保护区 ；</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、滦河河流廊道</w:t>
                  </w:r>
                </w:p>
              </w:tc>
            </w:tr>
            <w:tr w14:paraId="25F2995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1376" w:type="dxa"/>
                  <w:shd w:val="clear" w:color="auto" w:fill="auto"/>
                  <w:vAlign w:val="center"/>
                </w:tcPr>
                <w:p w14:paraId="0A143340">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维度</w:t>
                  </w:r>
                </w:p>
              </w:tc>
              <w:tc>
                <w:tcPr>
                  <w:tcW w:w="2463" w:type="dxa"/>
                  <w:gridSpan w:val="2"/>
                  <w:shd w:val="clear" w:color="auto" w:fill="auto"/>
                  <w:vAlign w:val="center"/>
                </w:tcPr>
                <w:p w14:paraId="130A5FB1">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管控措施</w:t>
                  </w:r>
                </w:p>
              </w:tc>
              <w:tc>
                <w:tcPr>
                  <w:tcW w:w="2541" w:type="dxa"/>
                  <w:shd w:val="clear" w:color="auto" w:fill="auto"/>
                  <w:vAlign w:val="center"/>
                </w:tcPr>
                <w:p w14:paraId="3454C23A">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本项目实际</w:t>
                  </w:r>
                </w:p>
              </w:tc>
              <w:tc>
                <w:tcPr>
                  <w:tcW w:w="700" w:type="dxa"/>
                  <w:shd w:val="clear" w:color="auto" w:fill="auto"/>
                  <w:vAlign w:val="center"/>
                </w:tcPr>
                <w:p w14:paraId="2E7C80A9">
                  <w:pPr>
                    <w:spacing w:line="24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rPr>
                    <w:t>符合性</w:t>
                  </w:r>
                </w:p>
              </w:tc>
            </w:tr>
            <w:tr w14:paraId="7415B06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376" w:type="dxa"/>
                  <w:vAlign w:val="center"/>
                </w:tcPr>
                <w:p w14:paraId="79FE22DC">
                  <w:pPr>
                    <w:spacing w:line="240" w:lineRule="exact"/>
                    <w:jc w:val="center"/>
                    <w:rPr>
                      <w:rFonts w:hint="default"/>
                      <w:color w:val="auto"/>
                      <w:spacing w:val="-10"/>
                      <w:sz w:val="18"/>
                      <w:szCs w:val="18"/>
                      <w:lang w:val="en-US" w:eastAsia="zh-CN"/>
                    </w:rPr>
                  </w:pPr>
                  <w:r>
                    <w:rPr>
                      <w:rFonts w:hint="default"/>
                      <w:color w:val="auto"/>
                      <w:spacing w:val="-10"/>
                      <w:sz w:val="18"/>
                      <w:szCs w:val="18"/>
                    </w:rPr>
                    <w:t>空间布局约束</w:t>
                  </w:r>
                </w:p>
              </w:tc>
              <w:tc>
                <w:tcPr>
                  <w:tcW w:w="2463" w:type="dxa"/>
                  <w:gridSpan w:val="2"/>
                  <w:vAlign w:val="center"/>
                </w:tcPr>
                <w:p w14:paraId="76138275">
                  <w:pPr>
                    <w:spacing w:line="240" w:lineRule="exact"/>
                    <w:jc w:val="both"/>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、迁安市</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号、</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 xml:space="preserve">号水源地一级、二级、准保护区执行全市总体准入要求中地下水饮用水水源保护区的管控要求。 </w:t>
                  </w:r>
                </w:p>
                <w:p w14:paraId="4B5F4388">
                  <w:pPr>
                    <w:spacing w:line="240" w:lineRule="exact"/>
                    <w:jc w:val="both"/>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、滦河河流廊道执行全市总体准入要求中一般生态空间的总体要求和河湖滨岸带管控要求。</w:t>
                  </w:r>
                </w:p>
              </w:tc>
              <w:tc>
                <w:tcPr>
                  <w:tcW w:w="2541" w:type="dxa"/>
                  <w:vAlign w:val="center"/>
                </w:tcPr>
                <w:p w14:paraId="6F0AD613">
                  <w:pPr>
                    <w:spacing w:line="240" w:lineRule="exact"/>
                    <w:jc w:val="both"/>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本项目位于河北省迁安市永顺昌盛路与兴安大街交叉口620号，不在滦河河流廊道区域，根据《</w:t>
                  </w:r>
                  <w:r>
                    <w:rPr>
                      <w:rFonts w:hint="default" w:ascii="Times New Roman" w:hAnsi="Times New Roman" w:eastAsia="宋体" w:cs="Times New Roman"/>
                      <w:color w:val="auto"/>
                      <w:spacing w:val="-10"/>
                      <w:sz w:val="18"/>
                      <w:szCs w:val="18"/>
                      <w:highlight w:val="none"/>
                      <w:lang w:val="en-US" w:eastAsia="zh-CN"/>
                    </w:rPr>
                    <w:t>河北省人民政府关于同意调整迁安市集中式饮用水水源保护区的批复</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冀政字〔2024〕56号</w:t>
                  </w:r>
                  <w:r>
                    <w:rPr>
                      <w:rFonts w:hint="eastAsia" w:ascii="Times New Roman" w:hAnsi="Times New Roman" w:eastAsia="宋体" w:cs="Times New Roman"/>
                      <w:color w:val="auto"/>
                      <w:spacing w:val="-10"/>
                      <w:sz w:val="18"/>
                      <w:szCs w:val="18"/>
                      <w:highlight w:val="none"/>
                      <w:lang w:val="en-US" w:eastAsia="zh-CN"/>
                    </w:rPr>
                    <w:t>），迁安市</w:t>
                  </w:r>
                  <w:r>
                    <w:rPr>
                      <w:rFonts w:hint="default" w:ascii="Times New Roman" w:hAnsi="Times New Roman" w:eastAsia="宋体"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号、</w:t>
                  </w:r>
                  <w:r>
                    <w:rPr>
                      <w:rFonts w:hint="default" w:ascii="Times New Roman" w:hAnsi="Times New Roman" w:eastAsia="宋体" w:cs="Times New Roman"/>
                      <w:color w:val="auto"/>
                      <w:spacing w:val="-10"/>
                      <w:sz w:val="18"/>
                      <w:szCs w:val="18"/>
                      <w:highlight w:val="none"/>
                      <w:lang w:val="en-US" w:eastAsia="zh-CN"/>
                    </w:rPr>
                    <w:t>2</w:t>
                  </w:r>
                  <w:r>
                    <w:rPr>
                      <w:rFonts w:hint="eastAsia" w:ascii="Times New Roman" w:hAnsi="Times New Roman" w:eastAsia="宋体" w:cs="Times New Roman"/>
                      <w:color w:val="auto"/>
                      <w:spacing w:val="-10"/>
                      <w:sz w:val="18"/>
                      <w:szCs w:val="18"/>
                      <w:highlight w:val="none"/>
                      <w:lang w:val="en-US" w:eastAsia="zh-CN"/>
                    </w:rPr>
                    <w:t>号水源地已取消。</w:t>
                  </w:r>
                </w:p>
              </w:tc>
              <w:tc>
                <w:tcPr>
                  <w:tcW w:w="700" w:type="dxa"/>
                  <w:vAlign w:val="center"/>
                </w:tcPr>
                <w:p w14:paraId="18A494B1">
                  <w:pPr>
                    <w:spacing w:line="240" w:lineRule="exact"/>
                    <w:jc w:val="both"/>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bl>
          <w:p w14:paraId="06336A5E">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综上分析，本项目符合</w:t>
            </w:r>
            <w:r>
              <w:rPr>
                <w:rFonts w:hint="eastAsia" w:ascii="Times New Roman" w:hAnsi="Times New Roman"/>
                <w:color w:val="auto"/>
                <w:sz w:val="21"/>
                <w:szCs w:val="21"/>
                <w:highlight w:val="none"/>
              </w:rPr>
              <w:t>“三线一单”</w:t>
            </w:r>
            <w:r>
              <w:rPr>
                <w:rFonts w:ascii="Times New Roman" w:hAnsi="Times New Roman"/>
                <w:color w:val="auto"/>
                <w:sz w:val="21"/>
                <w:szCs w:val="21"/>
                <w:highlight w:val="none"/>
              </w:rPr>
              <w:t>要求。</w:t>
            </w:r>
          </w:p>
          <w:p w14:paraId="6B053A7B">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b/>
                <w:color w:val="auto"/>
                <w:sz w:val="21"/>
                <w:szCs w:val="21"/>
                <w:highlight w:val="none"/>
                <w:lang w:val="en-US" w:eastAsia="zh-CN"/>
              </w:rPr>
              <w:t>4</w:t>
            </w:r>
            <w:r>
              <w:rPr>
                <w:rFonts w:hint="eastAsia" w:ascii="Times New Roman" w:hAnsi="Times New Roman"/>
                <w:b/>
                <w:color w:val="auto"/>
                <w:sz w:val="21"/>
                <w:szCs w:val="21"/>
                <w:highlight w:val="none"/>
              </w:rPr>
              <w:t>.</w:t>
            </w:r>
            <w:r>
              <w:rPr>
                <w:rFonts w:hint="eastAsia" w:ascii="Times New Roman" w:hAnsi="Times New Roman" w:eastAsia="宋体" w:cs="Times New Roman"/>
                <w:b/>
                <w:color w:val="auto"/>
                <w:sz w:val="21"/>
                <w:szCs w:val="21"/>
                <w:highlight w:val="none"/>
                <w:lang w:val="en-US" w:eastAsia="zh-CN"/>
              </w:rPr>
              <w:t>与环境保护规划符合性分析</w:t>
            </w:r>
          </w:p>
          <w:p w14:paraId="02CC1175">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本</w:t>
            </w:r>
            <w:r>
              <w:rPr>
                <w:rFonts w:hint="default" w:ascii="Times New Roman" w:hAnsi="Times New Roman" w:eastAsia="宋体" w:cs="Times New Roman"/>
                <w:color w:val="auto"/>
                <w:sz w:val="21"/>
                <w:szCs w:val="21"/>
                <w:highlight w:val="none"/>
              </w:rPr>
              <w:t>项目与</w:t>
            </w:r>
            <w:r>
              <w:rPr>
                <w:rFonts w:hint="eastAsia" w:ascii="Times New Roman" w:hAnsi="Times New Roman" w:eastAsia="宋体" w:cs="Times New Roman"/>
                <w:color w:val="auto"/>
                <w:sz w:val="21"/>
                <w:szCs w:val="21"/>
                <w:highlight w:val="none"/>
                <w:lang w:val="en-US" w:eastAsia="zh-CN"/>
              </w:rPr>
              <w:t>环境保护规划</w:t>
            </w:r>
            <w:r>
              <w:rPr>
                <w:rFonts w:hint="default" w:ascii="Times New Roman" w:hAnsi="Times New Roman" w:eastAsia="宋体" w:cs="Times New Roman"/>
                <w:color w:val="auto"/>
                <w:sz w:val="21"/>
                <w:szCs w:val="21"/>
                <w:highlight w:val="none"/>
              </w:rPr>
              <w:t>的符合性分析</w:t>
            </w:r>
            <w:r>
              <w:rPr>
                <w:rFonts w:hint="eastAsia" w:ascii="Times New Roman" w:hAnsi="Times New Roman" w:cs="Times New Roman"/>
                <w:color w:val="auto"/>
                <w:sz w:val="21"/>
                <w:szCs w:val="21"/>
                <w:highlight w:val="none"/>
                <w:lang w:val="en-US" w:eastAsia="zh-CN"/>
              </w:rPr>
              <w:t>详见表3</w:t>
            </w:r>
            <w:r>
              <w:rPr>
                <w:rFonts w:hint="default" w:ascii="Times New Roman" w:hAnsi="Times New Roman" w:eastAsia="宋体" w:cs="Times New Roman"/>
                <w:color w:val="auto"/>
                <w:sz w:val="21"/>
                <w:szCs w:val="21"/>
                <w:highlight w:val="none"/>
              </w:rPr>
              <w:t>。</w:t>
            </w:r>
          </w:p>
          <w:p w14:paraId="7F93B828">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b/>
                <w:color w:val="auto"/>
                <w:sz w:val="21"/>
                <w:szCs w:val="21"/>
                <w:highlight w:val="none"/>
                <w:lang w:val="en-US" w:eastAsia="zh-CN"/>
              </w:rPr>
              <w:t>5</w:t>
            </w:r>
            <w:r>
              <w:rPr>
                <w:rFonts w:hint="eastAsia" w:ascii="Times New Roman" w:hAnsi="Times New Roman"/>
                <w:b/>
                <w:color w:val="auto"/>
                <w:sz w:val="21"/>
                <w:szCs w:val="21"/>
                <w:highlight w:val="none"/>
              </w:rPr>
              <w:t>.</w:t>
            </w:r>
            <w:r>
              <w:rPr>
                <w:rFonts w:hint="eastAsia" w:ascii="Times New Roman" w:hAnsi="Times New Roman" w:eastAsia="宋体" w:cs="Times New Roman"/>
                <w:b/>
                <w:color w:val="auto"/>
                <w:sz w:val="21"/>
                <w:szCs w:val="21"/>
                <w:highlight w:val="none"/>
                <w:lang w:val="en-US" w:eastAsia="zh-CN"/>
              </w:rPr>
              <w:t>与相关</w:t>
            </w:r>
            <w:r>
              <w:rPr>
                <w:rFonts w:hint="eastAsia" w:ascii="Times New Roman" w:hAnsi="Times New Roman" w:cs="Times New Roman"/>
                <w:b/>
                <w:color w:val="auto"/>
                <w:sz w:val="21"/>
                <w:szCs w:val="21"/>
                <w:highlight w:val="none"/>
                <w:lang w:val="en-US" w:eastAsia="zh-CN"/>
              </w:rPr>
              <w:t>文件的</w:t>
            </w:r>
            <w:r>
              <w:rPr>
                <w:rFonts w:hint="eastAsia" w:ascii="Times New Roman" w:hAnsi="Times New Roman" w:eastAsia="宋体" w:cs="Times New Roman"/>
                <w:b/>
                <w:color w:val="auto"/>
                <w:sz w:val="21"/>
                <w:szCs w:val="21"/>
                <w:highlight w:val="none"/>
                <w:lang w:val="en-US" w:eastAsia="zh-CN"/>
              </w:rPr>
              <w:t>符合性分析</w:t>
            </w:r>
          </w:p>
          <w:p w14:paraId="69E3519A">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本</w:t>
            </w:r>
            <w:r>
              <w:rPr>
                <w:rFonts w:hint="default" w:ascii="Times New Roman" w:hAnsi="Times New Roman" w:eastAsia="宋体" w:cs="Times New Roman"/>
                <w:color w:val="auto"/>
                <w:sz w:val="21"/>
                <w:szCs w:val="21"/>
                <w:highlight w:val="none"/>
              </w:rPr>
              <w:t>项目与</w:t>
            </w:r>
            <w:r>
              <w:rPr>
                <w:rFonts w:hint="eastAsia" w:ascii="Times New Roman" w:hAnsi="Times New Roman" w:cs="Times New Roman"/>
                <w:color w:val="auto"/>
                <w:sz w:val="21"/>
                <w:szCs w:val="21"/>
                <w:highlight w:val="none"/>
                <w:lang w:val="en-US" w:eastAsia="zh-CN"/>
              </w:rPr>
              <w:t>其他</w:t>
            </w:r>
            <w:r>
              <w:rPr>
                <w:rFonts w:hint="default" w:ascii="Times New Roman" w:hAnsi="Times New Roman" w:eastAsia="宋体" w:cs="Times New Roman"/>
                <w:color w:val="auto"/>
                <w:sz w:val="21"/>
                <w:szCs w:val="21"/>
                <w:highlight w:val="none"/>
              </w:rPr>
              <w:t>相关</w:t>
            </w:r>
            <w:r>
              <w:rPr>
                <w:rFonts w:hint="eastAsia" w:ascii="Times New Roman" w:hAnsi="Times New Roman" w:cs="Times New Roman"/>
                <w:color w:val="auto"/>
                <w:sz w:val="21"/>
                <w:szCs w:val="21"/>
                <w:highlight w:val="none"/>
                <w:lang w:val="en-US" w:eastAsia="zh-CN"/>
              </w:rPr>
              <w:t>文件</w:t>
            </w:r>
            <w:r>
              <w:rPr>
                <w:rFonts w:hint="default" w:ascii="Times New Roman" w:hAnsi="Times New Roman" w:eastAsia="宋体" w:cs="Times New Roman"/>
                <w:color w:val="auto"/>
                <w:sz w:val="21"/>
                <w:szCs w:val="21"/>
                <w:highlight w:val="none"/>
              </w:rPr>
              <w:t>的符合性分析</w:t>
            </w:r>
            <w:r>
              <w:rPr>
                <w:rFonts w:hint="eastAsia" w:ascii="Times New Roman" w:hAnsi="Times New Roman" w:cs="Times New Roman"/>
                <w:color w:val="auto"/>
                <w:sz w:val="21"/>
                <w:szCs w:val="21"/>
                <w:highlight w:val="none"/>
                <w:lang w:val="en-US" w:eastAsia="zh-CN"/>
              </w:rPr>
              <w:t>详见表4</w:t>
            </w:r>
            <w:r>
              <w:rPr>
                <w:rFonts w:hint="default" w:ascii="Times New Roman" w:hAnsi="Times New Roman" w:eastAsia="宋体" w:cs="Times New Roman"/>
                <w:color w:val="auto"/>
                <w:sz w:val="21"/>
                <w:szCs w:val="21"/>
                <w:highlight w:val="none"/>
              </w:rPr>
              <w:t>。</w:t>
            </w:r>
          </w:p>
          <w:p w14:paraId="606A2CAD">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80C903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C30DFF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58A89FF">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E03BDD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524E2DBE">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E97234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618B864A">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7A19F8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11F0E4D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A7FA9C7">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320212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32C0D2B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p w14:paraId="7E3630A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p>
        </w:tc>
      </w:tr>
    </w:tbl>
    <w:p w14:paraId="58D21285">
      <w:pPr>
        <w:pStyle w:val="37"/>
        <w:rPr>
          <w:color w:val="auto"/>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12145"/>
      </w:tblGrid>
      <w:tr w14:paraId="00D74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0" w:hRule="atLeast"/>
        </w:trPr>
        <w:tc>
          <w:tcPr>
            <w:tcW w:w="1507" w:type="dxa"/>
          </w:tcPr>
          <w:p w14:paraId="4D9F87EB">
            <w:pPr>
              <w:pStyle w:val="22"/>
              <w:jc w:val="center"/>
              <w:outlineLvl w:val="0"/>
              <w:rPr>
                <w:rFonts w:hint="eastAsia" w:ascii="黑体" w:hAnsi="黑体" w:eastAsia="黑体"/>
                <w:snapToGrid w:val="0"/>
                <w:color w:val="auto"/>
                <w:sz w:val="30"/>
                <w:szCs w:val="30"/>
                <w:vertAlign w:val="baseline"/>
              </w:rPr>
            </w:pPr>
          </w:p>
        </w:tc>
        <w:tc>
          <w:tcPr>
            <w:tcW w:w="12145" w:type="dxa"/>
          </w:tcPr>
          <w:p w14:paraId="1410B489">
            <w:pPr>
              <w:pStyle w:val="22"/>
              <w:adjustRightInd w:val="0"/>
              <w:snapToGrid w:val="0"/>
              <w:spacing w:before="0" w:beforeAutospacing="0" w:after="0" w:afterAutospacing="0" w:line="440" w:lineRule="exact"/>
              <w:jc w:val="center"/>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表3 本项目与相关生态环境保护规划分析</w:t>
            </w:r>
          </w:p>
          <w:tbl>
            <w:tblPr>
              <w:tblStyle w:val="26"/>
              <w:tblW w:w="5051" w:type="pct"/>
              <w:jc w:val="center"/>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Layout w:type="fixed"/>
              <w:tblCellMar>
                <w:top w:w="0" w:type="dxa"/>
                <w:left w:w="0" w:type="dxa"/>
                <w:bottom w:w="0" w:type="dxa"/>
                <w:right w:w="0" w:type="dxa"/>
              </w:tblCellMar>
            </w:tblPr>
            <w:tblGrid>
              <w:gridCol w:w="473"/>
              <w:gridCol w:w="1000"/>
              <w:gridCol w:w="5393"/>
              <w:gridCol w:w="4511"/>
              <w:gridCol w:w="674"/>
            </w:tblGrid>
            <w:tr w14:paraId="40F77ABB">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tcBorders>
                    <w:tl2br w:val="nil"/>
                    <w:tr2bl w:val="nil"/>
                  </w:tcBorders>
                  <w:noWrap w:val="0"/>
                  <w:vAlign w:val="center"/>
                </w:tcPr>
                <w:p w14:paraId="17F87E43">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序号</w:t>
                  </w:r>
                </w:p>
              </w:tc>
              <w:tc>
                <w:tcPr>
                  <w:tcW w:w="414" w:type="pct"/>
                  <w:tcBorders>
                    <w:tl2br w:val="nil"/>
                    <w:tr2bl w:val="nil"/>
                  </w:tcBorders>
                  <w:noWrap w:val="0"/>
                  <w:vAlign w:val="center"/>
                </w:tcPr>
                <w:p w14:paraId="59F2C67D">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规划名称</w:t>
                  </w:r>
                </w:p>
              </w:tc>
              <w:tc>
                <w:tcPr>
                  <w:tcW w:w="2237" w:type="pct"/>
                  <w:tcBorders>
                    <w:tl2br w:val="nil"/>
                    <w:tr2bl w:val="nil"/>
                  </w:tcBorders>
                  <w:noWrap w:val="0"/>
                  <w:vAlign w:val="center"/>
                </w:tcPr>
                <w:p w14:paraId="18B2AF22">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内容</w:t>
                  </w:r>
                </w:p>
              </w:tc>
              <w:tc>
                <w:tcPr>
                  <w:tcW w:w="1871" w:type="pct"/>
                  <w:tcBorders>
                    <w:tl2br w:val="nil"/>
                    <w:tr2bl w:val="nil"/>
                  </w:tcBorders>
                  <w:noWrap w:val="0"/>
                  <w:vAlign w:val="center"/>
                </w:tcPr>
                <w:p w14:paraId="15B593EF">
                  <w:pPr>
                    <w:spacing w:line="240" w:lineRule="exact"/>
                    <w:jc w:val="center"/>
                    <w:rPr>
                      <w:rFonts w:hint="eastAsia" w:ascii="Times New Roman" w:hAnsi="Times New Roman" w:eastAsia="宋体" w:cs="Times New Roman"/>
                      <w:color w:val="auto"/>
                      <w:spacing w:val="-10"/>
                      <w:sz w:val="18"/>
                      <w:szCs w:val="18"/>
                      <w:highlight w:val="none"/>
                      <w:lang w:val="zh-TW" w:eastAsia="zh-CN"/>
                    </w:rPr>
                  </w:pPr>
                  <w:r>
                    <w:rPr>
                      <w:rFonts w:hint="default" w:ascii="Times New Roman" w:hAnsi="Times New Roman" w:eastAsia="宋体" w:cs="Times New Roman"/>
                      <w:color w:val="auto"/>
                      <w:spacing w:val="-10"/>
                      <w:sz w:val="18"/>
                      <w:szCs w:val="18"/>
                      <w:highlight w:val="none"/>
                      <w:lang w:val="zh-TW" w:eastAsia="zh-TW"/>
                    </w:rPr>
                    <w:t>本项目</w:t>
                  </w:r>
                  <w:r>
                    <w:rPr>
                      <w:rFonts w:hint="eastAsia" w:ascii="Times New Roman" w:hAnsi="Times New Roman" w:eastAsia="宋体" w:cs="Times New Roman"/>
                      <w:color w:val="auto"/>
                      <w:spacing w:val="-10"/>
                      <w:sz w:val="18"/>
                      <w:szCs w:val="18"/>
                      <w:highlight w:val="none"/>
                      <w:lang w:val="zh-TW" w:eastAsia="zh-CN"/>
                    </w:rPr>
                    <w:t>情况</w:t>
                  </w:r>
                </w:p>
              </w:tc>
              <w:tc>
                <w:tcPr>
                  <w:tcW w:w="279" w:type="pct"/>
                  <w:tcBorders>
                    <w:tl2br w:val="nil"/>
                    <w:tr2bl w:val="nil"/>
                  </w:tcBorders>
                  <w:noWrap w:val="0"/>
                  <w:vAlign w:val="center"/>
                </w:tcPr>
                <w:p w14:paraId="7779DEC1">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符合性</w:t>
                  </w:r>
                </w:p>
              </w:tc>
            </w:tr>
            <w:tr w14:paraId="143122F3">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1450" w:hRule="atLeast"/>
                <w:jc w:val="center"/>
              </w:trPr>
              <w:tc>
                <w:tcPr>
                  <w:tcW w:w="196" w:type="pct"/>
                  <w:vMerge w:val="restart"/>
                  <w:tcBorders>
                    <w:tl2br w:val="nil"/>
                    <w:tr2bl w:val="nil"/>
                  </w:tcBorders>
                  <w:noWrap w:val="0"/>
                  <w:vAlign w:val="center"/>
                </w:tcPr>
                <w:p w14:paraId="36948A60">
                  <w:pPr>
                    <w:spacing w:line="240" w:lineRule="exact"/>
                    <w:jc w:val="center"/>
                    <w:rPr>
                      <w:rFonts w:hint="default" w:ascii="Times New Roman" w:hAnsi="Times New Roman" w:eastAsia="宋体" w:cs="Times New Roman"/>
                      <w:color w:val="auto"/>
                      <w:spacing w:val="-10"/>
                      <w:sz w:val="18"/>
                      <w:szCs w:val="18"/>
                      <w:highlight w:val="yellow"/>
                      <w:lang w:val="zh-TW" w:eastAsia="zh-TW"/>
                    </w:rPr>
                  </w:pPr>
                  <w:r>
                    <w:rPr>
                      <w:rFonts w:hint="default" w:ascii="Times New Roman" w:hAnsi="Times New Roman" w:eastAsia="宋体" w:cs="Times New Roman"/>
                      <w:color w:val="auto"/>
                      <w:spacing w:val="-10"/>
                      <w:sz w:val="18"/>
                      <w:szCs w:val="18"/>
                      <w:highlight w:val="none"/>
                      <w:lang w:val="zh-TW" w:eastAsia="zh-TW"/>
                    </w:rPr>
                    <w:t>1</w:t>
                  </w:r>
                </w:p>
              </w:tc>
              <w:tc>
                <w:tcPr>
                  <w:tcW w:w="414" w:type="pct"/>
                  <w:vMerge w:val="restart"/>
                  <w:tcBorders>
                    <w:tl2br w:val="nil"/>
                    <w:tr2bl w:val="nil"/>
                  </w:tcBorders>
                  <w:noWrap w:val="0"/>
                  <w:vAlign w:val="center"/>
                </w:tcPr>
                <w:p w14:paraId="3B270F34">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zh-TW" w:eastAsia="zh-TW"/>
                    </w:rPr>
                    <w:t>《</w:t>
                  </w:r>
                  <w:r>
                    <w:rPr>
                      <w:rFonts w:hint="eastAsia" w:ascii="Times New Roman" w:hAnsi="Times New Roman" w:eastAsia="宋体" w:cs="Times New Roman"/>
                      <w:color w:val="auto"/>
                      <w:spacing w:val="-10"/>
                      <w:sz w:val="18"/>
                      <w:szCs w:val="18"/>
                      <w:highlight w:val="none"/>
                      <w:lang w:val="en-US" w:eastAsia="zh-CN"/>
                    </w:rPr>
                    <w:t xml:space="preserve">河北省生 </w:t>
                  </w:r>
                </w:p>
                <w:p w14:paraId="3E5419A1">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 xml:space="preserve">态环境保 </w:t>
                  </w:r>
                </w:p>
                <w:p w14:paraId="68DF1825">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 xml:space="preserve">护“十四 </w:t>
                  </w:r>
                </w:p>
                <w:p w14:paraId="211262A7">
                  <w:pPr>
                    <w:keepNext w:val="0"/>
                    <w:keepLines w:val="0"/>
                    <w:widowControl/>
                    <w:numPr>
                      <w:ilvl w:val="0"/>
                      <w:numId w:val="0"/>
                    </w:numPr>
                    <w:suppressLineNumbers w:val="0"/>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五”规划</w:t>
                  </w:r>
                  <w:r>
                    <w:rPr>
                      <w:rFonts w:hint="default" w:ascii="Times New Roman" w:hAnsi="Times New Roman" w:eastAsia="宋体" w:cs="Times New Roman"/>
                      <w:color w:val="auto"/>
                      <w:spacing w:val="-10"/>
                      <w:sz w:val="18"/>
                      <w:szCs w:val="18"/>
                      <w:highlight w:val="none"/>
                      <w:lang w:val="zh-TW" w:eastAsia="zh-TW"/>
                    </w:rPr>
                    <w:t>》</w:t>
                  </w:r>
                </w:p>
                <w:p w14:paraId="16FF982B">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2237" w:type="pct"/>
                  <w:tcBorders>
                    <w:tl2br w:val="nil"/>
                    <w:tr2bl w:val="nil"/>
                  </w:tcBorders>
                  <w:shd w:val="clear" w:color="auto" w:fill="auto"/>
                  <w:noWrap w:val="0"/>
                  <w:vAlign w:val="center"/>
                </w:tcPr>
                <w:p w14:paraId="486FA87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基本原则：坚持底线思维。严格落实“三线一单”生态环境分区管控，健全环境风险防控机制，有效应对各类突发环境事件，全力保障生态环境安全，当好首都政治“护城河”。</w:t>
                  </w:r>
                </w:p>
              </w:tc>
              <w:tc>
                <w:tcPr>
                  <w:tcW w:w="1871" w:type="pct"/>
                  <w:tcBorders>
                    <w:tl2br w:val="nil"/>
                    <w:tr2bl w:val="nil"/>
                  </w:tcBorders>
                  <w:shd w:val="clear" w:color="auto" w:fill="auto"/>
                  <w:noWrap w:val="0"/>
                  <w:vAlign w:val="center"/>
                </w:tcPr>
                <w:p w14:paraId="661AB6E0">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本项目的建设符合《河北省人民政府关于加快实施“三线一单”生态环境分区管控的意见》（冀政字</w:t>
                  </w:r>
                  <w:r>
                    <w:rPr>
                      <w:rFonts w:hint="default" w:ascii="Times New Roman" w:hAnsi="Times New Roman" w:eastAsia="宋体" w:cs="Times New Roman"/>
                      <w:color w:val="auto"/>
                      <w:spacing w:val="-10"/>
                      <w:sz w:val="18"/>
                      <w:szCs w:val="18"/>
                      <w:highlight w:val="none"/>
                      <w:lang w:val="en-US" w:eastAsia="zh-CN"/>
                    </w:rPr>
                    <w:t xml:space="preserve">[2020]71 </w:t>
                  </w:r>
                  <w:r>
                    <w:rPr>
                      <w:rFonts w:hint="eastAsia" w:ascii="Times New Roman" w:hAnsi="Times New Roman" w:eastAsia="宋体" w:cs="Times New Roman"/>
                      <w:color w:val="auto"/>
                      <w:spacing w:val="-10"/>
                      <w:sz w:val="18"/>
                      <w:szCs w:val="18"/>
                      <w:highlight w:val="none"/>
                      <w:lang w:val="en-US" w:eastAsia="zh-CN"/>
                    </w:rPr>
                    <w:t>号）、《关于实施“三线一单”生态环境分区管控的意见》 （唐政字</w:t>
                  </w:r>
                  <w:r>
                    <w:rPr>
                      <w:rFonts w:hint="default" w:ascii="Times New Roman" w:hAnsi="Times New Roman" w:eastAsia="宋体" w:cs="Times New Roman"/>
                      <w:color w:val="auto"/>
                      <w:spacing w:val="-10"/>
                      <w:sz w:val="18"/>
                      <w:szCs w:val="18"/>
                      <w:highlight w:val="none"/>
                      <w:lang w:val="en-US" w:eastAsia="zh-CN"/>
                    </w:rPr>
                    <w:t xml:space="preserve">[2021]48 </w:t>
                  </w:r>
                  <w:r>
                    <w:rPr>
                      <w:rFonts w:hint="eastAsia" w:ascii="Times New Roman" w:hAnsi="Times New Roman" w:eastAsia="宋体" w:cs="Times New Roman"/>
                      <w:color w:val="auto"/>
                      <w:spacing w:val="-10"/>
                      <w:sz w:val="18"/>
                      <w:szCs w:val="18"/>
                      <w:highlight w:val="none"/>
                      <w:lang w:val="en-US" w:eastAsia="zh-CN"/>
                    </w:rPr>
                    <w:t>号）、《唐山市生态环境准入清单（</w:t>
                  </w:r>
                  <w:r>
                    <w:rPr>
                      <w:rFonts w:hint="default" w:ascii="Times New Roman" w:hAnsi="Times New Roman" w:eastAsia="宋体" w:cs="Times New Roman"/>
                      <w:color w:val="auto"/>
                      <w:spacing w:val="-10"/>
                      <w:sz w:val="18"/>
                      <w:szCs w:val="18"/>
                      <w:highlight w:val="none"/>
                      <w:lang w:val="en-US" w:eastAsia="zh-CN"/>
                    </w:rPr>
                    <w:t xml:space="preserve">2023 </w:t>
                  </w:r>
                  <w:r>
                    <w:rPr>
                      <w:rFonts w:hint="eastAsia" w:ascii="Times New Roman" w:hAnsi="Times New Roman" w:eastAsia="宋体" w:cs="Times New Roman"/>
                      <w:color w:val="auto"/>
                      <w:spacing w:val="-10"/>
                      <w:sz w:val="18"/>
                      <w:szCs w:val="18"/>
                      <w:highlight w:val="none"/>
                      <w:lang w:val="en-US" w:eastAsia="zh-CN"/>
                    </w:rPr>
                    <w:t>年版）》 管控要求。</w:t>
                  </w:r>
                  <w:r>
                    <w:rPr>
                      <w:rFonts w:hint="eastAsia" w:ascii="Times New Roman" w:hAnsi="Times New Roman" w:eastAsia="宋体" w:cs="Times New Roman"/>
                      <w:color w:val="auto"/>
                      <w:spacing w:val="-10"/>
                      <w:kern w:val="2"/>
                      <w:sz w:val="18"/>
                      <w:szCs w:val="18"/>
                      <w:highlight w:val="none"/>
                      <w:lang w:val="en-US" w:eastAsia="zh-CN" w:bidi="ar-SA"/>
                    </w:rPr>
                    <w:t>项目建成后针对可能出现的突发环境事件制定完善的风险防范措施，环境风险可防控；</w:t>
                  </w:r>
                  <w:r>
                    <w:rPr>
                      <w:rFonts w:hint="eastAsia" w:ascii="Times New Roman" w:hAnsi="Times New Roman" w:eastAsia="宋体" w:cs="Times New Roman"/>
                      <w:color w:val="auto"/>
                      <w:spacing w:val="-10"/>
                      <w:sz w:val="18"/>
                      <w:szCs w:val="18"/>
                      <w:highlight w:val="none"/>
                      <w:lang w:val="en-US" w:eastAsia="zh-CN"/>
                    </w:rPr>
                    <w:t>本评价要求企业尽快完成应急预案</w:t>
                  </w:r>
                  <w:r>
                    <w:rPr>
                      <w:rFonts w:hint="eastAsia" w:cs="Times New Roman"/>
                      <w:color w:val="auto"/>
                      <w:spacing w:val="-10"/>
                      <w:sz w:val="18"/>
                      <w:szCs w:val="18"/>
                      <w:highlight w:val="none"/>
                      <w:lang w:val="en-US" w:eastAsia="zh-CN"/>
                    </w:rPr>
                    <w:t>编制</w:t>
                  </w:r>
                  <w:r>
                    <w:rPr>
                      <w:rFonts w:hint="eastAsia" w:ascii="Times New Roman" w:hAnsi="Times New Roman" w:eastAsia="宋体" w:cs="Times New Roman"/>
                      <w:color w:val="auto"/>
                      <w:spacing w:val="-10"/>
                      <w:kern w:val="2"/>
                      <w:sz w:val="18"/>
                      <w:szCs w:val="18"/>
                      <w:highlight w:val="none"/>
                      <w:lang w:val="en-US" w:eastAsia="zh-CN" w:bidi="ar-SA"/>
                    </w:rPr>
                    <w:t>并备案</w:t>
                  </w:r>
                </w:p>
              </w:tc>
              <w:tc>
                <w:tcPr>
                  <w:tcW w:w="279" w:type="pct"/>
                  <w:tcBorders>
                    <w:tl2br w:val="nil"/>
                    <w:tr2bl w:val="nil"/>
                  </w:tcBorders>
                  <w:shd w:val="clear" w:color="auto" w:fill="auto"/>
                  <w:noWrap w:val="0"/>
                  <w:vAlign w:val="center"/>
                </w:tcPr>
                <w:p w14:paraId="19B1F6F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63EF31C8">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95" w:hRule="atLeast"/>
                <w:jc w:val="center"/>
              </w:trPr>
              <w:tc>
                <w:tcPr>
                  <w:tcW w:w="196" w:type="pct"/>
                  <w:vMerge w:val="continue"/>
                  <w:tcBorders>
                    <w:tl2br w:val="nil"/>
                    <w:tr2bl w:val="nil"/>
                  </w:tcBorders>
                  <w:noWrap w:val="0"/>
                  <w:vAlign w:val="center"/>
                </w:tcPr>
                <w:p w14:paraId="5FC1D6B6">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29211CE3">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2237" w:type="pct"/>
                  <w:tcBorders>
                    <w:tl2br w:val="nil"/>
                    <w:tr2bl w:val="nil"/>
                  </w:tcBorders>
                  <w:shd w:val="clear" w:color="auto" w:fill="auto"/>
                  <w:noWrap w:val="0"/>
                  <w:vAlign w:val="center"/>
                </w:tcPr>
                <w:p w14:paraId="1BC6AD0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主要目标：生态环境质量持续改善。主要污染物排放持续减少，环境空气质量全面改善，优良天数比率持续提高，基本消除重污染天气。</w:t>
                  </w:r>
                </w:p>
              </w:tc>
              <w:tc>
                <w:tcPr>
                  <w:tcW w:w="1871" w:type="pct"/>
                  <w:tcBorders>
                    <w:tl2br w:val="nil"/>
                    <w:tr2bl w:val="nil"/>
                  </w:tcBorders>
                  <w:shd w:val="clear" w:color="auto" w:fill="auto"/>
                  <w:noWrap w:val="0"/>
                  <w:vAlign w:val="center"/>
                </w:tcPr>
                <w:p w14:paraId="15BCA44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w:t>
                  </w:r>
                  <w:r>
                    <w:rPr>
                      <w:rFonts w:hint="eastAsia"/>
                      <w:color w:val="auto"/>
                      <w:spacing w:val="-10"/>
                      <w:sz w:val="18"/>
                      <w:szCs w:val="18"/>
                      <w:highlight w:val="none"/>
                      <w:lang w:val="en-US" w:eastAsia="zh-CN"/>
                    </w:rPr>
                    <w:t>目生产过程中产生的污染负荷较小，各产污环节均采取了完善的污染防治措施，废气各产污环节严格控制污染物排放，可以稳定实现达标排放，对环境空气影响较小</w:t>
                  </w:r>
                  <w:r>
                    <w:rPr>
                      <w:rFonts w:hint="eastAsia" w:ascii="Times New Roman" w:hAnsi="Times New Roman" w:eastAsia="宋体" w:cs="Times New Roman"/>
                      <w:color w:val="auto"/>
                      <w:spacing w:val="-10"/>
                      <w:sz w:val="18"/>
                      <w:szCs w:val="18"/>
                      <w:highlight w:val="none"/>
                      <w:lang w:val="en-US" w:eastAsia="zh-CN"/>
                    </w:rPr>
                    <w:t>，不会对区域大气环境产生明显</w:t>
                  </w:r>
                  <w:r>
                    <w:rPr>
                      <w:rFonts w:hint="eastAsia" w:cs="Times New Roman"/>
                      <w:color w:val="auto"/>
                      <w:spacing w:val="-10"/>
                      <w:sz w:val="18"/>
                      <w:szCs w:val="18"/>
                      <w:highlight w:val="none"/>
                      <w:lang w:val="en-US" w:eastAsia="zh-CN"/>
                    </w:rPr>
                    <w:t>影响</w:t>
                  </w:r>
                  <w:r>
                    <w:rPr>
                      <w:rFonts w:hint="eastAsia"/>
                      <w:color w:val="auto"/>
                      <w:spacing w:val="-10"/>
                      <w:sz w:val="18"/>
                      <w:szCs w:val="18"/>
                      <w:highlight w:val="none"/>
                      <w:lang w:val="en-US" w:eastAsia="zh-CN"/>
                    </w:rPr>
                    <w:t>。</w:t>
                  </w:r>
                </w:p>
              </w:tc>
              <w:tc>
                <w:tcPr>
                  <w:tcW w:w="279" w:type="pct"/>
                  <w:tcBorders>
                    <w:tl2br w:val="nil"/>
                    <w:tr2bl w:val="nil"/>
                  </w:tcBorders>
                  <w:shd w:val="clear" w:color="auto" w:fill="auto"/>
                  <w:noWrap w:val="0"/>
                  <w:vAlign w:val="center"/>
                </w:tcPr>
                <w:p w14:paraId="3A788A0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6CBBAF4D">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1427" w:hRule="atLeast"/>
                <w:jc w:val="center"/>
              </w:trPr>
              <w:tc>
                <w:tcPr>
                  <w:tcW w:w="196" w:type="pct"/>
                  <w:vMerge w:val="continue"/>
                  <w:tcBorders>
                    <w:tl2br w:val="nil"/>
                    <w:tr2bl w:val="nil"/>
                  </w:tcBorders>
                  <w:noWrap w:val="0"/>
                  <w:vAlign w:val="center"/>
                </w:tcPr>
                <w:p w14:paraId="3A790AF0">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27C82D5B">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237" w:type="pct"/>
                  <w:tcBorders>
                    <w:tl2br w:val="nil"/>
                    <w:tr2bl w:val="nil"/>
                  </w:tcBorders>
                  <w:noWrap w:val="0"/>
                  <w:vAlign w:val="center"/>
                </w:tcPr>
                <w:p w14:paraId="65CFF2B5">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挥发性有机物（VOCs）综合治理工程。实施含挥发性有机物（VOCs）产品源头替代工程，到2025年，溶剂型工业涂料、溶剂型油墨使用比例分别下降20%、10%，溶剂型胶粘剂使用量下降20%。推进重点行业综合治理工程，针对石油化工、化学原料及化学品制造行业装卸、污水和工艺过程等环节废气，工业涂装行业电泳、喷涂、干燥等环节废气，医药行业生产环节废气，包装印刷行业印刷烘干废气，建设适宜高效挥发性有机物（VOCs）治理设施。</w:t>
                  </w:r>
                </w:p>
              </w:tc>
              <w:tc>
                <w:tcPr>
                  <w:tcW w:w="1871" w:type="pct"/>
                  <w:tcBorders>
                    <w:tl2br w:val="nil"/>
                    <w:tr2bl w:val="nil"/>
                  </w:tcBorders>
                  <w:noWrap w:val="0"/>
                  <w:vAlign w:val="center"/>
                </w:tcPr>
                <w:p w14:paraId="77C23646">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w:t>
                  </w:r>
                  <w:r>
                    <w:rPr>
                      <w:rFonts w:hint="default" w:ascii="Times New Roman" w:hAnsi="Times New Roman" w:eastAsia="宋体" w:cs="Times New Roman"/>
                      <w:color w:val="auto"/>
                      <w:spacing w:val="-10"/>
                      <w:sz w:val="18"/>
                      <w:szCs w:val="18"/>
                      <w:highlight w:val="none"/>
                      <w:lang w:val="en-US" w:eastAsia="zh-CN"/>
                    </w:rPr>
                    <w:t>减少无组织排放</w:t>
                  </w:r>
                  <w:r>
                    <w:rPr>
                      <w:rFonts w:hint="eastAsia" w:ascii="Times New Roman" w:hAnsi="Times New Roman" w:eastAsia="宋体" w:cs="Times New Roman"/>
                      <w:color w:val="auto"/>
                      <w:spacing w:val="-10"/>
                      <w:sz w:val="18"/>
                      <w:szCs w:val="18"/>
                      <w:highlight w:val="none"/>
                      <w:lang w:val="en-US" w:eastAsia="zh-CN"/>
                    </w:rPr>
                    <w:t>；项目属于小风量、低浓度有机废气，实验区域为封闭空间，采用整体排风，经通风橱与万向罩收集设施收集后由二级活性炭吸附装置处理，达标后经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w:t>
                  </w:r>
                  <w:r>
                    <w:rPr>
                      <w:rFonts w:hint="eastAsia" w:cs="Times New Roman"/>
                      <w:color w:val="auto"/>
                      <w:spacing w:val="-10"/>
                      <w:sz w:val="18"/>
                      <w:szCs w:val="18"/>
                      <w:highlight w:val="none"/>
                      <w:lang w:val="en-US" w:eastAsia="zh-CN"/>
                    </w:rPr>
                    <w:t>。</w:t>
                  </w:r>
                </w:p>
              </w:tc>
              <w:tc>
                <w:tcPr>
                  <w:tcW w:w="279" w:type="pct"/>
                  <w:tcBorders>
                    <w:tl2br w:val="nil"/>
                    <w:tr2bl w:val="nil"/>
                  </w:tcBorders>
                  <w:noWrap w:val="0"/>
                  <w:vAlign w:val="center"/>
                </w:tcPr>
                <w:p w14:paraId="5522B2E0">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505E2559">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196" w:type="pct"/>
                  <w:vMerge w:val="continue"/>
                  <w:tcBorders>
                    <w:tl2br w:val="nil"/>
                    <w:tr2bl w:val="nil"/>
                  </w:tcBorders>
                  <w:noWrap w:val="0"/>
                  <w:vAlign w:val="center"/>
                </w:tcPr>
                <w:p w14:paraId="43BBC620">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7C54DBF7">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237" w:type="pct"/>
                  <w:tcBorders>
                    <w:tl2br w:val="nil"/>
                    <w:tr2bl w:val="nil"/>
                  </w:tcBorders>
                  <w:noWrap w:val="0"/>
                  <w:vAlign w:val="center"/>
                </w:tcPr>
                <w:p w14:paraId="7E50478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强化工业企业土壤污染风险防控。新（改、扩）建项目涉及有毒有害物质可能造成土壤污染的，落实土壤和地下水污染防治要求。</w:t>
                  </w:r>
                </w:p>
              </w:tc>
              <w:tc>
                <w:tcPr>
                  <w:tcW w:w="1871" w:type="pct"/>
                  <w:tcBorders>
                    <w:tl2br w:val="nil"/>
                    <w:tr2bl w:val="nil"/>
                  </w:tcBorders>
                  <w:noWrap w:val="0"/>
                  <w:vAlign w:val="center"/>
                </w:tcPr>
                <w:p w14:paraId="776E9AE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采取严格的源头控制、分区防渗措施</w:t>
                  </w:r>
                  <w:r>
                    <w:rPr>
                      <w:rFonts w:hint="eastAsia" w:ascii="Times New Roman" w:hAnsi="Times New Roman" w:eastAsia="宋体" w:cs="Times New Roman"/>
                      <w:color w:val="auto"/>
                      <w:spacing w:val="-10"/>
                      <w:sz w:val="18"/>
                      <w:szCs w:val="18"/>
                      <w:highlight w:val="none"/>
                      <w:lang w:val="en-US" w:eastAsia="zh-CN"/>
                    </w:rPr>
                    <w:t>，并设置完善的巡检制度。</w:t>
                  </w:r>
                </w:p>
              </w:tc>
              <w:tc>
                <w:tcPr>
                  <w:tcW w:w="279" w:type="pct"/>
                  <w:tcBorders>
                    <w:tl2br w:val="nil"/>
                    <w:tr2bl w:val="nil"/>
                  </w:tcBorders>
                  <w:noWrap w:val="0"/>
                  <w:vAlign w:val="center"/>
                </w:tcPr>
                <w:p w14:paraId="7116A656">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121B38C0">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728" w:hRule="atLeast"/>
                <w:jc w:val="center"/>
              </w:trPr>
              <w:tc>
                <w:tcPr>
                  <w:tcW w:w="196" w:type="pct"/>
                  <w:vMerge w:val="continue"/>
                  <w:tcBorders>
                    <w:tl2br w:val="nil"/>
                    <w:tr2bl w:val="nil"/>
                  </w:tcBorders>
                  <w:noWrap w:val="0"/>
                  <w:vAlign w:val="center"/>
                </w:tcPr>
                <w:p w14:paraId="4E21CAE5">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68C6A46B">
                  <w:pPr>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237" w:type="pct"/>
                  <w:tcBorders>
                    <w:tl2br w:val="nil"/>
                    <w:tr2bl w:val="nil"/>
                  </w:tcBorders>
                  <w:noWrap w:val="0"/>
                  <w:vAlign w:val="center"/>
                </w:tcPr>
                <w:p w14:paraId="076A97A9">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全面实行排污许可制。构建以排污许可制为核心的固定污染源监管制度体系，探索排污许可制度与碳排放权交易制度的衔接，将温室气体管控纳入环评管理。试点落实排污许可</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一证式</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管理，建立以排污许可证为主要依据的生态环境日常执法监督工作体系，推动排污许可监管、监测、监察联动</w:t>
                  </w:r>
                  <w:r>
                    <w:rPr>
                      <w:rFonts w:hint="eastAsia" w:ascii="Times New Roman" w:hAnsi="Times New Roman" w:eastAsia="宋体" w:cs="Times New Roman"/>
                      <w:color w:val="auto"/>
                      <w:spacing w:val="-10"/>
                      <w:sz w:val="18"/>
                      <w:szCs w:val="18"/>
                      <w:highlight w:val="none"/>
                      <w:lang w:val="en-US" w:eastAsia="zh-CN"/>
                    </w:rPr>
                    <w:t>。</w:t>
                  </w:r>
                </w:p>
              </w:tc>
              <w:tc>
                <w:tcPr>
                  <w:tcW w:w="1871" w:type="pct"/>
                  <w:tcBorders>
                    <w:tl2br w:val="nil"/>
                    <w:tr2bl w:val="nil"/>
                  </w:tcBorders>
                  <w:noWrap w:val="0"/>
                  <w:vAlign w:val="center"/>
                </w:tcPr>
                <w:p w14:paraId="30E888B9">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项目落实排污许可证制度，</w:t>
                  </w:r>
                  <w:r>
                    <w:rPr>
                      <w:rFonts w:hint="default" w:ascii="Times New Roman" w:hAnsi="Times New Roman" w:eastAsia="宋体" w:cs="Times New Roman"/>
                      <w:color w:val="auto"/>
                      <w:spacing w:val="-10"/>
                      <w:sz w:val="18"/>
                      <w:szCs w:val="18"/>
                      <w:highlight w:val="none"/>
                      <w:lang w:val="en-US" w:eastAsia="zh-CN"/>
                    </w:rPr>
                    <w:t>按要求</w:t>
                  </w:r>
                  <w:r>
                    <w:rPr>
                      <w:rFonts w:hint="eastAsia" w:ascii="Times New Roman" w:hAnsi="Times New Roman" w:eastAsia="宋体" w:cs="Times New Roman"/>
                      <w:color w:val="auto"/>
                      <w:spacing w:val="-10"/>
                      <w:sz w:val="18"/>
                      <w:szCs w:val="18"/>
                      <w:highlight w:val="none"/>
                      <w:lang w:val="en-US" w:eastAsia="zh-CN"/>
                    </w:rPr>
                    <w:t>完成排污许可手续。</w:t>
                  </w:r>
                </w:p>
              </w:tc>
              <w:tc>
                <w:tcPr>
                  <w:tcW w:w="279" w:type="pct"/>
                  <w:tcBorders>
                    <w:tl2br w:val="nil"/>
                    <w:tr2bl w:val="nil"/>
                  </w:tcBorders>
                  <w:noWrap w:val="0"/>
                  <w:vAlign w:val="center"/>
                </w:tcPr>
                <w:p w14:paraId="334A47BC">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1C4CA05A">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936" w:hRule="atLeast"/>
                <w:jc w:val="center"/>
              </w:trPr>
              <w:tc>
                <w:tcPr>
                  <w:tcW w:w="196" w:type="pct"/>
                  <w:vMerge w:val="continue"/>
                  <w:tcBorders>
                    <w:tl2br w:val="nil"/>
                    <w:tr2bl w:val="nil"/>
                  </w:tcBorders>
                  <w:noWrap w:val="0"/>
                  <w:vAlign w:val="center"/>
                </w:tcPr>
                <w:p w14:paraId="43FB2441">
                  <w:pPr>
                    <w:spacing w:line="240" w:lineRule="exact"/>
                    <w:jc w:val="center"/>
                    <w:rPr>
                      <w:rFonts w:hint="default" w:ascii="Times New Roman" w:hAnsi="Times New Roman" w:eastAsia="宋体" w:cs="Times New Roman"/>
                      <w:color w:val="auto"/>
                      <w:spacing w:val="-10"/>
                      <w:sz w:val="18"/>
                      <w:szCs w:val="18"/>
                      <w:highlight w:val="yellow"/>
                      <w:lang w:val="zh-TW" w:eastAsia="zh-TW"/>
                    </w:rPr>
                  </w:pPr>
                </w:p>
              </w:tc>
              <w:tc>
                <w:tcPr>
                  <w:tcW w:w="414" w:type="pct"/>
                  <w:vMerge w:val="continue"/>
                  <w:tcBorders>
                    <w:tl2br w:val="nil"/>
                    <w:tr2bl w:val="nil"/>
                  </w:tcBorders>
                  <w:noWrap w:val="0"/>
                  <w:vAlign w:val="center"/>
                </w:tcPr>
                <w:p w14:paraId="48734800">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2237" w:type="pct"/>
                  <w:tcBorders>
                    <w:tl2br w:val="nil"/>
                    <w:tr2bl w:val="nil"/>
                  </w:tcBorders>
                  <w:noWrap w:val="0"/>
                  <w:vAlign w:val="center"/>
                </w:tcPr>
                <w:p w14:paraId="168EC4EC">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落实污染物排放总量控制制度。依托排污许可证实施企事业单位污染物排放总量指标分配、监管和考核。建立非固定源减排管理体系，实施非固定源减排全过程调度管理。实施一批重点区域流域、重点领域、重点行业减排工程，着力推进多污染物协同减排，统筹考虑温室气体协同减排效应。</w:t>
                  </w:r>
                </w:p>
              </w:tc>
              <w:tc>
                <w:tcPr>
                  <w:tcW w:w="1871" w:type="pct"/>
                  <w:tcBorders>
                    <w:tl2br w:val="nil"/>
                    <w:tr2bl w:val="nil"/>
                  </w:tcBorders>
                  <w:noWrap w:val="0"/>
                  <w:vAlign w:val="center"/>
                </w:tcPr>
                <w:p w14:paraId="73661E2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按要求落实污染物排放总量控制制度</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建立非固定源减排管理体系，实施非固定源减排全过程调度管理。</w:t>
                  </w:r>
                </w:p>
              </w:tc>
              <w:tc>
                <w:tcPr>
                  <w:tcW w:w="279" w:type="pct"/>
                  <w:tcBorders>
                    <w:tl2br w:val="nil"/>
                    <w:tr2bl w:val="nil"/>
                  </w:tcBorders>
                  <w:noWrap w:val="0"/>
                  <w:vAlign w:val="center"/>
                </w:tcPr>
                <w:p w14:paraId="3CC05990">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414DA88B">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718" w:hRule="atLeast"/>
                <w:jc w:val="center"/>
              </w:trPr>
              <w:tc>
                <w:tcPr>
                  <w:tcW w:w="196" w:type="pct"/>
                  <w:tcBorders>
                    <w:tl2br w:val="nil"/>
                    <w:tr2bl w:val="nil"/>
                  </w:tcBorders>
                  <w:noWrap w:val="0"/>
                  <w:vAlign w:val="center"/>
                </w:tcPr>
                <w:p w14:paraId="142529A6">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2</w:t>
                  </w:r>
                </w:p>
              </w:tc>
              <w:tc>
                <w:tcPr>
                  <w:tcW w:w="414" w:type="pct"/>
                  <w:tcBorders>
                    <w:tl2br w:val="nil"/>
                    <w:tr2bl w:val="nil"/>
                  </w:tcBorders>
                  <w:noWrap w:val="0"/>
                  <w:vAlign w:val="center"/>
                </w:tcPr>
                <w:p w14:paraId="16CC4D65">
                  <w:pPr>
                    <w:keepNext w:val="0"/>
                    <w:keepLines w:val="0"/>
                    <w:widowControl/>
                    <w:numPr>
                      <w:ilvl w:val="0"/>
                      <w:numId w:val="0"/>
                    </w:numPr>
                    <w:suppressLineNumbers w:val="0"/>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w:t>
                  </w:r>
                  <w:r>
                    <w:rPr>
                      <w:rFonts w:hint="eastAsia" w:ascii="Times New Roman" w:hAnsi="Times New Roman" w:eastAsia="宋体" w:cs="Times New Roman"/>
                      <w:color w:val="auto"/>
                      <w:spacing w:val="-10"/>
                      <w:sz w:val="18"/>
                      <w:szCs w:val="18"/>
                      <w:highlight w:val="none"/>
                      <w:lang w:val="en-US" w:eastAsia="zh-CN"/>
                    </w:rPr>
                    <w:t>唐山市生态环境保护“十四五”规划</w:t>
                  </w:r>
                  <w:r>
                    <w:rPr>
                      <w:rFonts w:hint="default" w:ascii="Times New Roman" w:hAnsi="Times New Roman" w:eastAsia="宋体" w:cs="Times New Roman"/>
                      <w:color w:val="auto"/>
                      <w:spacing w:val="-10"/>
                      <w:sz w:val="18"/>
                      <w:szCs w:val="18"/>
                      <w:highlight w:val="none"/>
                      <w:lang w:val="zh-TW" w:eastAsia="zh-TW"/>
                    </w:rPr>
                    <w:t>》</w:t>
                  </w:r>
                </w:p>
              </w:tc>
              <w:tc>
                <w:tcPr>
                  <w:tcW w:w="2237" w:type="pct"/>
                  <w:tcBorders>
                    <w:tl2br w:val="nil"/>
                    <w:tr2bl w:val="nil"/>
                  </w:tcBorders>
                  <w:noWrap w:val="0"/>
                  <w:vAlign w:val="center"/>
                </w:tcPr>
                <w:p w14:paraId="697EA1A7">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坚持底线思维。严格落实</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三线一单</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生态环境分区管控，健全完善环境风险防控机制，有效应对各类突发环境事件，全力保障生态环境安全，当好首都政治“护城河”，守好首都</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东大门</w:t>
                  </w:r>
                  <w:r>
                    <w:rPr>
                      <w:rFonts w:hint="eastAsia"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w:t>
                  </w:r>
                </w:p>
              </w:tc>
              <w:tc>
                <w:tcPr>
                  <w:tcW w:w="1871" w:type="pct"/>
                  <w:tcBorders>
                    <w:tl2br w:val="nil"/>
                    <w:tr2bl w:val="nil"/>
                  </w:tcBorders>
                  <w:shd w:val="clear" w:color="auto" w:fill="auto"/>
                  <w:noWrap w:val="0"/>
                  <w:vAlign w:val="center"/>
                </w:tcPr>
                <w:p w14:paraId="16965F1F">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本项目的建设符合《河北省人民政府关于加快实施“三线一单”生态环境分区管控的意见》（冀政字</w:t>
                  </w:r>
                  <w:r>
                    <w:rPr>
                      <w:rFonts w:hint="default" w:ascii="Times New Roman" w:hAnsi="Times New Roman" w:eastAsia="宋体" w:cs="Times New Roman"/>
                      <w:color w:val="auto"/>
                      <w:spacing w:val="-10"/>
                      <w:sz w:val="18"/>
                      <w:szCs w:val="18"/>
                      <w:highlight w:val="none"/>
                      <w:lang w:val="en-US" w:eastAsia="zh-CN"/>
                    </w:rPr>
                    <w:t>[2020]71</w:t>
                  </w:r>
                  <w:r>
                    <w:rPr>
                      <w:rFonts w:hint="eastAsia" w:ascii="Times New Roman" w:hAnsi="Times New Roman" w:eastAsia="宋体" w:cs="Times New Roman"/>
                      <w:color w:val="auto"/>
                      <w:spacing w:val="-10"/>
                      <w:sz w:val="18"/>
                      <w:szCs w:val="18"/>
                      <w:highlight w:val="none"/>
                      <w:lang w:val="en-US" w:eastAsia="zh-CN"/>
                    </w:rPr>
                    <w:t>号）、《关于实施“三线一单”生态环境分区管控的意见》 （唐政字</w:t>
                  </w:r>
                  <w:r>
                    <w:rPr>
                      <w:rFonts w:hint="default" w:ascii="Times New Roman" w:hAnsi="Times New Roman" w:eastAsia="宋体" w:cs="Times New Roman"/>
                      <w:color w:val="auto"/>
                      <w:spacing w:val="-10"/>
                      <w:sz w:val="18"/>
                      <w:szCs w:val="18"/>
                      <w:highlight w:val="none"/>
                      <w:lang w:val="en-US" w:eastAsia="zh-CN"/>
                    </w:rPr>
                    <w:t>[2021]48</w:t>
                  </w:r>
                  <w:r>
                    <w:rPr>
                      <w:rFonts w:hint="eastAsia" w:ascii="Times New Roman" w:hAnsi="Times New Roman" w:eastAsia="宋体" w:cs="Times New Roman"/>
                      <w:color w:val="auto"/>
                      <w:spacing w:val="-10"/>
                      <w:sz w:val="18"/>
                      <w:szCs w:val="18"/>
                      <w:highlight w:val="none"/>
                      <w:lang w:val="en-US" w:eastAsia="zh-CN"/>
                    </w:rPr>
                    <w:t>号）、《唐山市生态环境准入清单（</w:t>
                  </w:r>
                  <w:r>
                    <w:rPr>
                      <w:rFonts w:hint="default" w:ascii="Times New Roman" w:hAnsi="Times New Roman" w:eastAsia="宋体" w:cs="Times New Roman"/>
                      <w:color w:val="auto"/>
                      <w:spacing w:val="-10"/>
                      <w:sz w:val="18"/>
                      <w:szCs w:val="18"/>
                      <w:highlight w:val="none"/>
                      <w:lang w:val="en-US" w:eastAsia="zh-CN"/>
                    </w:rPr>
                    <w:t xml:space="preserve">2023 </w:t>
                  </w:r>
                  <w:r>
                    <w:rPr>
                      <w:rFonts w:hint="eastAsia" w:ascii="Times New Roman" w:hAnsi="Times New Roman" w:eastAsia="宋体" w:cs="Times New Roman"/>
                      <w:color w:val="auto"/>
                      <w:spacing w:val="-10"/>
                      <w:sz w:val="18"/>
                      <w:szCs w:val="18"/>
                      <w:highlight w:val="none"/>
                      <w:lang w:val="en-US" w:eastAsia="zh-CN"/>
                    </w:rPr>
                    <w:t>年版）》 管控要求。</w:t>
                  </w:r>
                  <w:r>
                    <w:rPr>
                      <w:rFonts w:hint="eastAsia" w:ascii="Times New Roman" w:hAnsi="Times New Roman" w:eastAsia="宋体" w:cs="Times New Roman"/>
                      <w:color w:val="auto"/>
                      <w:spacing w:val="-10"/>
                      <w:kern w:val="2"/>
                      <w:sz w:val="18"/>
                      <w:szCs w:val="18"/>
                      <w:highlight w:val="none"/>
                      <w:lang w:val="en-US" w:eastAsia="zh-CN" w:bidi="ar-SA"/>
                    </w:rPr>
                    <w:t>项目建成后针对可能出现的突发环境事件制定完善的风险防范措施，环境风险可防控；</w:t>
                  </w:r>
                  <w:r>
                    <w:rPr>
                      <w:rFonts w:hint="eastAsia" w:ascii="Times New Roman" w:hAnsi="Times New Roman" w:eastAsia="宋体" w:cs="Times New Roman"/>
                      <w:color w:val="auto"/>
                      <w:spacing w:val="-10"/>
                      <w:sz w:val="18"/>
                      <w:szCs w:val="18"/>
                      <w:highlight w:val="none"/>
                      <w:lang w:val="en-US" w:eastAsia="zh-CN"/>
                    </w:rPr>
                    <w:t>本评价要求企业尽快完成应急预案</w:t>
                  </w:r>
                  <w:r>
                    <w:rPr>
                      <w:rFonts w:hint="eastAsia" w:cs="Times New Roman"/>
                      <w:color w:val="auto"/>
                      <w:spacing w:val="-10"/>
                      <w:sz w:val="18"/>
                      <w:szCs w:val="18"/>
                      <w:highlight w:val="none"/>
                      <w:lang w:val="en-US" w:eastAsia="zh-CN"/>
                    </w:rPr>
                    <w:t>编制</w:t>
                  </w:r>
                  <w:r>
                    <w:rPr>
                      <w:rFonts w:hint="eastAsia" w:ascii="Times New Roman" w:hAnsi="Times New Roman" w:eastAsia="宋体" w:cs="Times New Roman"/>
                      <w:color w:val="auto"/>
                      <w:spacing w:val="-10"/>
                      <w:kern w:val="2"/>
                      <w:sz w:val="18"/>
                      <w:szCs w:val="18"/>
                      <w:highlight w:val="none"/>
                      <w:lang w:val="en-US" w:eastAsia="zh-CN" w:bidi="ar-SA"/>
                    </w:rPr>
                    <w:t>并备案</w:t>
                  </w:r>
                </w:p>
              </w:tc>
              <w:tc>
                <w:tcPr>
                  <w:tcW w:w="279" w:type="pct"/>
                  <w:tcBorders>
                    <w:tl2br w:val="nil"/>
                    <w:tr2bl w:val="nil"/>
                  </w:tcBorders>
                  <w:shd w:val="clear" w:color="auto" w:fill="auto"/>
                  <w:noWrap w:val="0"/>
                  <w:vAlign w:val="center"/>
                </w:tcPr>
                <w:p w14:paraId="3C5D32C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bl>
          <w:p w14:paraId="725C0AD6">
            <w:pPr>
              <w:pStyle w:val="22"/>
              <w:adjustRightInd w:val="0"/>
              <w:snapToGrid w:val="0"/>
              <w:spacing w:before="0" w:beforeAutospacing="0" w:after="0" w:afterAutospacing="0" w:line="440" w:lineRule="exact"/>
              <w:jc w:val="center"/>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eastAsia="宋体" w:cs="Times New Roman"/>
                <w:b/>
                <w:color w:val="auto"/>
                <w:sz w:val="21"/>
                <w:szCs w:val="21"/>
                <w:highlight w:val="none"/>
                <w:lang w:val="en-US" w:eastAsia="zh-CN"/>
              </w:rPr>
              <w:t>表3 本项目与相关生态环境保护规划分析</w:t>
            </w:r>
          </w:p>
          <w:tbl>
            <w:tblPr>
              <w:tblStyle w:val="26"/>
              <w:tblW w:w="5051" w:type="pct"/>
              <w:jc w:val="center"/>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Layout w:type="fixed"/>
              <w:tblCellMar>
                <w:top w:w="0" w:type="dxa"/>
                <w:left w:w="0" w:type="dxa"/>
                <w:bottom w:w="0" w:type="dxa"/>
                <w:right w:w="0" w:type="dxa"/>
              </w:tblCellMar>
            </w:tblPr>
            <w:tblGrid>
              <w:gridCol w:w="473"/>
              <w:gridCol w:w="1000"/>
              <w:gridCol w:w="6352"/>
              <w:gridCol w:w="3552"/>
              <w:gridCol w:w="674"/>
            </w:tblGrid>
            <w:tr w14:paraId="3B197BB3">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tcBorders>
                    <w:tl2br w:val="nil"/>
                    <w:tr2bl w:val="nil"/>
                  </w:tcBorders>
                  <w:noWrap w:val="0"/>
                  <w:vAlign w:val="center"/>
                </w:tcPr>
                <w:p w14:paraId="2CB79824">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序号</w:t>
                  </w:r>
                </w:p>
              </w:tc>
              <w:tc>
                <w:tcPr>
                  <w:tcW w:w="414" w:type="pct"/>
                  <w:tcBorders>
                    <w:tl2br w:val="nil"/>
                    <w:tr2bl w:val="nil"/>
                  </w:tcBorders>
                  <w:noWrap w:val="0"/>
                  <w:vAlign w:val="center"/>
                </w:tcPr>
                <w:p w14:paraId="43B5DD85">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规划名称</w:t>
                  </w:r>
                </w:p>
              </w:tc>
              <w:tc>
                <w:tcPr>
                  <w:tcW w:w="2635" w:type="pct"/>
                  <w:tcBorders>
                    <w:tl2br w:val="nil"/>
                    <w:tr2bl w:val="nil"/>
                  </w:tcBorders>
                  <w:noWrap w:val="0"/>
                  <w:vAlign w:val="center"/>
                </w:tcPr>
                <w:p w14:paraId="51F8E172">
                  <w:pPr>
                    <w:spacing w:line="240" w:lineRule="exact"/>
                    <w:jc w:val="center"/>
                    <w:rPr>
                      <w:rFonts w:hint="default" w:ascii="Times New Roman" w:hAnsi="Times New Roman" w:eastAsia="宋体" w:cs="Times New Roman"/>
                      <w:color w:val="auto"/>
                      <w:spacing w:val="-10"/>
                      <w:sz w:val="18"/>
                      <w:szCs w:val="18"/>
                      <w:highlight w:val="none"/>
                      <w:lang w:val="zh-TW" w:eastAsia="zh-TW"/>
                    </w:rPr>
                  </w:pPr>
                  <w:r>
                    <w:rPr>
                      <w:rFonts w:hint="default" w:ascii="Times New Roman" w:hAnsi="Times New Roman" w:eastAsia="宋体" w:cs="Times New Roman"/>
                      <w:color w:val="auto"/>
                      <w:spacing w:val="-10"/>
                      <w:sz w:val="18"/>
                      <w:szCs w:val="18"/>
                      <w:highlight w:val="none"/>
                      <w:lang w:val="zh-TW" w:eastAsia="zh-TW"/>
                    </w:rPr>
                    <w:t>内容</w:t>
                  </w:r>
                </w:p>
              </w:tc>
              <w:tc>
                <w:tcPr>
                  <w:tcW w:w="1473" w:type="pct"/>
                  <w:tcBorders>
                    <w:tl2br w:val="nil"/>
                    <w:tr2bl w:val="nil"/>
                  </w:tcBorders>
                  <w:noWrap w:val="0"/>
                  <w:vAlign w:val="center"/>
                </w:tcPr>
                <w:p w14:paraId="110180B3">
                  <w:pPr>
                    <w:spacing w:line="240" w:lineRule="exact"/>
                    <w:jc w:val="center"/>
                    <w:rPr>
                      <w:rFonts w:hint="eastAsia" w:ascii="Times New Roman" w:hAnsi="Times New Roman" w:eastAsia="宋体" w:cs="Times New Roman"/>
                      <w:color w:val="auto"/>
                      <w:spacing w:val="-10"/>
                      <w:sz w:val="18"/>
                      <w:szCs w:val="18"/>
                      <w:highlight w:val="none"/>
                      <w:lang w:val="zh-TW" w:eastAsia="zh-CN"/>
                    </w:rPr>
                  </w:pPr>
                  <w:r>
                    <w:rPr>
                      <w:rFonts w:hint="default" w:ascii="Times New Roman" w:hAnsi="Times New Roman" w:eastAsia="宋体" w:cs="Times New Roman"/>
                      <w:color w:val="auto"/>
                      <w:spacing w:val="-10"/>
                      <w:sz w:val="18"/>
                      <w:szCs w:val="18"/>
                      <w:highlight w:val="none"/>
                      <w:lang w:val="zh-TW" w:eastAsia="zh-TW"/>
                    </w:rPr>
                    <w:t>本项目</w:t>
                  </w:r>
                  <w:r>
                    <w:rPr>
                      <w:rFonts w:hint="eastAsia" w:ascii="Times New Roman" w:hAnsi="Times New Roman" w:eastAsia="宋体" w:cs="Times New Roman"/>
                      <w:color w:val="auto"/>
                      <w:spacing w:val="-10"/>
                      <w:sz w:val="18"/>
                      <w:szCs w:val="18"/>
                      <w:highlight w:val="none"/>
                      <w:lang w:val="zh-TW" w:eastAsia="zh-CN"/>
                    </w:rPr>
                    <w:t>情况</w:t>
                  </w:r>
                </w:p>
              </w:tc>
              <w:tc>
                <w:tcPr>
                  <w:tcW w:w="279" w:type="pct"/>
                  <w:tcBorders>
                    <w:tl2br w:val="nil"/>
                    <w:tr2bl w:val="nil"/>
                  </w:tcBorders>
                  <w:noWrap w:val="0"/>
                  <w:vAlign w:val="center"/>
                </w:tcPr>
                <w:p w14:paraId="62FE1C3B">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符合性</w:t>
                  </w:r>
                </w:p>
              </w:tc>
            </w:tr>
            <w:tr w14:paraId="7B87451F">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vMerge w:val="restart"/>
                  <w:tcBorders>
                    <w:tl2br w:val="nil"/>
                    <w:tr2bl w:val="nil"/>
                  </w:tcBorders>
                  <w:noWrap w:val="0"/>
                  <w:vAlign w:val="center"/>
                </w:tcPr>
                <w:p w14:paraId="2CCD6D1E">
                  <w:pPr>
                    <w:spacing w:line="240" w:lineRule="exact"/>
                    <w:jc w:val="center"/>
                    <w:rPr>
                      <w:rFonts w:hint="default" w:ascii="Times New Roman" w:hAnsi="Times New Roman" w:eastAsia="宋体" w:cs="Times New Roman"/>
                      <w:color w:val="auto"/>
                      <w:spacing w:val="-10"/>
                      <w:kern w:val="2"/>
                      <w:sz w:val="18"/>
                      <w:szCs w:val="18"/>
                      <w:highlight w:val="none"/>
                      <w:lang w:val="zh-TW" w:eastAsia="zh-TW" w:bidi="ar-SA"/>
                    </w:rPr>
                  </w:pPr>
                  <w:r>
                    <w:rPr>
                      <w:rFonts w:hint="default" w:ascii="Times New Roman" w:hAnsi="Times New Roman" w:eastAsia="宋体" w:cs="Times New Roman"/>
                      <w:color w:val="auto"/>
                      <w:spacing w:val="-10"/>
                      <w:sz w:val="18"/>
                      <w:szCs w:val="18"/>
                      <w:highlight w:val="none"/>
                      <w:lang w:val="zh-TW" w:eastAsia="zh-TW"/>
                    </w:rPr>
                    <w:t>2</w:t>
                  </w:r>
                </w:p>
              </w:tc>
              <w:tc>
                <w:tcPr>
                  <w:tcW w:w="414" w:type="pct"/>
                  <w:vMerge w:val="restart"/>
                  <w:tcBorders>
                    <w:tl2br w:val="nil"/>
                    <w:tr2bl w:val="nil"/>
                  </w:tcBorders>
                  <w:noWrap w:val="0"/>
                  <w:vAlign w:val="center"/>
                </w:tcPr>
                <w:p w14:paraId="48A80A63">
                  <w:pPr>
                    <w:keepNext w:val="0"/>
                    <w:keepLines w:val="0"/>
                    <w:widowControl/>
                    <w:numPr>
                      <w:ilvl w:val="0"/>
                      <w:numId w:val="0"/>
                    </w:numPr>
                    <w:suppressLineNumbers w:val="0"/>
                    <w:ind w:left="0" w:leftChars="0" w:firstLine="0" w:firstLineChars="0"/>
                    <w:jc w:val="center"/>
                    <w:rPr>
                      <w:rFonts w:hint="default" w:ascii="Times New Roman" w:hAnsi="Times New Roman" w:eastAsia="宋体" w:cs="Times New Roman"/>
                      <w:color w:val="auto"/>
                      <w:spacing w:val="-10"/>
                      <w:kern w:val="2"/>
                      <w:sz w:val="18"/>
                      <w:szCs w:val="18"/>
                      <w:highlight w:val="none"/>
                      <w:lang w:val="zh-TW" w:eastAsia="zh-TW" w:bidi="ar-SA"/>
                    </w:rPr>
                  </w:pPr>
                  <w:r>
                    <w:rPr>
                      <w:rFonts w:hint="default" w:ascii="Times New Roman" w:hAnsi="Times New Roman" w:eastAsia="宋体" w:cs="Times New Roman"/>
                      <w:color w:val="auto"/>
                      <w:spacing w:val="-10"/>
                      <w:sz w:val="18"/>
                      <w:szCs w:val="18"/>
                      <w:highlight w:val="none"/>
                      <w:lang w:val="zh-TW" w:eastAsia="zh-TW"/>
                    </w:rPr>
                    <w:t>《</w:t>
                  </w:r>
                  <w:r>
                    <w:rPr>
                      <w:rFonts w:hint="eastAsia" w:ascii="Times New Roman" w:hAnsi="Times New Roman" w:eastAsia="宋体" w:cs="Times New Roman"/>
                      <w:color w:val="auto"/>
                      <w:spacing w:val="-10"/>
                      <w:sz w:val="18"/>
                      <w:szCs w:val="18"/>
                      <w:highlight w:val="none"/>
                      <w:lang w:val="en-US" w:eastAsia="zh-CN"/>
                    </w:rPr>
                    <w:t>唐山市生态环境保护“十四五”规划</w:t>
                  </w:r>
                  <w:r>
                    <w:rPr>
                      <w:rFonts w:hint="default" w:ascii="Times New Roman" w:hAnsi="Times New Roman" w:eastAsia="宋体" w:cs="Times New Roman"/>
                      <w:color w:val="auto"/>
                      <w:spacing w:val="-10"/>
                      <w:sz w:val="18"/>
                      <w:szCs w:val="18"/>
                      <w:highlight w:val="none"/>
                      <w:lang w:val="zh-TW" w:eastAsia="zh-TW"/>
                    </w:rPr>
                    <w:t>》</w:t>
                  </w:r>
                </w:p>
              </w:tc>
              <w:tc>
                <w:tcPr>
                  <w:tcW w:w="2635" w:type="pct"/>
                  <w:tcBorders>
                    <w:tl2br w:val="nil"/>
                    <w:tr2bl w:val="nil"/>
                  </w:tcBorders>
                  <w:shd w:val="clear" w:color="auto" w:fill="auto"/>
                  <w:noWrap w:val="0"/>
                  <w:vAlign w:val="center"/>
                </w:tcPr>
                <w:p w14:paraId="2CC8BECD">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zh-TW" w:eastAsia="zh-TW" w:bidi="ar-SA"/>
                    </w:rPr>
                  </w:pPr>
                  <w:r>
                    <w:rPr>
                      <w:rFonts w:hint="eastAsia" w:ascii="Times New Roman" w:hAnsi="Times New Roman" w:eastAsia="宋体" w:cs="Times New Roman"/>
                      <w:color w:val="auto"/>
                      <w:spacing w:val="-10"/>
                      <w:sz w:val="18"/>
                      <w:szCs w:val="18"/>
                      <w:highlight w:val="none"/>
                      <w:lang w:val="en-US" w:eastAsia="zh-CN"/>
                    </w:rPr>
                    <w:t>强化规划管控优化空间格局：永久基本农田集中区域禁止新建可能造成土壤污染的建设项目。</w:t>
                  </w:r>
                </w:p>
              </w:tc>
              <w:tc>
                <w:tcPr>
                  <w:tcW w:w="1473" w:type="pct"/>
                  <w:tcBorders>
                    <w:tl2br w:val="nil"/>
                    <w:tr2bl w:val="nil"/>
                  </w:tcBorders>
                  <w:shd w:val="clear" w:color="auto" w:fill="auto"/>
                  <w:noWrap w:val="0"/>
                  <w:vAlign w:val="center"/>
                </w:tcPr>
                <w:p w14:paraId="5A5259CC">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pacing w:val="-10"/>
                      <w:kern w:val="2"/>
                      <w:sz w:val="18"/>
                      <w:szCs w:val="18"/>
                      <w:highlight w:val="none"/>
                      <w:lang w:val="zh-TW" w:eastAsia="zh-TW" w:bidi="ar-SA"/>
                    </w:rPr>
                  </w:pPr>
                  <w:r>
                    <w:rPr>
                      <w:rFonts w:hint="default" w:ascii="Times New Roman" w:hAnsi="Times New Roman" w:eastAsia="宋体" w:cs="Times New Roman"/>
                      <w:color w:val="auto"/>
                      <w:spacing w:val="-10"/>
                      <w:sz w:val="18"/>
                      <w:szCs w:val="18"/>
                      <w:highlight w:val="none"/>
                      <w:lang w:val="en-US" w:eastAsia="zh-CN"/>
                    </w:rPr>
                    <w:t>项目</w:t>
                  </w:r>
                  <w:r>
                    <w:rPr>
                      <w:rFonts w:hint="eastAsia" w:ascii="Times New Roman" w:hAnsi="Times New Roman" w:eastAsia="宋体" w:cs="Times New Roman"/>
                      <w:color w:val="auto"/>
                      <w:spacing w:val="-10"/>
                      <w:sz w:val="18"/>
                      <w:szCs w:val="18"/>
                      <w:highlight w:val="none"/>
                      <w:lang w:val="en-US" w:eastAsia="zh-CN"/>
                    </w:rPr>
                    <w:t>位于迁安市永顺街道昌盛路与兴安大街交叉口620号，根据国有土地使用证可知，本项目占地土地类型为商业用地</w:t>
                  </w:r>
                  <w:r>
                    <w:rPr>
                      <w:rFonts w:hint="eastAsia" w:ascii="Times New Roman" w:hAnsi="Times New Roman"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根据《迁安市国土空间总体规划（</w:t>
                  </w:r>
                  <w:r>
                    <w:rPr>
                      <w:rFonts w:hint="default" w:ascii="Times New Roman" w:hAnsi="Times New Roman" w:eastAsia="宋体" w:cs="Times New Roman"/>
                      <w:color w:val="auto"/>
                      <w:spacing w:val="-10"/>
                      <w:sz w:val="18"/>
                      <w:szCs w:val="18"/>
                      <w:highlight w:val="none"/>
                      <w:lang w:val="en-US" w:eastAsia="zh-CN"/>
                    </w:rPr>
                    <w:t>2023-2035</w:t>
                  </w:r>
                  <w:r>
                    <w:rPr>
                      <w:rFonts w:hint="eastAsia" w:ascii="Times New Roman" w:hAnsi="Times New Roman" w:eastAsia="宋体" w:cs="Times New Roman"/>
                      <w:color w:val="auto"/>
                      <w:spacing w:val="-10"/>
                      <w:sz w:val="18"/>
                      <w:szCs w:val="18"/>
                      <w:highlight w:val="none"/>
                      <w:lang w:val="en-US" w:eastAsia="zh-CN"/>
                    </w:rPr>
                    <w:t>年）》中“三区三线规划图”，项目所在地位于迁安市国土空间规划“三区三线”划定的城镇开发边界范围内，不涉及占用基本农田</w:t>
                  </w:r>
                  <w:r>
                    <w:rPr>
                      <w:rFonts w:hint="eastAsia" w:cs="Times New Roman"/>
                      <w:color w:val="auto"/>
                      <w:spacing w:val="-10"/>
                      <w:sz w:val="18"/>
                      <w:szCs w:val="18"/>
                      <w:highlight w:val="none"/>
                      <w:lang w:val="en-US" w:eastAsia="zh-CN"/>
                    </w:rPr>
                    <w:t>。</w:t>
                  </w:r>
                </w:p>
              </w:tc>
              <w:tc>
                <w:tcPr>
                  <w:tcW w:w="279" w:type="pct"/>
                  <w:tcBorders>
                    <w:tl2br w:val="nil"/>
                    <w:tr2bl w:val="nil"/>
                  </w:tcBorders>
                  <w:shd w:val="clear" w:color="auto" w:fill="auto"/>
                  <w:noWrap w:val="0"/>
                  <w:vAlign w:val="center"/>
                </w:tcPr>
                <w:p w14:paraId="62A461B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009FB36C">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vMerge w:val="continue"/>
                  <w:tcBorders>
                    <w:tl2br w:val="nil"/>
                    <w:tr2bl w:val="nil"/>
                  </w:tcBorders>
                  <w:noWrap w:val="0"/>
                  <w:vAlign w:val="center"/>
                </w:tcPr>
                <w:p w14:paraId="43F850E8">
                  <w:pPr>
                    <w:spacing w:line="240" w:lineRule="exact"/>
                    <w:jc w:val="center"/>
                    <w:rPr>
                      <w:rFonts w:hint="default" w:ascii="Times New Roman" w:hAnsi="Times New Roman" w:eastAsia="宋体" w:cs="Times New Roman"/>
                      <w:color w:val="auto"/>
                      <w:spacing w:val="-10"/>
                      <w:sz w:val="18"/>
                      <w:szCs w:val="18"/>
                      <w:highlight w:val="none"/>
                      <w:lang w:val="zh-TW" w:eastAsia="zh-TW"/>
                    </w:rPr>
                  </w:pPr>
                </w:p>
              </w:tc>
              <w:tc>
                <w:tcPr>
                  <w:tcW w:w="414" w:type="pct"/>
                  <w:vMerge w:val="continue"/>
                  <w:tcBorders>
                    <w:tl2br w:val="nil"/>
                    <w:tr2bl w:val="nil"/>
                  </w:tcBorders>
                  <w:noWrap w:val="0"/>
                  <w:vAlign w:val="center"/>
                </w:tcPr>
                <w:p w14:paraId="4A758A3A">
                  <w:pPr>
                    <w:keepNext w:val="0"/>
                    <w:keepLines w:val="0"/>
                    <w:widowControl/>
                    <w:numPr>
                      <w:ilvl w:val="0"/>
                      <w:numId w:val="0"/>
                    </w:numPr>
                    <w:suppressLineNumbers w:val="0"/>
                    <w:ind w:left="0" w:leftChars="0" w:firstLine="0" w:firstLineChars="0"/>
                    <w:jc w:val="center"/>
                    <w:rPr>
                      <w:rFonts w:hint="default" w:ascii="Times New Roman" w:hAnsi="Times New Roman" w:eastAsia="宋体" w:cs="Times New Roman"/>
                      <w:color w:val="auto"/>
                      <w:spacing w:val="-10"/>
                      <w:sz w:val="18"/>
                      <w:szCs w:val="18"/>
                      <w:highlight w:val="none"/>
                      <w:lang w:val="zh-TW" w:eastAsia="zh-TW"/>
                    </w:rPr>
                  </w:pPr>
                </w:p>
              </w:tc>
              <w:tc>
                <w:tcPr>
                  <w:tcW w:w="2635" w:type="pct"/>
                  <w:tcBorders>
                    <w:tl2br w:val="nil"/>
                    <w:tr2bl w:val="nil"/>
                  </w:tcBorders>
                  <w:shd w:val="clear" w:color="auto" w:fill="auto"/>
                  <w:noWrap w:val="0"/>
                  <w:vAlign w:val="center"/>
                </w:tcPr>
                <w:p w14:paraId="5A452CC2">
                  <w:pPr>
                    <w:keepNext w:val="0"/>
                    <w:keepLines w:val="0"/>
                    <w:widowControl/>
                    <w:numPr>
                      <w:ilvl w:val="0"/>
                      <w:numId w:val="0"/>
                    </w:numPr>
                    <w:suppressLineNumbers w:val="0"/>
                    <w:ind w:left="0" w:leftChars="0" w:firstLine="0" w:firstLineChars="0"/>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加强工业企业土壤污染防治与风险管控：严格落实环境影响评价制度，涉及有毒有害物质可能造成土壤污染的新</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改、扩</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建项目，依法进行环境影响评价，提出并落实防腐蚀、防渗漏、防遗撒等土壤污染防治具体措施。落实土壤和地下水污染防治要求。</w:t>
                  </w:r>
                </w:p>
              </w:tc>
              <w:tc>
                <w:tcPr>
                  <w:tcW w:w="1473" w:type="pct"/>
                  <w:tcBorders>
                    <w:tl2br w:val="nil"/>
                    <w:tr2bl w:val="nil"/>
                  </w:tcBorders>
                  <w:shd w:val="clear" w:color="auto" w:fill="auto"/>
                  <w:noWrap w:val="0"/>
                  <w:vAlign w:val="center"/>
                </w:tcPr>
                <w:p w14:paraId="6B3A3B11">
                  <w:pP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w:t>
                  </w:r>
                  <w:r>
                    <w:rPr>
                      <w:rFonts w:hint="eastAsia" w:cs="Times New Roman"/>
                      <w:color w:val="auto"/>
                      <w:spacing w:val="-10"/>
                      <w:sz w:val="18"/>
                      <w:szCs w:val="18"/>
                      <w:highlight w:val="none"/>
                      <w:lang w:val="en-US" w:eastAsia="zh-CN"/>
                    </w:rPr>
                    <w:t>采取严格的源头控制、分区防渗措施</w:t>
                  </w:r>
                  <w:r>
                    <w:rPr>
                      <w:rFonts w:hint="eastAsia" w:ascii="Times New Roman" w:hAnsi="Times New Roman" w:eastAsia="宋体" w:cs="Times New Roman"/>
                      <w:color w:val="auto"/>
                      <w:spacing w:val="-10"/>
                      <w:sz w:val="18"/>
                      <w:szCs w:val="18"/>
                      <w:highlight w:val="none"/>
                      <w:lang w:val="en-US" w:eastAsia="zh-CN"/>
                    </w:rPr>
                    <w:t>，并设置完善的巡检制度。</w:t>
                  </w:r>
                </w:p>
              </w:tc>
              <w:tc>
                <w:tcPr>
                  <w:tcW w:w="279" w:type="pct"/>
                  <w:tcBorders>
                    <w:tl2br w:val="nil"/>
                    <w:tr2bl w:val="nil"/>
                  </w:tcBorders>
                  <w:shd w:val="clear" w:color="auto" w:fill="auto"/>
                  <w:noWrap w:val="0"/>
                  <w:vAlign w:val="center"/>
                </w:tcPr>
                <w:p w14:paraId="792049C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737446E8">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283" w:hRule="atLeast"/>
                <w:jc w:val="center"/>
              </w:trPr>
              <w:tc>
                <w:tcPr>
                  <w:tcW w:w="196" w:type="pct"/>
                  <w:vMerge w:val="continue"/>
                  <w:tcBorders>
                    <w:tl2br w:val="nil"/>
                    <w:tr2bl w:val="nil"/>
                  </w:tcBorders>
                  <w:shd w:val="clear" w:color="auto" w:fill="auto"/>
                  <w:noWrap w:val="0"/>
                  <w:vAlign w:val="center"/>
                </w:tcPr>
                <w:p w14:paraId="27EE7B26">
                  <w:pPr>
                    <w:spacing w:line="240" w:lineRule="exact"/>
                    <w:jc w:val="center"/>
                    <w:rPr>
                      <w:rFonts w:hint="default" w:ascii="Times New Roman" w:hAnsi="Times New Roman" w:eastAsia="宋体" w:cs="Times New Roman"/>
                      <w:color w:val="auto"/>
                      <w:spacing w:val="-10"/>
                      <w:kern w:val="2"/>
                      <w:sz w:val="18"/>
                      <w:szCs w:val="18"/>
                      <w:highlight w:val="none"/>
                      <w:lang w:val="zh-TW" w:eastAsia="zh-TW" w:bidi="ar-SA"/>
                    </w:rPr>
                  </w:pPr>
                </w:p>
              </w:tc>
              <w:tc>
                <w:tcPr>
                  <w:tcW w:w="414" w:type="pct"/>
                  <w:vMerge w:val="continue"/>
                  <w:tcBorders>
                    <w:tl2br w:val="nil"/>
                    <w:tr2bl w:val="nil"/>
                  </w:tcBorders>
                  <w:shd w:val="clear" w:color="auto" w:fill="auto"/>
                  <w:noWrap w:val="0"/>
                  <w:vAlign w:val="center"/>
                </w:tcPr>
                <w:p w14:paraId="73BEE2D3">
                  <w:pPr>
                    <w:keepNext w:val="0"/>
                    <w:keepLines w:val="0"/>
                    <w:widowControl/>
                    <w:numPr>
                      <w:ilvl w:val="0"/>
                      <w:numId w:val="0"/>
                    </w:numPr>
                    <w:suppressLineNumbers w:val="0"/>
                    <w:ind w:left="0" w:leftChars="0" w:firstLine="0" w:firstLineChars="0"/>
                    <w:jc w:val="center"/>
                    <w:rPr>
                      <w:rFonts w:hint="default" w:ascii="Times New Roman" w:hAnsi="Times New Roman" w:eastAsia="宋体" w:cs="Times New Roman"/>
                      <w:color w:val="auto"/>
                      <w:spacing w:val="-10"/>
                      <w:kern w:val="2"/>
                      <w:sz w:val="18"/>
                      <w:szCs w:val="18"/>
                      <w:highlight w:val="none"/>
                      <w:lang w:val="zh-TW" w:eastAsia="zh-TW" w:bidi="ar-SA"/>
                    </w:rPr>
                  </w:pPr>
                </w:p>
              </w:tc>
              <w:tc>
                <w:tcPr>
                  <w:tcW w:w="2635" w:type="pct"/>
                  <w:tcBorders>
                    <w:tl2br w:val="nil"/>
                    <w:tr2bl w:val="nil"/>
                  </w:tcBorders>
                  <w:shd w:val="clear" w:color="auto" w:fill="auto"/>
                  <w:noWrap w:val="0"/>
                  <w:vAlign w:val="center"/>
                </w:tcPr>
                <w:p w14:paraId="287C96B5">
                  <w:pPr>
                    <w:keepNext w:val="0"/>
                    <w:keepLines w:val="0"/>
                    <w:widowControl/>
                    <w:numPr>
                      <w:ilvl w:val="0"/>
                      <w:numId w:val="0"/>
                    </w:numPr>
                    <w:suppressLineNumbers w:val="0"/>
                    <w:ind w:left="0" w:leftChars="0" w:firstLine="0" w:firstLineChars="0"/>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严格危险废物源头管控：积极推动源头减量，以钢铁、石化、化工、焦化、电镀等行业为重点，实施强制性清洁生产审核，年产生危险废物量</w:t>
                  </w:r>
                  <w:r>
                    <w:rPr>
                      <w:rFonts w:hint="default" w:ascii="Times New Roman" w:hAnsi="Times New Roman" w:eastAsia="宋体" w:cs="Times New Roman"/>
                      <w:color w:val="auto"/>
                      <w:spacing w:val="-10"/>
                      <w:sz w:val="18"/>
                      <w:szCs w:val="18"/>
                      <w:highlight w:val="none"/>
                      <w:lang w:val="en-US" w:eastAsia="zh-CN"/>
                    </w:rPr>
                    <w:t>100</w:t>
                  </w:r>
                  <w:r>
                    <w:rPr>
                      <w:rFonts w:hint="eastAsia" w:ascii="Times New Roman" w:hAnsi="Times New Roman" w:eastAsia="宋体" w:cs="Times New Roman"/>
                      <w:color w:val="auto"/>
                      <w:spacing w:val="-10"/>
                      <w:sz w:val="18"/>
                      <w:szCs w:val="18"/>
                      <w:highlight w:val="none"/>
                      <w:lang w:val="en-US" w:eastAsia="zh-CN"/>
                    </w:rPr>
                    <w:t>吨以上的危险废物相关企业完成强制性清洁生产审核。严把涉危险废物工业项目环境准入关，落实工业危险废物排污许可制度。鼓励生产者责任延伸，支持研发、推广减少工业危险废物产生量和降低工业危险废物危害性的生产工艺和设备。</w:t>
                  </w:r>
                </w:p>
              </w:tc>
              <w:tc>
                <w:tcPr>
                  <w:tcW w:w="1473" w:type="pct"/>
                  <w:tcBorders>
                    <w:tl2br w:val="nil"/>
                    <w:tr2bl w:val="nil"/>
                  </w:tcBorders>
                  <w:shd w:val="clear" w:color="auto" w:fill="auto"/>
                  <w:noWrap w:val="0"/>
                  <w:vAlign w:val="center"/>
                </w:tcPr>
                <w:p w14:paraId="5BB0BD4F">
                  <w:pP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项目危险废物</w:t>
                  </w:r>
                  <w:r>
                    <w:rPr>
                      <w:rFonts w:hint="eastAsia" w:cs="Times New Roman"/>
                      <w:color w:val="auto"/>
                      <w:spacing w:val="-10"/>
                      <w:kern w:val="2"/>
                      <w:sz w:val="18"/>
                      <w:szCs w:val="18"/>
                      <w:highlight w:val="none"/>
                      <w:lang w:val="en-US" w:eastAsia="zh-CN" w:bidi="ar-SA"/>
                    </w:rPr>
                    <w:t>暂存于</w:t>
                  </w:r>
                  <w:r>
                    <w:rPr>
                      <w:rFonts w:hint="eastAsia" w:ascii="Times New Roman" w:hAnsi="Times New Roman" w:eastAsia="宋体" w:cs="Times New Roman"/>
                      <w:color w:val="auto"/>
                      <w:spacing w:val="-10"/>
                      <w:kern w:val="2"/>
                      <w:sz w:val="18"/>
                      <w:szCs w:val="18"/>
                      <w:highlight w:val="none"/>
                      <w:lang w:val="en-US" w:eastAsia="zh-CN" w:bidi="ar-SA"/>
                    </w:rPr>
                    <w:t>危险废物暂存间</w:t>
                  </w:r>
                  <w:r>
                    <w:rPr>
                      <w:rFonts w:hint="eastAsia" w:cs="Times New Roman"/>
                      <w:color w:val="auto"/>
                      <w:spacing w:val="-10"/>
                      <w:kern w:val="2"/>
                      <w:sz w:val="18"/>
                      <w:szCs w:val="18"/>
                      <w:highlight w:val="none"/>
                      <w:lang w:val="en-US" w:eastAsia="zh-CN" w:bidi="ar-SA"/>
                    </w:rPr>
                    <w:t>内</w:t>
                  </w:r>
                  <w:r>
                    <w:rPr>
                      <w:rFonts w:hint="eastAsia" w:ascii="Times New Roman" w:hAnsi="Times New Roman" w:eastAsia="宋体" w:cs="Times New Roman"/>
                      <w:color w:val="auto"/>
                      <w:spacing w:val="-10"/>
                      <w:kern w:val="2"/>
                      <w:sz w:val="18"/>
                      <w:szCs w:val="18"/>
                      <w:highlight w:val="none"/>
                      <w:lang w:val="en-US" w:eastAsia="zh-CN" w:bidi="ar-SA"/>
                    </w:rPr>
                    <w:t>，定期交有资质单位处置</w:t>
                  </w:r>
                  <w:r>
                    <w:rPr>
                      <w:rFonts w:hint="eastAsia" w:cs="Times New Roman"/>
                      <w:color w:val="auto"/>
                      <w:spacing w:val="-10"/>
                      <w:kern w:val="2"/>
                      <w:sz w:val="18"/>
                      <w:szCs w:val="18"/>
                      <w:highlight w:val="none"/>
                      <w:lang w:val="en-US" w:eastAsia="zh-CN" w:bidi="ar-SA"/>
                    </w:rPr>
                    <w:t>。</w:t>
                  </w:r>
                </w:p>
              </w:tc>
              <w:tc>
                <w:tcPr>
                  <w:tcW w:w="279" w:type="pct"/>
                  <w:tcBorders>
                    <w:tl2br w:val="nil"/>
                    <w:tr2bl w:val="nil"/>
                  </w:tcBorders>
                  <w:shd w:val="clear" w:color="auto" w:fill="auto"/>
                  <w:noWrap w:val="0"/>
                  <w:vAlign w:val="center"/>
                </w:tcPr>
                <w:p w14:paraId="7C203CB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符合</w:t>
                  </w:r>
                </w:p>
              </w:tc>
            </w:tr>
            <w:tr w14:paraId="07D0937F">
              <w:tblPrEx>
                <w:tblBorders>
                  <w:top w:val="single" w:color="000000" w:sz="12" w:space="0"/>
                  <w:left w:val="none" w:color="auto" w:sz="0" w:space="0"/>
                  <w:bottom w:val="single" w:color="000000" w:sz="12"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546" w:hRule="atLeast"/>
                <w:jc w:val="center"/>
              </w:trPr>
              <w:tc>
                <w:tcPr>
                  <w:tcW w:w="196" w:type="pct"/>
                  <w:vMerge w:val="continue"/>
                  <w:tcBorders>
                    <w:tl2br w:val="nil"/>
                    <w:tr2bl w:val="nil"/>
                  </w:tcBorders>
                  <w:noWrap w:val="0"/>
                  <w:vAlign w:val="center"/>
                </w:tcPr>
                <w:p w14:paraId="6C28A826">
                  <w:pPr>
                    <w:spacing w:line="240" w:lineRule="exact"/>
                    <w:jc w:val="left"/>
                    <w:rPr>
                      <w:rFonts w:hint="default" w:ascii="Times New Roman" w:hAnsi="Times New Roman" w:eastAsia="宋体" w:cs="Times New Roman"/>
                      <w:color w:val="auto"/>
                      <w:spacing w:val="-10"/>
                      <w:sz w:val="18"/>
                      <w:szCs w:val="18"/>
                      <w:highlight w:val="none"/>
                      <w:lang w:val="zh-TW" w:eastAsia="zh-TW"/>
                    </w:rPr>
                  </w:pPr>
                </w:p>
              </w:tc>
              <w:tc>
                <w:tcPr>
                  <w:tcW w:w="414" w:type="pct"/>
                  <w:vMerge w:val="continue"/>
                  <w:tcBorders>
                    <w:tl2br w:val="nil"/>
                    <w:tr2bl w:val="nil"/>
                  </w:tcBorders>
                  <w:noWrap w:val="0"/>
                  <w:vAlign w:val="center"/>
                </w:tcPr>
                <w:p w14:paraId="409507F7">
                  <w:pPr>
                    <w:spacing w:line="240" w:lineRule="exact"/>
                    <w:jc w:val="left"/>
                    <w:rPr>
                      <w:rFonts w:hint="default" w:ascii="Times New Roman" w:hAnsi="Times New Roman" w:eastAsia="宋体" w:cs="Times New Roman"/>
                      <w:color w:val="auto"/>
                      <w:spacing w:val="-10"/>
                      <w:sz w:val="18"/>
                      <w:szCs w:val="18"/>
                      <w:highlight w:val="none"/>
                      <w:lang w:val="zh-TW" w:eastAsia="zh-TW"/>
                    </w:rPr>
                  </w:pPr>
                </w:p>
              </w:tc>
              <w:tc>
                <w:tcPr>
                  <w:tcW w:w="2635" w:type="pct"/>
                  <w:tcBorders>
                    <w:tl2br w:val="nil"/>
                    <w:tr2bl w:val="nil"/>
                  </w:tcBorders>
                  <w:noWrap w:val="0"/>
                  <w:vAlign w:val="center"/>
                </w:tcPr>
                <w:p w14:paraId="70ACBA3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推动企业落实污染治理主体责任，淘汰落后生产工艺，源头防治污染，减少污染物排放</w:t>
                  </w:r>
                  <w:r>
                    <w:rPr>
                      <w:rFonts w:hint="eastAsia" w:ascii="Times New Roman" w:hAnsi="Times New Roman" w:eastAsia="宋体" w:cs="Times New Roman"/>
                      <w:color w:val="auto"/>
                      <w:spacing w:val="-10"/>
                      <w:sz w:val="18"/>
                      <w:szCs w:val="18"/>
                      <w:highlight w:val="none"/>
                      <w:lang w:val="en-US" w:eastAsia="zh-CN"/>
                    </w:rPr>
                    <w:t>。</w:t>
                  </w:r>
                </w:p>
              </w:tc>
              <w:tc>
                <w:tcPr>
                  <w:tcW w:w="1473" w:type="pct"/>
                  <w:tcBorders>
                    <w:tl2br w:val="nil"/>
                    <w:tr2bl w:val="nil"/>
                  </w:tcBorders>
                  <w:noWrap w:val="0"/>
                  <w:vAlign w:val="center"/>
                </w:tcPr>
                <w:p w14:paraId="20C97CAC">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项目不涉及淘汰落后生产工艺、设备，项目采取合理的污染防治措施，减少污染物排放。</w:t>
                  </w:r>
                </w:p>
              </w:tc>
              <w:tc>
                <w:tcPr>
                  <w:tcW w:w="279" w:type="pct"/>
                  <w:tcBorders>
                    <w:tl2br w:val="nil"/>
                    <w:tr2bl w:val="nil"/>
                  </w:tcBorders>
                  <w:noWrap w:val="0"/>
                  <w:vAlign w:val="center"/>
                </w:tcPr>
                <w:p w14:paraId="5E9C8A16">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bl>
          <w:p w14:paraId="10891F8E">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36674D14">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8B56263">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3D1BA7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5CB5CA5E">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5FE4D191">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1B8AC02A">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602680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0EEF0AFD">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7AC1E65">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4</w:t>
            </w:r>
            <w:r>
              <w:rPr>
                <w:rFonts w:hint="default" w:ascii="Times New Roman" w:hAnsi="Times New Roman" w:eastAsia="宋体" w:cs="Times New Roman"/>
                <w:b/>
                <w:color w:val="auto"/>
                <w:sz w:val="21"/>
                <w:szCs w:val="21"/>
                <w:highlight w:val="none"/>
              </w:rPr>
              <w:t xml:space="preserve"> 本项目与相关污染防治政策的符合性</w:t>
            </w:r>
          </w:p>
          <w:tbl>
            <w:tblPr>
              <w:tblStyle w:val="26"/>
              <w:tblW w:w="1207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501"/>
              <w:gridCol w:w="6349"/>
              <w:gridCol w:w="3542"/>
              <w:gridCol w:w="686"/>
            </w:tblGrid>
            <w:tr w14:paraId="6AA37B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621" w:type="pct"/>
                  <w:tcBorders>
                    <w:tl2br w:val="nil"/>
                    <w:tr2bl w:val="nil"/>
                  </w:tcBorders>
                  <w:noWrap w:val="0"/>
                  <w:tcMar>
                    <w:left w:w="0" w:type="dxa"/>
                    <w:right w:w="0" w:type="dxa"/>
                  </w:tcMar>
                  <w:vAlign w:val="center"/>
                </w:tcPr>
                <w:p w14:paraId="0220074D">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环保政策</w:t>
                  </w:r>
                </w:p>
              </w:tc>
              <w:tc>
                <w:tcPr>
                  <w:tcW w:w="2628" w:type="pct"/>
                  <w:tcBorders>
                    <w:tl2br w:val="nil"/>
                    <w:tr2bl w:val="nil"/>
                  </w:tcBorders>
                  <w:noWrap w:val="0"/>
                  <w:tcMar>
                    <w:left w:w="0" w:type="dxa"/>
                    <w:right w:w="0" w:type="dxa"/>
                  </w:tcMar>
                  <w:vAlign w:val="center"/>
                </w:tcPr>
                <w:p w14:paraId="6EA43EDF">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政策要求</w:t>
                  </w:r>
                </w:p>
              </w:tc>
              <w:tc>
                <w:tcPr>
                  <w:tcW w:w="1466" w:type="pct"/>
                  <w:tcBorders>
                    <w:tl2br w:val="nil"/>
                    <w:tr2bl w:val="nil"/>
                  </w:tcBorders>
                  <w:noWrap w:val="0"/>
                  <w:tcMar>
                    <w:left w:w="0" w:type="dxa"/>
                    <w:right w:w="0" w:type="dxa"/>
                  </w:tcMar>
                  <w:vAlign w:val="center"/>
                </w:tcPr>
                <w:p w14:paraId="1941DFF6">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本项目实际</w:t>
                  </w:r>
                </w:p>
              </w:tc>
              <w:tc>
                <w:tcPr>
                  <w:tcW w:w="283" w:type="pct"/>
                  <w:tcBorders>
                    <w:tl2br w:val="nil"/>
                    <w:tr2bl w:val="nil"/>
                  </w:tcBorders>
                  <w:noWrap w:val="0"/>
                  <w:tcMar>
                    <w:left w:w="0" w:type="dxa"/>
                    <w:right w:w="0" w:type="dxa"/>
                  </w:tcMar>
                  <w:vAlign w:val="center"/>
                </w:tcPr>
                <w:p w14:paraId="0C8A89A4">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符合性</w:t>
                  </w:r>
                </w:p>
              </w:tc>
            </w:tr>
            <w:tr w14:paraId="63B1BA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621" w:type="pct"/>
                  <w:vMerge w:val="restart"/>
                  <w:tcBorders>
                    <w:tl2br w:val="nil"/>
                    <w:tr2bl w:val="nil"/>
                  </w:tcBorders>
                  <w:noWrap w:val="0"/>
                  <w:tcMar>
                    <w:left w:w="0" w:type="dxa"/>
                    <w:right w:w="0" w:type="dxa"/>
                  </w:tcMar>
                  <w:vAlign w:val="center"/>
                </w:tcPr>
                <w:p w14:paraId="7C95603F">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2020</w:t>
                  </w:r>
                  <w:r>
                    <w:rPr>
                      <w:rFonts w:hint="eastAsia" w:ascii="Times New Roman" w:hAnsi="Times New Roman" w:eastAsia="宋体" w:cs="Times New Roman"/>
                      <w:color w:val="auto"/>
                      <w:spacing w:val="-10"/>
                      <w:sz w:val="18"/>
                      <w:szCs w:val="18"/>
                      <w:highlight w:val="none"/>
                      <w:lang w:val="en-US" w:eastAsia="zh-CN"/>
                    </w:rPr>
                    <w:t>年挥发性有机物治理攻坚方案》（环大气</w:t>
                  </w:r>
                  <w:r>
                    <w:rPr>
                      <w:rFonts w:hint="default" w:ascii="Times New Roman" w:hAnsi="Times New Roman" w:eastAsia="宋体" w:cs="Times New Roman"/>
                      <w:color w:val="auto"/>
                      <w:spacing w:val="-10"/>
                      <w:sz w:val="18"/>
                      <w:szCs w:val="18"/>
                      <w:highlight w:val="none"/>
                      <w:lang w:val="en-US" w:eastAsia="zh-CN"/>
                    </w:rPr>
                    <w:t>[20</w:t>
                  </w:r>
                  <w:r>
                    <w:rPr>
                      <w:rFonts w:hint="eastAsia" w:ascii="Times New Roman" w:hAnsi="Times New Roman" w:eastAsia="宋体"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3</w:t>
                  </w:r>
                  <w:r>
                    <w:rPr>
                      <w:rFonts w:hint="default" w:ascii="Times New Roman" w:hAnsi="Times New Roman" w:eastAsia="宋体"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号）</w:t>
                  </w:r>
                </w:p>
                <w:p w14:paraId="64484365">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20953F46">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企业在无组织排放排查整治过程中，在保证安全的前提下，加强含</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物料全方位、全链条、全环节密闭管理。储存环节应采用密闭容器、包装袋，高效密封储罐，封闭式储库、料仓等。装卸、转移和输送环节应采用密闭管道或密闭容器、罐车等。生产和使用环节应采用密闭设备，或在密闭空间中操作并有效收集废气，或进行局部气体收集；非取用状态时容器应密闭。处置环节应将盛装过</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物料的包装容器、含</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废料（渣、液）、废吸附剂等通过加盖、封装等方式密闭，妥善存放，不得随意丢弃。</w:t>
                  </w:r>
                </w:p>
              </w:tc>
              <w:tc>
                <w:tcPr>
                  <w:tcW w:w="1466" w:type="pct"/>
                  <w:vMerge w:val="restart"/>
                  <w:tcBorders>
                    <w:tl2br w:val="nil"/>
                    <w:tr2bl w:val="nil"/>
                  </w:tcBorders>
                  <w:noWrap w:val="0"/>
                  <w:tcMar>
                    <w:left w:w="0" w:type="dxa"/>
                    <w:right w:w="0" w:type="dxa"/>
                  </w:tcMar>
                  <w:vAlign w:val="center"/>
                </w:tcPr>
                <w:p w14:paraId="4912823D">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w:t>
                  </w:r>
                  <w:r>
                    <w:rPr>
                      <w:rFonts w:hint="default" w:ascii="Times New Roman" w:hAnsi="Times New Roman" w:eastAsia="宋体" w:cs="Times New Roman"/>
                      <w:color w:val="auto"/>
                      <w:spacing w:val="-10"/>
                      <w:sz w:val="18"/>
                      <w:szCs w:val="18"/>
                      <w:highlight w:val="none"/>
                      <w:lang w:val="en-US" w:eastAsia="zh-CN"/>
                    </w:rPr>
                    <w:t>减少无组织排放</w:t>
                  </w:r>
                  <w:r>
                    <w:rPr>
                      <w:rFonts w:hint="eastAsia" w:ascii="Times New Roman" w:hAnsi="Times New Roman" w:eastAsia="宋体" w:cs="Times New Roman"/>
                      <w:color w:val="auto"/>
                      <w:spacing w:val="-10"/>
                      <w:sz w:val="18"/>
                      <w:szCs w:val="18"/>
                      <w:highlight w:val="none"/>
                      <w:lang w:val="en-US" w:eastAsia="zh-CN"/>
                    </w:rPr>
                    <w:t>；项目属于小风量、低浓度有机废气，实验区域为封闭空间，采用整体排风，经通风橱与万向罩收集设施收集后由二级活性炭吸附装置处理，达标后经</w:t>
                  </w:r>
                  <w:r>
                    <w:rPr>
                      <w:rFonts w:hint="default" w:ascii="Times New Roman" w:hAnsi="Times New Roman" w:eastAsia="宋体" w:cs="Times New Roman"/>
                      <w:color w:val="auto"/>
                      <w:spacing w:val="-10"/>
                      <w:sz w:val="18"/>
                      <w:szCs w:val="18"/>
                      <w:highlight w:val="none"/>
                      <w:lang w:val="en-US" w:eastAsia="zh-CN"/>
                    </w:rPr>
                    <w:t>15m</w:t>
                  </w:r>
                  <w:r>
                    <w:rPr>
                      <w:rFonts w:hint="eastAsia" w:ascii="Times New Roman" w:hAnsi="Times New Roman" w:eastAsia="宋体" w:cs="Times New Roman"/>
                      <w:color w:val="auto"/>
                      <w:spacing w:val="-10"/>
                      <w:sz w:val="18"/>
                      <w:szCs w:val="18"/>
                      <w:highlight w:val="none"/>
                      <w:lang w:val="en-US" w:eastAsia="zh-CN"/>
                    </w:rPr>
                    <w:t>高排气筒排放；实现了从源头削减、过程控制、末端治理的全过程防治措施。同时有机废气治理设备较试验时</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先启后停</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；选用活性炭碘值不低于</w:t>
                  </w:r>
                  <w:r>
                    <w:rPr>
                      <w:rFonts w:hint="default" w:ascii="Times New Roman" w:hAnsi="Times New Roman" w:eastAsia="宋体" w:cs="Times New Roman"/>
                      <w:color w:val="auto"/>
                      <w:spacing w:val="-10"/>
                      <w:sz w:val="18"/>
                      <w:szCs w:val="18"/>
                      <w:highlight w:val="none"/>
                      <w:lang w:val="en-US" w:eastAsia="zh-CN"/>
                    </w:rPr>
                    <w:t>800</w:t>
                  </w:r>
                  <w:r>
                    <w:rPr>
                      <w:rFonts w:hint="eastAsia" w:ascii="Times New Roman" w:hAnsi="Times New Roman" w:eastAsia="宋体" w:cs="Times New Roman"/>
                      <w:color w:val="auto"/>
                      <w:spacing w:val="-10"/>
                      <w:sz w:val="18"/>
                      <w:szCs w:val="18"/>
                      <w:highlight w:val="none"/>
                      <w:lang w:val="en-US" w:eastAsia="zh-CN"/>
                    </w:rPr>
                    <w:t>毫克</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克，并按设计要求足量添加、及时更换，产生的废活性炭装袋后，暂存在危废间，定期交有资质的单位处置，并记录更换时间和使用量。</w:t>
                  </w:r>
                </w:p>
              </w:tc>
              <w:tc>
                <w:tcPr>
                  <w:tcW w:w="283" w:type="pct"/>
                  <w:tcBorders>
                    <w:tl2br w:val="nil"/>
                    <w:tr2bl w:val="nil"/>
                  </w:tcBorders>
                  <w:noWrap w:val="0"/>
                  <w:tcMar>
                    <w:left w:w="0" w:type="dxa"/>
                    <w:right w:w="0" w:type="dxa"/>
                  </w:tcMar>
                  <w:vAlign w:val="center"/>
                </w:tcPr>
                <w:p w14:paraId="0A5B59B8">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6D32D4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07" w:hRule="atLeast"/>
                <w:jc w:val="center"/>
              </w:trPr>
              <w:tc>
                <w:tcPr>
                  <w:tcW w:w="621" w:type="pct"/>
                  <w:vMerge w:val="continue"/>
                  <w:tcBorders>
                    <w:tl2br w:val="nil"/>
                    <w:tr2bl w:val="nil"/>
                  </w:tcBorders>
                  <w:noWrap w:val="0"/>
                  <w:tcMar>
                    <w:left w:w="0" w:type="dxa"/>
                    <w:right w:w="0" w:type="dxa"/>
                  </w:tcMar>
                  <w:vAlign w:val="center"/>
                </w:tcPr>
                <w:p w14:paraId="6FD20A85">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0D80A7B4">
                  <w:pPr>
                    <w:spacing w:line="240" w:lineRule="exact"/>
                    <w:jc w:val="left"/>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 xml:space="preserve">按照“应收尽收”的原则提升废气收集率。将无组织排放转变为有组织排放进行控制，优先采用密闭设备、在密闭空间中操作或采用全密闭集气罩收集方式。按照与生产设备“同启同停”的原则提升治理设施运行率。根据处理工艺要求，在处理设施达到正常运行条件后方可启动生产设备，在生产设备停止、残留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废气收集处理完毕后，方可停运处理设施。</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废气处理系统发生故障或检修时，对应生产工艺设备应停止运行，待检修完毕后同步投入使用；因安全等因素生产工艺设备不能停止或不能及时停止运行的，应设置废气应急处理设施或采取其他替代措施。按照“适宜高效”的原则提高治理设施去除率，不得稀释排放。企业新建治污设施或对现有治污设施实施改造，应依据排放废气特征、</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组分及浓度、生产工况等，合理选择治理技术，对治理难度大、单一治理工艺难以稳定达标的，要采用多种技术的组合工艺。采用活性炭吸附技术的，应选择碘值不低于</w:t>
                  </w:r>
                  <w:r>
                    <w:rPr>
                      <w:rFonts w:hint="default" w:ascii="Times New Roman" w:hAnsi="Times New Roman" w:eastAsia="宋体" w:cs="Times New Roman"/>
                      <w:color w:val="auto"/>
                      <w:spacing w:val="-10"/>
                      <w:sz w:val="18"/>
                      <w:szCs w:val="18"/>
                      <w:highlight w:val="none"/>
                      <w:lang w:val="en-US" w:eastAsia="zh-CN"/>
                    </w:rPr>
                    <w:t xml:space="preserve">800 </w:t>
                  </w:r>
                  <w:r>
                    <w:rPr>
                      <w:rFonts w:hint="eastAsia" w:ascii="Times New Roman" w:hAnsi="Times New Roman" w:eastAsia="宋体" w:cs="Times New Roman"/>
                      <w:color w:val="auto"/>
                      <w:spacing w:val="-10"/>
                      <w:sz w:val="18"/>
                      <w:szCs w:val="18"/>
                      <w:highlight w:val="none"/>
                      <w:lang w:val="en-US" w:eastAsia="zh-CN"/>
                    </w:rPr>
                    <w:t>毫克</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克的活性炭，并按设计要求足量添加、及时更换；并将废旧活性炭交有资质的单位处理处置，记录更换时间和使用量。</w:t>
                  </w:r>
                </w:p>
              </w:tc>
              <w:tc>
                <w:tcPr>
                  <w:tcW w:w="1466" w:type="pct"/>
                  <w:vMerge w:val="continue"/>
                  <w:tcBorders>
                    <w:tl2br w:val="nil"/>
                    <w:tr2bl w:val="nil"/>
                  </w:tcBorders>
                  <w:noWrap w:val="0"/>
                  <w:tcMar>
                    <w:left w:w="0" w:type="dxa"/>
                    <w:right w:w="0" w:type="dxa"/>
                  </w:tcMar>
                  <w:vAlign w:val="center"/>
                </w:tcPr>
                <w:p w14:paraId="054B8386">
                  <w:pPr>
                    <w:spacing w:line="240" w:lineRule="exact"/>
                    <w:jc w:val="left"/>
                    <w:rPr>
                      <w:rFonts w:hint="default" w:ascii="Times New Roman" w:hAnsi="Times New Roman" w:eastAsia="宋体" w:cs="Times New Roman"/>
                      <w:color w:val="auto"/>
                      <w:spacing w:val="-10"/>
                      <w:sz w:val="18"/>
                      <w:szCs w:val="18"/>
                      <w:highlight w:val="none"/>
                      <w:lang w:val="en-US" w:eastAsia="zh-CN"/>
                    </w:rPr>
                  </w:pPr>
                </w:p>
              </w:tc>
              <w:tc>
                <w:tcPr>
                  <w:tcW w:w="283" w:type="pct"/>
                  <w:tcBorders>
                    <w:tl2br w:val="nil"/>
                    <w:tr2bl w:val="nil"/>
                  </w:tcBorders>
                  <w:noWrap w:val="0"/>
                  <w:tcMar>
                    <w:left w:w="0" w:type="dxa"/>
                    <w:right w:w="0" w:type="dxa"/>
                  </w:tcMar>
                  <w:vAlign w:val="center"/>
                </w:tcPr>
                <w:p w14:paraId="3598BBFD">
                  <w:pPr>
                    <w:tabs>
                      <w:tab w:val="right" w:pos="2004"/>
                    </w:tabs>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57525E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69" w:hRule="atLeast"/>
                <w:jc w:val="center"/>
              </w:trPr>
              <w:tc>
                <w:tcPr>
                  <w:tcW w:w="621" w:type="pct"/>
                  <w:vMerge w:val="restart"/>
                  <w:tcBorders>
                    <w:tl2br w:val="nil"/>
                    <w:tr2bl w:val="nil"/>
                  </w:tcBorders>
                  <w:noWrap w:val="0"/>
                  <w:tcMar>
                    <w:left w:w="0" w:type="dxa"/>
                    <w:right w:w="0" w:type="dxa"/>
                  </w:tcMar>
                  <w:vAlign w:val="center"/>
                </w:tcPr>
                <w:p w14:paraId="12488F69">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《关于加快解决当前挥发性有机物治理突出问题的通知》（环大气</w:t>
                  </w:r>
                  <w:r>
                    <w:rPr>
                      <w:rFonts w:hint="default" w:ascii="Times New Roman" w:hAnsi="Times New Roman" w:eastAsia="宋体" w:cs="Times New Roman"/>
                      <w:color w:val="auto"/>
                      <w:spacing w:val="-10"/>
                      <w:sz w:val="18"/>
                      <w:szCs w:val="18"/>
                      <w:highlight w:val="none"/>
                      <w:lang w:val="en-US" w:eastAsia="zh-CN"/>
                    </w:rPr>
                    <w:t xml:space="preserve">[2021]65 </w:t>
                  </w:r>
                  <w:r>
                    <w:rPr>
                      <w:rFonts w:hint="eastAsia" w:ascii="Times New Roman" w:hAnsi="Times New Roman" w:eastAsia="宋体" w:cs="Times New Roman"/>
                      <w:color w:val="auto"/>
                      <w:spacing w:val="-10"/>
                      <w:sz w:val="18"/>
                      <w:szCs w:val="18"/>
                      <w:highlight w:val="none"/>
                      <w:lang w:val="en-US" w:eastAsia="zh-CN"/>
                    </w:rPr>
                    <w:t>号）及附件《挥发性有机物治理突出问题排查整治工作要求》</w:t>
                  </w:r>
                </w:p>
                <w:p w14:paraId="389BAD1D">
                  <w:pPr>
                    <w:spacing w:line="240" w:lineRule="exact"/>
                    <w:jc w:val="left"/>
                    <w:rPr>
                      <w:rFonts w:hint="eastAsia"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4BDEA145">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产生</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的生产环节优先采用密闭设备、在密闭空间中操作或采用全密闭集气罩收集方式，并保持负压运行。对采用局部收集方式的企业，距废气收集系统排风罩开口面最远处的</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无组织排放位置控制风速不低于</w:t>
                  </w:r>
                  <w:r>
                    <w:rPr>
                      <w:rFonts w:hint="default" w:ascii="Times New Roman" w:hAnsi="Times New Roman" w:eastAsia="宋体" w:cs="Times New Roman"/>
                      <w:color w:val="auto"/>
                      <w:spacing w:val="-10"/>
                      <w:sz w:val="18"/>
                      <w:szCs w:val="18"/>
                      <w:highlight w:val="none"/>
                      <w:lang w:val="en-US" w:eastAsia="zh-CN"/>
                    </w:rPr>
                    <w:t>0.3m/s</w:t>
                  </w:r>
                  <w:r>
                    <w:rPr>
                      <w:rFonts w:hint="eastAsia" w:ascii="Times New Roman" w:hAnsi="Times New Roman" w:eastAsia="宋体" w:cs="Times New Roman"/>
                      <w:color w:val="auto"/>
                      <w:spacing w:val="-10"/>
                      <w:sz w:val="18"/>
                      <w:szCs w:val="18"/>
                      <w:highlight w:val="none"/>
                      <w:lang w:val="en-US" w:eastAsia="zh-CN"/>
                    </w:rPr>
                    <w:t>。</w:t>
                  </w:r>
                </w:p>
              </w:tc>
              <w:tc>
                <w:tcPr>
                  <w:tcW w:w="1466" w:type="pct"/>
                  <w:tcBorders>
                    <w:tl2br w:val="nil"/>
                    <w:tr2bl w:val="nil"/>
                  </w:tcBorders>
                  <w:noWrap w:val="0"/>
                  <w:tcMar>
                    <w:left w:w="0" w:type="dxa"/>
                    <w:right w:w="0" w:type="dxa"/>
                  </w:tcMar>
                  <w:vAlign w:val="center"/>
                </w:tcPr>
                <w:p w14:paraId="1320B5F0">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实验区域为封闭空间，采用整体排风，经通风橱与万向罩收集设施收集，距废气收集系统排风罩开口面最远处的</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无组织排放位置控制风速不低于</w:t>
                  </w:r>
                  <w:r>
                    <w:rPr>
                      <w:rFonts w:hint="default" w:ascii="Times New Roman" w:hAnsi="Times New Roman" w:eastAsia="宋体" w:cs="Times New Roman"/>
                      <w:color w:val="auto"/>
                      <w:spacing w:val="-10"/>
                      <w:sz w:val="18"/>
                      <w:szCs w:val="18"/>
                      <w:highlight w:val="none"/>
                      <w:lang w:val="en-US" w:eastAsia="zh-CN"/>
                    </w:rPr>
                    <w:t>0.3m/s</w:t>
                  </w:r>
                  <w:r>
                    <w:rPr>
                      <w:rFonts w:hint="eastAsia" w:ascii="Times New Roman" w:hAnsi="Times New Roman" w:eastAsia="宋体" w:cs="Times New Roman"/>
                      <w:color w:val="auto"/>
                      <w:spacing w:val="-10"/>
                      <w:sz w:val="18"/>
                      <w:szCs w:val="18"/>
                      <w:highlight w:val="none"/>
                      <w:lang w:val="en-US" w:eastAsia="zh-CN"/>
                    </w:rPr>
                    <w:t>。</w:t>
                  </w:r>
                </w:p>
              </w:tc>
              <w:tc>
                <w:tcPr>
                  <w:tcW w:w="283" w:type="pct"/>
                  <w:tcBorders>
                    <w:tl2br w:val="nil"/>
                    <w:tr2bl w:val="nil"/>
                  </w:tcBorders>
                  <w:noWrap w:val="0"/>
                  <w:tcMar>
                    <w:left w:w="0" w:type="dxa"/>
                    <w:right w:w="0" w:type="dxa"/>
                  </w:tcMar>
                  <w:vAlign w:val="center"/>
                </w:tcPr>
                <w:p w14:paraId="03CC8D2A">
                  <w:pPr>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33876B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621" w:type="pct"/>
                  <w:vMerge w:val="continue"/>
                  <w:tcBorders>
                    <w:tl2br w:val="nil"/>
                    <w:tr2bl w:val="nil"/>
                  </w:tcBorders>
                  <w:noWrap w:val="0"/>
                  <w:tcMar>
                    <w:left w:w="0" w:type="dxa"/>
                    <w:right w:w="0" w:type="dxa"/>
                  </w:tcMar>
                  <w:vAlign w:val="center"/>
                </w:tcPr>
                <w:p w14:paraId="00ADB4C3">
                  <w:pPr>
                    <w:spacing w:line="240" w:lineRule="exact"/>
                    <w:jc w:val="left"/>
                    <w:rPr>
                      <w:rFonts w:hint="eastAsia"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69E3540A">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新建治理设施或对现有治理设施实施改造，应依据排放废气特征、</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组分及浓度、生产工况等，合理选择治理技术；对治理难度大、单一治理工艺难以稳定达标的，宜采用多种技术的组合工艺；除恶臭异味治理外，一般不使用低温等离子、光催化、光氧化等技术。</w:t>
                  </w:r>
                </w:p>
              </w:tc>
              <w:tc>
                <w:tcPr>
                  <w:tcW w:w="1466" w:type="pct"/>
                  <w:tcBorders>
                    <w:tl2br w:val="nil"/>
                    <w:tr2bl w:val="nil"/>
                  </w:tcBorders>
                  <w:noWrap w:val="0"/>
                  <w:tcMar>
                    <w:left w:w="0" w:type="dxa"/>
                    <w:right w:w="0" w:type="dxa"/>
                  </w:tcMar>
                  <w:vAlign w:val="center"/>
                </w:tcPr>
                <w:p w14:paraId="1AC86214">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本项目实验过程实验的有机试剂较少，且设置二级活性炭吸附装置，可有效减少挥发性有机物的排放。</w:t>
                  </w:r>
                </w:p>
              </w:tc>
              <w:tc>
                <w:tcPr>
                  <w:tcW w:w="283" w:type="pct"/>
                  <w:tcBorders>
                    <w:tl2br w:val="nil"/>
                    <w:tr2bl w:val="nil"/>
                  </w:tcBorders>
                  <w:noWrap w:val="0"/>
                  <w:tcMar>
                    <w:left w:w="0" w:type="dxa"/>
                    <w:right w:w="0" w:type="dxa"/>
                  </w:tcMar>
                  <w:vAlign w:val="center"/>
                </w:tcPr>
                <w:p w14:paraId="5E2A6583">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r w14:paraId="598F22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18" w:hRule="atLeast"/>
                <w:jc w:val="center"/>
              </w:trPr>
              <w:tc>
                <w:tcPr>
                  <w:tcW w:w="621" w:type="pct"/>
                  <w:vMerge w:val="continue"/>
                  <w:tcBorders>
                    <w:tl2br w:val="nil"/>
                    <w:tr2bl w:val="nil"/>
                  </w:tcBorders>
                  <w:noWrap w:val="0"/>
                  <w:tcMar>
                    <w:left w:w="0" w:type="dxa"/>
                    <w:right w:w="0" w:type="dxa"/>
                  </w:tcMar>
                  <w:vAlign w:val="center"/>
                </w:tcPr>
                <w:p w14:paraId="42836609">
                  <w:pPr>
                    <w:spacing w:line="240" w:lineRule="exact"/>
                    <w:jc w:val="left"/>
                    <w:rPr>
                      <w:rFonts w:hint="eastAsia" w:ascii="Times New Roman" w:hAnsi="Times New Roman" w:eastAsia="宋体" w:cs="Times New Roman"/>
                      <w:color w:val="auto"/>
                      <w:spacing w:val="-10"/>
                      <w:sz w:val="18"/>
                      <w:szCs w:val="18"/>
                      <w:highlight w:val="none"/>
                      <w:lang w:val="en-US" w:eastAsia="zh-CN"/>
                    </w:rPr>
                  </w:pPr>
                </w:p>
              </w:tc>
              <w:tc>
                <w:tcPr>
                  <w:tcW w:w="2628" w:type="pct"/>
                  <w:tcBorders>
                    <w:tl2br w:val="nil"/>
                    <w:tr2bl w:val="nil"/>
                  </w:tcBorders>
                  <w:noWrap w:val="0"/>
                  <w:tcMar>
                    <w:left w:w="0" w:type="dxa"/>
                    <w:right w:w="0" w:type="dxa"/>
                  </w:tcMar>
                  <w:vAlign w:val="center"/>
                </w:tcPr>
                <w:p w14:paraId="60AF033A">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加强运行维护管理，做到治理设施较生产设备</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先启后停</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，在治理设施达到正常运行条件后方可启动生产设备，在生产设备停止、残留</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废气收集处理完毕后，方可停运治理设施；及时清理、更换吸附剂、吸收剂、催化剂、蓄热体、过滤棉、灯管、电器元件等治理设施耗材，确保设施能够稳定高效运行；做好生产设备和治理设施启停机时间、检维修情况、治理设施耗材维护更换、处置情况等台账记录；对于</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治理设施产生的废过滤棉、废催化剂、废吸附剂、废吸收剂、废有机溶剂等，应及时清运，属于危险废物的应交有资质的单位处理处置。</w:t>
                  </w:r>
                </w:p>
              </w:tc>
              <w:tc>
                <w:tcPr>
                  <w:tcW w:w="1466" w:type="pct"/>
                  <w:tcBorders>
                    <w:tl2br w:val="nil"/>
                    <w:tr2bl w:val="nil"/>
                  </w:tcBorders>
                  <w:noWrap w:val="0"/>
                  <w:tcMar>
                    <w:left w:w="0" w:type="dxa"/>
                    <w:right w:w="0" w:type="dxa"/>
                  </w:tcMar>
                  <w:vAlign w:val="center"/>
                </w:tcPr>
                <w:p w14:paraId="2DDE0CC2">
                  <w:pPr>
                    <w:spacing w:line="240" w:lineRule="exact"/>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有机废气治理设备较试验时</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先启后停</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并按设计要求足量添加、及时更换，产生的废活性炭装袋后，暂存在危废间，定期交有资质的单位处置，并记录活性炭的更换时间和使用量，同时记录有机废气治理设备启停机时间、检维修情况、治理设施耗材维护更换、处置情况等台账记录。</w:t>
                  </w:r>
                </w:p>
              </w:tc>
              <w:tc>
                <w:tcPr>
                  <w:tcW w:w="283" w:type="pct"/>
                  <w:tcBorders>
                    <w:tl2br w:val="nil"/>
                    <w:tr2bl w:val="nil"/>
                  </w:tcBorders>
                  <w:noWrap w:val="0"/>
                  <w:tcMar>
                    <w:left w:w="0" w:type="dxa"/>
                    <w:right w:w="0" w:type="dxa"/>
                  </w:tcMar>
                  <w:vAlign w:val="center"/>
                </w:tcPr>
                <w:p w14:paraId="7D90F883">
                  <w:pPr>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符合</w:t>
                  </w:r>
                </w:p>
              </w:tc>
            </w:tr>
          </w:tbl>
          <w:p w14:paraId="41675364">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default" w:ascii="Times New Roman" w:hAnsi="Times New Roman" w:eastAsia="宋体"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4</w:t>
            </w:r>
            <w:r>
              <w:rPr>
                <w:rFonts w:hint="default" w:ascii="Times New Roman" w:hAnsi="Times New Roman" w:eastAsia="宋体" w:cs="Times New Roman"/>
                <w:b/>
                <w:color w:val="auto"/>
                <w:sz w:val="21"/>
                <w:szCs w:val="21"/>
                <w:highlight w:val="none"/>
              </w:rPr>
              <w:t xml:space="preserve"> 本项目与相关污染防治政策的符合性</w:t>
            </w:r>
          </w:p>
          <w:tbl>
            <w:tblPr>
              <w:tblStyle w:val="26"/>
              <w:tblW w:w="120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379"/>
              <w:gridCol w:w="3"/>
              <w:gridCol w:w="7210"/>
              <w:gridCol w:w="8"/>
              <w:gridCol w:w="2958"/>
              <w:gridCol w:w="11"/>
              <w:gridCol w:w="471"/>
              <w:gridCol w:w="18"/>
            </w:tblGrid>
            <w:tr w14:paraId="4CEECA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4" w:type="pct"/>
                <w:trHeight w:val="357" w:hRule="atLeast"/>
                <w:jc w:val="center"/>
              </w:trPr>
              <w:tc>
                <w:tcPr>
                  <w:tcW w:w="572" w:type="pct"/>
                  <w:tcBorders>
                    <w:tl2br w:val="nil"/>
                    <w:tr2bl w:val="nil"/>
                  </w:tcBorders>
                  <w:noWrap w:val="0"/>
                  <w:tcMar>
                    <w:left w:w="0" w:type="dxa"/>
                    <w:right w:w="0" w:type="dxa"/>
                  </w:tcMar>
                  <w:vAlign w:val="center"/>
                </w:tcPr>
                <w:p w14:paraId="57FEF3BE">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环保政策</w:t>
                  </w:r>
                </w:p>
              </w:tc>
              <w:tc>
                <w:tcPr>
                  <w:tcW w:w="2991" w:type="pct"/>
                  <w:gridSpan w:val="2"/>
                  <w:tcBorders>
                    <w:tl2br w:val="nil"/>
                    <w:tr2bl w:val="nil"/>
                  </w:tcBorders>
                  <w:noWrap w:val="0"/>
                  <w:tcMar>
                    <w:left w:w="0" w:type="dxa"/>
                    <w:right w:w="0" w:type="dxa"/>
                  </w:tcMar>
                  <w:vAlign w:val="center"/>
                </w:tcPr>
                <w:p w14:paraId="016DA7F0">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政策要求</w:t>
                  </w:r>
                </w:p>
              </w:tc>
              <w:tc>
                <w:tcPr>
                  <w:tcW w:w="1230" w:type="pct"/>
                  <w:gridSpan w:val="2"/>
                  <w:tcBorders>
                    <w:tl2br w:val="nil"/>
                    <w:tr2bl w:val="nil"/>
                  </w:tcBorders>
                  <w:noWrap w:val="0"/>
                  <w:tcMar>
                    <w:left w:w="0" w:type="dxa"/>
                    <w:right w:w="0" w:type="dxa"/>
                  </w:tcMar>
                  <w:vAlign w:val="center"/>
                </w:tcPr>
                <w:p w14:paraId="02630A03">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本项目实际</w:t>
                  </w:r>
                </w:p>
              </w:tc>
              <w:tc>
                <w:tcPr>
                  <w:tcW w:w="200" w:type="pct"/>
                  <w:gridSpan w:val="2"/>
                  <w:tcBorders>
                    <w:tl2br w:val="nil"/>
                    <w:tr2bl w:val="nil"/>
                  </w:tcBorders>
                  <w:noWrap w:val="0"/>
                  <w:tcMar>
                    <w:left w:w="0" w:type="dxa"/>
                    <w:right w:w="0" w:type="dxa"/>
                  </w:tcMar>
                  <w:vAlign w:val="center"/>
                </w:tcPr>
                <w:p w14:paraId="1D07D155">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是否</w:t>
                  </w:r>
                </w:p>
                <w:p w14:paraId="79C356AA">
                  <w:pPr>
                    <w:tabs>
                      <w:tab w:val="right" w:pos="2004"/>
                    </w:tabs>
                    <w:spacing w:line="240" w:lineRule="exac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符合</w:t>
                  </w:r>
                </w:p>
              </w:tc>
            </w:tr>
            <w:tr w14:paraId="674625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35" w:hRule="exact"/>
                <w:jc w:val="center"/>
              </w:trPr>
              <w:tc>
                <w:tcPr>
                  <w:tcW w:w="573" w:type="pct"/>
                  <w:gridSpan w:val="2"/>
                  <w:vMerge w:val="restart"/>
                  <w:tcBorders>
                    <w:tl2br w:val="nil"/>
                    <w:tr2bl w:val="nil"/>
                  </w:tcBorders>
                  <w:noWrap w:val="0"/>
                  <w:tcMar>
                    <w:left w:w="0" w:type="dxa"/>
                    <w:right w:w="0" w:type="dxa"/>
                  </w:tcMar>
                  <w:vAlign w:val="center"/>
                </w:tcPr>
                <w:p w14:paraId="18E7038C">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关于印发《唐山市</w:t>
                  </w:r>
                  <w:r>
                    <w:rPr>
                      <w:rFonts w:hint="default" w:ascii="Times New Roman" w:hAnsi="Times New Roman" w:eastAsia="宋体" w:cs="Times New Roman"/>
                      <w:color w:val="auto"/>
                      <w:spacing w:val="-10"/>
                      <w:sz w:val="18"/>
                      <w:szCs w:val="18"/>
                      <w:highlight w:val="none"/>
                      <w:lang w:val="en-US" w:eastAsia="zh-CN"/>
                    </w:rPr>
                    <w:t>2021</w:t>
                  </w:r>
                  <w:r>
                    <w:rPr>
                      <w:rFonts w:hint="eastAsia" w:ascii="Times New Roman" w:hAnsi="Times New Roman" w:eastAsia="宋体" w:cs="Times New Roman"/>
                      <w:color w:val="auto"/>
                      <w:spacing w:val="-10"/>
                      <w:sz w:val="18"/>
                      <w:szCs w:val="18"/>
                      <w:highlight w:val="none"/>
                      <w:lang w:val="en-US" w:eastAsia="zh-CN"/>
                    </w:rPr>
                    <w:t>年挥发性有机物综合治理工作方案》的通知（唐气领办</w:t>
                  </w:r>
                  <w:r>
                    <w:rPr>
                      <w:rFonts w:hint="default" w:ascii="Times New Roman" w:hAnsi="Times New Roman" w:eastAsia="宋体" w:cs="Times New Roman"/>
                      <w:color w:val="auto"/>
                      <w:spacing w:val="-10"/>
                      <w:sz w:val="18"/>
                      <w:szCs w:val="18"/>
                      <w:highlight w:val="none"/>
                      <w:lang w:val="en-US" w:eastAsia="zh-CN"/>
                    </w:rPr>
                    <w:t xml:space="preserve">[2021]50 </w:t>
                  </w:r>
                  <w:r>
                    <w:rPr>
                      <w:rFonts w:hint="eastAsia" w:ascii="Times New Roman" w:hAnsi="Times New Roman" w:eastAsia="宋体" w:cs="Times New Roman"/>
                      <w:color w:val="auto"/>
                      <w:spacing w:val="-10"/>
                      <w:sz w:val="18"/>
                      <w:szCs w:val="18"/>
                      <w:highlight w:val="none"/>
                      <w:lang w:val="en-US" w:eastAsia="zh-CN"/>
                    </w:rPr>
                    <w:t>号）</w:t>
                  </w:r>
                </w:p>
                <w:p w14:paraId="71CF4E86">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shd w:val="clear" w:color="auto" w:fill="auto"/>
                  <w:noWrap w:val="0"/>
                  <w:tcMar>
                    <w:left w:w="0" w:type="dxa"/>
                    <w:right w:w="0" w:type="dxa"/>
                  </w:tcMar>
                  <w:vAlign w:val="center"/>
                </w:tcPr>
                <w:p w14:paraId="0C69766B">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无组织排放管控：严格落实《挥发性有机物无组织排放控制标准》 （</w:t>
                  </w:r>
                  <w:r>
                    <w:rPr>
                      <w:rFonts w:hint="default" w:ascii="Times New Roman" w:hAnsi="Times New Roman" w:eastAsia="宋体" w:cs="Times New Roman"/>
                      <w:color w:val="auto"/>
                      <w:spacing w:val="-10"/>
                      <w:sz w:val="18"/>
                      <w:szCs w:val="18"/>
                      <w:highlight w:val="none"/>
                      <w:lang w:val="en-US" w:eastAsia="zh-CN"/>
                    </w:rPr>
                    <w:t>GB37822-2019</w:t>
                  </w:r>
                  <w:r>
                    <w:rPr>
                      <w:rFonts w:hint="eastAsia" w:ascii="Times New Roman" w:hAnsi="Times New Roman" w:eastAsia="宋体" w:cs="Times New Roman"/>
                      <w:color w:val="auto"/>
                      <w:spacing w:val="-10"/>
                      <w:sz w:val="18"/>
                      <w:szCs w:val="18"/>
                      <w:highlight w:val="none"/>
                      <w:lang w:val="en-US" w:eastAsia="zh-CN"/>
                    </w:rPr>
                    <w:t xml:space="preserve">）标准要求，从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物料储存、</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物料转移、工艺过程</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 xml:space="preserve">无组织排放、含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产品的使用、敞开液面控制等方面进行分类管控，避免产生不必要的无组织排放。</w:t>
                  </w:r>
                </w:p>
              </w:tc>
              <w:tc>
                <w:tcPr>
                  <w:tcW w:w="1231" w:type="pct"/>
                  <w:gridSpan w:val="2"/>
                  <w:tcBorders>
                    <w:tl2br w:val="nil"/>
                    <w:tr2bl w:val="nil"/>
                  </w:tcBorders>
                  <w:shd w:val="clear" w:color="auto" w:fill="auto"/>
                  <w:noWrap w:val="0"/>
                  <w:tcMar>
                    <w:left w:w="0" w:type="dxa"/>
                    <w:right w:w="0" w:type="dxa"/>
                  </w:tcMar>
                  <w:vAlign w:val="center"/>
                </w:tcPr>
                <w:p w14:paraId="16B99710">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排放的有机试剂较少，试剂均采用密闭容器存储，项目对有机试剂存储、转移等方面进行分类管控，避免产生不必要的无组织排放。</w:t>
                  </w:r>
                </w:p>
              </w:tc>
              <w:tc>
                <w:tcPr>
                  <w:tcW w:w="202" w:type="pct"/>
                  <w:gridSpan w:val="2"/>
                  <w:tcBorders>
                    <w:tl2br w:val="nil"/>
                    <w:tr2bl w:val="nil"/>
                  </w:tcBorders>
                  <w:shd w:val="clear" w:color="auto" w:fill="auto"/>
                  <w:noWrap w:val="0"/>
                  <w:tcMar>
                    <w:left w:w="0" w:type="dxa"/>
                    <w:right w:w="0" w:type="dxa"/>
                  </w:tcMar>
                  <w:vAlign w:val="center"/>
                </w:tcPr>
                <w:p w14:paraId="504E0753">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符合</w:t>
                  </w:r>
                </w:p>
              </w:tc>
            </w:tr>
            <w:tr w14:paraId="01D39C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60" w:hRule="exact"/>
                <w:jc w:val="center"/>
              </w:trPr>
              <w:tc>
                <w:tcPr>
                  <w:tcW w:w="573" w:type="pct"/>
                  <w:gridSpan w:val="2"/>
                  <w:vMerge w:val="continue"/>
                  <w:tcBorders>
                    <w:tl2br w:val="nil"/>
                    <w:tr2bl w:val="nil"/>
                  </w:tcBorders>
                  <w:noWrap w:val="0"/>
                  <w:tcMar>
                    <w:left w:w="0" w:type="dxa"/>
                    <w:right w:w="0" w:type="dxa"/>
                  </w:tcMar>
                  <w:vAlign w:val="center"/>
                </w:tcPr>
                <w:p w14:paraId="5AF49A02">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noWrap w:val="0"/>
                  <w:tcMar>
                    <w:left w:w="0" w:type="dxa"/>
                    <w:right w:w="0" w:type="dxa"/>
                  </w:tcMar>
                  <w:vAlign w:val="center"/>
                </w:tcPr>
                <w:p w14:paraId="789E6CB3">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 xml:space="preserve">有组织排放末端治理：对产生废气的行业（有机化工行业除外），应在有机废气处理设施前段加装高效除尘设施或油烟净化装置，确保废气中粉尘或油烟浓度满足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治理设施要求。</w:t>
                  </w:r>
                </w:p>
              </w:tc>
              <w:tc>
                <w:tcPr>
                  <w:tcW w:w="1231" w:type="pct"/>
                  <w:gridSpan w:val="2"/>
                  <w:vMerge w:val="restart"/>
                  <w:tcBorders>
                    <w:tl2br w:val="nil"/>
                    <w:tr2bl w:val="nil"/>
                  </w:tcBorders>
                  <w:noWrap w:val="0"/>
                  <w:tcMar>
                    <w:left w:w="0" w:type="dxa"/>
                    <w:right w:w="0" w:type="dxa"/>
                  </w:tcMar>
                  <w:vAlign w:val="center"/>
                </w:tcPr>
                <w:p w14:paraId="1607814A">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排放的有机试剂较少，项目实验区域为封闭空间，采用整体排风，经通风橱与万向罩收集设施收集后由二级活性炭吸附装置处理，达标后经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w:t>
                  </w:r>
                </w:p>
              </w:tc>
              <w:tc>
                <w:tcPr>
                  <w:tcW w:w="202" w:type="pct"/>
                  <w:gridSpan w:val="2"/>
                  <w:vMerge w:val="restart"/>
                  <w:tcBorders>
                    <w:tl2br w:val="nil"/>
                    <w:tr2bl w:val="nil"/>
                  </w:tcBorders>
                  <w:noWrap w:val="0"/>
                  <w:tcMar>
                    <w:left w:w="0" w:type="dxa"/>
                    <w:right w:w="0" w:type="dxa"/>
                  </w:tcMar>
                  <w:vAlign w:val="center"/>
                </w:tcPr>
                <w:p w14:paraId="5537D92E">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符合</w:t>
                  </w:r>
                </w:p>
              </w:tc>
            </w:tr>
            <w:tr w14:paraId="57D10E6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70" w:hRule="exact"/>
                <w:jc w:val="center"/>
              </w:trPr>
              <w:tc>
                <w:tcPr>
                  <w:tcW w:w="573" w:type="pct"/>
                  <w:gridSpan w:val="2"/>
                  <w:vMerge w:val="continue"/>
                  <w:tcBorders>
                    <w:tl2br w:val="nil"/>
                    <w:tr2bl w:val="nil"/>
                  </w:tcBorders>
                  <w:noWrap w:val="0"/>
                  <w:tcMar>
                    <w:left w:w="0" w:type="dxa"/>
                    <w:right w:w="0" w:type="dxa"/>
                  </w:tcMar>
                  <w:vAlign w:val="center"/>
                </w:tcPr>
                <w:p w14:paraId="39EEC843">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noWrap w:val="0"/>
                  <w:tcMar>
                    <w:left w:w="0" w:type="dxa"/>
                    <w:right w:w="0" w:type="dxa"/>
                  </w:tcMar>
                  <w:vAlign w:val="center"/>
                </w:tcPr>
                <w:p w14:paraId="002189C0">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 xml:space="preserve">末端治理设施的选择应根据企业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排放浓度、组分、风量、温度、湿度、压力、以及生产工况等选择相应的治理工艺，实施</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一厂一策</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一源一策</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 xml:space="preserve">，确保企业选用的 </w:t>
                  </w:r>
                  <w:r>
                    <w:rPr>
                      <w:rFonts w:hint="default" w:ascii="Times New Roman" w:hAnsi="Times New Roman" w:eastAsia="宋体" w:cs="Times New Roman"/>
                      <w:color w:val="auto"/>
                      <w:spacing w:val="-10"/>
                      <w:sz w:val="18"/>
                      <w:szCs w:val="18"/>
                      <w:highlight w:val="none"/>
                      <w:lang w:val="en-US" w:eastAsia="zh-CN"/>
                    </w:rPr>
                    <w:t xml:space="preserve">VOCs </w:t>
                  </w:r>
                  <w:r>
                    <w:rPr>
                      <w:rFonts w:hint="eastAsia" w:ascii="Times New Roman" w:hAnsi="Times New Roman" w:eastAsia="宋体" w:cs="Times New Roman"/>
                      <w:color w:val="auto"/>
                      <w:spacing w:val="-10"/>
                      <w:sz w:val="18"/>
                      <w:szCs w:val="18"/>
                      <w:highlight w:val="none"/>
                      <w:lang w:val="en-US" w:eastAsia="zh-CN"/>
                    </w:rPr>
                    <w:t>末端治理设施科学有效。中等浓度的废气（一般为数千</w:t>
                  </w:r>
                  <w:r>
                    <w:rPr>
                      <w:rFonts w:hint="default" w:ascii="Times New Roman" w:hAnsi="Times New Roman" w:eastAsia="宋体" w:cs="Times New Roman"/>
                      <w:color w:val="auto"/>
                      <w:spacing w:val="-10"/>
                      <w:sz w:val="18"/>
                      <w:szCs w:val="18"/>
                      <w:highlight w:val="none"/>
                      <w:lang w:val="en-US" w:eastAsia="zh-CN"/>
                    </w:rPr>
                    <w:t>ppm</w:t>
                  </w:r>
                  <w:r>
                    <w:rPr>
                      <w:rFonts w:hint="eastAsia" w:ascii="Times New Roman" w:hAnsi="Times New Roman" w:eastAsia="宋体" w:cs="Times New Roman"/>
                      <w:color w:val="auto"/>
                      <w:spacing w:val="-10"/>
                      <w:sz w:val="18"/>
                      <w:szCs w:val="18"/>
                      <w:highlight w:val="none"/>
                      <w:lang w:val="en-US" w:eastAsia="zh-CN"/>
                    </w:rPr>
                    <w:t>），当无回收价值时，可采用催化燃烧（</w:t>
                  </w:r>
                  <w:r>
                    <w:rPr>
                      <w:rFonts w:hint="default" w:ascii="Times New Roman" w:hAnsi="Times New Roman" w:eastAsia="宋体" w:cs="Times New Roman"/>
                      <w:color w:val="auto"/>
                      <w:spacing w:val="-10"/>
                      <w:sz w:val="18"/>
                      <w:szCs w:val="18"/>
                      <w:highlight w:val="none"/>
                      <w:lang w:val="en-US" w:eastAsia="zh-CN"/>
                    </w:rPr>
                    <w:t>CO/RCO</w:t>
                  </w:r>
                  <w:r>
                    <w:rPr>
                      <w:rFonts w:hint="eastAsia" w:ascii="Times New Roman" w:hAnsi="Times New Roman" w:eastAsia="宋体" w:cs="Times New Roman"/>
                      <w:color w:val="auto"/>
                      <w:spacing w:val="-10"/>
                      <w:sz w:val="18"/>
                      <w:szCs w:val="18"/>
                      <w:highlight w:val="none"/>
                      <w:lang w:val="en-US" w:eastAsia="zh-CN"/>
                    </w:rPr>
                    <w:t>）和高温焚烧（</w:t>
                  </w:r>
                  <w:r>
                    <w:rPr>
                      <w:rFonts w:hint="default" w:ascii="Times New Roman" w:hAnsi="Times New Roman" w:eastAsia="宋体" w:cs="Times New Roman"/>
                      <w:color w:val="auto"/>
                      <w:spacing w:val="-10"/>
                      <w:sz w:val="18"/>
                      <w:szCs w:val="18"/>
                      <w:highlight w:val="none"/>
                      <w:lang w:val="en-US" w:eastAsia="zh-CN"/>
                    </w:rPr>
                    <w:t>TO/RTO</w:t>
                  </w:r>
                  <w:r>
                    <w:rPr>
                      <w:rFonts w:hint="eastAsia" w:ascii="Times New Roman" w:hAnsi="Times New Roman" w:eastAsia="宋体" w:cs="Times New Roman"/>
                      <w:color w:val="auto"/>
                      <w:spacing w:val="-10"/>
                      <w:sz w:val="18"/>
                      <w:szCs w:val="18"/>
                      <w:highlight w:val="none"/>
                      <w:lang w:val="en-US" w:eastAsia="zh-CN"/>
                    </w:rPr>
                    <w:t>）进行治理</w:t>
                  </w:r>
                </w:p>
              </w:tc>
              <w:tc>
                <w:tcPr>
                  <w:tcW w:w="1231" w:type="pct"/>
                  <w:gridSpan w:val="2"/>
                  <w:vMerge w:val="continue"/>
                  <w:tcBorders>
                    <w:tl2br w:val="nil"/>
                    <w:tr2bl w:val="nil"/>
                  </w:tcBorders>
                  <w:noWrap w:val="0"/>
                  <w:tcMar>
                    <w:left w:w="0" w:type="dxa"/>
                    <w:right w:w="0" w:type="dxa"/>
                  </w:tcMar>
                  <w:vAlign w:val="center"/>
                </w:tcPr>
                <w:p w14:paraId="6B540975">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p>
              </w:tc>
              <w:tc>
                <w:tcPr>
                  <w:tcW w:w="202" w:type="pct"/>
                  <w:gridSpan w:val="2"/>
                  <w:vMerge w:val="continue"/>
                  <w:tcBorders>
                    <w:tl2br w:val="nil"/>
                    <w:tr2bl w:val="nil"/>
                  </w:tcBorders>
                  <w:noWrap w:val="0"/>
                  <w:tcMar>
                    <w:left w:w="0" w:type="dxa"/>
                    <w:right w:w="0" w:type="dxa"/>
                  </w:tcMar>
                  <w:vAlign w:val="center"/>
                </w:tcPr>
                <w:p w14:paraId="09DFD8D9">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r>
            <w:tr w14:paraId="24DCA9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9" w:hRule="exact"/>
                <w:jc w:val="center"/>
              </w:trPr>
              <w:tc>
                <w:tcPr>
                  <w:tcW w:w="573" w:type="pct"/>
                  <w:gridSpan w:val="2"/>
                  <w:vMerge w:val="restart"/>
                  <w:tcBorders>
                    <w:tl2br w:val="nil"/>
                    <w:tr2bl w:val="nil"/>
                  </w:tcBorders>
                  <w:noWrap w:val="0"/>
                  <w:tcMar>
                    <w:left w:w="0" w:type="dxa"/>
                    <w:right w:w="0" w:type="dxa"/>
                  </w:tcMar>
                  <w:vAlign w:val="center"/>
                </w:tcPr>
                <w:p w14:paraId="3C3CA221">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《关于进一步规范工业企业VOCs治理和运行管理的通知》（唐山市生态环境局2023年3月25日）</w:t>
                  </w:r>
                </w:p>
              </w:tc>
              <w:tc>
                <w:tcPr>
                  <w:tcW w:w="2993" w:type="pct"/>
                  <w:gridSpan w:val="2"/>
                  <w:tcBorders>
                    <w:tl2br w:val="nil"/>
                    <w:tr2bl w:val="nil"/>
                  </w:tcBorders>
                  <w:shd w:val="clear" w:color="auto" w:fill="auto"/>
                  <w:noWrap w:val="0"/>
                  <w:tcMar>
                    <w:left w:w="0" w:type="dxa"/>
                    <w:right w:w="0" w:type="dxa"/>
                  </w:tcMar>
                  <w:vAlign w:val="center"/>
                </w:tcPr>
                <w:p w14:paraId="46281F48">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严控工业源无组织排放。VOCs 物料应储存于密闭容器、包装袋、储罐、储库、料仓等。VOCs 转移或运输时应该采用密闭管道或气力输送装备、管状带式输送机、螺旋输送机等密闭输送方式，或采用密闭包装、容器或罐车运输。投料和卸料过程中应采取密闭措施，无法密闭投加，应在密闭空间内进行。</w:t>
                  </w:r>
                </w:p>
              </w:tc>
              <w:tc>
                <w:tcPr>
                  <w:tcW w:w="1231" w:type="pct"/>
                  <w:gridSpan w:val="2"/>
                  <w:tcBorders>
                    <w:tl2br w:val="nil"/>
                    <w:tr2bl w:val="nil"/>
                  </w:tcBorders>
                  <w:shd w:val="clear" w:color="auto" w:fill="auto"/>
                  <w:noWrap w:val="0"/>
                  <w:tcMar>
                    <w:left w:w="0" w:type="dxa"/>
                    <w:right w:w="0" w:type="dxa"/>
                  </w:tcMar>
                  <w:vAlign w:val="center"/>
                </w:tcPr>
                <w:p w14:paraId="1C978129">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本项目涉及</w:t>
                  </w:r>
                  <w:r>
                    <w:rPr>
                      <w:rFonts w:hint="default" w:ascii="Times New Roman" w:hAnsi="Times New Roman" w:eastAsia="宋体" w:cs="Times New Roman"/>
                      <w:color w:val="auto"/>
                      <w:spacing w:val="-10"/>
                      <w:sz w:val="18"/>
                      <w:szCs w:val="18"/>
                      <w:highlight w:val="none"/>
                      <w:lang w:val="en-US" w:eastAsia="zh-CN"/>
                    </w:rPr>
                    <w:t>VOCs</w:t>
                  </w:r>
                  <w:r>
                    <w:rPr>
                      <w:rFonts w:hint="eastAsia" w:ascii="Times New Roman" w:hAnsi="Times New Roman" w:eastAsia="宋体" w:cs="Times New Roman"/>
                      <w:color w:val="auto"/>
                      <w:spacing w:val="-10"/>
                      <w:sz w:val="18"/>
                      <w:szCs w:val="18"/>
                      <w:highlight w:val="none"/>
                      <w:lang w:val="en-US" w:eastAsia="zh-CN"/>
                    </w:rPr>
                    <w:t>排放的有机试剂较少，试剂均采用密闭容器存储，存放于试验室内，在非取用状态时封口，保持密闭。</w:t>
                  </w:r>
                </w:p>
              </w:tc>
              <w:tc>
                <w:tcPr>
                  <w:tcW w:w="202" w:type="pct"/>
                  <w:gridSpan w:val="2"/>
                  <w:tcBorders>
                    <w:tl2br w:val="nil"/>
                    <w:tr2bl w:val="nil"/>
                  </w:tcBorders>
                  <w:shd w:val="clear" w:color="auto" w:fill="auto"/>
                  <w:noWrap w:val="0"/>
                  <w:tcMar>
                    <w:left w:w="0" w:type="dxa"/>
                    <w:right w:w="0" w:type="dxa"/>
                  </w:tcMar>
                  <w:vAlign w:val="center"/>
                </w:tcPr>
                <w:p w14:paraId="5CEE2616">
                  <w:pPr>
                    <w:spacing w:line="280" w:lineRule="exact"/>
                    <w:ind w:firstLine="0" w:firstLineChars="0"/>
                    <w:jc w:val="center"/>
                    <w:rPr>
                      <w:rFonts w:hint="eastAsia" w:ascii="Times New Roman" w:hAnsi="Times New Roman" w:eastAsia="宋体" w:cs="Times New Roman"/>
                      <w:color w:val="auto"/>
                      <w:kern w:val="2"/>
                      <w:sz w:val="18"/>
                      <w:szCs w:val="18"/>
                      <w:lang w:val="en-US" w:eastAsia="zh-CN" w:bidi="ar-SA"/>
                    </w:rPr>
                  </w:pPr>
                  <w:r>
                    <w:rPr>
                      <w:rFonts w:hint="eastAsia"/>
                      <w:color w:val="auto"/>
                      <w:sz w:val="18"/>
                      <w:szCs w:val="18"/>
                    </w:rPr>
                    <w:t>符合</w:t>
                  </w:r>
                </w:p>
              </w:tc>
            </w:tr>
            <w:tr w14:paraId="4FB0FD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3" w:hRule="exact"/>
                <w:jc w:val="center"/>
              </w:trPr>
              <w:tc>
                <w:tcPr>
                  <w:tcW w:w="573" w:type="pct"/>
                  <w:gridSpan w:val="2"/>
                  <w:vMerge w:val="continue"/>
                  <w:tcBorders>
                    <w:tl2br w:val="nil"/>
                    <w:tr2bl w:val="nil"/>
                  </w:tcBorders>
                  <w:noWrap w:val="0"/>
                  <w:tcMar>
                    <w:left w:w="0" w:type="dxa"/>
                    <w:right w:w="0" w:type="dxa"/>
                  </w:tcMar>
                  <w:vAlign w:val="center"/>
                </w:tcPr>
                <w:p w14:paraId="18BF0742">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2993" w:type="pct"/>
                  <w:gridSpan w:val="2"/>
                  <w:tcBorders>
                    <w:tl2br w:val="nil"/>
                    <w:tr2bl w:val="nil"/>
                  </w:tcBorders>
                  <w:noWrap w:val="0"/>
                  <w:tcMar>
                    <w:left w:w="0" w:type="dxa"/>
                    <w:right w:w="0" w:type="dxa"/>
                  </w:tcMar>
                  <w:vAlign w:val="center"/>
                </w:tcPr>
                <w:p w14:paraId="1E9670B0">
                  <w:pPr>
                    <w:spacing w:line="240" w:lineRule="exact"/>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推进治理设施改造提升。坚持“应收尽收、分质收集”原则，严禁生产工艺产生的高浓度废气与无组织收集的低浓度废气混合稀释排放，确保排放浓度和去除效率“双达标”。</w:t>
                  </w:r>
                </w:p>
              </w:tc>
              <w:tc>
                <w:tcPr>
                  <w:tcW w:w="1231" w:type="pct"/>
                  <w:gridSpan w:val="2"/>
                  <w:tcBorders>
                    <w:tl2br w:val="nil"/>
                    <w:tr2bl w:val="nil"/>
                  </w:tcBorders>
                  <w:noWrap w:val="0"/>
                  <w:tcMar>
                    <w:left w:w="0" w:type="dxa"/>
                    <w:right w:w="0" w:type="dxa"/>
                  </w:tcMar>
                  <w:vAlign w:val="center"/>
                </w:tcPr>
                <w:p w14:paraId="47F021AB">
                  <w:pPr>
                    <w:spacing w:line="240" w:lineRule="exact"/>
                    <w:jc w:val="left"/>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项目实验区域为封闭空间，采用整体排风，经通风橱与万向罩收集设施收集后由二级活性炭吸附装置处理，达标后经</w:t>
                  </w:r>
                  <w:r>
                    <w:rPr>
                      <w:rFonts w:hint="eastAsia"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高排气筒排放，排放浓度和去除效率均达标。</w:t>
                  </w:r>
                </w:p>
              </w:tc>
              <w:tc>
                <w:tcPr>
                  <w:tcW w:w="202" w:type="pct"/>
                  <w:gridSpan w:val="2"/>
                  <w:tcBorders>
                    <w:tl2br w:val="nil"/>
                    <w:tr2bl w:val="nil"/>
                  </w:tcBorders>
                  <w:noWrap w:val="0"/>
                  <w:tcMar>
                    <w:left w:w="0" w:type="dxa"/>
                    <w:right w:w="0" w:type="dxa"/>
                  </w:tcMar>
                  <w:vAlign w:val="center"/>
                </w:tcPr>
                <w:p w14:paraId="56C277AE">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符合</w:t>
                  </w:r>
                </w:p>
              </w:tc>
            </w:tr>
          </w:tbl>
          <w:p w14:paraId="504C7A2D">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2B37CFCC">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6DC924E3">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40A0BD3C">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1414134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1419B809">
            <w:pPr>
              <w:pStyle w:val="22"/>
              <w:jc w:val="center"/>
              <w:outlineLvl w:val="0"/>
              <w:rPr>
                <w:rFonts w:hint="eastAsia" w:ascii="黑体" w:hAnsi="黑体" w:eastAsia="黑体"/>
                <w:snapToGrid w:val="0"/>
                <w:color w:val="auto"/>
                <w:sz w:val="30"/>
                <w:szCs w:val="30"/>
                <w:vertAlign w:val="baseline"/>
              </w:rPr>
            </w:pPr>
          </w:p>
        </w:tc>
      </w:tr>
    </w:tbl>
    <w:p w14:paraId="1A482152">
      <w:pPr>
        <w:pStyle w:val="37"/>
        <w:rPr>
          <w:color w:val="auto"/>
        </w:rPr>
        <w:sectPr>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00ADB981">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二、建设项目工程分析</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3"/>
        <w:gridCol w:w="8161"/>
      </w:tblGrid>
      <w:tr w14:paraId="2BE6DD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823" w:type="dxa"/>
            <w:vAlign w:val="center"/>
          </w:tcPr>
          <w:p w14:paraId="3A33DE29">
            <w:pPr>
              <w:pStyle w:val="22"/>
              <w:adjustRightInd w:val="0"/>
              <w:snapToGrid w:val="0"/>
              <w:spacing w:before="0" w:beforeAutospacing="0" w:after="0" w:afterAutospacing="0"/>
              <w:jc w:val="center"/>
              <w:rPr>
                <w:rFonts w:cs="宋体"/>
                <w:color w:val="auto"/>
                <w:sz w:val="21"/>
                <w:szCs w:val="21"/>
                <w:highlight w:val="none"/>
              </w:rPr>
            </w:pPr>
            <w:r>
              <w:rPr>
                <w:rFonts w:hint="eastAsia" w:cs="宋体"/>
                <w:color w:val="auto"/>
                <w:sz w:val="21"/>
                <w:szCs w:val="21"/>
                <w:highlight w:val="none"/>
              </w:rPr>
              <w:t>建设内容</w:t>
            </w:r>
          </w:p>
        </w:tc>
        <w:tc>
          <w:tcPr>
            <w:tcW w:w="8161" w:type="dxa"/>
          </w:tcPr>
          <w:p w14:paraId="300F4613">
            <w:pPr>
              <w:pStyle w:val="22"/>
              <w:adjustRightInd w:val="0"/>
              <w:snapToGrid w:val="0"/>
              <w:spacing w:before="0" w:beforeAutospacing="0" w:after="0" w:afterAutospacing="0" w:line="440" w:lineRule="exact"/>
              <w:ind w:firstLine="422" w:firstLineChars="200"/>
              <w:rPr>
                <w:rFonts w:hint="eastAsia" w:ascii="Times New Roman" w:hAnsi="Times New Roman"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1</w:t>
            </w:r>
            <w:r>
              <w:rPr>
                <w:rFonts w:hint="eastAsia" w:ascii="Times New Roman" w:hAnsi="Times New Roman" w:cs="Times New Roman"/>
                <w:b/>
                <w:color w:val="auto"/>
                <w:sz w:val="21"/>
                <w:szCs w:val="21"/>
                <w:highlight w:val="none"/>
              </w:rPr>
              <w:t>.项目</w:t>
            </w:r>
            <w:r>
              <w:rPr>
                <w:rFonts w:hint="eastAsia" w:ascii="Times New Roman" w:hAnsi="Times New Roman" w:cs="Times New Roman"/>
                <w:b/>
                <w:color w:val="auto"/>
                <w:sz w:val="21"/>
                <w:szCs w:val="21"/>
                <w:highlight w:val="none"/>
                <w:lang w:val="en-US" w:eastAsia="zh-CN"/>
              </w:rPr>
              <w:t>由来</w:t>
            </w:r>
          </w:p>
          <w:p w14:paraId="3DBAA59D">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环境监测是科学管理环境和环境执法监督的基础，是环境保护必不可少的基础性工作，起着支撑决策、保障民生的作用。环境监测数据是制定环境保护政策和措施的基础，是环境管理、环境执法、信息发布和环保目标责任制考核的依据。随着社会经济的不断增长，国民环保意识的不断提升，居民对涉及到切身安全的环境质量的关注度有了很大程度的提高，环境监测机构的数量及质量有待提升。为了满足日益增长的市场需求，河北兆惠恒美检测技术有限公司拟投资在迁安市永顺街道昌盛路与兴安大街交叉口620号建设实验室项目，建成后具备独立的环境数据检测能力，为客户提供检测数据及服务，项目检测范围涵盖水、气、土壤、噪声领域检测。</w:t>
            </w:r>
          </w:p>
          <w:p w14:paraId="55130AA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河北兆惠恒美检测技术有限公司实验室建设项目已于</w:t>
            </w:r>
            <w:r>
              <w:rPr>
                <w:rFonts w:hint="default" w:ascii="Times New Roman" w:hAnsi="Times New Roman" w:cs="Times New Roman"/>
                <w:color w:val="auto"/>
                <w:sz w:val="21"/>
                <w:szCs w:val="21"/>
                <w:highlight w:val="none"/>
                <w:lang w:val="en-US" w:eastAsia="zh-CN"/>
              </w:rPr>
              <w:t>20</w:t>
            </w:r>
            <w:r>
              <w:rPr>
                <w:rFonts w:hint="eastAsia" w:ascii="Times New Roman" w:hAnsi="Times New Roman" w:cs="Times New Roman"/>
                <w:color w:val="auto"/>
                <w:sz w:val="21"/>
                <w:szCs w:val="21"/>
                <w:highlight w:val="none"/>
                <w:lang w:val="en-US" w:eastAsia="zh-CN"/>
              </w:rPr>
              <w:t xml:space="preserve">21年建成，根据《关于建设项目“未批先建”违法行为法律适用问题的意见》（环政法函〔2018〕31号）及《关于加强“未批先建”建设项目环境影响评价管理工作的通知》（环办环评〔2018〕18号）中的相关条款“未批先建”违法行为自建设行为终了之日起二年内未被发现的，依法不予行政处罚。该项目违法行为已超过行政处罚的追溯期限，唐山市生态环境局迁安市分局未作出处罚。 </w:t>
            </w:r>
          </w:p>
          <w:p w14:paraId="7F93C0C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根据《中华人民共和国环境影响评价法》和《建设项目环境影响评价分类管理名录》等有关环保政策法规的要求，该项目属于四十五、研究和试验发展，98专业实验室、研发（试验）基地，本项目属于“其他（不产生实验废气、废水、危险废物的除外）”，需编制环境影响报告表。河北兆惠恒美检测技术有限公司委托我公司进行该项目环境影响评价工作。接受委托后，我单位组织技术人员对本项目进行现场踏勘，详细地搜集了与本项目有关的技术资料，按照《环境影响评价技术导则》等的有关规定，编制完成了本项目环境影响报告表。</w:t>
            </w:r>
          </w:p>
          <w:p w14:paraId="6CB04732">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2.</w:t>
            </w:r>
            <w:r>
              <w:rPr>
                <w:rFonts w:hint="eastAsia" w:ascii="Times New Roman" w:hAnsi="Times New Roman"/>
                <w:b/>
                <w:color w:val="auto"/>
                <w:sz w:val="21"/>
                <w:szCs w:val="21"/>
                <w:highlight w:val="none"/>
              </w:rPr>
              <w:t>工</w:t>
            </w:r>
            <w:r>
              <w:rPr>
                <w:rFonts w:ascii="Times New Roman" w:hAnsi="Times New Roman"/>
                <w:b/>
                <w:color w:val="auto"/>
                <w:sz w:val="21"/>
                <w:szCs w:val="21"/>
                <w:highlight w:val="none"/>
              </w:rPr>
              <w:t>程概况</w:t>
            </w:r>
          </w:p>
          <w:p w14:paraId="16FACD80">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hint="eastAsia" w:ascii="Times New Roman" w:hAnsi="Times New Roman"/>
                <w:color w:val="auto"/>
                <w:sz w:val="21"/>
                <w:szCs w:val="21"/>
                <w:highlight w:val="none"/>
              </w:rPr>
              <w:t>①</w:t>
            </w:r>
            <w:r>
              <w:rPr>
                <w:rFonts w:ascii="Times New Roman" w:hAnsi="Times New Roman"/>
                <w:color w:val="auto"/>
                <w:sz w:val="21"/>
                <w:szCs w:val="21"/>
                <w:highlight w:val="none"/>
              </w:rPr>
              <w:t>项目名称：</w:t>
            </w:r>
            <w:r>
              <w:rPr>
                <w:rFonts w:hint="eastAsia" w:ascii="Times New Roman" w:hAnsi="Times New Roman" w:cs="Times New Roman"/>
                <w:color w:val="auto"/>
                <w:sz w:val="21"/>
                <w:szCs w:val="21"/>
                <w:highlight w:val="none"/>
                <w:lang w:val="en-US" w:eastAsia="zh-CN"/>
              </w:rPr>
              <w:t>实验室建设项目</w:t>
            </w:r>
          </w:p>
          <w:p w14:paraId="7C1380D2">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hint="eastAsia" w:ascii="Times New Roman" w:hAnsi="Times New Roman"/>
                <w:color w:val="auto"/>
                <w:sz w:val="21"/>
                <w:szCs w:val="21"/>
                <w:highlight w:val="none"/>
              </w:rPr>
              <w:t>②</w:t>
            </w:r>
            <w:r>
              <w:rPr>
                <w:rFonts w:ascii="Times New Roman" w:hAnsi="Times New Roman"/>
                <w:color w:val="auto"/>
                <w:sz w:val="21"/>
                <w:szCs w:val="21"/>
                <w:highlight w:val="none"/>
              </w:rPr>
              <w:t>建设单位：</w:t>
            </w:r>
            <w:r>
              <w:rPr>
                <w:rFonts w:hint="eastAsia" w:ascii="Times New Roman" w:hAnsi="Times New Roman" w:cs="Times New Roman"/>
                <w:color w:val="auto"/>
                <w:sz w:val="21"/>
                <w:szCs w:val="21"/>
                <w:highlight w:val="none"/>
                <w:lang w:val="en-US" w:eastAsia="zh-CN"/>
              </w:rPr>
              <w:t>河北兆惠恒美检测技术有限公司</w:t>
            </w:r>
          </w:p>
          <w:p w14:paraId="2656738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olor w:val="auto"/>
                <w:sz w:val="21"/>
                <w:szCs w:val="21"/>
                <w:highlight w:val="none"/>
              </w:rPr>
              <w:t>③</w:t>
            </w:r>
            <w:r>
              <w:rPr>
                <w:rFonts w:hint="eastAsia" w:ascii="Times New Roman" w:hAnsi="Times New Roman" w:cs="Times New Roman"/>
                <w:color w:val="auto"/>
                <w:sz w:val="21"/>
                <w:szCs w:val="21"/>
                <w:highlight w:val="none"/>
                <w:lang w:val="en-US" w:eastAsia="zh-CN"/>
              </w:rPr>
              <w:t>建设地点：河北省迁安市永顺昌盛路与兴安大街交叉口620号</w:t>
            </w:r>
          </w:p>
          <w:p w14:paraId="08174A26">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yellow"/>
                <w:lang w:val="en-US" w:eastAsia="zh-CN"/>
              </w:rPr>
            </w:pPr>
            <w:r>
              <w:rPr>
                <w:rFonts w:hint="eastAsia" w:ascii="Times New Roman" w:hAnsi="Times New Roman" w:cs="Times New Roman"/>
                <w:color w:val="auto"/>
                <w:sz w:val="21"/>
                <w:szCs w:val="21"/>
                <w:highlight w:val="none"/>
                <w:lang w:val="en-US" w:eastAsia="zh-CN"/>
              </w:rPr>
              <w:t>④</w:t>
            </w:r>
            <w:r>
              <w:rPr>
                <w:rFonts w:hint="default" w:ascii="Times New Roman" w:hAnsi="Times New Roman" w:cs="Times New Roman"/>
                <w:color w:val="auto"/>
                <w:sz w:val="21"/>
                <w:szCs w:val="21"/>
                <w:highlight w:val="none"/>
              </w:rPr>
              <w:t>主要建设内容及规模：项目购置安装无机废气处理系统、有机废气处理系统、颗粒物处理系统、消防自动喷淋系统、室内空气净化系统以及实验室内检测等设备</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利用现有五层办公用房1栋，消防水池泵房等配套设施及附属用房，总建筑面积 3500平方米。</w:t>
            </w:r>
            <w:r>
              <w:rPr>
                <w:rFonts w:hint="eastAsia" w:ascii="Times New Roman" w:hAnsi="Times New Roman" w:cs="Times New Roman"/>
                <w:color w:val="auto"/>
                <w:sz w:val="21"/>
                <w:szCs w:val="21"/>
                <w:highlight w:val="none"/>
                <w:lang w:val="en-US" w:eastAsia="zh-CN"/>
              </w:rPr>
              <w:t>项目主要建设内容见表5。</w:t>
            </w:r>
          </w:p>
          <w:p w14:paraId="3CA78C70">
            <w:pPr>
              <w:spacing w:line="460" w:lineRule="exact"/>
              <w:jc w:val="center"/>
              <w:rPr>
                <w:rFonts w:hAnsi="宋体"/>
                <w:b/>
                <w:color w:val="auto"/>
                <w:highlight w:val="none"/>
              </w:rPr>
            </w:pPr>
            <w:r>
              <w:rPr>
                <w:rFonts w:hint="eastAsia" w:hAnsi="宋体"/>
                <w:b/>
                <w:color w:val="auto"/>
                <w:highlight w:val="none"/>
              </w:rPr>
              <w:t>表</w:t>
            </w:r>
            <w:r>
              <w:rPr>
                <w:rFonts w:hint="eastAsia" w:hAnsi="宋体"/>
                <w:b/>
                <w:color w:val="auto"/>
                <w:highlight w:val="none"/>
                <w:lang w:val="en-US" w:eastAsia="zh-CN"/>
              </w:rPr>
              <w:t>5</w:t>
            </w:r>
            <w:r>
              <w:rPr>
                <w:rFonts w:hint="eastAsia" w:hAnsi="宋体"/>
                <w:b/>
                <w:color w:val="auto"/>
                <w:highlight w:val="none"/>
              </w:rPr>
              <w:t xml:space="preserve"> 项目建设情况一览表</w:t>
            </w:r>
          </w:p>
          <w:tbl>
            <w:tblPr>
              <w:tblStyle w:val="26"/>
              <w:tblW w:w="8014"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7"/>
              <w:gridCol w:w="660"/>
              <w:gridCol w:w="1620"/>
              <w:gridCol w:w="5197"/>
            </w:tblGrid>
            <w:tr w14:paraId="32142A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70" w:hRule="atLeast"/>
              </w:trPr>
              <w:tc>
                <w:tcPr>
                  <w:tcW w:w="537" w:type="dxa"/>
                  <w:tcBorders>
                    <w:tl2br w:val="nil"/>
                    <w:tr2bl w:val="nil"/>
                  </w:tcBorders>
                  <w:vAlign w:val="center"/>
                </w:tcPr>
                <w:p w14:paraId="3529E227">
                  <w:pPr>
                    <w:snapToGrid w:val="0"/>
                    <w:spacing w:line="0" w:lineRule="atLeast"/>
                    <w:jc w:val="center"/>
                    <w:rPr>
                      <w:color w:val="auto"/>
                      <w:spacing w:val="-10"/>
                      <w:sz w:val="18"/>
                      <w:szCs w:val="18"/>
                      <w:highlight w:val="none"/>
                    </w:rPr>
                  </w:pPr>
                  <w:r>
                    <w:rPr>
                      <w:color w:val="auto"/>
                      <w:spacing w:val="-10"/>
                      <w:sz w:val="18"/>
                      <w:szCs w:val="18"/>
                      <w:highlight w:val="none"/>
                    </w:rPr>
                    <w:t>项目</w:t>
                  </w:r>
                </w:p>
              </w:tc>
              <w:tc>
                <w:tcPr>
                  <w:tcW w:w="2280" w:type="dxa"/>
                  <w:gridSpan w:val="2"/>
                  <w:tcBorders>
                    <w:tl2br w:val="nil"/>
                    <w:tr2bl w:val="nil"/>
                  </w:tcBorders>
                  <w:vAlign w:val="center"/>
                </w:tcPr>
                <w:p w14:paraId="2682183C">
                  <w:pPr>
                    <w:snapToGrid w:val="0"/>
                    <w:spacing w:line="0" w:lineRule="atLeast"/>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工程名称</w:t>
                  </w:r>
                </w:p>
              </w:tc>
              <w:tc>
                <w:tcPr>
                  <w:tcW w:w="5197" w:type="dxa"/>
                  <w:tcBorders>
                    <w:tl2br w:val="nil"/>
                    <w:tr2bl w:val="nil"/>
                  </w:tcBorders>
                  <w:vAlign w:val="center"/>
                </w:tcPr>
                <w:p w14:paraId="781696B2">
                  <w:pPr>
                    <w:snapToGrid w:val="0"/>
                    <w:spacing w:line="0" w:lineRule="atLeast"/>
                    <w:jc w:val="center"/>
                    <w:rPr>
                      <w:color w:val="auto"/>
                      <w:spacing w:val="-10"/>
                      <w:sz w:val="18"/>
                      <w:szCs w:val="18"/>
                      <w:highlight w:val="none"/>
                    </w:rPr>
                  </w:pPr>
                  <w:r>
                    <w:rPr>
                      <w:color w:val="auto"/>
                      <w:spacing w:val="-10"/>
                      <w:sz w:val="18"/>
                      <w:szCs w:val="18"/>
                      <w:highlight w:val="none"/>
                    </w:rPr>
                    <w:t>工程内容</w:t>
                  </w:r>
                </w:p>
              </w:tc>
            </w:tr>
            <w:tr w14:paraId="1397952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restart"/>
                  <w:tcBorders>
                    <w:tl2br w:val="nil"/>
                    <w:tr2bl w:val="nil"/>
                  </w:tcBorders>
                  <w:vAlign w:val="center"/>
                </w:tcPr>
                <w:p w14:paraId="1BFCBE03">
                  <w:pPr>
                    <w:snapToGrid w:val="0"/>
                    <w:spacing w:line="0" w:lineRule="atLeast"/>
                    <w:jc w:val="center"/>
                    <w:rPr>
                      <w:color w:val="auto"/>
                      <w:spacing w:val="-10"/>
                      <w:sz w:val="18"/>
                      <w:szCs w:val="18"/>
                      <w:highlight w:val="none"/>
                    </w:rPr>
                  </w:pPr>
                  <w:r>
                    <w:rPr>
                      <w:color w:val="auto"/>
                      <w:spacing w:val="-10"/>
                      <w:sz w:val="18"/>
                      <w:szCs w:val="18"/>
                      <w:highlight w:val="none"/>
                    </w:rPr>
                    <w:t>主体</w:t>
                  </w:r>
                </w:p>
                <w:p w14:paraId="6EF77FB0">
                  <w:pPr>
                    <w:snapToGrid w:val="0"/>
                    <w:spacing w:line="0" w:lineRule="atLeast"/>
                    <w:jc w:val="center"/>
                    <w:rPr>
                      <w:color w:val="auto"/>
                      <w:spacing w:val="-10"/>
                      <w:sz w:val="18"/>
                      <w:szCs w:val="18"/>
                      <w:highlight w:val="none"/>
                    </w:rPr>
                  </w:pPr>
                  <w:r>
                    <w:rPr>
                      <w:color w:val="auto"/>
                      <w:spacing w:val="-10"/>
                      <w:sz w:val="18"/>
                      <w:szCs w:val="18"/>
                      <w:highlight w:val="none"/>
                    </w:rPr>
                    <w:t>工程</w:t>
                  </w:r>
                </w:p>
              </w:tc>
              <w:tc>
                <w:tcPr>
                  <w:tcW w:w="660" w:type="dxa"/>
                  <w:vMerge w:val="restart"/>
                  <w:tcBorders>
                    <w:tl2br w:val="nil"/>
                    <w:tr2bl w:val="nil"/>
                  </w:tcBorders>
                  <w:vAlign w:val="center"/>
                </w:tcPr>
                <w:p w14:paraId="661C3A0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一层</w:t>
                  </w:r>
                </w:p>
              </w:tc>
              <w:tc>
                <w:tcPr>
                  <w:tcW w:w="1620" w:type="dxa"/>
                  <w:tcBorders>
                    <w:tl2br w:val="nil"/>
                    <w:tr2bl w:val="nil"/>
                  </w:tcBorders>
                  <w:vAlign w:val="center"/>
                </w:tcPr>
                <w:p w14:paraId="58DEFDEE">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破碎室</w:t>
                  </w:r>
                </w:p>
              </w:tc>
              <w:tc>
                <w:tcPr>
                  <w:tcW w:w="5197" w:type="dxa"/>
                  <w:tcBorders>
                    <w:tl2br w:val="nil"/>
                    <w:tr2bl w:val="nil"/>
                  </w:tcBorders>
                  <w:vAlign w:val="center"/>
                </w:tcPr>
                <w:p w14:paraId="5106DB7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color w:val="auto"/>
                      <w:spacing w:val="-10"/>
                      <w:sz w:val="18"/>
                      <w:szCs w:val="18"/>
                    </w:rPr>
                    <w:t>主要对需测定的土壤进行破碎、研磨</w:t>
                  </w:r>
                  <w:r>
                    <w:rPr>
                      <w:rFonts w:hint="eastAsia" w:ascii="Times New Roman" w:hAnsi="Times New Roman" w:cs="Times New Roman"/>
                      <w:color w:val="auto"/>
                      <w:spacing w:val="-10"/>
                      <w:sz w:val="18"/>
                      <w:szCs w:val="18"/>
                      <w:highlight w:val="none"/>
                    </w:rPr>
                    <w:t>。</w:t>
                  </w:r>
                </w:p>
              </w:tc>
            </w:tr>
            <w:tr w14:paraId="34D038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4D2BDE29">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6D6BC404">
                  <w:pPr>
                    <w:snapToGrid w:val="0"/>
                    <w:spacing w:line="0" w:lineRule="atLeast"/>
                    <w:jc w:val="center"/>
                    <w:rPr>
                      <w:rFonts w:hint="eastAsia" w:ascii="Times New Roman" w:hAnsi="Times New Roman" w:cs="Times New Roman"/>
                      <w:color w:val="auto"/>
                      <w:spacing w:val="-10"/>
                      <w:sz w:val="18"/>
                      <w:szCs w:val="18"/>
                      <w:highlight w:val="none"/>
                    </w:rPr>
                  </w:pPr>
                </w:p>
              </w:tc>
              <w:tc>
                <w:tcPr>
                  <w:tcW w:w="1620" w:type="dxa"/>
                  <w:tcBorders>
                    <w:tl2br w:val="nil"/>
                    <w:tr2bl w:val="nil"/>
                  </w:tcBorders>
                  <w:shd w:val="clear" w:color="auto" w:fill="auto"/>
                  <w:vAlign w:val="center"/>
                </w:tcPr>
                <w:p w14:paraId="21F4BA79">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现场设备室</w:t>
                  </w:r>
                </w:p>
              </w:tc>
              <w:tc>
                <w:tcPr>
                  <w:tcW w:w="5197" w:type="dxa"/>
                  <w:tcBorders>
                    <w:tl2br w:val="nil"/>
                    <w:tr2bl w:val="nil"/>
                  </w:tcBorders>
                  <w:shd w:val="clear" w:color="auto" w:fill="auto"/>
                  <w:vAlign w:val="center"/>
                </w:tcPr>
                <w:p w14:paraId="3B0AA37D">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用于现场设备的存放。</w:t>
                  </w:r>
                </w:p>
              </w:tc>
            </w:tr>
            <w:tr w14:paraId="540FCE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030C2E5">
                  <w:pPr>
                    <w:snapToGrid w:val="0"/>
                    <w:spacing w:line="0" w:lineRule="atLeast"/>
                    <w:jc w:val="center"/>
                    <w:rPr>
                      <w:color w:val="auto"/>
                      <w:spacing w:val="-10"/>
                      <w:sz w:val="18"/>
                      <w:szCs w:val="18"/>
                      <w:highlight w:val="none"/>
                    </w:rPr>
                  </w:pPr>
                </w:p>
              </w:tc>
              <w:tc>
                <w:tcPr>
                  <w:tcW w:w="660" w:type="dxa"/>
                  <w:vMerge w:val="restart"/>
                  <w:tcBorders>
                    <w:tl2br w:val="nil"/>
                    <w:tr2bl w:val="nil"/>
                  </w:tcBorders>
                  <w:vAlign w:val="center"/>
                </w:tcPr>
                <w:p w14:paraId="46780D2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二层</w:t>
                  </w:r>
                </w:p>
              </w:tc>
              <w:tc>
                <w:tcPr>
                  <w:tcW w:w="1620" w:type="dxa"/>
                  <w:tcBorders>
                    <w:tl2br w:val="nil"/>
                    <w:tr2bl w:val="nil"/>
                  </w:tcBorders>
                  <w:vAlign w:val="center"/>
                </w:tcPr>
                <w:p w14:paraId="1B695188">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理化室</w:t>
                  </w:r>
                </w:p>
              </w:tc>
              <w:tc>
                <w:tcPr>
                  <w:tcW w:w="5197" w:type="dxa"/>
                  <w:tcBorders>
                    <w:tl2br w:val="nil"/>
                    <w:tr2bl w:val="nil"/>
                  </w:tcBorders>
                  <w:vAlign w:val="center"/>
                </w:tcPr>
                <w:p w14:paraId="1C893E4F">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主要进行</w:t>
                  </w:r>
                  <w:r>
                    <w:rPr>
                      <w:rFonts w:hint="eastAsia" w:ascii="Times New Roman" w:hAnsi="Times New Roman" w:cs="Times New Roman"/>
                      <w:color w:val="auto"/>
                      <w:spacing w:val="-10"/>
                      <w:sz w:val="18"/>
                      <w:szCs w:val="18"/>
                      <w:highlight w:val="none"/>
                      <w:lang w:val="en-US" w:eastAsia="zh-CN"/>
                    </w:rPr>
                    <w:t>理化试验</w:t>
                  </w:r>
                </w:p>
              </w:tc>
            </w:tr>
            <w:tr w14:paraId="754B5E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32CB7328">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26D83BAF">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0BDE242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原子吸收、原子荧光室</w:t>
                  </w:r>
                </w:p>
              </w:tc>
              <w:tc>
                <w:tcPr>
                  <w:tcW w:w="5197" w:type="dxa"/>
                  <w:tcBorders>
                    <w:tl2br w:val="nil"/>
                    <w:tr2bl w:val="nil"/>
                  </w:tcBorders>
                  <w:vAlign w:val="center"/>
                </w:tcPr>
                <w:p w14:paraId="3B565AFD">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用于做原子吸收、原子荧光因子试验，内设原子吸收分光光度计等设备仪器。</w:t>
                  </w:r>
                </w:p>
              </w:tc>
            </w:tr>
            <w:tr w14:paraId="3AF6C0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69F5B2EC">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0707BD55">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5A716962">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高温室</w:t>
                  </w:r>
                </w:p>
              </w:tc>
              <w:tc>
                <w:tcPr>
                  <w:tcW w:w="5197" w:type="dxa"/>
                  <w:tcBorders>
                    <w:tl2br w:val="nil"/>
                    <w:tr2bl w:val="nil"/>
                  </w:tcBorders>
                  <w:vAlign w:val="center"/>
                </w:tcPr>
                <w:p w14:paraId="750FDB13">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主要用于样品加热等，设置电热鼓风干燥箱等设备</w:t>
                  </w:r>
                </w:p>
              </w:tc>
            </w:tr>
            <w:tr w14:paraId="39BB01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21BB8D14">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1FE6046A">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shd w:val="clear" w:color="auto" w:fill="auto"/>
                  <w:vAlign w:val="center"/>
                </w:tcPr>
                <w:p w14:paraId="63970D8D">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天平室</w:t>
                  </w:r>
                </w:p>
              </w:tc>
              <w:tc>
                <w:tcPr>
                  <w:tcW w:w="5197" w:type="dxa"/>
                  <w:tcBorders>
                    <w:tl2br w:val="nil"/>
                    <w:tr2bl w:val="nil"/>
                  </w:tcBorders>
                  <w:shd w:val="clear" w:color="auto" w:fill="auto"/>
                  <w:vAlign w:val="center"/>
                </w:tcPr>
                <w:p w14:paraId="40207483">
                  <w:pPr>
                    <w:snapToGrid w:val="0"/>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主要进行重量测定，布置分析析天平等仪器</w:t>
                  </w:r>
                </w:p>
              </w:tc>
            </w:tr>
            <w:tr w14:paraId="5F0F214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6E7A3D2B">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5F37F8BD">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31847DA1">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c>
                <w:tcPr>
                  <w:tcW w:w="5197" w:type="dxa"/>
                  <w:tcBorders>
                    <w:tl2br w:val="nil"/>
                    <w:tr2bl w:val="nil"/>
                  </w:tcBorders>
                  <w:vAlign w:val="center"/>
                </w:tcPr>
                <w:p w14:paraId="7DDCD00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主要用于存放化学试剂</w:t>
                  </w:r>
                </w:p>
              </w:tc>
            </w:tr>
            <w:tr w14:paraId="34BB9E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2AA3C1DC">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75A4F89A">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1C5C507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离子色谱室</w:t>
                  </w:r>
                </w:p>
              </w:tc>
              <w:tc>
                <w:tcPr>
                  <w:tcW w:w="5197" w:type="dxa"/>
                  <w:tcBorders>
                    <w:tl2br w:val="nil"/>
                    <w:tr2bl w:val="nil"/>
                  </w:tcBorders>
                  <w:vAlign w:val="center"/>
                </w:tcPr>
                <w:p w14:paraId="3DE64384">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分析物质</w:t>
                  </w:r>
                  <w:r>
                    <w:rPr>
                      <w:rFonts w:hint="eastAsia" w:ascii="Times New Roman" w:hAnsi="Times New Roman" w:cs="Times New Roman"/>
                      <w:color w:val="auto"/>
                      <w:spacing w:val="-10"/>
                      <w:sz w:val="18"/>
                      <w:szCs w:val="18"/>
                      <w:highlight w:val="none"/>
                    </w:rPr>
                    <w:fldChar w:fldCharType="begin"/>
                  </w:r>
                  <w:r>
                    <w:rPr>
                      <w:rFonts w:hint="eastAsia" w:ascii="Times New Roman" w:hAnsi="Times New Roman" w:cs="Times New Roman"/>
                      <w:color w:val="auto"/>
                      <w:spacing w:val="-10"/>
                      <w:sz w:val="18"/>
                      <w:szCs w:val="18"/>
                      <w:highlight w:val="none"/>
                    </w:rPr>
                    <w:instrText xml:space="preserve"> HYPERLINK "https://baike.baidu.com/item/%E9%98%B4%E7%A6%BB%E5%AD%90/1144223" \t "_blank" </w:instrText>
                  </w:r>
                  <w:r>
                    <w:rPr>
                      <w:rFonts w:hint="eastAsia" w:ascii="Times New Roman" w:hAnsi="Times New Roman" w:cs="Times New Roman"/>
                      <w:color w:val="auto"/>
                      <w:spacing w:val="-10"/>
                      <w:sz w:val="18"/>
                      <w:szCs w:val="18"/>
                      <w:highlight w:val="none"/>
                    </w:rPr>
                    <w:fldChar w:fldCharType="separate"/>
                  </w:r>
                  <w:r>
                    <w:rPr>
                      <w:rFonts w:hint="eastAsia" w:ascii="Times New Roman" w:hAnsi="Times New Roman" w:cs="Times New Roman"/>
                      <w:color w:val="auto"/>
                      <w:spacing w:val="-10"/>
                      <w:sz w:val="18"/>
                      <w:szCs w:val="18"/>
                      <w:highlight w:val="none"/>
                    </w:rPr>
                    <w:t>阴离子</w:t>
                  </w:r>
                  <w:r>
                    <w:rPr>
                      <w:rFonts w:hint="eastAsia" w:ascii="Times New Roman" w:hAnsi="Times New Roman" w:cs="Times New Roman"/>
                      <w:color w:val="auto"/>
                      <w:spacing w:val="-10"/>
                      <w:sz w:val="18"/>
                      <w:szCs w:val="18"/>
                      <w:highlight w:val="none"/>
                    </w:rPr>
                    <w:fldChar w:fldCharType="end"/>
                  </w:r>
                  <w:r>
                    <w:rPr>
                      <w:rFonts w:hint="eastAsia" w:ascii="Times New Roman" w:hAnsi="Times New Roman" w:cs="Times New Roman"/>
                      <w:color w:val="auto"/>
                      <w:spacing w:val="-10"/>
                      <w:sz w:val="18"/>
                      <w:szCs w:val="18"/>
                      <w:highlight w:val="none"/>
                    </w:rPr>
                    <w:t>和</w:t>
                  </w:r>
                  <w:r>
                    <w:rPr>
                      <w:rFonts w:hint="eastAsia" w:ascii="Times New Roman" w:hAnsi="Times New Roman" w:cs="Times New Roman"/>
                      <w:color w:val="auto"/>
                      <w:spacing w:val="-10"/>
                      <w:sz w:val="18"/>
                      <w:szCs w:val="18"/>
                      <w:highlight w:val="none"/>
                    </w:rPr>
                    <w:fldChar w:fldCharType="begin"/>
                  </w:r>
                  <w:r>
                    <w:rPr>
                      <w:rFonts w:hint="eastAsia" w:ascii="Times New Roman" w:hAnsi="Times New Roman" w:cs="Times New Roman"/>
                      <w:color w:val="auto"/>
                      <w:spacing w:val="-10"/>
                      <w:sz w:val="18"/>
                      <w:szCs w:val="18"/>
                      <w:highlight w:val="none"/>
                    </w:rPr>
                    <w:instrText xml:space="preserve"> HYPERLINK "https://baike.baidu.com/item/%E9%98%B3%E7%A6%BB%E5%AD%90/1144354" \t "_blank" </w:instrText>
                  </w:r>
                  <w:r>
                    <w:rPr>
                      <w:rFonts w:hint="eastAsia" w:ascii="Times New Roman" w:hAnsi="Times New Roman" w:cs="Times New Roman"/>
                      <w:color w:val="auto"/>
                      <w:spacing w:val="-10"/>
                      <w:sz w:val="18"/>
                      <w:szCs w:val="18"/>
                      <w:highlight w:val="none"/>
                    </w:rPr>
                    <w:fldChar w:fldCharType="separate"/>
                  </w:r>
                  <w:r>
                    <w:rPr>
                      <w:rFonts w:hint="eastAsia" w:ascii="Times New Roman" w:hAnsi="Times New Roman" w:cs="Times New Roman"/>
                      <w:color w:val="auto"/>
                      <w:spacing w:val="-10"/>
                      <w:sz w:val="18"/>
                      <w:szCs w:val="18"/>
                      <w:highlight w:val="none"/>
                    </w:rPr>
                    <w:t>阳离子</w:t>
                  </w:r>
                  <w:r>
                    <w:rPr>
                      <w:rFonts w:hint="eastAsia" w:ascii="Times New Roman" w:hAnsi="Times New Roman" w:cs="Times New Roman"/>
                      <w:color w:val="auto"/>
                      <w:spacing w:val="-10"/>
                      <w:sz w:val="18"/>
                      <w:szCs w:val="18"/>
                      <w:highlight w:val="none"/>
                    </w:rPr>
                    <w:fldChar w:fldCharType="end"/>
                  </w:r>
                  <w:r>
                    <w:rPr>
                      <w:rFonts w:hint="eastAsia" w:ascii="Times New Roman" w:hAnsi="Times New Roman" w:cs="Times New Roman"/>
                      <w:color w:val="auto"/>
                      <w:spacing w:val="-10"/>
                      <w:sz w:val="18"/>
                      <w:szCs w:val="18"/>
                      <w:highlight w:val="none"/>
                    </w:rPr>
                    <w:t>的液相色谱</w:t>
                  </w:r>
                </w:p>
              </w:tc>
            </w:tr>
            <w:tr w14:paraId="48DE15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92CEE6E">
                  <w:pPr>
                    <w:snapToGrid w:val="0"/>
                    <w:spacing w:line="0" w:lineRule="atLeast"/>
                    <w:jc w:val="center"/>
                    <w:rPr>
                      <w:color w:val="auto"/>
                      <w:spacing w:val="-10"/>
                      <w:sz w:val="18"/>
                      <w:szCs w:val="18"/>
                      <w:highlight w:val="none"/>
                    </w:rPr>
                  </w:pPr>
                </w:p>
              </w:tc>
              <w:tc>
                <w:tcPr>
                  <w:tcW w:w="660" w:type="dxa"/>
                  <w:vMerge w:val="restart"/>
                  <w:tcBorders>
                    <w:tl2br w:val="nil"/>
                    <w:tr2bl w:val="nil"/>
                  </w:tcBorders>
                  <w:vAlign w:val="center"/>
                </w:tcPr>
                <w:p w14:paraId="522F3DA6">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三层</w:t>
                  </w:r>
                </w:p>
              </w:tc>
              <w:tc>
                <w:tcPr>
                  <w:tcW w:w="1620" w:type="dxa"/>
                  <w:tcBorders>
                    <w:tl2br w:val="nil"/>
                    <w:tr2bl w:val="nil"/>
                  </w:tcBorders>
                  <w:vAlign w:val="center"/>
                </w:tcPr>
                <w:p w14:paraId="7832219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有机前处理室</w:t>
                  </w:r>
                </w:p>
              </w:tc>
              <w:tc>
                <w:tcPr>
                  <w:tcW w:w="5197" w:type="dxa"/>
                  <w:vMerge w:val="restart"/>
                  <w:tcBorders>
                    <w:tl2br w:val="nil"/>
                    <w:tr2bl w:val="nil"/>
                  </w:tcBorders>
                  <w:vAlign w:val="center"/>
                </w:tcPr>
                <w:p w14:paraId="0837CBEC">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主要对测定所需要的有机溶剂进行配制等前处理</w:t>
                  </w:r>
                </w:p>
              </w:tc>
            </w:tr>
            <w:tr w14:paraId="50F211A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26CD1592">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05DF782D">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3C77CB5E">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挥发前处理室</w:t>
                  </w:r>
                </w:p>
              </w:tc>
              <w:tc>
                <w:tcPr>
                  <w:tcW w:w="5197" w:type="dxa"/>
                  <w:vMerge w:val="continue"/>
                  <w:tcBorders>
                    <w:tl2br w:val="nil"/>
                    <w:tr2bl w:val="nil"/>
                  </w:tcBorders>
                  <w:vAlign w:val="center"/>
                </w:tcPr>
                <w:p w14:paraId="0ABFEB96">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r>
            <w:tr w14:paraId="2C362A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85" w:hRule="atLeast"/>
              </w:trPr>
              <w:tc>
                <w:tcPr>
                  <w:tcW w:w="537" w:type="dxa"/>
                  <w:vMerge w:val="continue"/>
                  <w:tcBorders>
                    <w:tl2br w:val="nil"/>
                    <w:tr2bl w:val="nil"/>
                  </w:tcBorders>
                  <w:vAlign w:val="center"/>
                </w:tcPr>
                <w:p w14:paraId="0AE57BF3">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52008710">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784214A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样品</w:t>
                  </w:r>
                  <w:r>
                    <w:rPr>
                      <w:rFonts w:hint="eastAsia" w:cs="Times New Roman"/>
                      <w:color w:val="auto"/>
                      <w:spacing w:val="-10"/>
                      <w:sz w:val="18"/>
                      <w:szCs w:val="18"/>
                      <w:highlight w:val="none"/>
                      <w:lang w:val="en-US" w:eastAsia="zh-CN"/>
                    </w:rPr>
                    <w:t>登记</w:t>
                  </w:r>
                  <w:r>
                    <w:rPr>
                      <w:rFonts w:hint="eastAsia" w:ascii="Times New Roman" w:hAnsi="Times New Roman" w:cs="Times New Roman"/>
                      <w:color w:val="auto"/>
                      <w:spacing w:val="-10"/>
                      <w:sz w:val="18"/>
                      <w:szCs w:val="18"/>
                      <w:highlight w:val="none"/>
                    </w:rPr>
                    <w:t>室</w:t>
                  </w:r>
                </w:p>
              </w:tc>
              <w:tc>
                <w:tcPr>
                  <w:tcW w:w="5197" w:type="dxa"/>
                  <w:tcBorders>
                    <w:tl2br w:val="nil"/>
                    <w:tr2bl w:val="nil"/>
                  </w:tcBorders>
                  <w:vAlign w:val="center"/>
                </w:tcPr>
                <w:p w14:paraId="5C1632D3">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主要对现场采样回来的样品进行</w:t>
                  </w:r>
                  <w:r>
                    <w:rPr>
                      <w:rFonts w:hint="eastAsia" w:cs="Times New Roman"/>
                      <w:color w:val="auto"/>
                      <w:spacing w:val="-10"/>
                      <w:sz w:val="18"/>
                      <w:szCs w:val="18"/>
                      <w:highlight w:val="none"/>
                      <w:lang w:val="en-US" w:eastAsia="zh-CN"/>
                    </w:rPr>
                    <w:t>登记、流转、处置</w:t>
                  </w:r>
                </w:p>
              </w:tc>
            </w:tr>
            <w:tr w14:paraId="03F4CC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12A40403">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2138DE93">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2B2F07DD">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恒温恒湿室</w:t>
                  </w:r>
                </w:p>
              </w:tc>
              <w:tc>
                <w:tcPr>
                  <w:tcW w:w="5197" w:type="dxa"/>
                  <w:tcBorders>
                    <w:tl2br w:val="nil"/>
                    <w:tr2bl w:val="nil"/>
                  </w:tcBorders>
                  <w:vAlign w:val="center"/>
                </w:tcPr>
                <w:p w14:paraId="11743CAC">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主要用于样品及采样耗材在恒温恒湿条件下的准备和称量，恒温恒湿室的恒温恒湿主要靠空调来维持；主要设置电子分析天平等实验仪器</w:t>
                  </w:r>
                </w:p>
              </w:tc>
            </w:tr>
            <w:tr w14:paraId="675D87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22F839FA">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33456FEA">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29783ED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天平室</w:t>
                  </w:r>
                </w:p>
              </w:tc>
              <w:tc>
                <w:tcPr>
                  <w:tcW w:w="5197" w:type="dxa"/>
                  <w:tcBorders>
                    <w:tl2br w:val="nil"/>
                    <w:tr2bl w:val="nil"/>
                  </w:tcBorders>
                  <w:vAlign w:val="center"/>
                </w:tcPr>
                <w:p w14:paraId="50DBC954">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主要进行重量测定，布置分析析天平等仪器</w:t>
                  </w:r>
                </w:p>
              </w:tc>
            </w:tr>
            <w:tr w14:paraId="34C753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50BBC1DF">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3F101603">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164EE27B">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风干室</w:t>
                  </w:r>
                </w:p>
              </w:tc>
              <w:tc>
                <w:tcPr>
                  <w:tcW w:w="5197" w:type="dxa"/>
                  <w:tcBorders>
                    <w:tl2br w:val="nil"/>
                    <w:tr2bl w:val="nil"/>
                  </w:tcBorders>
                  <w:vAlign w:val="center"/>
                </w:tcPr>
                <w:p w14:paraId="3663470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主要对需测定的土壤进行配制、晾晒等</w:t>
                  </w:r>
                </w:p>
              </w:tc>
            </w:tr>
            <w:tr w14:paraId="668700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12A6C6F">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4D74A2C5">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0E035498">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土壤制备间</w:t>
                  </w:r>
                </w:p>
              </w:tc>
              <w:tc>
                <w:tcPr>
                  <w:tcW w:w="5197" w:type="dxa"/>
                  <w:tcBorders>
                    <w:tl2br w:val="nil"/>
                    <w:tr2bl w:val="nil"/>
                  </w:tcBorders>
                  <w:vAlign w:val="center"/>
                </w:tcPr>
                <w:p w14:paraId="0AC0DD39">
                  <w:pPr>
                    <w:snapToGrid w:val="0"/>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主要对需测定的土壤进行</w:t>
                  </w:r>
                  <w:r>
                    <w:rPr>
                      <w:rFonts w:hint="eastAsia" w:cs="Times New Roman"/>
                      <w:color w:val="auto"/>
                      <w:spacing w:val="-10"/>
                      <w:sz w:val="18"/>
                      <w:szCs w:val="18"/>
                      <w:highlight w:val="none"/>
                      <w:lang w:val="en-US" w:eastAsia="zh-CN"/>
                    </w:rPr>
                    <w:t>制备</w:t>
                  </w:r>
                </w:p>
              </w:tc>
            </w:tr>
            <w:tr w14:paraId="496E72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0628DF01">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2BF15AA6">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2CB589B5">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气相室</w:t>
                  </w:r>
                </w:p>
              </w:tc>
              <w:tc>
                <w:tcPr>
                  <w:tcW w:w="5197" w:type="dxa"/>
                  <w:vMerge w:val="restart"/>
                  <w:tcBorders>
                    <w:tl2br w:val="nil"/>
                    <w:tr2bl w:val="nil"/>
                  </w:tcBorders>
                  <w:vAlign w:val="center"/>
                </w:tcPr>
                <w:p w14:paraId="0914835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用于做气相、气质实验，内设气相色谱仪、气质设备</w:t>
                  </w:r>
                </w:p>
              </w:tc>
            </w:tr>
            <w:tr w14:paraId="58A02F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4DFD986F">
                  <w:pPr>
                    <w:snapToGrid w:val="0"/>
                    <w:spacing w:line="0" w:lineRule="atLeast"/>
                    <w:jc w:val="center"/>
                    <w:rPr>
                      <w:color w:val="auto"/>
                      <w:spacing w:val="-10"/>
                      <w:sz w:val="18"/>
                      <w:szCs w:val="18"/>
                      <w:highlight w:val="none"/>
                    </w:rPr>
                  </w:pPr>
                </w:p>
              </w:tc>
              <w:tc>
                <w:tcPr>
                  <w:tcW w:w="660" w:type="dxa"/>
                  <w:vMerge w:val="continue"/>
                  <w:tcBorders>
                    <w:tl2br w:val="nil"/>
                    <w:tr2bl w:val="nil"/>
                  </w:tcBorders>
                  <w:vAlign w:val="center"/>
                </w:tcPr>
                <w:p w14:paraId="79A8507F">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4CDBA1D2">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气质室</w:t>
                  </w:r>
                </w:p>
              </w:tc>
              <w:tc>
                <w:tcPr>
                  <w:tcW w:w="5197" w:type="dxa"/>
                  <w:vMerge w:val="continue"/>
                  <w:tcBorders>
                    <w:tl2br w:val="nil"/>
                    <w:tr2bl w:val="nil"/>
                  </w:tcBorders>
                  <w:vAlign w:val="center"/>
                </w:tcPr>
                <w:p w14:paraId="16ECF532">
                  <w:pPr>
                    <w:snapToGrid w:val="0"/>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p>
              </w:tc>
            </w:tr>
            <w:tr w14:paraId="3708F3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restart"/>
                  <w:tcBorders>
                    <w:tl2br w:val="nil"/>
                    <w:tr2bl w:val="nil"/>
                  </w:tcBorders>
                  <w:vAlign w:val="center"/>
                </w:tcPr>
                <w:p w14:paraId="49C8D009">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辅助</w:t>
                  </w:r>
                </w:p>
                <w:p w14:paraId="74098D87">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工程</w:t>
                  </w:r>
                </w:p>
                <w:p w14:paraId="069D06A6">
                  <w:pPr>
                    <w:snapToGrid w:val="0"/>
                    <w:spacing w:line="0" w:lineRule="atLeast"/>
                    <w:jc w:val="center"/>
                    <w:rPr>
                      <w:rFonts w:hint="eastAsia" w:ascii="Times New Roman" w:hAnsi="Times New Roman" w:cs="Times New Roman"/>
                      <w:color w:val="auto"/>
                      <w:spacing w:val="-10"/>
                      <w:sz w:val="18"/>
                      <w:szCs w:val="18"/>
                      <w:highlight w:val="none"/>
                    </w:rPr>
                  </w:pPr>
                </w:p>
              </w:tc>
              <w:tc>
                <w:tcPr>
                  <w:tcW w:w="660" w:type="dxa"/>
                  <w:vMerge w:val="restart"/>
                  <w:tcBorders>
                    <w:tl2br w:val="nil"/>
                    <w:tr2bl w:val="nil"/>
                  </w:tcBorders>
                  <w:vAlign w:val="center"/>
                </w:tcPr>
                <w:p w14:paraId="306C4A72">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五层</w:t>
                  </w:r>
                </w:p>
              </w:tc>
              <w:tc>
                <w:tcPr>
                  <w:tcW w:w="1620" w:type="dxa"/>
                  <w:tcBorders>
                    <w:tl2br w:val="nil"/>
                    <w:tr2bl w:val="nil"/>
                  </w:tcBorders>
                  <w:vAlign w:val="center"/>
                </w:tcPr>
                <w:p w14:paraId="4F039BD5">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办公室、会议室</w:t>
                  </w:r>
                </w:p>
              </w:tc>
              <w:tc>
                <w:tcPr>
                  <w:tcW w:w="5197" w:type="dxa"/>
                  <w:tcBorders>
                    <w:tl2br w:val="nil"/>
                    <w:tr2bl w:val="nil"/>
                  </w:tcBorders>
                  <w:vAlign w:val="center"/>
                </w:tcPr>
                <w:p w14:paraId="3AE5B68F">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用于员工办公及开会</w:t>
                  </w:r>
                </w:p>
              </w:tc>
            </w:tr>
            <w:tr w14:paraId="27BBF7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380B01EF">
                  <w:pPr>
                    <w:snapToGrid w:val="0"/>
                    <w:spacing w:line="0" w:lineRule="atLeast"/>
                    <w:jc w:val="center"/>
                    <w:rPr>
                      <w:rFonts w:hint="eastAsia" w:ascii="Times New Roman" w:hAnsi="Times New Roman" w:cs="Times New Roman"/>
                      <w:color w:val="auto"/>
                      <w:spacing w:val="-10"/>
                      <w:sz w:val="18"/>
                      <w:szCs w:val="18"/>
                      <w:highlight w:val="none"/>
                    </w:rPr>
                  </w:pPr>
                </w:p>
              </w:tc>
              <w:tc>
                <w:tcPr>
                  <w:tcW w:w="660" w:type="dxa"/>
                  <w:vMerge w:val="continue"/>
                  <w:tcBorders>
                    <w:tl2br w:val="nil"/>
                    <w:tr2bl w:val="nil"/>
                  </w:tcBorders>
                  <w:vAlign w:val="center"/>
                </w:tcPr>
                <w:p w14:paraId="70FF0675">
                  <w:pPr>
                    <w:snapToGrid w:val="0"/>
                    <w:spacing w:line="0" w:lineRule="atLeast"/>
                    <w:jc w:val="center"/>
                    <w:rPr>
                      <w:rFonts w:hint="default" w:ascii="Times New Roman" w:hAnsi="Times New Roman" w:cs="Times New Roman"/>
                      <w:color w:val="auto"/>
                      <w:spacing w:val="-10"/>
                      <w:sz w:val="18"/>
                      <w:szCs w:val="18"/>
                      <w:highlight w:val="none"/>
                      <w:lang w:val="en-US" w:eastAsia="zh-CN"/>
                    </w:rPr>
                  </w:pPr>
                </w:p>
              </w:tc>
              <w:tc>
                <w:tcPr>
                  <w:tcW w:w="1620" w:type="dxa"/>
                  <w:tcBorders>
                    <w:tl2br w:val="nil"/>
                    <w:tr2bl w:val="nil"/>
                  </w:tcBorders>
                  <w:vAlign w:val="center"/>
                </w:tcPr>
                <w:p w14:paraId="7FC05B5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打印室</w:t>
                  </w:r>
                </w:p>
              </w:tc>
              <w:tc>
                <w:tcPr>
                  <w:tcW w:w="5197" w:type="dxa"/>
                  <w:tcBorders>
                    <w:tl2br w:val="nil"/>
                    <w:tr2bl w:val="nil"/>
                  </w:tcBorders>
                  <w:vAlign w:val="center"/>
                </w:tcPr>
                <w:p w14:paraId="2D1A20C7">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用于检测报告的打印</w:t>
                  </w:r>
                </w:p>
              </w:tc>
            </w:tr>
            <w:tr w14:paraId="28732E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85" w:hRule="atLeast"/>
              </w:trPr>
              <w:tc>
                <w:tcPr>
                  <w:tcW w:w="537" w:type="dxa"/>
                  <w:vMerge w:val="continue"/>
                  <w:tcBorders>
                    <w:tl2br w:val="nil"/>
                    <w:tr2bl w:val="nil"/>
                  </w:tcBorders>
                  <w:vAlign w:val="center"/>
                </w:tcPr>
                <w:p w14:paraId="0927DA4F">
                  <w:pPr>
                    <w:snapToGrid w:val="0"/>
                    <w:spacing w:line="0" w:lineRule="atLeast"/>
                    <w:jc w:val="center"/>
                    <w:rPr>
                      <w:rFonts w:hint="eastAsia" w:ascii="Times New Roman" w:hAnsi="Times New Roman" w:cs="Times New Roman"/>
                      <w:color w:val="auto"/>
                      <w:spacing w:val="-10"/>
                      <w:sz w:val="18"/>
                      <w:szCs w:val="18"/>
                      <w:highlight w:val="none"/>
                    </w:rPr>
                  </w:pPr>
                </w:p>
              </w:tc>
              <w:tc>
                <w:tcPr>
                  <w:tcW w:w="660" w:type="dxa"/>
                  <w:tcBorders>
                    <w:tl2br w:val="nil"/>
                    <w:tr2bl w:val="nil"/>
                  </w:tcBorders>
                  <w:vAlign w:val="center"/>
                </w:tcPr>
                <w:p w14:paraId="4188D4F8">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四层</w:t>
                  </w:r>
                </w:p>
              </w:tc>
              <w:tc>
                <w:tcPr>
                  <w:tcW w:w="1620" w:type="dxa"/>
                  <w:tcBorders>
                    <w:tl2br w:val="nil"/>
                    <w:tr2bl w:val="nil"/>
                  </w:tcBorders>
                  <w:vAlign w:val="center"/>
                </w:tcPr>
                <w:p w14:paraId="2F569A0E">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预留设备室</w:t>
                  </w:r>
                </w:p>
              </w:tc>
              <w:tc>
                <w:tcPr>
                  <w:tcW w:w="5197" w:type="dxa"/>
                  <w:tcBorders>
                    <w:tl2br w:val="nil"/>
                    <w:tr2bl w:val="nil"/>
                  </w:tcBorders>
                  <w:vAlign w:val="center"/>
                </w:tcPr>
                <w:p w14:paraId="79DC6A56">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用于以后新上检测设备的存放</w:t>
                  </w:r>
                </w:p>
              </w:tc>
            </w:tr>
            <w:tr w14:paraId="4E5722A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restart"/>
                  <w:tcBorders>
                    <w:tl2br w:val="nil"/>
                    <w:tr2bl w:val="nil"/>
                  </w:tcBorders>
                  <w:vAlign w:val="center"/>
                </w:tcPr>
                <w:p w14:paraId="021A41D5">
                  <w:pPr>
                    <w:snapToGrid w:val="0"/>
                    <w:spacing w:line="0" w:lineRule="atLeast"/>
                    <w:jc w:val="center"/>
                    <w:rPr>
                      <w:color w:val="auto"/>
                      <w:spacing w:val="-10"/>
                      <w:sz w:val="18"/>
                      <w:szCs w:val="18"/>
                      <w:highlight w:val="none"/>
                    </w:rPr>
                  </w:pPr>
                  <w:r>
                    <w:rPr>
                      <w:color w:val="auto"/>
                      <w:spacing w:val="-10"/>
                      <w:sz w:val="18"/>
                      <w:szCs w:val="18"/>
                      <w:highlight w:val="none"/>
                    </w:rPr>
                    <w:t>公用</w:t>
                  </w:r>
                </w:p>
                <w:p w14:paraId="40EAC6E4">
                  <w:pPr>
                    <w:snapToGrid w:val="0"/>
                    <w:spacing w:line="0" w:lineRule="atLeast"/>
                    <w:jc w:val="center"/>
                    <w:rPr>
                      <w:rFonts w:ascii="Times New Roman" w:hAnsi="Times New Roman" w:eastAsia="宋体" w:cs="Times New Roman"/>
                      <w:color w:val="auto"/>
                      <w:spacing w:val="-10"/>
                      <w:kern w:val="2"/>
                      <w:sz w:val="18"/>
                      <w:szCs w:val="18"/>
                      <w:highlight w:val="none"/>
                      <w:lang w:val="en-US" w:eastAsia="zh-CN" w:bidi="ar-SA"/>
                    </w:rPr>
                  </w:pPr>
                  <w:r>
                    <w:rPr>
                      <w:color w:val="auto"/>
                      <w:spacing w:val="-10"/>
                      <w:sz w:val="18"/>
                      <w:szCs w:val="18"/>
                      <w:highlight w:val="none"/>
                    </w:rPr>
                    <w:t>工程</w:t>
                  </w:r>
                </w:p>
              </w:tc>
              <w:tc>
                <w:tcPr>
                  <w:tcW w:w="2280" w:type="dxa"/>
                  <w:gridSpan w:val="2"/>
                  <w:tcBorders>
                    <w:tl2br w:val="nil"/>
                    <w:tr2bl w:val="nil"/>
                  </w:tcBorders>
                  <w:vAlign w:val="center"/>
                </w:tcPr>
                <w:p w14:paraId="512BDCF1">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供热</w:t>
                  </w:r>
                </w:p>
              </w:tc>
              <w:tc>
                <w:tcPr>
                  <w:tcW w:w="5197" w:type="dxa"/>
                  <w:tcBorders>
                    <w:tl2br w:val="nil"/>
                    <w:tr2bl w:val="nil"/>
                  </w:tcBorders>
                  <w:vAlign w:val="center"/>
                </w:tcPr>
                <w:p w14:paraId="799F0B5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项目实验过程中采用电加热，</w:t>
                  </w:r>
                  <w:r>
                    <w:rPr>
                      <w:rFonts w:hint="eastAsia" w:ascii="Times New Roman" w:hAnsi="Times New Roman" w:eastAsia="宋体" w:cs="Times New Roman"/>
                      <w:color w:val="auto"/>
                      <w:spacing w:val="-10"/>
                      <w:sz w:val="18"/>
                      <w:szCs w:val="18"/>
                      <w:highlight w:val="none"/>
                      <w:lang w:val="en-US" w:eastAsia="zh-CN"/>
                    </w:rPr>
                    <w:t>办公室</w:t>
                  </w:r>
                  <w:r>
                    <w:rPr>
                      <w:rFonts w:hint="eastAsia" w:cs="Times New Roman"/>
                      <w:color w:val="auto"/>
                      <w:spacing w:val="-10"/>
                      <w:sz w:val="18"/>
                      <w:szCs w:val="18"/>
                      <w:highlight w:val="none"/>
                      <w:lang w:val="en-US" w:eastAsia="zh-CN"/>
                    </w:rPr>
                    <w:t>冬天</w:t>
                  </w:r>
                  <w:r>
                    <w:rPr>
                      <w:rFonts w:hint="eastAsia" w:ascii="Times New Roman" w:hAnsi="Times New Roman" w:eastAsia="宋体" w:cs="Times New Roman"/>
                      <w:color w:val="auto"/>
                      <w:spacing w:val="-10"/>
                      <w:sz w:val="18"/>
                      <w:szCs w:val="18"/>
                      <w:highlight w:val="none"/>
                      <w:lang w:val="en-US" w:eastAsia="zh-CN"/>
                    </w:rPr>
                    <w:t>采暖由</w:t>
                  </w:r>
                  <w:r>
                    <w:rPr>
                      <w:rFonts w:hint="eastAsia" w:cs="Times New Roman"/>
                      <w:color w:val="auto"/>
                      <w:spacing w:val="-10"/>
                      <w:sz w:val="18"/>
                      <w:szCs w:val="18"/>
                      <w:highlight w:val="none"/>
                      <w:lang w:val="en-US" w:eastAsia="zh-CN"/>
                    </w:rPr>
                    <w:t>迁安市热力公司提供</w:t>
                  </w:r>
                </w:p>
              </w:tc>
            </w:tr>
            <w:tr w14:paraId="00B504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530DADDC">
                  <w:pPr>
                    <w:snapToGrid w:val="0"/>
                    <w:spacing w:line="0" w:lineRule="atLeast"/>
                    <w:jc w:val="center"/>
                    <w:rPr>
                      <w:color w:val="auto"/>
                      <w:spacing w:val="-10"/>
                      <w:sz w:val="18"/>
                      <w:szCs w:val="18"/>
                      <w:highlight w:val="none"/>
                    </w:rPr>
                  </w:pPr>
                </w:p>
              </w:tc>
              <w:tc>
                <w:tcPr>
                  <w:tcW w:w="2280" w:type="dxa"/>
                  <w:gridSpan w:val="2"/>
                  <w:tcBorders>
                    <w:tl2br w:val="nil"/>
                    <w:tr2bl w:val="nil"/>
                  </w:tcBorders>
                  <w:vAlign w:val="center"/>
                </w:tcPr>
                <w:p w14:paraId="40A533C4">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供电</w:t>
                  </w:r>
                </w:p>
              </w:tc>
              <w:tc>
                <w:tcPr>
                  <w:tcW w:w="5197" w:type="dxa"/>
                  <w:tcBorders>
                    <w:tl2br w:val="nil"/>
                    <w:tr2bl w:val="nil"/>
                  </w:tcBorders>
                  <w:vAlign w:val="center"/>
                </w:tcPr>
                <w:p w14:paraId="4F7421F0">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项目用电由迁安市供电局供给，不设变压器，年用电量10万kWh</w:t>
                  </w:r>
                </w:p>
              </w:tc>
            </w:tr>
            <w:tr w14:paraId="08FF00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85" w:hRule="atLeast"/>
              </w:trPr>
              <w:tc>
                <w:tcPr>
                  <w:tcW w:w="537" w:type="dxa"/>
                  <w:vMerge w:val="continue"/>
                  <w:tcBorders>
                    <w:tl2br w:val="nil"/>
                    <w:tr2bl w:val="nil"/>
                  </w:tcBorders>
                  <w:vAlign w:val="center"/>
                </w:tcPr>
                <w:p w14:paraId="61937A73">
                  <w:pPr>
                    <w:snapToGrid w:val="0"/>
                    <w:spacing w:line="0" w:lineRule="atLeast"/>
                    <w:jc w:val="center"/>
                    <w:rPr>
                      <w:color w:val="auto"/>
                      <w:spacing w:val="-10"/>
                      <w:sz w:val="18"/>
                      <w:szCs w:val="18"/>
                      <w:highlight w:val="none"/>
                    </w:rPr>
                  </w:pPr>
                </w:p>
              </w:tc>
              <w:tc>
                <w:tcPr>
                  <w:tcW w:w="2280" w:type="dxa"/>
                  <w:gridSpan w:val="2"/>
                  <w:tcBorders>
                    <w:tl2br w:val="nil"/>
                    <w:tr2bl w:val="nil"/>
                  </w:tcBorders>
                  <w:vAlign w:val="center"/>
                </w:tcPr>
                <w:p w14:paraId="78B17488">
                  <w:pPr>
                    <w:snapToGrid w:val="0"/>
                    <w:spacing w:line="0" w:lineRule="atLeas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供水</w:t>
                  </w:r>
                </w:p>
              </w:tc>
              <w:tc>
                <w:tcPr>
                  <w:tcW w:w="5197" w:type="dxa"/>
                  <w:tcBorders>
                    <w:tl2br w:val="nil"/>
                    <w:tr2bl w:val="nil"/>
                  </w:tcBorders>
                  <w:vAlign w:val="center"/>
                </w:tcPr>
                <w:p w14:paraId="6596846C">
                  <w:pPr>
                    <w:snapToGrid w:val="0"/>
                    <w:spacing w:line="0" w:lineRule="atLeas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项目实验、生活用新鲜水由迁安市自来水公司供给</w:t>
                  </w:r>
                </w:p>
              </w:tc>
            </w:tr>
            <w:tr w14:paraId="41C8EBE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vMerge w:val="restart"/>
                  <w:vAlign w:val="center"/>
                </w:tcPr>
                <w:p w14:paraId="07595002">
                  <w:pPr>
                    <w:snapToGrid w:val="0"/>
                    <w:spacing w:line="0" w:lineRule="atLeast"/>
                    <w:jc w:val="center"/>
                    <w:rPr>
                      <w:color w:val="auto"/>
                      <w:spacing w:val="-10"/>
                      <w:sz w:val="18"/>
                      <w:szCs w:val="18"/>
                      <w:highlight w:val="none"/>
                    </w:rPr>
                  </w:pPr>
                  <w:r>
                    <w:rPr>
                      <w:color w:val="auto"/>
                      <w:spacing w:val="-10"/>
                      <w:sz w:val="18"/>
                      <w:szCs w:val="18"/>
                      <w:highlight w:val="none"/>
                    </w:rPr>
                    <w:t>环保</w:t>
                  </w:r>
                </w:p>
                <w:p w14:paraId="60328EC4">
                  <w:pPr>
                    <w:snapToGrid w:val="0"/>
                    <w:spacing w:line="0" w:lineRule="atLeast"/>
                    <w:jc w:val="center"/>
                    <w:rPr>
                      <w:color w:val="auto"/>
                      <w:spacing w:val="-10"/>
                      <w:sz w:val="18"/>
                      <w:szCs w:val="18"/>
                      <w:highlight w:val="none"/>
                    </w:rPr>
                  </w:pPr>
                  <w:r>
                    <w:rPr>
                      <w:color w:val="auto"/>
                      <w:spacing w:val="-10"/>
                      <w:sz w:val="18"/>
                      <w:szCs w:val="18"/>
                      <w:highlight w:val="none"/>
                    </w:rPr>
                    <w:t>工程</w:t>
                  </w:r>
                </w:p>
              </w:tc>
              <w:tc>
                <w:tcPr>
                  <w:tcW w:w="2280" w:type="dxa"/>
                  <w:gridSpan w:val="2"/>
                  <w:vAlign w:val="center"/>
                </w:tcPr>
                <w:p w14:paraId="3F764BCE">
                  <w:pPr>
                    <w:snapToGrid w:val="0"/>
                    <w:spacing w:line="0" w:lineRule="atLeast"/>
                    <w:jc w:val="center"/>
                    <w:rPr>
                      <w:rFonts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rPr>
                    <w:t>废气</w:t>
                  </w:r>
                </w:p>
              </w:tc>
              <w:tc>
                <w:tcPr>
                  <w:tcW w:w="5197" w:type="dxa"/>
                  <w:vAlign w:val="center"/>
                </w:tcPr>
                <w:p w14:paraId="31BF9827">
                  <w:pPr>
                    <w:snapToGrid w:val="0"/>
                    <w:spacing w:line="0" w:lineRule="atLeast"/>
                    <w:jc w:val="left"/>
                    <w:rPr>
                      <w:rFonts w:hint="default"/>
                      <w:color w:val="auto"/>
                      <w:lang w:val="en-US"/>
                    </w:rPr>
                  </w:pPr>
                  <w:r>
                    <w:rPr>
                      <w:rFonts w:hint="eastAsia" w:ascii="Times New Roman" w:hAnsi="Times New Roman" w:cs="Times New Roman"/>
                      <w:color w:val="auto"/>
                      <w:spacing w:val="-10"/>
                      <w:sz w:val="18"/>
                      <w:szCs w:val="18"/>
                      <w:highlight w:val="none"/>
                      <w:lang w:val="en-US" w:eastAsia="zh-CN"/>
                    </w:rPr>
                    <w:t>①理化一室、理化二室、测油室、离子色谱室、气质一室、气质二室、色谱室、半挥发前处理室等产生的废气经通风橱与万向罩收集后经1套两级活性炭吸附装置净化后经20m高排气筒（DA001）排放；②</w:t>
                  </w:r>
                  <w:r>
                    <w:rPr>
                      <w:rFonts w:hint="eastAsia" w:cs="Times New Roman"/>
                      <w:color w:val="auto"/>
                      <w:spacing w:val="-10"/>
                      <w:sz w:val="18"/>
                      <w:szCs w:val="18"/>
                      <w:highlight w:val="none"/>
                      <w:lang w:val="en-US" w:eastAsia="zh-CN"/>
                    </w:rPr>
                    <w:t>土壤</w:t>
                  </w:r>
                  <w:r>
                    <w:rPr>
                      <w:rFonts w:hint="eastAsia" w:ascii="Times New Roman" w:hAnsi="Times New Roman" w:cs="Times New Roman"/>
                      <w:color w:val="auto"/>
                      <w:spacing w:val="-10"/>
                      <w:sz w:val="18"/>
                      <w:szCs w:val="18"/>
                      <w:highlight w:val="none"/>
                      <w:lang w:val="en-US" w:eastAsia="zh-CN"/>
                    </w:rPr>
                    <w:t>破碎、研磨</w:t>
                  </w:r>
                  <w:r>
                    <w:rPr>
                      <w:rFonts w:hint="eastAsia" w:cs="Times New Roman"/>
                      <w:color w:val="auto"/>
                      <w:spacing w:val="-10"/>
                      <w:sz w:val="18"/>
                      <w:szCs w:val="18"/>
                      <w:highlight w:val="none"/>
                      <w:lang w:val="en-US" w:eastAsia="zh-CN"/>
                    </w:rPr>
                    <w:t>时</w:t>
                  </w:r>
                  <w:r>
                    <w:rPr>
                      <w:rFonts w:hint="eastAsia" w:ascii="Times New Roman" w:hAnsi="Times New Roman" w:cs="Times New Roman"/>
                      <w:color w:val="auto"/>
                      <w:spacing w:val="-10"/>
                      <w:sz w:val="18"/>
                      <w:szCs w:val="18"/>
                      <w:highlight w:val="none"/>
                      <w:lang w:val="en-US" w:eastAsia="zh-CN"/>
                    </w:rPr>
                    <w:t>规范操作，颗粒物经破碎间沉降后无组织排放</w:t>
                  </w:r>
                </w:p>
              </w:tc>
            </w:tr>
            <w:tr w14:paraId="4E526B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vMerge w:val="continue"/>
                  <w:vAlign w:val="center"/>
                </w:tcPr>
                <w:p w14:paraId="2A7B868B">
                  <w:pPr>
                    <w:snapToGrid w:val="0"/>
                    <w:spacing w:line="0" w:lineRule="atLeast"/>
                    <w:jc w:val="center"/>
                    <w:rPr>
                      <w:color w:val="auto"/>
                      <w:spacing w:val="-10"/>
                      <w:sz w:val="18"/>
                      <w:szCs w:val="18"/>
                      <w:highlight w:val="none"/>
                    </w:rPr>
                  </w:pPr>
                </w:p>
              </w:tc>
              <w:tc>
                <w:tcPr>
                  <w:tcW w:w="2280" w:type="dxa"/>
                  <w:gridSpan w:val="2"/>
                  <w:vAlign w:val="center"/>
                </w:tcPr>
                <w:p w14:paraId="77A668B6">
                  <w:pPr>
                    <w:snapToGrid w:val="0"/>
                    <w:spacing w:line="0" w:lineRule="atLeast"/>
                    <w:jc w:val="center"/>
                    <w:rPr>
                      <w:color w:val="auto"/>
                      <w:spacing w:val="-10"/>
                      <w:sz w:val="18"/>
                      <w:szCs w:val="18"/>
                      <w:highlight w:val="none"/>
                    </w:rPr>
                  </w:pPr>
                  <w:r>
                    <w:rPr>
                      <w:color w:val="auto"/>
                      <w:spacing w:val="-10"/>
                      <w:sz w:val="18"/>
                      <w:szCs w:val="18"/>
                      <w:highlight w:val="none"/>
                    </w:rPr>
                    <w:t>废水</w:t>
                  </w:r>
                </w:p>
              </w:tc>
              <w:tc>
                <w:tcPr>
                  <w:tcW w:w="5197" w:type="dxa"/>
                  <w:vAlign w:val="center"/>
                </w:tcPr>
                <w:p w14:paraId="2F223F1E">
                  <w:pPr>
                    <w:snapToGrid w:val="0"/>
                    <w:spacing w:line="0" w:lineRule="atLeast"/>
                    <w:jc w:val="left"/>
                    <w:rPr>
                      <w:rFonts w:hint="default" w:ascii="Times New Roman" w:hAnsi="Times New Roman" w:cs="Times New Roman"/>
                      <w:color w:val="auto"/>
                      <w:spacing w:val="-10"/>
                      <w:sz w:val="18"/>
                      <w:szCs w:val="18"/>
                      <w:highlight w:val="yellow"/>
                      <w:lang w:val="en-US" w:eastAsia="zh-CN"/>
                    </w:rPr>
                  </w:pP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r>
          </w:tbl>
          <w:p w14:paraId="4E8197C3">
            <w:pPr>
              <w:spacing w:line="460" w:lineRule="exact"/>
              <w:jc w:val="center"/>
              <w:rPr>
                <w:rFonts w:hint="eastAsia" w:hAnsi="宋体"/>
                <w:b/>
                <w:color w:val="auto"/>
                <w:highlight w:val="none"/>
                <w:lang w:val="en-US" w:eastAsia="zh-CN"/>
              </w:rPr>
            </w:pPr>
          </w:p>
          <w:p w14:paraId="53F9E093">
            <w:pPr>
              <w:spacing w:line="460" w:lineRule="exact"/>
              <w:jc w:val="center"/>
              <w:rPr>
                <w:rFonts w:hAnsi="宋体"/>
                <w:b/>
                <w:color w:val="auto"/>
                <w:highlight w:val="none"/>
              </w:rPr>
            </w:pPr>
            <w:r>
              <w:rPr>
                <w:rFonts w:hint="eastAsia" w:hAnsi="宋体"/>
                <w:b/>
                <w:color w:val="auto"/>
                <w:highlight w:val="none"/>
                <w:lang w:val="en-US" w:eastAsia="zh-CN"/>
              </w:rPr>
              <w:t>续</w:t>
            </w:r>
            <w:r>
              <w:rPr>
                <w:rFonts w:hint="eastAsia" w:hAnsi="宋体"/>
                <w:b/>
                <w:color w:val="auto"/>
                <w:highlight w:val="none"/>
              </w:rPr>
              <w:t>表</w:t>
            </w:r>
            <w:r>
              <w:rPr>
                <w:rFonts w:hint="eastAsia" w:hAnsi="宋体"/>
                <w:b/>
                <w:color w:val="auto"/>
                <w:highlight w:val="none"/>
                <w:lang w:val="en-US" w:eastAsia="zh-CN"/>
              </w:rPr>
              <w:t>5</w:t>
            </w:r>
            <w:r>
              <w:rPr>
                <w:rFonts w:hint="eastAsia" w:hAnsi="宋体"/>
                <w:b/>
                <w:color w:val="auto"/>
                <w:highlight w:val="none"/>
              </w:rPr>
              <w:t xml:space="preserve"> 项目建设情况一览表</w:t>
            </w:r>
          </w:p>
          <w:tbl>
            <w:tblPr>
              <w:tblStyle w:val="26"/>
              <w:tblW w:w="8014"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7"/>
              <w:gridCol w:w="2280"/>
              <w:gridCol w:w="5197"/>
            </w:tblGrid>
            <w:tr w14:paraId="2C7144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tcBorders>
                    <w:tl2br w:val="nil"/>
                    <w:tr2bl w:val="nil"/>
                  </w:tcBorders>
                  <w:vAlign w:val="center"/>
                </w:tcPr>
                <w:p w14:paraId="4F630F39">
                  <w:pPr>
                    <w:snapToGrid w:val="0"/>
                    <w:spacing w:line="0" w:lineRule="atLeast"/>
                    <w:jc w:val="center"/>
                    <w:rPr>
                      <w:color w:val="auto"/>
                      <w:spacing w:val="-10"/>
                      <w:sz w:val="18"/>
                      <w:szCs w:val="18"/>
                      <w:highlight w:val="none"/>
                    </w:rPr>
                  </w:pPr>
                  <w:r>
                    <w:rPr>
                      <w:color w:val="auto"/>
                      <w:spacing w:val="-10"/>
                      <w:sz w:val="18"/>
                      <w:szCs w:val="18"/>
                      <w:highlight w:val="none"/>
                    </w:rPr>
                    <w:t>项目</w:t>
                  </w:r>
                </w:p>
              </w:tc>
              <w:tc>
                <w:tcPr>
                  <w:tcW w:w="2280" w:type="dxa"/>
                  <w:tcBorders>
                    <w:tl2br w:val="nil"/>
                    <w:tr2bl w:val="nil"/>
                  </w:tcBorders>
                  <w:vAlign w:val="center"/>
                </w:tcPr>
                <w:p w14:paraId="02E26271">
                  <w:pPr>
                    <w:snapToGrid w:val="0"/>
                    <w:spacing w:line="0" w:lineRule="atLeast"/>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工程名称</w:t>
                  </w:r>
                </w:p>
              </w:tc>
              <w:tc>
                <w:tcPr>
                  <w:tcW w:w="5197" w:type="dxa"/>
                  <w:tcBorders>
                    <w:tl2br w:val="nil"/>
                    <w:tr2bl w:val="nil"/>
                  </w:tcBorders>
                  <w:vAlign w:val="center"/>
                </w:tcPr>
                <w:p w14:paraId="7A41DACA">
                  <w:pPr>
                    <w:snapToGrid w:val="0"/>
                    <w:spacing w:line="0" w:lineRule="atLeast"/>
                    <w:jc w:val="center"/>
                    <w:rPr>
                      <w:color w:val="auto"/>
                      <w:spacing w:val="-10"/>
                      <w:sz w:val="18"/>
                      <w:szCs w:val="18"/>
                      <w:highlight w:val="none"/>
                    </w:rPr>
                  </w:pPr>
                  <w:r>
                    <w:rPr>
                      <w:color w:val="auto"/>
                      <w:spacing w:val="-10"/>
                      <w:sz w:val="18"/>
                      <w:szCs w:val="18"/>
                      <w:highlight w:val="none"/>
                    </w:rPr>
                    <w:t>工程内容</w:t>
                  </w:r>
                </w:p>
              </w:tc>
            </w:tr>
            <w:tr w14:paraId="011C642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70" w:hRule="atLeast"/>
              </w:trPr>
              <w:tc>
                <w:tcPr>
                  <w:tcW w:w="537" w:type="dxa"/>
                  <w:vMerge w:val="restart"/>
                  <w:vAlign w:val="center"/>
                </w:tcPr>
                <w:p w14:paraId="0965A4B4">
                  <w:pPr>
                    <w:snapToGrid w:val="0"/>
                    <w:spacing w:line="0" w:lineRule="atLeast"/>
                    <w:jc w:val="center"/>
                    <w:rPr>
                      <w:color w:val="auto"/>
                      <w:spacing w:val="-10"/>
                      <w:sz w:val="18"/>
                      <w:szCs w:val="18"/>
                      <w:highlight w:val="none"/>
                    </w:rPr>
                  </w:pPr>
                  <w:r>
                    <w:rPr>
                      <w:color w:val="auto"/>
                      <w:spacing w:val="-10"/>
                      <w:sz w:val="18"/>
                      <w:szCs w:val="18"/>
                      <w:highlight w:val="none"/>
                    </w:rPr>
                    <w:t>环保</w:t>
                  </w:r>
                </w:p>
                <w:p w14:paraId="7C7E59C2">
                  <w:pPr>
                    <w:snapToGrid w:val="0"/>
                    <w:spacing w:line="0" w:lineRule="atLeast"/>
                    <w:jc w:val="center"/>
                    <w:rPr>
                      <w:color w:val="auto"/>
                      <w:spacing w:val="-10"/>
                      <w:sz w:val="18"/>
                      <w:szCs w:val="18"/>
                      <w:highlight w:val="none"/>
                    </w:rPr>
                  </w:pPr>
                  <w:r>
                    <w:rPr>
                      <w:color w:val="auto"/>
                      <w:spacing w:val="-10"/>
                      <w:sz w:val="18"/>
                      <w:szCs w:val="18"/>
                      <w:highlight w:val="none"/>
                    </w:rPr>
                    <w:t>工程</w:t>
                  </w:r>
                </w:p>
              </w:tc>
              <w:tc>
                <w:tcPr>
                  <w:tcW w:w="2280" w:type="dxa"/>
                  <w:shd w:val="clear" w:color="auto" w:fill="auto"/>
                  <w:vAlign w:val="center"/>
                </w:tcPr>
                <w:p w14:paraId="2E7502E7">
                  <w:pPr>
                    <w:snapToGrid w:val="0"/>
                    <w:spacing w:line="0" w:lineRule="atLeast"/>
                    <w:jc w:val="center"/>
                    <w:rPr>
                      <w:rFonts w:ascii="Times New Roman" w:hAnsi="Times New Roman" w:eastAsia="宋体" w:cs="Times New Roman"/>
                      <w:color w:val="auto"/>
                      <w:spacing w:val="-10"/>
                      <w:kern w:val="2"/>
                      <w:sz w:val="18"/>
                      <w:szCs w:val="18"/>
                      <w:highlight w:val="none"/>
                      <w:lang w:val="en-US" w:eastAsia="zh-CN" w:bidi="ar-SA"/>
                    </w:rPr>
                  </w:pPr>
                  <w:r>
                    <w:rPr>
                      <w:color w:val="auto"/>
                      <w:spacing w:val="-10"/>
                      <w:sz w:val="18"/>
                      <w:szCs w:val="18"/>
                      <w:highlight w:val="none"/>
                    </w:rPr>
                    <w:t>噪声</w:t>
                  </w:r>
                </w:p>
              </w:tc>
              <w:tc>
                <w:tcPr>
                  <w:tcW w:w="5197" w:type="dxa"/>
                  <w:shd w:val="clear" w:color="auto" w:fill="auto"/>
                  <w:vAlign w:val="center"/>
                </w:tcPr>
                <w:p w14:paraId="673921B7">
                  <w:pPr>
                    <w:snapToGrid w:val="0"/>
                    <w:spacing w:line="0" w:lineRule="atLeast"/>
                    <w:jc w:val="left"/>
                    <w:rPr>
                      <w:rFonts w:hint="default" w:ascii="Times New Roman" w:hAnsi="Times New Roman" w:eastAsia="宋体" w:cs="Times New Roman"/>
                      <w:color w:val="auto"/>
                      <w:spacing w:val="-10"/>
                      <w:kern w:val="2"/>
                      <w:sz w:val="18"/>
                      <w:szCs w:val="18"/>
                      <w:highlight w:val="yellow"/>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选用低噪声设备，</w:t>
                  </w:r>
                  <w:r>
                    <w:rPr>
                      <w:rFonts w:hint="eastAsia" w:cs="Times New Roman"/>
                      <w:color w:val="auto"/>
                      <w:spacing w:val="-10"/>
                      <w:kern w:val="2"/>
                      <w:sz w:val="18"/>
                      <w:szCs w:val="18"/>
                      <w:highlight w:val="none"/>
                      <w:lang w:val="en-US" w:eastAsia="zh-CN" w:bidi="ar-SA"/>
                    </w:rPr>
                    <w:t>实验仪器</w:t>
                  </w:r>
                  <w:r>
                    <w:rPr>
                      <w:rFonts w:hint="eastAsia" w:ascii="Times New Roman" w:hAnsi="Times New Roman" w:eastAsia="宋体" w:cs="Times New Roman"/>
                      <w:color w:val="auto"/>
                      <w:spacing w:val="-10"/>
                      <w:kern w:val="2"/>
                      <w:sz w:val="18"/>
                      <w:szCs w:val="18"/>
                      <w:highlight w:val="none"/>
                      <w:lang w:val="en-US" w:eastAsia="zh-CN" w:bidi="ar-SA"/>
                    </w:rPr>
                    <w:t>置于封闭实验室内，设备合理布局，风机设置</w:t>
                  </w:r>
                  <w:r>
                    <w:rPr>
                      <w:rFonts w:hint="eastAsia" w:cs="Times New Roman"/>
                      <w:color w:val="auto"/>
                      <w:spacing w:val="-10"/>
                      <w:kern w:val="2"/>
                      <w:sz w:val="18"/>
                      <w:szCs w:val="18"/>
                      <w:highlight w:val="none"/>
                      <w:lang w:val="en-US" w:eastAsia="zh-CN" w:bidi="ar-SA"/>
                    </w:rPr>
                    <w:t>消声装置</w:t>
                  </w:r>
                </w:p>
              </w:tc>
            </w:tr>
            <w:tr w14:paraId="22ECA8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4" w:hRule="atLeast"/>
              </w:trPr>
              <w:tc>
                <w:tcPr>
                  <w:tcW w:w="537" w:type="dxa"/>
                  <w:vMerge w:val="continue"/>
                  <w:vAlign w:val="center"/>
                </w:tcPr>
                <w:p w14:paraId="6CF8190E">
                  <w:pPr>
                    <w:snapToGrid w:val="0"/>
                    <w:spacing w:line="0" w:lineRule="atLeast"/>
                    <w:jc w:val="center"/>
                    <w:rPr>
                      <w:color w:val="auto"/>
                      <w:spacing w:val="-10"/>
                      <w:sz w:val="18"/>
                      <w:szCs w:val="18"/>
                      <w:highlight w:val="none"/>
                    </w:rPr>
                  </w:pPr>
                </w:p>
              </w:tc>
              <w:tc>
                <w:tcPr>
                  <w:tcW w:w="2280" w:type="dxa"/>
                  <w:vAlign w:val="center"/>
                </w:tcPr>
                <w:p w14:paraId="08A88D2A">
                  <w:pPr>
                    <w:snapToGrid w:val="0"/>
                    <w:spacing w:line="0" w:lineRule="atLeast"/>
                    <w:jc w:val="center"/>
                    <w:rPr>
                      <w:color w:val="auto"/>
                      <w:spacing w:val="-10"/>
                      <w:sz w:val="18"/>
                      <w:szCs w:val="18"/>
                      <w:highlight w:val="none"/>
                    </w:rPr>
                  </w:pPr>
                  <w:r>
                    <w:rPr>
                      <w:color w:val="auto"/>
                      <w:spacing w:val="-10"/>
                      <w:sz w:val="18"/>
                      <w:szCs w:val="18"/>
                      <w:highlight w:val="none"/>
                    </w:rPr>
                    <w:t>固废</w:t>
                  </w:r>
                </w:p>
              </w:tc>
              <w:tc>
                <w:tcPr>
                  <w:tcW w:w="5197" w:type="dxa"/>
                  <w:vAlign w:val="center"/>
                </w:tcPr>
                <w:p w14:paraId="30965FA7">
                  <w:pPr>
                    <w:snapToGrid w:val="0"/>
                    <w:spacing w:line="0" w:lineRule="atLeast"/>
                    <w:jc w:val="left"/>
                    <w:rPr>
                      <w:rFonts w:hint="default"/>
                      <w:color w:val="auto"/>
                      <w:highlight w:val="yellow"/>
                      <w:lang w:val="en-US"/>
                    </w:rPr>
                  </w:pPr>
                  <w:r>
                    <w:rPr>
                      <w:rFonts w:hint="eastAsia" w:ascii="Times New Roman" w:hAnsi="Times New Roman" w:eastAsia="宋体" w:cs="Times New Roman"/>
                      <w:color w:val="auto"/>
                      <w:spacing w:val="-10"/>
                      <w:sz w:val="18"/>
                      <w:szCs w:val="18"/>
                      <w:highlight w:val="none"/>
                      <w:lang w:val="en-US" w:eastAsia="zh-CN"/>
                    </w:rPr>
                    <w:t>①</w:t>
                  </w:r>
                  <w:r>
                    <w:rPr>
                      <w:rFonts w:hint="eastAsia" w:cs="Times New Roman"/>
                      <w:color w:val="auto"/>
                      <w:spacing w:val="-10"/>
                      <w:sz w:val="18"/>
                      <w:szCs w:val="18"/>
                      <w:highlight w:val="none"/>
                      <w:lang w:val="en-US" w:eastAsia="zh-CN"/>
                    </w:rPr>
                    <w:t>废反渗透膜更换后直接由厂家回收；</w:t>
                  </w:r>
                  <w:r>
                    <w:rPr>
                      <w:rFonts w:hint="eastAsia" w:ascii="Times New Roman" w:hAnsi="Times New Roman" w:eastAsia="宋体" w:cs="Times New Roman"/>
                      <w:color w:val="auto"/>
                      <w:spacing w:val="-10"/>
                      <w:sz w:val="18"/>
                      <w:szCs w:val="18"/>
                      <w:highlight w:val="none"/>
                      <w:lang w:val="en-US" w:eastAsia="zh-CN"/>
                    </w:rPr>
                    <w:t>②</w:t>
                  </w:r>
                  <w:r>
                    <w:rPr>
                      <w:rFonts w:hint="eastAsia" w:cs="Times New Roman"/>
                      <w:color w:val="auto"/>
                      <w:spacing w:val="-10"/>
                      <w:sz w:val="18"/>
                      <w:szCs w:val="18"/>
                      <w:highlight w:val="none"/>
                      <w:lang w:val="en-US" w:eastAsia="zh-CN"/>
                    </w:rPr>
                    <w:t>未参与实验过程的剩余土样</w:t>
                  </w:r>
                  <w:r>
                    <w:rPr>
                      <w:rFonts w:hint="eastAsia" w:eastAsia="宋体" w:cs="Times New Roman"/>
                      <w:color w:val="auto"/>
                      <w:spacing w:val="-10"/>
                      <w:sz w:val="18"/>
                      <w:szCs w:val="18"/>
                      <w:highlight w:val="none"/>
                      <w:lang w:val="en-US" w:eastAsia="zh-CN"/>
                    </w:rPr>
                    <w:t>暂存于一般固废暂存间，之后</w:t>
                  </w:r>
                  <w:r>
                    <w:rPr>
                      <w:rFonts w:hint="eastAsia" w:ascii="Times New Roman" w:hAnsi="Times New Roman" w:eastAsia="宋体" w:cs="Times New Roman"/>
                      <w:color w:val="auto"/>
                      <w:spacing w:val="-10"/>
                      <w:sz w:val="18"/>
                      <w:szCs w:val="18"/>
                      <w:highlight w:val="none"/>
                      <w:lang w:val="en-US" w:eastAsia="zh-CN"/>
                    </w:rPr>
                    <w:t>由环卫部门处理</w:t>
                  </w:r>
                  <w:r>
                    <w:rPr>
                      <w:rFonts w:hint="eastAsia"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③</w:t>
                  </w:r>
                  <w:r>
                    <w:rPr>
                      <w:rFonts w:hint="eastAsia" w:cs="Times New Roman"/>
                      <w:color w:val="auto"/>
                      <w:spacing w:val="-10"/>
                      <w:sz w:val="18"/>
                      <w:szCs w:val="18"/>
                      <w:highlight w:val="none"/>
                      <w:lang w:val="en-US" w:eastAsia="zh-CN"/>
                    </w:rPr>
                    <w:t>不含有毒有害物质的破损的玻璃器、废一般包装物</w:t>
                  </w:r>
                  <w:r>
                    <w:rPr>
                      <w:rFonts w:hint="eastAsia" w:eastAsia="宋体" w:cs="Times New Roman"/>
                      <w:color w:val="auto"/>
                      <w:spacing w:val="-10"/>
                      <w:sz w:val="18"/>
                      <w:szCs w:val="18"/>
                      <w:highlight w:val="none"/>
                      <w:lang w:val="en-US" w:eastAsia="zh-CN"/>
                    </w:rPr>
                    <w:t>暂存于一般固废暂存间，之后</w:t>
                  </w:r>
                  <w:r>
                    <w:rPr>
                      <w:rFonts w:hint="eastAsia" w:cs="Times New Roman"/>
                      <w:color w:val="auto"/>
                      <w:spacing w:val="-10"/>
                      <w:sz w:val="18"/>
                      <w:szCs w:val="18"/>
                      <w:highlight w:val="none"/>
                      <w:lang w:val="en-US" w:eastAsia="zh-CN"/>
                    </w:rPr>
                    <w:t>外售资源回收单位综合利用；</w:t>
                  </w:r>
                  <w:r>
                    <w:rPr>
                      <w:rFonts w:hint="eastAsia" w:ascii="Times New Roman" w:hAnsi="Times New Roman" w:eastAsia="宋体" w:cs="Times New Roman"/>
                      <w:color w:val="auto"/>
                      <w:spacing w:val="-10"/>
                      <w:sz w:val="18"/>
                      <w:szCs w:val="18"/>
                      <w:highlight w:val="none"/>
                      <w:lang w:val="en-US" w:eastAsia="zh-CN"/>
                    </w:rPr>
                    <w:t>④</w:t>
                  </w:r>
                  <w:r>
                    <w:rPr>
                      <w:rFonts w:hint="eastAsia" w:cs="Times New Roman"/>
                      <w:color w:val="auto"/>
                      <w:spacing w:val="-10"/>
                      <w:sz w:val="18"/>
                      <w:szCs w:val="18"/>
                      <w:highlight w:val="none"/>
                      <w:lang w:val="en-US" w:eastAsia="zh-CN"/>
                    </w:rPr>
                    <w:t>生活垃圾集中收集后由环卫部门统一处理；</w:t>
                  </w:r>
                  <w:r>
                    <w:rPr>
                      <w:rFonts w:hint="eastAsia" w:ascii="宋体" w:hAnsi="宋体" w:eastAsia="宋体" w:cs="宋体"/>
                      <w:color w:val="auto"/>
                      <w:spacing w:val="-10"/>
                      <w:sz w:val="18"/>
                      <w:szCs w:val="18"/>
                      <w:highlight w:val="none"/>
                      <w:lang w:val="en-US" w:eastAsia="zh-CN"/>
                    </w:rPr>
                    <w:t>⑤</w:t>
                  </w:r>
                  <w:r>
                    <w:rPr>
                      <w:rFonts w:hint="eastAsia" w:cs="Times New Roman"/>
                      <w:color w:val="auto"/>
                      <w:spacing w:val="-10"/>
                      <w:sz w:val="18"/>
                      <w:szCs w:val="18"/>
                      <w:highlight w:val="none"/>
                      <w:lang w:val="en-US" w:eastAsia="zh-CN"/>
                    </w:rPr>
                    <w:t>实验废液、实验残渣及残留样品、废实验药品包装物、废弃一次性实验用品、含有毒有害物质的废玻璃器皿及玻璃试剂瓶、过期试剂药品、废活性炭暂存于危险废物暂存间，定期委托资质单位进行处置</w:t>
                  </w:r>
                  <w:r>
                    <w:rPr>
                      <w:rFonts w:hint="eastAsia" w:ascii="Times New Roman" w:hAnsi="Times New Roman" w:cs="Times New Roman"/>
                      <w:color w:val="auto"/>
                      <w:spacing w:val="-10"/>
                      <w:sz w:val="18"/>
                      <w:szCs w:val="18"/>
                      <w:highlight w:val="none"/>
                      <w:lang w:val="en-US" w:eastAsia="zh-CN"/>
                    </w:rPr>
                    <w:t>。</w:t>
                  </w:r>
                </w:p>
              </w:tc>
            </w:tr>
          </w:tbl>
          <w:p w14:paraId="7577250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2.</w:t>
            </w:r>
            <w:r>
              <w:rPr>
                <w:rFonts w:hint="eastAsia" w:ascii="Times New Roman" w:hAnsi="Times New Roman" w:cs="Times New Roman"/>
                <w:b/>
                <w:color w:val="auto"/>
                <w:sz w:val="21"/>
                <w:szCs w:val="21"/>
                <w:highlight w:val="none"/>
              </w:rPr>
              <w:t>检测能力及检测范围</w:t>
            </w:r>
          </w:p>
          <w:p w14:paraId="5D621B23">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建成后具备独立的环境数据检测能力，为客户提供检测数据及服务，依据客户要求，对水和废水、环境空气和废气、土壤和水系沉积物、噪声、固体废物、辐射、肥料等进行检测。项目主要可检测因子见表6。</w:t>
            </w:r>
          </w:p>
          <w:p w14:paraId="67A6052A">
            <w:pPr>
              <w:pStyle w:val="22"/>
              <w:adjustRightInd w:val="0"/>
              <w:snapToGrid w:val="0"/>
              <w:spacing w:before="0" w:beforeAutospacing="0" w:after="0" w:afterAutospacing="0" w:line="440" w:lineRule="exact"/>
              <w:jc w:val="center"/>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 xml:space="preserve">6 </w:t>
            </w:r>
            <w:r>
              <w:rPr>
                <w:rFonts w:hint="eastAsia" w:ascii="Times New Roman" w:hAnsi="Times New Roman" w:cs="Times New Roman"/>
                <w:b/>
                <w:color w:val="auto"/>
                <w:sz w:val="21"/>
                <w:szCs w:val="21"/>
                <w:highlight w:val="none"/>
              </w:rPr>
              <w:t>项目可检测因子一览表</w:t>
            </w:r>
          </w:p>
          <w:tbl>
            <w:tblPr>
              <w:tblStyle w:val="26"/>
              <w:tblW w:w="7959"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93"/>
              <w:gridCol w:w="734"/>
              <w:gridCol w:w="6832"/>
            </w:tblGrid>
            <w:tr w14:paraId="527580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393" w:type="dxa"/>
                  <w:tcBorders>
                    <w:tl2br w:val="nil"/>
                    <w:tr2bl w:val="nil"/>
                  </w:tcBorders>
                  <w:noWrap w:val="0"/>
                  <w:tcMar>
                    <w:top w:w="0" w:type="dxa"/>
                    <w:left w:w="0" w:type="dxa"/>
                    <w:bottom w:w="0" w:type="dxa"/>
                    <w:right w:w="0" w:type="dxa"/>
                  </w:tcMar>
                  <w:vAlign w:val="center"/>
                </w:tcPr>
                <w:p w14:paraId="5F5858B1">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序号</w:t>
                  </w:r>
                </w:p>
              </w:tc>
              <w:tc>
                <w:tcPr>
                  <w:tcW w:w="734" w:type="dxa"/>
                  <w:tcBorders>
                    <w:tl2br w:val="nil"/>
                    <w:tr2bl w:val="nil"/>
                  </w:tcBorders>
                  <w:noWrap w:val="0"/>
                  <w:tcMar>
                    <w:top w:w="0" w:type="dxa"/>
                    <w:left w:w="0" w:type="dxa"/>
                    <w:bottom w:w="0" w:type="dxa"/>
                    <w:right w:w="0" w:type="dxa"/>
                  </w:tcMar>
                  <w:vAlign w:val="center"/>
                </w:tcPr>
                <w:p w14:paraId="2B08B481">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检测项目</w:t>
                  </w:r>
                </w:p>
              </w:tc>
              <w:tc>
                <w:tcPr>
                  <w:tcW w:w="6832" w:type="dxa"/>
                  <w:tcBorders>
                    <w:tl2br w:val="nil"/>
                    <w:tr2bl w:val="nil"/>
                  </w:tcBorders>
                  <w:noWrap w:val="0"/>
                  <w:tcMar>
                    <w:top w:w="0" w:type="dxa"/>
                    <w:left w:w="0" w:type="dxa"/>
                    <w:bottom w:w="0" w:type="dxa"/>
                    <w:right w:w="0" w:type="dxa"/>
                  </w:tcMar>
                  <w:vAlign w:val="center"/>
                </w:tcPr>
                <w:p w14:paraId="1CDF7E35">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检测因子</w:t>
                  </w:r>
                </w:p>
              </w:tc>
            </w:tr>
            <w:tr w14:paraId="20CED2E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393" w:type="dxa"/>
                  <w:tcBorders>
                    <w:tl2br w:val="nil"/>
                    <w:tr2bl w:val="nil"/>
                  </w:tcBorders>
                  <w:noWrap w:val="0"/>
                  <w:tcMar>
                    <w:top w:w="0" w:type="dxa"/>
                    <w:left w:w="0" w:type="dxa"/>
                    <w:bottom w:w="0" w:type="dxa"/>
                    <w:right w:w="0" w:type="dxa"/>
                  </w:tcMar>
                  <w:vAlign w:val="center"/>
                </w:tcPr>
                <w:p w14:paraId="639B6000">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1</w:t>
                  </w:r>
                </w:p>
              </w:tc>
              <w:tc>
                <w:tcPr>
                  <w:tcW w:w="734" w:type="dxa"/>
                  <w:tcBorders>
                    <w:tl2br w:val="nil"/>
                    <w:tr2bl w:val="nil"/>
                  </w:tcBorders>
                  <w:noWrap w:val="0"/>
                  <w:tcMar>
                    <w:top w:w="0" w:type="dxa"/>
                    <w:left w:w="0" w:type="dxa"/>
                    <w:bottom w:w="0" w:type="dxa"/>
                    <w:right w:w="0" w:type="dxa"/>
                  </w:tcMar>
                  <w:vAlign w:val="center"/>
                </w:tcPr>
                <w:p w14:paraId="685F37E9">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水</w:t>
                  </w:r>
                  <w:r>
                    <w:rPr>
                      <w:rFonts w:hint="eastAsia" w:cs="Times New Roman"/>
                      <w:color w:val="auto"/>
                      <w:spacing w:val="-10"/>
                      <w:sz w:val="18"/>
                      <w:szCs w:val="18"/>
                      <w:highlight w:val="none"/>
                      <w:lang w:val="en-US" w:eastAsia="zh-CN"/>
                    </w:rPr>
                    <w:t>和废水</w:t>
                  </w:r>
                </w:p>
              </w:tc>
              <w:tc>
                <w:tcPr>
                  <w:tcW w:w="6832" w:type="dxa"/>
                  <w:tcBorders>
                    <w:tl2br w:val="nil"/>
                    <w:tr2bl w:val="nil"/>
                  </w:tcBorders>
                  <w:noWrap w:val="0"/>
                  <w:tcMar>
                    <w:top w:w="0" w:type="dxa"/>
                    <w:left w:w="0" w:type="dxa"/>
                    <w:bottom w:w="0" w:type="dxa"/>
                    <w:right w:w="0" w:type="dxa"/>
                  </w:tcMar>
                  <w:vAlign w:val="center"/>
                </w:tcPr>
                <w:p w14:paraId="4EB83C20">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pH、流速、流量、水温、肉眼可见物、臭和味、透明度、</w:t>
                  </w:r>
                  <w:r>
                    <w:rPr>
                      <w:rFonts w:hint="eastAsia" w:cs="Times New Roman"/>
                      <w:color w:val="auto"/>
                      <w:spacing w:val="-10"/>
                      <w:sz w:val="18"/>
                      <w:szCs w:val="18"/>
                      <w:highlight w:val="none"/>
                      <w:lang w:eastAsia="zh-CN"/>
                    </w:rPr>
                    <w:t>（</w:t>
                  </w:r>
                  <w:r>
                    <w:rPr>
                      <w:rFonts w:hint="eastAsia" w:cs="Times New Roman"/>
                      <w:color w:val="auto"/>
                      <w:spacing w:val="-10"/>
                      <w:sz w:val="18"/>
                      <w:szCs w:val="18"/>
                      <w:highlight w:val="none"/>
                      <w:lang w:val="en-US" w:eastAsia="zh-CN"/>
                    </w:rPr>
                    <w:t>浑</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浊度</w:t>
                  </w:r>
                  <w:r>
                    <w:rPr>
                      <w:rFonts w:hint="eastAsia" w:cs="Times New Roman"/>
                      <w:color w:val="auto"/>
                      <w:spacing w:val="-10"/>
                      <w:sz w:val="18"/>
                      <w:szCs w:val="18"/>
                      <w:highlight w:val="none"/>
                      <w:lang w:val="en-US" w:eastAsia="zh-CN"/>
                    </w:rPr>
                    <w:t>、盐度、氧化还原电位</w:t>
                  </w:r>
                  <w:r>
                    <w:rPr>
                      <w:rFonts w:hint="eastAsia" w:ascii="Times New Roman" w:hAnsi="Times New Roman" w:cs="Times New Roman"/>
                      <w:color w:val="auto"/>
                      <w:spacing w:val="-10"/>
                      <w:sz w:val="18"/>
                      <w:szCs w:val="18"/>
                      <w:highlight w:val="none"/>
                    </w:rPr>
                    <w:t>、溶解氧、电导率、色度</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化学需氧量、生化需氧量、硫酸盐、总氮、氨氮、氟化物、（总）氰化物、硫化物、挥发酚、阴离子表面活性剂</w:t>
                  </w:r>
                  <w:r>
                    <w:rPr>
                      <w:rFonts w:hint="eastAsia" w:cs="Times New Roman"/>
                      <w:color w:val="auto"/>
                      <w:spacing w:val="-10"/>
                      <w:sz w:val="18"/>
                      <w:szCs w:val="18"/>
                      <w:highlight w:val="none"/>
                      <w:lang w:val="en-US" w:eastAsia="zh-CN"/>
                    </w:rPr>
                    <w:t>/</w:t>
                  </w:r>
                  <w:r>
                    <w:rPr>
                      <w:rFonts w:hint="eastAsia" w:ascii="Times New Roman" w:hAnsi="Times New Roman" w:cs="Times New Roman"/>
                      <w:color w:val="auto"/>
                      <w:spacing w:val="-10"/>
                      <w:sz w:val="18"/>
                      <w:szCs w:val="18"/>
                      <w:highlight w:val="none"/>
                    </w:rPr>
                    <w:t>阴离子</w:t>
                  </w:r>
                  <w:r>
                    <w:rPr>
                      <w:rFonts w:hint="eastAsia" w:cs="Times New Roman"/>
                      <w:color w:val="auto"/>
                      <w:spacing w:val="-10"/>
                      <w:sz w:val="18"/>
                      <w:szCs w:val="18"/>
                      <w:highlight w:val="none"/>
                      <w:lang w:val="en-US" w:eastAsia="zh-CN"/>
                    </w:rPr>
                    <w:t>合成</w:t>
                  </w:r>
                  <w:r>
                    <w:rPr>
                      <w:rFonts w:hint="eastAsia" w:ascii="Times New Roman" w:hAnsi="Times New Roman" w:cs="Times New Roman"/>
                      <w:color w:val="auto"/>
                      <w:spacing w:val="-10"/>
                      <w:sz w:val="18"/>
                      <w:szCs w:val="18"/>
                      <w:highlight w:val="none"/>
                    </w:rPr>
                    <w:t>洗涤剂、氯化物、</w:t>
                  </w:r>
                  <w:r>
                    <w:rPr>
                      <w:rFonts w:hint="eastAsia" w:cs="Times New Roman"/>
                      <w:color w:val="auto"/>
                      <w:spacing w:val="-10"/>
                      <w:sz w:val="18"/>
                      <w:szCs w:val="18"/>
                      <w:highlight w:val="none"/>
                      <w:lang w:val="en-US" w:eastAsia="zh-CN"/>
                    </w:rPr>
                    <w:t>硝酸盐、</w:t>
                  </w:r>
                  <w:r>
                    <w:rPr>
                      <w:rFonts w:hint="eastAsia" w:ascii="Times New Roman" w:hAnsi="Times New Roman" w:cs="Times New Roman"/>
                      <w:color w:val="auto"/>
                      <w:spacing w:val="-10"/>
                      <w:sz w:val="18"/>
                      <w:szCs w:val="18"/>
                      <w:highlight w:val="none"/>
                    </w:rPr>
                    <w:t>硝酸盐（氮）、</w:t>
                  </w:r>
                  <w:r>
                    <w:rPr>
                      <w:rFonts w:hint="eastAsia" w:cs="Times New Roman"/>
                      <w:color w:val="auto"/>
                      <w:spacing w:val="-10"/>
                      <w:sz w:val="18"/>
                      <w:szCs w:val="18"/>
                      <w:highlight w:val="none"/>
                      <w:lang w:val="en-US" w:eastAsia="zh-CN"/>
                    </w:rPr>
                    <w:t>亚</w:t>
                  </w:r>
                  <w:r>
                    <w:rPr>
                      <w:rFonts w:hint="eastAsia" w:ascii="Times New Roman" w:hAnsi="Times New Roman" w:cs="Times New Roman"/>
                      <w:color w:val="auto"/>
                      <w:spacing w:val="-10"/>
                      <w:sz w:val="18"/>
                      <w:szCs w:val="18"/>
                      <w:highlight w:val="none"/>
                    </w:rPr>
                    <w:t>硝酸盐（氮）、亚硝酸盐</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磷酸盐（总磷）、悬浮物、总硬度、高锰酸盐指数</w:t>
                  </w:r>
                  <w:r>
                    <w:rPr>
                      <w:rFonts w:hint="eastAsia" w:cs="Times New Roman"/>
                      <w:color w:val="auto"/>
                      <w:spacing w:val="-10"/>
                      <w:sz w:val="18"/>
                      <w:szCs w:val="18"/>
                      <w:highlight w:val="none"/>
                      <w:lang w:eastAsia="zh-CN"/>
                    </w:rPr>
                    <w:t>、</w:t>
                  </w:r>
                  <w:r>
                    <w:rPr>
                      <w:rFonts w:hint="eastAsia" w:cs="Times New Roman"/>
                      <w:color w:val="auto"/>
                      <w:spacing w:val="-10"/>
                      <w:sz w:val="18"/>
                      <w:szCs w:val="18"/>
                      <w:highlight w:val="none"/>
                      <w:lang w:val="en-US" w:eastAsia="zh-CN"/>
                    </w:rPr>
                    <w:t>耗氧量、石油类、动植物油、苯、甲苯、乙苯、邻二甲苯、对二甲苯、间二甲苯、苯乙烯、游离氯、总氯、甲醛、臭氧、细菌总数/菌落总数、总大肠菌群、大肠埃希氏菌、粪大肠菌群、沙门氏菌、志贺氏菌、蛔虫卵、耐热大肠菌群、溶解性总固体/总残渣/矿化度、全盐量、酸度、总碱度、碳酸盐、重碳酸盐、游离余氯、二氧化氯、亚氯酸盐、铝、碘化物、汞、砷、硒、锑、铋、锰、铜、铅、铁、镍、锌、镉、铬、六价铬、钾、钠、钙、镁、钴、钼、二甲苯、异丙苯、苯胺类化合物、挥发性有机物、有机氯农药、多环芳烃、可萃取性石油烃（C10-C40）、多氯联苯、总α放射性、总β放射性、氯甲烷、银、硝基苯类、氯苯类化合物、六六六、滴滴涕、草甘膦、酚类化合物、金属元素、可滤残渣、砷、活性磷酸盐（无机磷）</w:t>
                  </w:r>
                  <w:r>
                    <w:rPr>
                      <w:rFonts w:hint="eastAsia" w:ascii="Times New Roman" w:hAnsi="Times New Roman" w:cs="Times New Roman"/>
                      <w:color w:val="auto"/>
                      <w:spacing w:val="-10"/>
                      <w:sz w:val="18"/>
                      <w:szCs w:val="18"/>
                      <w:highlight w:val="none"/>
                    </w:rPr>
                    <w:t>等</w:t>
                  </w:r>
                </w:p>
              </w:tc>
            </w:tr>
            <w:tr w14:paraId="6E6A80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393" w:type="dxa"/>
                  <w:tcBorders>
                    <w:tl2br w:val="nil"/>
                    <w:tr2bl w:val="nil"/>
                  </w:tcBorders>
                  <w:noWrap w:val="0"/>
                  <w:tcMar>
                    <w:top w:w="0" w:type="dxa"/>
                    <w:left w:w="0" w:type="dxa"/>
                    <w:bottom w:w="0" w:type="dxa"/>
                    <w:right w:w="0" w:type="dxa"/>
                  </w:tcMar>
                  <w:vAlign w:val="center"/>
                </w:tcPr>
                <w:p w14:paraId="14D1202D">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2</w:t>
                  </w:r>
                </w:p>
              </w:tc>
              <w:tc>
                <w:tcPr>
                  <w:tcW w:w="734" w:type="dxa"/>
                  <w:tcBorders>
                    <w:tl2br w:val="nil"/>
                    <w:tr2bl w:val="nil"/>
                  </w:tcBorders>
                  <w:noWrap w:val="0"/>
                  <w:tcMar>
                    <w:top w:w="0" w:type="dxa"/>
                    <w:left w:w="0" w:type="dxa"/>
                    <w:bottom w:w="0" w:type="dxa"/>
                    <w:right w:w="0" w:type="dxa"/>
                  </w:tcMar>
                  <w:vAlign w:val="center"/>
                </w:tcPr>
                <w:p w14:paraId="2B723DE9">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环境空气和废气</w:t>
                  </w:r>
                </w:p>
              </w:tc>
              <w:tc>
                <w:tcPr>
                  <w:tcW w:w="6832" w:type="dxa"/>
                  <w:tcBorders>
                    <w:tl2br w:val="nil"/>
                    <w:tr2bl w:val="nil"/>
                  </w:tcBorders>
                  <w:noWrap w:val="0"/>
                  <w:tcMar>
                    <w:top w:w="0" w:type="dxa"/>
                    <w:left w:w="0" w:type="dxa"/>
                    <w:bottom w:w="0" w:type="dxa"/>
                    <w:right w:w="0" w:type="dxa"/>
                  </w:tcMar>
                  <w:vAlign w:val="center"/>
                </w:tcPr>
                <w:p w14:paraId="41C91C87">
                  <w:pPr>
                    <w:snapToGrid w:val="0"/>
                    <w:spacing w:line="0" w:lineRule="atLeast"/>
                    <w:jc w:val="center"/>
                    <w:rPr>
                      <w:rFonts w:hint="default" w:ascii="Times New Roman" w:hAnsi="Times New Roman" w:cs="Times New Roman"/>
                      <w:color w:val="auto"/>
                      <w:spacing w:val="-10"/>
                      <w:sz w:val="18"/>
                      <w:szCs w:val="18"/>
                      <w:highlight w:val="none"/>
                      <w:lang w:val="en-US"/>
                    </w:rPr>
                  </w:pPr>
                  <w:r>
                    <w:rPr>
                      <w:rFonts w:hint="eastAsia" w:ascii="Times New Roman" w:hAnsi="Times New Roman" w:cs="Times New Roman"/>
                      <w:color w:val="auto"/>
                      <w:spacing w:val="-10"/>
                      <w:sz w:val="18"/>
                      <w:szCs w:val="18"/>
                      <w:highlight w:val="none"/>
                    </w:rPr>
                    <w:t>风速、风向、气压、湿度、温度、SO</w:t>
                  </w:r>
                  <w:r>
                    <w:rPr>
                      <w:rFonts w:hint="eastAsia" w:ascii="Times New Roman" w:hAnsi="Times New Roman" w:cs="Times New Roman"/>
                      <w:color w:val="auto"/>
                      <w:spacing w:val="-10"/>
                      <w:sz w:val="18"/>
                      <w:szCs w:val="18"/>
                      <w:highlight w:val="none"/>
                      <w:vertAlign w:val="subscript"/>
                    </w:rPr>
                    <w:t>2</w:t>
                  </w:r>
                  <w:r>
                    <w:rPr>
                      <w:rFonts w:hint="eastAsia" w:ascii="Times New Roman" w:hAnsi="Times New Roman" w:cs="Times New Roman"/>
                      <w:color w:val="auto"/>
                      <w:spacing w:val="-10"/>
                      <w:sz w:val="18"/>
                      <w:szCs w:val="18"/>
                      <w:highlight w:val="none"/>
                    </w:rPr>
                    <w:t>、NOx</w:t>
                  </w:r>
                  <w:r>
                    <w:rPr>
                      <w:rFonts w:hint="eastAsia" w:cs="Times New Roman"/>
                      <w:color w:val="auto"/>
                      <w:spacing w:val="-10"/>
                      <w:sz w:val="18"/>
                      <w:szCs w:val="18"/>
                      <w:highlight w:val="none"/>
                      <w:lang w:eastAsia="zh-CN"/>
                    </w:rPr>
                    <w:t>、二氧化氮、一氧化氮</w:t>
                  </w:r>
                  <w:r>
                    <w:rPr>
                      <w:rFonts w:hint="eastAsia" w:ascii="Times New Roman" w:hAnsi="Times New Roman" w:cs="Times New Roman"/>
                      <w:color w:val="auto"/>
                      <w:spacing w:val="-10"/>
                      <w:sz w:val="18"/>
                      <w:szCs w:val="18"/>
                      <w:highlight w:val="none"/>
                    </w:rPr>
                    <w:t>、CO</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烟尘/粉尘/颗粒物</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总悬浮颗粒物</w:t>
                  </w:r>
                  <w:r>
                    <w:rPr>
                      <w:rFonts w:hint="eastAsia" w:cs="Times New Roman"/>
                      <w:color w:val="auto"/>
                      <w:spacing w:val="-10"/>
                      <w:sz w:val="18"/>
                      <w:szCs w:val="18"/>
                      <w:highlight w:val="none"/>
                      <w:lang w:eastAsia="zh-CN"/>
                    </w:rPr>
                    <w:t>、</w:t>
                  </w:r>
                  <w:r>
                    <w:rPr>
                      <w:rFonts w:hint="eastAsia" w:ascii="Times New Roman" w:hAnsi="Times New Roman" w:cs="Times New Roman"/>
                      <w:color w:val="auto"/>
                      <w:spacing w:val="-10"/>
                      <w:sz w:val="18"/>
                      <w:szCs w:val="18"/>
                      <w:highlight w:val="none"/>
                    </w:rPr>
                    <w:t>PM</w:t>
                  </w:r>
                  <w:r>
                    <w:rPr>
                      <w:rFonts w:hint="eastAsia" w:ascii="Times New Roman" w:hAnsi="Times New Roman" w:cs="Times New Roman"/>
                      <w:color w:val="auto"/>
                      <w:spacing w:val="-10"/>
                      <w:sz w:val="18"/>
                      <w:szCs w:val="18"/>
                      <w:highlight w:val="none"/>
                      <w:vertAlign w:val="subscript"/>
                    </w:rPr>
                    <w:t>10</w:t>
                  </w:r>
                  <w:r>
                    <w:rPr>
                      <w:rFonts w:hint="eastAsia" w:ascii="Times New Roman" w:hAnsi="Times New Roman" w:cs="Times New Roman"/>
                      <w:color w:val="auto"/>
                      <w:spacing w:val="-10"/>
                      <w:sz w:val="18"/>
                      <w:szCs w:val="18"/>
                      <w:highlight w:val="none"/>
                    </w:rPr>
                    <w:t>、PM</w:t>
                  </w:r>
                  <w:r>
                    <w:rPr>
                      <w:rFonts w:hint="eastAsia" w:ascii="Times New Roman" w:hAnsi="Times New Roman" w:cs="Times New Roman"/>
                      <w:color w:val="auto"/>
                      <w:spacing w:val="-10"/>
                      <w:sz w:val="18"/>
                      <w:szCs w:val="18"/>
                      <w:highlight w:val="none"/>
                      <w:vertAlign w:val="subscript"/>
                    </w:rPr>
                    <w:t>2.5</w:t>
                  </w:r>
                  <w:r>
                    <w:rPr>
                      <w:rFonts w:hint="eastAsia" w:ascii="Times New Roman" w:hAnsi="Times New Roman" w:cs="Times New Roman"/>
                      <w:color w:val="auto"/>
                      <w:spacing w:val="-10"/>
                      <w:sz w:val="18"/>
                      <w:szCs w:val="18"/>
                      <w:highlight w:val="none"/>
                    </w:rPr>
                    <w:t>、氨</w:t>
                  </w:r>
                  <w:r>
                    <w:rPr>
                      <w:rFonts w:hint="eastAsia" w:cs="Times New Roman"/>
                      <w:color w:val="auto"/>
                      <w:spacing w:val="-10"/>
                      <w:sz w:val="18"/>
                      <w:szCs w:val="18"/>
                      <w:highlight w:val="none"/>
                      <w:lang w:eastAsia="zh-CN"/>
                    </w:rPr>
                    <w:t>、苯、</w:t>
                  </w:r>
                  <w:r>
                    <w:rPr>
                      <w:rFonts w:hint="eastAsia" w:cs="Times New Roman"/>
                      <w:color w:val="auto"/>
                      <w:spacing w:val="-10"/>
                      <w:sz w:val="18"/>
                      <w:szCs w:val="18"/>
                      <w:highlight w:val="none"/>
                      <w:lang w:val="en-US" w:eastAsia="zh-CN"/>
                    </w:rPr>
                    <w:t>甲苯、二甲苯、邻二甲苯、对二甲苯、间二甲苯</w:t>
                  </w:r>
                  <w:r>
                    <w:rPr>
                      <w:rFonts w:hint="eastAsia" w:ascii="Times New Roman" w:hAnsi="Times New Roman" w:cs="Times New Roman"/>
                      <w:color w:val="auto"/>
                      <w:spacing w:val="-10"/>
                      <w:sz w:val="18"/>
                      <w:szCs w:val="18"/>
                      <w:highlight w:val="none"/>
                    </w:rPr>
                    <w:t>、乙苯</w:t>
                  </w:r>
                  <w:r>
                    <w:rPr>
                      <w:rFonts w:hint="eastAsia" w:cs="Times New Roman"/>
                      <w:color w:val="auto"/>
                      <w:spacing w:val="-10"/>
                      <w:sz w:val="18"/>
                      <w:szCs w:val="18"/>
                      <w:highlight w:val="none"/>
                      <w:lang w:eastAsia="zh-CN"/>
                    </w:rPr>
                    <w:t>、苯乙烯、硫化氢、</w:t>
                  </w:r>
                  <w:r>
                    <w:rPr>
                      <w:rFonts w:hint="eastAsia" w:ascii="Times New Roman" w:hAnsi="Times New Roman" w:cs="Times New Roman"/>
                      <w:color w:val="auto"/>
                      <w:spacing w:val="-10"/>
                      <w:sz w:val="18"/>
                      <w:szCs w:val="18"/>
                      <w:highlight w:val="none"/>
                    </w:rPr>
                    <w:t>氯化氢、氯气</w:t>
                  </w:r>
                  <w:r>
                    <w:rPr>
                      <w:rFonts w:hint="eastAsia" w:cs="Times New Roman"/>
                      <w:color w:val="auto"/>
                      <w:spacing w:val="-10"/>
                      <w:sz w:val="18"/>
                      <w:szCs w:val="18"/>
                      <w:highlight w:val="none"/>
                      <w:lang w:eastAsia="zh-CN"/>
                    </w:rPr>
                    <w:t>、总烃、甲烷和非甲烷总烃、臭氧、氟化物</w:t>
                  </w:r>
                  <w:r>
                    <w:rPr>
                      <w:rFonts w:hint="eastAsia" w:ascii="Times New Roman" w:hAnsi="Times New Roman" w:cs="Times New Roman"/>
                      <w:color w:val="auto"/>
                      <w:spacing w:val="-10"/>
                      <w:sz w:val="18"/>
                      <w:szCs w:val="18"/>
                      <w:highlight w:val="none"/>
                    </w:rPr>
                    <w:t>、臭气浓度、苯可溶物</w:t>
                  </w:r>
                  <w:r>
                    <w:rPr>
                      <w:rFonts w:hint="eastAsia" w:cs="Times New Roman"/>
                      <w:color w:val="auto"/>
                      <w:spacing w:val="-10"/>
                      <w:sz w:val="18"/>
                      <w:szCs w:val="18"/>
                      <w:highlight w:val="none"/>
                      <w:lang w:eastAsia="zh-CN"/>
                    </w:rPr>
                    <w:t>、沥青烟、油烟和油雾、光吸收系数、甲醛、液阻、密闭性、气液比、油气排放浓度、烟气黑度、苯并（a）芘、铅、硫酸雾、铬酸雾、氟化氢、氰化氢、（苯）酚类化合物、镉、镍、铜、</w:t>
                  </w:r>
                  <w:r>
                    <w:rPr>
                      <w:rFonts w:hint="eastAsia" w:cs="Times New Roman"/>
                      <w:color w:val="auto"/>
                      <w:spacing w:val="-10"/>
                      <w:sz w:val="18"/>
                      <w:szCs w:val="18"/>
                      <w:highlight w:val="none"/>
                      <w:lang w:val="en-US" w:eastAsia="zh-CN"/>
                    </w:rPr>
                    <w:t>锌、铬、锰、甲醇、丙酮、汞、铍、苯胺类化合物、醛、酮类化合物、铬（六价）/六价铬、含氧量、砷、硒、铋、锑、金属元素、挥发性有机物</w:t>
                  </w:r>
                  <w:r>
                    <w:rPr>
                      <w:rFonts w:hint="eastAsia" w:ascii="Times New Roman" w:hAnsi="Times New Roman" w:cs="Times New Roman"/>
                      <w:color w:val="auto"/>
                      <w:spacing w:val="-10"/>
                      <w:sz w:val="18"/>
                      <w:szCs w:val="18"/>
                      <w:highlight w:val="none"/>
                    </w:rPr>
                    <w:t>等因子以及烟气参数等</w:t>
                  </w:r>
                </w:p>
              </w:tc>
            </w:tr>
            <w:tr w14:paraId="2C00B3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393" w:type="dxa"/>
                  <w:tcBorders>
                    <w:tl2br w:val="nil"/>
                    <w:tr2bl w:val="nil"/>
                  </w:tcBorders>
                  <w:noWrap w:val="0"/>
                  <w:tcMar>
                    <w:top w:w="0" w:type="dxa"/>
                    <w:left w:w="0" w:type="dxa"/>
                    <w:bottom w:w="0" w:type="dxa"/>
                    <w:right w:w="0" w:type="dxa"/>
                  </w:tcMar>
                  <w:vAlign w:val="center"/>
                </w:tcPr>
                <w:p w14:paraId="3BE4859F">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3</w:t>
                  </w:r>
                </w:p>
              </w:tc>
              <w:tc>
                <w:tcPr>
                  <w:tcW w:w="734" w:type="dxa"/>
                  <w:tcBorders>
                    <w:tl2br w:val="nil"/>
                    <w:tr2bl w:val="nil"/>
                  </w:tcBorders>
                  <w:noWrap w:val="0"/>
                  <w:tcMar>
                    <w:top w:w="0" w:type="dxa"/>
                    <w:left w:w="0" w:type="dxa"/>
                    <w:bottom w:w="0" w:type="dxa"/>
                    <w:right w:w="0" w:type="dxa"/>
                  </w:tcMar>
                  <w:vAlign w:val="center"/>
                </w:tcPr>
                <w:p w14:paraId="04074D3B">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土壤</w:t>
                  </w:r>
                  <w:r>
                    <w:rPr>
                      <w:rFonts w:hint="eastAsia" w:cs="Times New Roman"/>
                      <w:color w:val="auto"/>
                      <w:spacing w:val="-10"/>
                      <w:sz w:val="18"/>
                      <w:szCs w:val="18"/>
                      <w:highlight w:val="none"/>
                      <w:lang w:val="en-US" w:eastAsia="zh-CN"/>
                    </w:rPr>
                    <w:t>和水系沉积物</w:t>
                  </w:r>
                </w:p>
              </w:tc>
              <w:tc>
                <w:tcPr>
                  <w:tcW w:w="6832" w:type="dxa"/>
                  <w:tcBorders>
                    <w:tl2br w:val="nil"/>
                    <w:tr2bl w:val="nil"/>
                  </w:tcBorders>
                  <w:noWrap w:val="0"/>
                  <w:tcMar>
                    <w:top w:w="0" w:type="dxa"/>
                    <w:left w:w="0" w:type="dxa"/>
                    <w:bottom w:w="0" w:type="dxa"/>
                    <w:right w:w="0" w:type="dxa"/>
                  </w:tcMar>
                  <w:vAlign w:val="center"/>
                </w:tcPr>
                <w:p w14:paraId="269A8E16">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颗粒组成/机械组成/土粒密度</w:t>
                  </w:r>
                  <w:r>
                    <w:rPr>
                      <w:rFonts w:hint="eastAsia" w:cs="Times New Roman"/>
                      <w:color w:val="auto"/>
                      <w:spacing w:val="-10"/>
                      <w:sz w:val="18"/>
                      <w:szCs w:val="18"/>
                      <w:highlight w:val="none"/>
                      <w:lang w:eastAsia="zh-CN"/>
                    </w:rPr>
                    <w:t>、容重、氧化还原电位、电导率、渗滤率、</w:t>
                  </w:r>
                  <w:r>
                    <w:rPr>
                      <w:rFonts w:hint="eastAsia" w:ascii="Times New Roman" w:hAnsi="Times New Roman" w:cs="Times New Roman"/>
                      <w:color w:val="auto"/>
                      <w:spacing w:val="-10"/>
                      <w:sz w:val="18"/>
                      <w:szCs w:val="18"/>
                      <w:highlight w:val="none"/>
                    </w:rPr>
                    <w:t>水分、pH值、镉</w:t>
                  </w:r>
                  <w:r>
                    <w:rPr>
                      <w:rFonts w:hint="eastAsia" w:cs="Times New Roman"/>
                      <w:color w:val="auto"/>
                      <w:spacing w:val="-10"/>
                      <w:sz w:val="18"/>
                      <w:szCs w:val="18"/>
                      <w:highlight w:val="none"/>
                      <w:lang w:eastAsia="zh-CN"/>
                    </w:rPr>
                    <w:t>、汞、砷、硒、锑、铋、铅、铜、锌、总铬、镍、钴、硫酸根/水溶性、酸溶性硫酸盐、氯离子、水溶性盐总量、石油烃（C10-C40）、有机质、阳离子交换量、碳酸根、重碳酸根（总碱度）、氨氮、硝酸盐氮、亚硝酸盐氮、</w:t>
                  </w:r>
                  <w:r>
                    <w:rPr>
                      <w:rFonts w:hint="eastAsia" w:cs="Times New Roman"/>
                      <w:color w:val="auto"/>
                      <w:spacing w:val="-10"/>
                      <w:sz w:val="18"/>
                      <w:szCs w:val="18"/>
                      <w:highlight w:val="none"/>
                      <w:lang w:val="en-US" w:eastAsia="zh-CN"/>
                    </w:rPr>
                    <w:t>总磷、氰化物（总氰化物）、铍、挥发性卤代烃、挥发性有机物、多环芳烃、硫化物、磷酸根、钠、总酸度、烘干残渣总量（盐分总量）、全盐量、铊、半挥发性有机物、苯胺、有机氯农药、酚类化合物、多氯联苯、水溶性氟化物</w:t>
                  </w:r>
                  <w:r>
                    <w:rPr>
                      <w:rFonts w:hint="eastAsia" w:cs="Times New Roman"/>
                      <w:color w:val="auto"/>
                      <w:spacing w:val="-10"/>
                      <w:sz w:val="18"/>
                      <w:szCs w:val="18"/>
                      <w:highlight w:val="none"/>
                      <w:lang w:eastAsia="zh-CN"/>
                    </w:rPr>
                    <w:t>、总氟化物、六价铬、</w:t>
                  </w:r>
                  <w:r>
                    <w:rPr>
                      <w:rFonts w:hint="eastAsia" w:cs="Times New Roman"/>
                      <w:color w:val="auto"/>
                      <w:spacing w:val="-10"/>
                      <w:sz w:val="18"/>
                      <w:szCs w:val="18"/>
                      <w:highlight w:val="none"/>
                      <w:lang w:val="en-US" w:eastAsia="zh-CN"/>
                    </w:rPr>
                    <w:t>干物质、六六六、滴滴涕、丙烯醛、丙烯腈、乙腈、全氮、金属元素、有机磷类和拟除虫菊酯类</w:t>
                  </w:r>
                  <w:r>
                    <w:rPr>
                      <w:rFonts w:hint="eastAsia" w:ascii="Times New Roman" w:hAnsi="Times New Roman" w:cs="Times New Roman"/>
                      <w:color w:val="auto"/>
                      <w:spacing w:val="-10"/>
                      <w:sz w:val="18"/>
                      <w:szCs w:val="18"/>
                      <w:highlight w:val="none"/>
                    </w:rPr>
                    <w:t>等</w:t>
                  </w:r>
                </w:p>
              </w:tc>
            </w:tr>
            <w:tr w14:paraId="5E3573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393" w:type="dxa"/>
                  <w:tcBorders>
                    <w:tl2br w:val="nil"/>
                    <w:tr2bl w:val="nil"/>
                  </w:tcBorders>
                  <w:noWrap w:val="0"/>
                  <w:tcMar>
                    <w:top w:w="0" w:type="dxa"/>
                    <w:left w:w="0" w:type="dxa"/>
                    <w:bottom w:w="0" w:type="dxa"/>
                    <w:right w:w="0" w:type="dxa"/>
                  </w:tcMar>
                  <w:vAlign w:val="center"/>
                </w:tcPr>
                <w:p w14:paraId="7B887559">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4</w:t>
                  </w:r>
                </w:p>
              </w:tc>
              <w:tc>
                <w:tcPr>
                  <w:tcW w:w="734" w:type="dxa"/>
                  <w:tcBorders>
                    <w:tl2br w:val="nil"/>
                    <w:tr2bl w:val="nil"/>
                  </w:tcBorders>
                  <w:noWrap w:val="0"/>
                  <w:tcMar>
                    <w:top w:w="0" w:type="dxa"/>
                    <w:left w:w="0" w:type="dxa"/>
                    <w:bottom w:w="0" w:type="dxa"/>
                    <w:right w:w="0" w:type="dxa"/>
                  </w:tcMar>
                  <w:vAlign w:val="center"/>
                </w:tcPr>
                <w:p w14:paraId="12EF107F">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噪声</w:t>
                  </w:r>
                </w:p>
              </w:tc>
              <w:tc>
                <w:tcPr>
                  <w:tcW w:w="6832" w:type="dxa"/>
                  <w:tcBorders>
                    <w:tl2br w:val="nil"/>
                    <w:tr2bl w:val="nil"/>
                  </w:tcBorders>
                  <w:noWrap w:val="0"/>
                  <w:tcMar>
                    <w:top w:w="0" w:type="dxa"/>
                    <w:left w:w="0" w:type="dxa"/>
                    <w:bottom w:w="0" w:type="dxa"/>
                    <w:right w:w="0" w:type="dxa"/>
                  </w:tcMar>
                  <w:vAlign w:val="center"/>
                </w:tcPr>
                <w:p w14:paraId="375DF8B6">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工业企业厂界环境噪声</w:t>
                  </w:r>
                  <w:r>
                    <w:rPr>
                      <w:rFonts w:hint="eastAsia" w:cs="Times New Roman"/>
                      <w:color w:val="auto"/>
                      <w:spacing w:val="-10"/>
                      <w:sz w:val="18"/>
                      <w:szCs w:val="18"/>
                      <w:highlight w:val="none"/>
                      <w:lang w:eastAsia="zh-CN"/>
                    </w:rPr>
                    <w:t>、建筑施工场界环境噪声、社会生活噪声、环境噪声、铁路边界噪声</w:t>
                  </w:r>
                  <w:r>
                    <w:rPr>
                      <w:rFonts w:hint="eastAsia" w:ascii="Times New Roman" w:hAnsi="Times New Roman" w:cs="Times New Roman"/>
                      <w:color w:val="auto"/>
                      <w:spacing w:val="-10"/>
                      <w:sz w:val="18"/>
                      <w:szCs w:val="18"/>
                      <w:highlight w:val="none"/>
                    </w:rPr>
                    <w:t>等</w:t>
                  </w:r>
                </w:p>
              </w:tc>
            </w:tr>
          </w:tbl>
          <w:p w14:paraId="04B2E2EF">
            <w:pPr>
              <w:rPr>
                <w:color w:val="auto"/>
              </w:rPr>
            </w:pPr>
          </w:p>
          <w:p w14:paraId="23AF5A3C">
            <w:pPr>
              <w:rPr>
                <w:color w:val="auto"/>
              </w:rPr>
            </w:pPr>
          </w:p>
          <w:p w14:paraId="5196823E">
            <w:pPr>
              <w:rPr>
                <w:color w:val="auto"/>
              </w:rPr>
            </w:pPr>
          </w:p>
          <w:p w14:paraId="69CEB75E">
            <w:pPr>
              <w:rPr>
                <w:color w:val="auto"/>
              </w:rPr>
            </w:pPr>
          </w:p>
          <w:p w14:paraId="484EEC3C">
            <w:pPr>
              <w:pStyle w:val="22"/>
              <w:adjustRightInd w:val="0"/>
              <w:snapToGrid w:val="0"/>
              <w:spacing w:before="0" w:beforeAutospacing="0" w:after="0" w:afterAutospacing="0" w:line="440" w:lineRule="exact"/>
              <w:jc w:val="center"/>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 xml:space="preserve">6 </w:t>
            </w:r>
            <w:r>
              <w:rPr>
                <w:rFonts w:hint="eastAsia" w:ascii="Times New Roman" w:hAnsi="Times New Roman" w:cs="Times New Roman"/>
                <w:b/>
                <w:color w:val="auto"/>
                <w:sz w:val="21"/>
                <w:szCs w:val="21"/>
                <w:highlight w:val="none"/>
              </w:rPr>
              <w:t>项目可检测因子一览表</w:t>
            </w:r>
          </w:p>
          <w:tbl>
            <w:tblPr>
              <w:tblStyle w:val="26"/>
              <w:tblW w:w="7959"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93"/>
              <w:gridCol w:w="734"/>
              <w:gridCol w:w="6832"/>
            </w:tblGrid>
            <w:tr w14:paraId="5BA80E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393" w:type="dxa"/>
                  <w:tcBorders>
                    <w:tl2br w:val="nil"/>
                    <w:tr2bl w:val="nil"/>
                  </w:tcBorders>
                  <w:noWrap w:val="0"/>
                  <w:tcMar>
                    <w:top w:w="0" w:type="dxa"/>
                    <w:left w:w="0" w:type="dxa"/>
                    <w:bottom w:w="0" w:type="dxa"/>
                    <w:right w:w="0" w:type="dxa"/>
                  </w:tcMar>
                  <w:vAlign w:val="center"/>
                </w:tcPr>
                <w:p w14:paraId="70D33BAD">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序号</w:t>
                  </w:r>
                </w:p>
              </w:tc>
              <w:tc>
                <w:tcPr>
                  <w:tcW w:w="734" w:type="dxa"/>
                  <w:tcBorders>
                    <w:tl2br w:val="nil"/>
                    <w:tr2bl w:val="nil"/>
                  </w:tcBorders>
                  <w:noWrap w:val="0"/>
                  <w:tcMar>
                    <w:top w:w="0" w:type="dxa"/>
                    <w:left w:w="0" w:type="dxa"/>
                    <w:bottom w:w="0" w:type="dxa"/>
                    <w:right w:w="0" w:type="dxa"/>
                  </w:tcMar>
                  <w:vAlign w:val="center"/>
                </w:tcPr>
                <w:p w14:paraId="49587422">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检测项目</w:t>
                  </w:r>
                </w:p>
              </w:tc>
              <w:tc>
                <w:tcPr>
                  <w:tcW w:w="6832" w:type="dxa"/>
                  <w:tcBorders>
                    <w:tl2br w:val="nil"/>
                    <w:tr2bl w:val="nil"/>
                  </w:tcBorders>
                  <w:noWrap w:val="0"/>
                  <w:tcMar>
                    <w:top w:w="0" w:type="dxa"/>
                    <w:left w:w="0" w:type="dxa"/>
                    <w:bottom w:w="0" w:type="dxa"/>
                    <w:right w:w="0" w:type="dxa"/>
                  </w:tcMar>
                  <w:vAlign w:val="center"/>
                </w:tcPr>
                <w:p w14:paraId="4A75180E">
                  <w:pPr>
                    <w:snapToGrid w:val="0"/>
                    <w:spacing w:line="0" w:lineRule="atLeast"/>
                    <w:jc w:val="center"/>
                    <w:rPr>
                      <w:rFonts w:hint="eastAsia"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检测因子</w:t>
                  </w:r>
                </w:p>
              </w:tc>
            </w:tr>
            <w:tr w14:paraId="2700701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393" w:type="dxa"/>
                  <w:tcBorders>
                    <w:tl2br w:val="nil"/>
                    <w:tr2bl w:val="nil"/>
                  </w:tcBorders>
                  <w:noWrap w:val="0"/>
                  <w:tcMar>
                    <w:top w:w="0" w:type="dxa"/>
                    <w:left w:w="0" w:type="dxa"/>
                    <w:bottom w:w="0" w:type="dxa"/>
                    <w:right w:w="0" w:type="dxa"/>
                  </w:tcMar>
                  <w:vAlign w:val="center"/>
                </w:tcPr>
                <w:p w14:paraId="28B03C05">
                  <w:pPr>
                    <w:snapToGrid w:val="0"/>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w:t>
                  </w:r>
                </w:p>
              </w:tc>
              <w:tc>
                <w:tcPr>
                  <w:tcW w:w="734" w:type="dxa"/>
                  <w:tcBorders>
                    <w:tl2br w:val="nil"/>
                    <w:tr2bl w:val="nil"/>
                  </w:tcBorders>
                  <w:noWrap w:val="0"/>
                  <w:tcMar>
                    <w:top w:w="0" w:type="dxa"/>
                    <w:left w:w="0" w:type="dxa"/>
                    <w:bottom w:w="0" w:type="dxa"/>
                    <w:right w:w="0" w:type="dxa"/>
                  </w:tcMar>
                  <w:vAlign w:val="center"/>
                </w:tcPr>
                <w:p w14:paraId="01DA6735">
                  <w:pPr>
                    <w:snapToGrid w:val="0"/>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固体废物</w:t>
                  </w:r>
                </w:p>
              </w:tc>
              <w:tc>
                <w:tcPr>
                  <w:tcW w:w="6832" w:type="dxa"/>
                  <w:tcBorders>
                    <w:tl2br w:val="nil"/>
                    <w:tr2bl w:val="nil"/>
                  </w:tcBorders>
                  <w:noWrap w:val="0"/>
                  <w:tcMar>
                    <w:top w:w="0" w:type="dxa"/>
                    <w:left w:w="0" w:type="dxa"/>
                    <w:bottom w:w="0" w:type="dxa"/>
                    <w:right w:w="0" w:type="dxa"/>
                  </w:tcMar>
                  <w:vAlign w:val="center"/>
                </w:tcPr>
                <w:p w14:paraId="0CCE1556">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rPr>
                    <w:t>热灼减率</w:t>
                  </w:r>
                  <w:r>
                    <w:rPr>
                      <w:rFonts w:hint="eastAsia" w:cs="Times New Roman"/>
                      <w:color w:val="auto"/>
                      <w:spacing w:val="-10"/>
                      <w:sz w:val="18"/>
                      <w:szCs w:val="18"/>
                      <w:highlight w:val="none"/>
                      <w:lang w:eastAsia="zh-CN"/>
                    </w:rPr>
                    <w:t>、pH值、腐蚀性、氟化物、</w:t>
                  </w:r>
                  <w:r>
                    <w:rPr>
                      <w:rFonts w:hint="eastAsia" w:cs="Times New Roman"/>
                      <w:color w:val="auto"/>
                      <w:spacing w:val="-10"/>
                      <w:sz w:val="18"/>
                      <w:szCs w:val="18"/>
                      <w:highlight w:val="none"/>
                      <w:lang w:val="en-US" w:eastAsia="zh-CN"/>
                    </w:rPr>
                    <w:t>总磷、铅、镉、铊、总铬、六价铬、汞、砷、硒、铋、锑、铜、镍、锌、铝、锰、有机质、酚类化合物、矿物油、有机氯农药、苯、甲苯、乙苯、邻二甲苯、对二甲苯、间二甲苯、苯乙烯、异丙苯、多环芳烃、多氯联苯、半挥发性有机物、丙烯醛、丙烯腈、乙腈、含水率、挥发性卤代烃、硝基芳烃、有机磷类和拟除虫菊酯类、银、钡、铍、钴、钼、钒、硫酸根</w:t>
                  </w:r>
                  <w:r>
                    <w:rPr>
                      <w:rFonts w:hint="eastAsia" w:ascii="Times New Roman" w:hAnsi="Times New Roman" w:cs="Times New Roman"/>
                      <w:color w:val="auto"/>
                      <w:spacing w:val="-10"/>
                      <w:sz w:val="18"/>
                      <w:szCs w:val="18"/>
                      <w:highlight w:val="none"/>
                    </w:rPr>
                    <w:t>等</w:t>
                  </w:r>
                </w:p>
              </w:tc>
            </w:tr>
            <w:tr w14:paraId="2D4979C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393" w:type="dxa"/>
                  <w:tcBorders>
                    <w:tl2br w:val="nil"/>
                    <w:tr2bl w:val="nil"/>
                  </w:tcBorders>
                  <w:noWrap w:val="0"/>
                  <w:tcMar>
                    <w:top w:w="0" w:type="dxa"/>
                    <w:left w:w="0" w:type="dxa"/>
                    <w:bottom w:w="0" w:type="dxa"/>
                    <w:right w:w="0" w:type="dxa"/>
                  </w:tcMar>
                  <w:vAlign w:val="center"/>
                </w:tcPr>
                <w:p w14:paraId="65E95E6F">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w:t>
                  </w:r>
                </w:p>
              </w:tc>
              <w:tc>
                <w:tcPr>
                  <w:tcW w:w="734" w:type="dxa"/>
                  <w:tcBorders>
                    <w:tl2br w:val="nil"/>
                    <w:tr2bl w:val="nil"/>
                  </w:tcBorders>
                  <w:noWrap w:val="0"/>
                  <w:tcMar>
                    <w:top w:w="0" w:type="dxa"/>
                    <w:left w:w="0" w:type="dxa"/>
                    <w:bottom w:w="0" w:type="dxa"/>
                    <w:right w:w="0" w:type="dxa"/>
                  </w:tcMar>
                  <w:vAlign w:val="center"/>
                </w:tcPr>
                <w:p w14:paraId="38097D63">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辐射</w:t>
                  </w:r>
                </w:p>
              </w:tc>
              <w:tc>
                <w:tcPr>
                  <w:tcW w:w="6832" w:type="dxa"/>
                  <w:tcBorders>
                    <w:tl2br w:val="nil"/>
                    <w:tr2bl w:val="nil"/>
                  </w:tcBorders>
                  <w:noWrap w:val="0"/>
                  <w:tcMar>
                    <w:top w:w="0" w:type="dxa"/>
                    <w:left w:w="0" w:type="dxa"/>
                    <w:bottom w:w="0" w:type="dxa"/>
                    <w:right w:w="0" w:type="dxa"/>
                  </w:tcMar>
                  <w:vAlign w:val="center"/>
                </w:tcPr>
                <w:p w14:paraId="64681724">
                  <w:pPr>
                    <w:snapToGrid w:val="0"/>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X、γ辐射剂量率、射频功率密度</w:t>
                  </w:r>
                  <w:r>
                    <w:rPr>
                      <w:rFonts w:hint="default" w:ascii="Times New Roman" w:hAnsi="Times New Roman" w:cs="Times New Roman"/>
                      <w:color w:val="auto"/>
                      <w:spacing w:val="-10"/>
                      <w:sz w:val="18"/>
                      <w:szCs w:val="18"/>
                      <w:highlight w:val="none"/>
                    </w:rPr>
                    <w:t>等</w:t>
                  </w:r>
                </w:p>
              </w:tc>
            </w:tr>
            <w:tr w14:paraId="0B262B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393" w:type="dxa"/>
                  <w:tcBorders>
                    <w:tl2br w:val="nil"/>
                    <w:tr2bl w:val="nil"/>
                  </w:tcBorders>
                  <w:noWrap w:val="0"/>
                  <w:tcMar>
                    <w:top w:w="0" w:type="dxa"/>
                    <w:left w:w="0" w:type="dxa"/>
                    <w:bottom w:w="0" w:type="dxa"/>
                    <w:right w:w="0" w:type="dxa"/>
                  </w:tcMar>
                  <w:vAlign w:val="center"/>
                </w:tcPr>
                <w:p w14:paraId="642A92CB">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w:t>
                  </w:r>
                </w:p>
              </w:tc>
              <w:tc>
                <w:tcPr>
                  <w:tcW w:w="734" w:type="dxa"/>
                  <w:tcBorders>
                    <w:tl2br w:val="nil"/>
                    <w:tr2bl w:val="nil"/>
                  </w:tcBorders>
                  <w:noWrap w:val="0"/>
                  <w:tcMar>
                    <w:top w:w="0" w:type="dxa"/>
                    <w:left w:w="0" w:type="dxa"/>
                    <w:bottom w:w="0" w:type="dxa"/>
                    <w:right w:w="0" w:type="dxa"/>
                  </w:tcMar>
                  <w:vAlign w:val="center"/>
                </w:tcPr>
                <w:p w14:paraId="40DAF487">
                  <w:pPr>
                    <w:snapToGrid w:val="0"/>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肥料</w:t>
                  </w:r>
                </w:p>
              </w:tc>
              <w:tc>
                <w:tcPr>
                  <w:tcW w:w="6832" w:type="dxa"/>
                  <w:tcBorders>
                    <w:tl2br w:val="nil"/>
                    <w:tr2bl w:val="nil"/>
                  </w:tcBorders>
                  <w:noWrap w:val="0"/>
                  <w:tcMar>
                    <w:top w:w="0" w:type="dxa"/>
                    <w:left w:w="0" w:type="dxa"/>
                    <w:bottom w:w="0" w:type="dxa"/>
                    <w:right w:w="0" w:type="dxa"/>
                  </w:tcMar>
                  <w:vAlign w:val="center"/>
                </w:tcPr>
                <w:p w14:paraId="65C8366A">
                  <w:pPr>
                    <w:snapToGrid w:val="0"/>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汞、砷、镉、铅、铬、氯离子、粪大肠菌群、蛔虫卵死亡率、杂草种子活性</w:t>
                  </w:r>
                  <w:r>
                    <w:rPr>
                      <w:rFonts w:hint="eastAsia" w:ascii="Times New Roman" w:hAnsi="Times New Roman" w:cs="Times New Roman"/>
                      <w:color w:val="auto"/>
                      <w:spacing w:val="-10"/>
                      <w:sz w:val="18"/>
                      <w:szCs w:val="18"/>
                      <w:highlight w:val="none"/>
                    </w:rPr>
                    <w:t>等</w:t>
                  </w:r>
                </w:p>
              </w:tc>
            </w:tr>
          </w:tbl>
          <w:p w14:paraId="6F359B32">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3.</w:t>
            </w:r>
            <w:r>
              <w:rPr>
                <w:rFonts w:hint="eastAsia" w:ascii="Times New Roman" w:hAnsi="Times New Roman"/>
                <w:b/>
                <w:color w:val="auto"/>
                <w:sz w:val="21"/>
                <w:szCs w:val="21"/>
                <w:highlight w:val="none"/>
              </w:rPr>
              <w:t>主要构筑物</w:t>
            </w:r>
          </w:p>
          <w:p w14:paraId="49A8FFB5">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hint="eastAsia" w:ascii="Times New Roman" w:hAnsi="Times New Roman"/>
                <w:color w:val="auto"/>
                <w:sz w:val="21"/>
                <w:szCs w:val="21"/>
                <w:highlight w:val="none"/>
              </w:rPr>
              <w:t>项目主要建构筑物见表</w:t>
            </w:r>
            <w:r>
              <w:rPr>
                <w:rFonts w:hint="eastAsia" w:ascii="Times New Roman" w:hAnsi="Times New Roman"/>
                <w:color w:val="auto"/>
                <w:sz w:val="21"/>
                <w:szCs w:val="21"/>
                <w:highlight w:val="none"/>
                <w:lang w:val="en-US" w:eastAsia="zh-CN"/>
              </w:rPr>
              <w:t>7</w:t>
            </w:r>
            <w:r>
              <w:rPr>
                <w:rFonts w:ascii="Times New Roman" w:hAnsi="Times New Roman"/>
                <w:color w:val="auto"/>
                <w:sz w:val="21"/>
                <w:szCs w:val="21"/>
                <w:highlight w:val="none"/>
              </w:rPr>
              <w:t>。</w:t>
            </w:r>
          </w:p>
          <w:p w14:paraId="47A2C3DF">
            <w:pPr>
              <w:pStyle w:val="22"/>
              <w:adjustRightInd w:val="0"/>
              <w:snapToGrid w:val="0"/>
              <w:spacing w:before="0" w:beforeAutospacing="0" w:after="0" w:afterAutospacing="0" w:line="440" w:lineRule="exact"/>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表</w:t>
            </w:r>
            <w:r>
              <w:rPr>
                <w:rFonts w:hint="eastAsia" w:ascii="Times New Roman" w:hAnsi="Times New Roman" w:cs="Times New Roman"/>
                <w:b/>
                <w:bCs/>
                <w:color w:val="auto"/>
                <w:sz w:val="21"/>
                <w:szCs w:val="21"/>
                <w:highlight w:val="none"/>
                <w:lang w:val="en-US" w:eastAsia="zh-CN"/>
              </w:rPr>
              <w:t>7</w:t>
            </w:r>
            <w:r>
              <w:rPr>
                <w:rFonts w:hint="default" w:ascii="Times New Roman" w:hAnsi="Times New Roman" w:cs="Times New Roman"/>
                <w:b/>
                <w:bCs/>
                <w:color w:val="auto"/>
                <w:sz w:val="21"/>
                <w:szCs w:val="21"/>
                <w:highlight w:val="none"/>
              </w:rPr>
              <w:t xml:space="preserve"> 项目主要建构筑物一览表</w:t>
            </w:r>
          </w:p>
          <w:tbl>
            <w:tblPr>
              <w:tblStyle w:val="26"/>
              <w:tblW w:w="8055" w:type="dxa"/>
              <w:jc w:val="center"/>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Layout w:type="fixed"/>
              <w:tblCellMar>
                <w:top w:w="0" w:type="dxa"/>
                <w:left w:w="0" w:type="dxa"/>
                <w:bottom w:w="0" w:type="dxa"/>
                <w:right w:w="0" w:type="dxa"/>
              </w:tblCellMar>
            </w:tblPr>
            <w:tblGrid>
              <w:gridCol w:w="436"/>
              <w:gridCol w:w="1426"/>
              <w:gridCol w:w="1250"/>
              <w:gridCol w:w="1530"/>
              <w:gridCol w:w="940"/>
              <w:gridCol w:w="860"/>
              <w:gridCol w:w="1613"/>
            </w:tblGrid>
            <w:tr w14:paraId="24B14FC2">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0" w:type="dxa"/>
                  <w:bottom w:w="0" w:type="dxa"/>
                  <w:right w:w="0" w:type="dxa"/>
                </w:tblCellMar>
              </w:tblPrEx>
              <w:trPr>
                <w:trHeight w:val="310" w:hRule="atLeast"/>
                <w:jc w:val="center"/>
              </w:trPr>
              <w:tc>
                <w:tcPr>
                  <w:tcW w:w="436" w:type="dxa"/>
                  <w:tcBorders>
                    <w:tl2br w:val="nil"/>
                    <w:tr2bl w:val="nil"/>
                  </w:tcBorders>
                  <w:noWrap w:val="0"/>
                  <w:vAlign w:val="center"/>
                </w:tcPr>
                <w:p w14:paraId="35302BD6">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序号</w:t>
                  </w:r>
                </w:p>
              </w:tc>
              <w:tc>
                <w:tcPr>
                  <w:tcW w:w="1426" w:type="dxa"/>
                  <w:tcBorders>
                    <w:tl2br w:val="nil"/>
                    <w:tr2bl w:val="nil"/>
                  </w:tcBorders>
                  <w:noWrap w:val="0"/>
                  <w:vAlign w:val="center"/>
                </w:tcPr>
                <w:p w14:paraId="198746BF">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名称</w:t>
                  </w:r>
                </w:p>
              </w:tc>
              <w:tc>
                <w:tcPr>
                  <w:tcW w:w="1250" w:type="dxa"/>
                  <w:tcBorders>
                    <w:tl2br w:val="nil"/>
                    <w:tr2bl w:val="nil"/>
                  </w:tcBorders>
                  <w:noWrap w:val="0"/>
                  <w:vAlign w:val="center"/>
                </w:tcPr>
                <w:p w14:paraId="244BD373">
                  <w:pPr>
                    <w:widowControl/>
                    <w:jc w:val="center"/>
                    <w:rPr>
                      <w:rFonts w:hint="default" w:ascii="Times New Roman" w:hAnsi="Times New Roman" w:cs="Times New Roman"/>
                      <w:color w:val="auto"/>
                      <w:spacing w:val="-10"/>
                      <w:sz w:val="18"/>
                      <w:szCs w:val="18"/>
                      <w:highlight w:val="none"/>
                    </w:rPr>
                  </w:pPr>
                  <w:r>
                    <w:rPr>
                      <w:rFonts w:hint="eastAsia" w:cs="Times New Roman"/>
                      <w:color w:val="auto"/>
                      <w:spacing w:val="-10"/>
                      <w:sz w:val="18"/>
                      <w:szCs w:val="18"/>
                      <w:highlight w:val="none"/>
                      <w:lang w:val="en-US" w:eastAsia="zh-CN"/>
                    </w:rPr>
                    <w:t>占地</w:t>
                  </w:r>
                  <w:r>
                    <w:rPr>
                      <w:rFonts w:hint="default" w:ascii="Times New Roman" w:hAnsi="Times New Roman" w:cs="Times New Roman"/>
                      <w:color w:val="auto"/>
                      <w:spacing w:val="-10"/>
                      <w:sz w:val="18"/>
                      <w:szCs w:val="18"/>
                      <w:highlight w:val="none"/>
                    </w:rPr>
                    <w:t>面积（m</w:t>
                  </w:r>
                  <w:r>
                    <w:rPr>
                      <w:rFonts w:hint="default" w:ascii="Times New Roman" w:hAnsi="Times New Roman" w:cs="Times New Roman"/>
                      <w:color w:val="auto"/>
                      <w:spacing w:val="-10"/>
                      <w:sz w:val="18"/>
                      <w:szCs w:val="18"/>
                      <w:highlight w:val="none"/>
                      <w:vertAlign w:val="superscript"/>
                    </w:rPr>
                    <w:t>2</w:t>
                  </w:r>
                  <w:r>
                    <w:rPr>
                      <w:rFonts w:hint="default" w:ascii="Times New Roman" w:hAnsi="Times New Roman" w:cs="Times New Roman"/>
                      <w:color w:val="auto"/>
                      <w:spacing w:val="-10"/>
                      <w:sz w:val="18"/>
                      <w:szCs w:val="18"/>
                      <w:highlight w:val="none"/>
                    </w:rPr>
                    <w:t>）</w:t>
                  </w:r>
                </w:p>
              </w:tc>
              <w:tc>
                <w:tcPr>
                  <w:tcW w:w="1530" w:type="dxa"/>
                  <w:tcBorders>
                    <w:tl2br w:val="nil"/>
                    <w:tr2bl w:val="nil"/>
                  </w:tcBorders>
                  <w:noWrap w:val="0"/>
                  <w:vAlign w:val="center"/>
                </w:tcPr>
                <w:p w14:paraId="155B9C26">
                  <w:pPr>
                    <w:widowControl/>
                    <w:jc w:val="center"/>
                    <w:rPr>
                      <w:rFonts w:hint="default" w:ascii="Times New Roman" w:hAnsi="Times New Roman" w:cs="Times New Roman"/>
                      <w:color w:val="auto"/>
                      <w:spacing w:val="-10"/>
                      <w:sz w:val="18"/>
                      <w:szCs w:val="18"/>
                      <w:highlight w:val="none"/>
                    </w:rPr>
                  </w:pPr>
                  <w:r>
                    <w:rPr>
                      <w:rFonts w:hint="eastAsia" w:cs="Times New Roman"/>
                      <w:color w:val="auto"/>
                      <w:spacing w:val="-10"/>
                      <w:sz w:val="18"/>
                      <w:szCs w:val="18"/>
                      <w:highlight w:val="none"/>
                      <w:lang w:val="en-US" w:eastAsia="zh-CN"/>
                    </w:rPr>
                    <w:t>建筑面积</w:t>
                  </w:r>
                  <w:r>
                    <w:rPr>
                      <w:rFonts w:hint="default" w:ascii="Times New Roman" w:hAnsi="Times New Roman" w:cs="Times New Roman"/>
                      <w:color w:val="auto"/>
                      <w:spacing w:val="-10"/>
                      <w:sz w:val="18"/>
                      <w:szCs w:val="18"/>
                      <w:highlight w:val="none"/>
                    </w:rPr>
                    <w:t>（m</w:t>
                  </w:r>
                  <w:r>
                    <w:rPr>
                      <w:rFonts w:hint="default" w:ascii="Times New Roman" w:hAnsi="Times New Roman" w:cs="Times New Roman"/>
                      <w:color w:val="auto"/>
                      <w:spacing w:val="-10"/>
                      <w:sz w:val="18"/>
                      <w:szCs w:val="18"/>
                      <w:highlight w:val="none"/>
                      <w:vertAlign w:val="superscript"/>
                    </w:rPr>
                    <w:t>2</w:t>
                  </w:r>
                  <w:r>
                    <w:rPr>
                      <w:rFonts w:hint="default" w:ascii="Times New Roman" w:hAnsi="Times New Roman" w:cs="Times New Roman"/>
                      <w:color w:val="auto"/>
                      <w:spacing w:val="-10"/>
                      <w:sz w:val="18"/>
                      <w:szCs w:val="18"/>
                      <w:highlight w:val="none"/>
                    </w:rPr>
                    <w:t>）</w:t>
                  </w:r>
                </w:p>
              </w:tc>
              <w:tc>
                <w:tcPr>
                  <w:tcW w:w="940" w:type="dxa"/>
                  <w:tcBorders>
                    <w:tl2br w:val="nil"/>
                    <w:tr2bl w:val="nil"/>
                  </w:tcBorders>
                  <w:noWrap w:val="0"/>
                  <w:vAlign w:val="center"/>
                </w:tcPr>
                <w:p w14:paraId="16EB63F0">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数量</w:t>
                  </w:r>
                </w:p>
              </w:tc>
              <w:tc>
                <w:tcPr>
                  <w:tcW w:w="860" w:type="dxa"/>
                  <w:tcBorders>
                    <w:tl2br w:val="nil"/>
                    <w:tr2bl w:val="nil"/>
                  </w:tcBorders>
                  <w:noWrap w:val="0"/>
                  <w:vAlign w:val="center"/>
                </w:tcPr>
                <w:p w14:paraId="239603B6">
                  <w:pPr>
                    <w:widowControl/>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层数</w:t>
                  </w:r>
                </w:p>
              </w:tc>
              <w:tc>
                <w:tcPr>
                  <w:tcW w:w="1613" w:type="dxa"/>
                  <w:tcBorders>
                    <w:tl2br w:val="nil"/>
                    <w:tr2bl w:val="nil"/>
                  </w:tcBorders>
                  <w:noWrap w:val="0"/>
                  <w:vAlign w:val="center"/>
                </w:tcPr>
                <w:p w14:paraId="2BEE1E32">
                  <w:pPr>
                    <w:widowControl/>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备注</w:t>
                  </w:r>
                </w:p>
              </w:tc>
            </w:tr>
            <w:tr w14:paraId="63E47472">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0" w:type="dxa"/>
                  <w:bottom w:w="0" w:type="dxa"/>
                  <w:right w:w="0" w:type="dxa"/>
                </w:tblCellMar>
              </w:tblPrEx>
              <w:trPr>
                <w:trHeight w:val="253" w:hRule="atLeast"/>
                <w:jc w:val="center"/>
              </w:trPr>
              <w:tc>
                <w:tcPr>
                  <w:tcW w:w="436" w:type="dxa"/>
                  <w:tcBorders>
                    <w:tl2br w:val="nil"/>
                    <w:tr2bl w:val="nil"/>
                  </w:tcBorders>
                  <w:noWrap w:val="0"/>
                  <w:vAlign w:val="center"/>
                </w:tcPr>
                <w:p w14:paraId="023E54DD">
                  <w:pPr>
                    <w:widowControl/>
                    <w:jc w:val="center"/>
                    <w:rPr>
                      <w:rFonts w:hint="default" w:ascii="Times New Roman" w:hAnsi="Times New Roman" w:cs="Times New Roman"/>
                      <w:color w:val="auto"/>
                      <w:spacing w:val="-10"/>
                      <w:sz w:val="18"/>
                      <w:szCs w:val="18"/>
                      <w:highlight w:val="none"/>
                    </w:rPr>
                  </w:pPr>
                  <w:r>
                    <w:rPr>
                      <w:rFonts w:hint="default" w:ascii="Times New Roman" w:hAnsi="Times New Roman" w:cs="Times New Roman"/>
                      <w:color w:val="auto"/>
                      <w:spacing w:val="-10"/>
                      <w:sz w:val="18"/>
                      <w:szCs w:val="18"/>
                      <w:highlight w:val="none"/>
                    </w:rPr>
                    <w:t>1</w:t>
                  </w:r>
                </w:p>
              </w:tc>
              <w:tc>
                <w:tcPr>
                  <w:tcW w:w="1426" w:type="dxa"/>
                  <w:tcBorders>
                    <w:tl2br w:val="nil"/>
                    <w:tr2bl w:val="nil"/>
                  </w:tcBorders>
                  <w:noWrap w:val="0"/>
                  <w:vAlign w:val="center"/>
                </w:tcPr>
                <w:p w14:paraId="5DDAF089">
                  <w:pPr>
                    <w:widowControl/>
                    <w:jc w:val="center"/>
                    <w:rPr>
                      <w:rFonts w:hint="default"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highlight w:val="none"/>
                      <w:lang w:val="en-US" w:eastAsia="zh-CN"/>
                    </w:rPr>
                    <w:t>实验室大楼</w:t>
                  </w:r>
                </w:p>
              </w:tc>
              <w:tc>
                <w:tcPr>
                  <w:tcW w:w="1250" w:type="dxa"/>
                  <w:tcBorders>
                    <w:tl2br w:val="nil"/>
                    <w:tr2bl w:val="nil"/>
                  </w:tcBorders>
                  <w:noWrap w:val="0"/>
                  <w:vAlign w:val="center"/>
                </w:tcPr>
                <w:p w14:paraId="2E871386">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700</w:t>
                  </w:r>
                </w:p>
              </w:tc>
              <w:tc>
                <w:tcPr>
                  <w:tcW w:w="1530" w:type="dxa"/>
                  <w:tcBorders>
                    <w:tl2br w:val="nil"/>
                    <w:tr2bl w:val="nil"/>
                  </w:tcBorders>
                  <w:noWrap w:val="0"/>
                  <w:vAlign w:val="center"/>
                </w:tcPr>
                <w:p w14:paraId="1CE558F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3500</w:t>
                  </w:r>
                </w:p>
              </w:tc>
              <w:tc>
                <w:tcPr>
                  <w:tcW w:w="940" w:type="dxa"/>
                  <w:tcBorders>
                    <w:tl2br w:val="nil"/>
                    <w:tr2bl w:val="nil"/>
                  </w:tcBorders>
                  <w:noWrap w:val="0"/>
                  <w:vAlign w:val="center"/>
                </w:tcPr>
                <w:p w14:paraId="77CF486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rPr>
                    <w:t>1</w:t>
                  </w:r>
                </w:p>
              </w:tc>
              <w:tc>
                <w:tcPr>
                  <w:tcW w:w="860" w:type="dxa"/>
                  <w:tcBorders>
                    <w:tl2br w:val="nil"/>
                    <w:tr2bl w:val="nil"/>
                  </w:tcBorders>
                  <w:noWrap w:val="0"/>
                  <w:vAlign w:val="center"/>
                </w:tcPr>
                <w:p w14:paraId="56D7E2E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5</w:t>
                  </w:r>
                </w:p>
              </w:tc>
              <w:tc>
                <w:tcPr>
                  <w:tcW w:w="1613" w:type="dxa"/>
                  <w:tcBorders>
                    <w:tl2br w:val="nil"/>
                    <w:tr2bl w:val="nil"/>
                  </w:tcBorders>
                  <w:noWrap w:val="0"/>
                  <w:vAlign w:val="center"/>
                </w:tcPr>
                <w:p w14:paraId="5442367C">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钢混结构</w:t>
                  </w:r>
                </w:p>
              </w:tc>
            </w:tr>
          </w:tbl>
          <w:p w14:paraId="6672D24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4.</w:t>
            </w:r>
            <w:r>
              <w:rPr>
                <w:rFonts w:ascii="Times New Roman" w:hAnsi="Times New Roman"/>
                <w:b/>
                <w:color w:val="auto"/>
                <w:sz w:val="21"/>
                <w:szCs w:val="21"/>
                <w:highlight w:val="none"/>
              </w:rPr>
              <w:t>主要生产设备及设施</w:t>
            </w:r>
          </w:p>
          <w:p w14:paraId="706492B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项目主要生产设备、设施见表</w:t>
            </w:r>
            <w:r>
              <w:rPr>
                <w:rFonts w:hint="eastAsia" w:ascii="Times New Roman" w:hAnsi="Times New Roman" w:cs="Times New Roman"/>
                <w:color w:val="auto"/>
                <w:sz w:val="21"/>
                <w:szCs w:val="21"/>
                <w:highlight w:val="none"/>
                <w:lang w:val="en-US" w:eastAsia="zh-CN"/>
              </w:rPr>
              <w:t>8</w:t>
            </w:r>
            <w:r>
              <w:rPr>
                <w:rFonts w:hint="eastAsia" w:ascii="Times New Roman" w:hAnsi="Times New Roman" w:eastAsia="宋体" w:cs="Times New Roman"/>
                <w:color w:val="auto"/>
                <w:sz w:val="21"/>
                <w:szCs w:val="21"/>
                <w:highlight w:val="none"/>
              </w:rPr>
              <w:t>。</w:t>
            </w:r>
          </w:p>
          <w:p w14:paraId="038387D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8</w:t>
            </w:r>
            <w:r>
              <w:rPr>
                <w:rFonts w:hint="eastAsia" w:ascii="Times New Roman" w:hAnsi="Times New Roman"/>
                <w:b/>
                <w:color w:val="auto"/>
                <w:sz w:val="21"/>
                <w:szCs w:val="21"/>
                <w:highlight w:val="none"/>
              </w:rPr>
              <w:t xml:space="preserve"> 主要生产设备一览表</w:t>
            </w:r>
          </w:p>
          <w:tbl>
            <w:tblPr>
              <w:tblStyle w:val="26"/>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631"/>
              <w:gridCol w:w="2641"/>
              <w:gridCol w:w="794"/>
              <w:gridCol w:w="706"/>
              <w:gridCol w:w="1725"/>
              <w:gridCol w:w="1449"/>
            </w:tblGrid>
            <w:tr w14:paraId="79AB26C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1F16119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序号</w:t>
                  </w:r>
                </w:p>
              </w:tc>
              <w:tc>
                <w:tcPr>
                  <w:tcW w:w="1661" w:type="pct"/>
                  <w:tcBorders>
                    <w:tl2br w:val="nil"/>
                    <w:tr2bl w:val="nil"/>
                  </w:tcBorders>
                  <w:noWrap w:val="0"/>
                  <w:vAlign w:val="center"/>
                </w:tcPr>
                <w:p w14:paraId="4BFAE60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仪器设备名称</w:t>
                  </w:r>
                </w:p>
              </w:tc>
              <w:tc>
                <w:tcPr>
                  <w:tcW w:w="499" w:type="pct"/>
                  <w:tcBorders>
                    <w:tl2br w:val="nil"/>
                    <w:tr2bl w:val="nil"/>
                  </w:tcBorders>
                  <w:noWrap w:val="0"/>
                  <w:vAlign w:val="center"/>
                </w:tcPr>
                <w:p w14:paraId="55BF6C9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单位</w:t>
                  </w:r>
                </w:p>
              </w:tc>
              <w:tc>
                <w:tcPr>
                  <w:tcW w:w="444" w:type="pct"/>
                  <w:tcBorders>
                    <w:tl2br w:val="nil"/>
                    <w:tr2bl w:val="nil"/>
                  </w:tcBorders>
                  <w:noWrap w:val="0"/>
                  <w:vAlign w:val="center"/>
                </w:tcPr>
                <w:p w14:paraId="1417C72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数量</w:t>
                  </w:r>
                </w:p>
              </w:tc>
              <w:tc>
                <w:tcPr>
                  <w:tcW w:w="1085" w:type="pct"/>
                  <w:tcBorders>
                    <w:tl2br w:val="nil"/>
                    <w:tr2bl w:val="nil"/>
                  </w:tcBorders>
                  <w:noWrap w:val="0"/>
                  <w:vAlign w:val="center"/>
                </w:tcPr>
                <w:p w14:paraId="5961D08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型号</w:t>
                  </w:r>
                </w:p>
              </w:tc>
              <w:tc>
                <w:tcPr>
                  <w:tcW w:w="911" w:type="pct"/>
                  <w:tcBorders>
                    <w:tl2br w:val="nil"/>
                    <w:tr2bl w:val="nil"/>
                  </w:tcBorders>
                  <w:noWrap w:val="0"/>
                  <w:vAlign w:val="center"/>
                </w:tcPr>
                <w:p w14:paraId="3107803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生产厂家</w:t>
                  </w:r>
                </w:p>
              </w:tc>
            </w:tr>
            <w:tr w14:paraId="656B247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557FFF6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661" w:type="pct"/>
                  <w:tcBorders>
                    <w:tl2br w:val="nil"/>
                    <w:tr2bl w:val="nil"/>
                  </w:tcBorders>
                  <w:noWrap w:val="0"/>
                  <w:vAlign w:val="center"/>
                </w:tcPr>
                <w:p w14:paraId="1BA7E75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紫外可见分光光度计</w:t>
                  </w:r>
                </w:p>
              </w:tc>
              <w:tc>
                <w:tcPr>
                  <w:tcW w:w="499" w:type="pct"/>
                  <w:tcBorders>
                    <w:tl2br w:val="nil"/>
                    <w:tr2bl w:val="nil"/>
                  </w:tcBorders>
                  <w:noWrap w:val="0"/>
                  <w:vAlign w:val="center"/>
                </w:tcPr>
                <w:p w14:paraId="244118E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noWrap w:val="0"/>
                  <w:vAlign w:val="center"/>
                </w:tcPr>
                <w:p w14:paraId="2E611C1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1624641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T6新世纪</w:t>
                  </w:r>
                </w:p>
              </w:tc>
              <w:tc>
                <w:tcPr>
                  <w:tcW w:w="911" w:type="pct"/>
                  <w:tcBorders>
                    <w:tl2br w:val="nil"/>
                    <w:tr2bl w:val="nil"/>
                  </w:tcBorders>
                  <w:noWrap w:val="0"/>
                  <w:vAlign w:val="center"/>
                </w:tcPr>
                <w:p w14:paraId="02A2E33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5422ACF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364431D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2</w:t>
                  </w:r>
                </w:p>
              </w:tc>
              <w:tc>
                <w:tcPr>
                  <w:tcW w:w="1661" w:type="pct"/>
                  <w:tcBorders>
                    <w:tl2br w:val="nil"/>
                    <w:tr2bl w:val="nil"/>
                  </w:tcBorders>
                  <w:noWrap w:val="0"/>
                  <w:vAlign w:val="center"/>
                </w:tcPr>
                <w:p w14:paraId="209F097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可见分光光度计</w:t>
                  </w:r>
                </w:p>
              </w:tc>
              <w:tc>
                <w:tcPr>
                  <w:tcW w:w="499" w:type="pct"/>
                  <w:tcBorders>
                    <w:tl2br w:val="nil"/>
                    <w:tr2bl w:val="nil"/>
                  </w:tcBorders>
                  <w:shd w:val="clear" w:color="auto" w:fill="auto"/>
                  <w:noWrap w:val="0"/>
                  <w:vAlign w:val="center"/>
                </w:tcPr>
                <w:p w14:paraId="300CAB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31DAE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3927C6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T6新悦</w:t>
                  </w:r>
                </w:p>
              </w:tc>
              <w:tc>
                <w:tcPr>
                  <w:tcW w:w="911" w:type="pct"/>
                  <w:tcBorders>
                    <w:tl2br w:val="nil"/>
                    <w:tr2bl w:val="nil"/>
                  </w:tcBorders>
                  <w:shd w:val="clear" w:color="auto" w:fill="auto"/>
                  <w:noWrap w:val="0"/>
                  <w:vAlign w:val="center"/>
                </w:tcPr>
                <w:p w14:paraId="673209E8">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2360D3E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49962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w:t>
                  </w:r>
                </w:p>
              </w:tc>
              <w:tc>
                <w:tcPr>
                  <w:tcW w:w="1661" w:type="pct"/>
                  <w:tcBorders>
                    <w:tl2br w:val="nil"/>
                    <w:tr2bl w:val="nil"/>
                  </w:tcBorders>
                  <w:noWrap w:val="0"/>
                  <w:vAlign w:val="center"/>
                </w:tcPr>
                <w:p w14:paraId="4B7B0A6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原子荧光光度计</w:t>
                  </w:r>
                </w:p>
              </w:tc>
              <w:tc>
                <w:tcPr>
                  <w:tcW w:w="499" w:type="pct"/>
                  <w:tcBorders>
                    <w:tl2br w:val="nil"/>
                    <w:tr2bl w:val="nil"/>
                  </w:tcBorders>
                  <w:shd w:val="clear" w:color="auto" w:fill="auto"/>
                  <w:noWrap w:val="0"/>
                  <w:vAlign w:val="center"/>
                </w:tcPr>
                <w:p w14:paraId="6D806E4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AC89FC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50074E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AFS-921</w:t>
                  </w:r>
                </w:p>
              </w:tc>
              <w:tc>
                <w:tcPr>
                  <w:tcW w:w="911" w:type="pct"/>
                  <w:tcBorders>
                    <w:tl2br w:val="nil"/>
                    <w:tr2bl w:val="nil"/>
                  </w:tcBorders>
                  <w:shd w:val="clear" w:color="auto" w:fill="auto"/>
                  <w:noWrap w:val="0"/>
                  <w:vAlign w:val="center"/>
                </w:tcPr>
                <w:p w14:paraId="1E7C262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北京吉天</w:t>
                  </w:r>
                </w:p>
              </w:tc>
            </w:tr>
            <w:tr w14:paraId="55F5832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0241F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w:t>
                  </w:r>
                </w:p>
              </w:tc>
              <w:tc>
                <w:tcPr>
                  <w:tcW w:w="1661" w:type="pct"/>
                  <w:tcBorders>
                    <w:tl2br w:val="nil"/>
                    <w:tr2bl w:val="nil"/>
                  </w:tcBorders>
                  <w:noWrap w:val="0"/>
                  <w:vAlign w:val="center"/>
                </w:tcPr>
                <w:p w14:paraId="69DABD1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原子吸收分光光度计</w:t>
                  </w:r>
                </w:p>
              </w:tc>
              <w:tc>
                <w:tcPr>
                  <w:tcW w:w="499" w:type="pct"/>
                  <w:tcBorders>
                    <w:tl2br w:val="nil"/>
                    <w:tr2bl w:val="nil"/>
                  </w:tcBorders>
                  <w:shd w:val="clear" w:color="auto" w:fill="auto"/>
                  <w:noWrap w:val="0"/>
                  <w:vAlign w:val="center"/>
                </w:tcPr>
                <w:p w14:paraId="6D4AB62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1AAF3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2CD13B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TAS-990AFG</w:t>
                  </w:r>
                </w:p>
              </w:tc>
              <w:tc>
                <w:tcPr>
                  <w:tcW w:w="911" w:type="pct"/>
                  <w:tcBorders>
                    <w:tl2br w:val="nil"/>
                    <w:tr2bl w:val="nil"/>
                  </w:tcBorders>
                  <w:shd w:val="clear" w:color="auto" w:fill="auto"/>
                  <w:noWrap w:val="0"/>
                  <w:vAlign w:val="center"/>
                </w:tcPr>
                <w:p w14:paraId="085AFFFE">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1AF058B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8F60C8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w:t>
                  </w:r>
                </w:p>
              </w:tc>
              <w:tc>
                <w:tcPr>
                  <w:tcW w:w="1661" w:type="pct"/>
                  <w:tcBorders>
                    <w:tl2br w:val="nil"/>
                    <w:tr2bl w:val="nil"/>
                  </w:tcBorders>
                  <w:noWrap w:val="0"/>
                  <w:vAlign w:val="center"/>
                </w:tcPr>
                <w:p w14:paraId="5BC9BB5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石墨炉自动进样器</w:t>
                  </w:r>
                </w:p>
              </w:tc>
              <w:tc>
                <w:tcPr>
                  <w:tcW w:w="499" w:type="pct"/>
                  <w:tcBorders>
                    <w:tl2br w:val="nil"/>
                    <w:tr2bl w:val="nil"/>
                  </w:tcBorders>
                  <w:shd w:val="clear" w:color="auto" w:fill="auto"/>
                  <w:noWrap w:val="0"/>
                  <w:vAlign w:val="center"/>
                </w:tcPr>
                <w:p w14:paraId="3BC46CC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006E5A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6818430">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ASC-900</w:t>
                  </w:r>
                </w:p>
              </w:tc>
              <w:tc>
                <w:tcPr>
                  <w:tcW w:w="911" w:type="pct"/>
                  <w:tcBorders>
                    <w:tl2br w:val="nil"/>
                    <w:tr2bl w:val="nil"/>
                  </w:tcBorders>
                  <w:shd w:val="clear" w:color="auto" w:fill="auto"/>
                  <w:noWrap w:val="0"/>
                  <w:vAlign w:val="center"/>
                </w:tcPr>
                <w:p w14:paraId="26F692E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普析通用</w:t>
                  </w:r>
                </w:p>
              </w:tc>
            </w:tr>
            <w:tr w14:paraId="504FDD4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EDF378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w:t>
                  </w:r>
                </w:p>
              </w:tc>
              <w:tc>
                <w:tcPr>
                  <w:tcW w:w="1661" w:type="pct"/>
                  <w:tcBorders>
                    <w:tl2br w:val="nil"/>
                    <w:tr2bl w:val="nil"/>
                  </w:tcBorders>
                  <w:noWrap w:val="0"/>
                  <w:vAlign w:val="center"/>
                </w:tcPr>
                <w:p w14:paraId="19FEBEF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气相色谱仪</w:t>
                  </w:r>
                </w:p>
              </w:tc>
              <w:tc>
                <w:tcPr>
                  <w:tcW w:w="499" w:type="pct"/>
                  <w:tcBorders>
                    <w:tl2br w:val="nil"/>
                    <w:tr2bl w:val="nil"/>
                  </w:tcBorders>
                  <w:shd w:val="clear" w:color="auto" w:fill="auto"/>
                  <w:noWrap w:val="0"/>
                  <w:vAlign w:val="center"/>
                </w:tcPr>
                <w:p w14:paraId="23675DF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2C1A5F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AA8C87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GC-2014C</w:t>
                  </w:r>
                </w:p>
              </w:tc>
              <w:tc>
                <w:tcPr>
                  <w:tcW w:w="911" w:type="pct"/>
                  <w:tcBorders>
                    <w:tl2br w:val="nil"/>
                    <w:tr2bl w:val="nil"/>
                  </w:tcBorders>
                  <w:shd w:val="clear" w:color="auto" w:fill="auto"/>
                  <w:noWrap w:val="0"/>
                  <w:vAlign w:val="center"/>
                </w:tcPr>
                <w:p w14:paraId="66F65F7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岛津仪器</w:t>
                  </w:r>
                </w:p>
              </w:tc>
            </w:tr>
            <w:tr w14:paraId="14B8EBA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AB8158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7</w:t>
                  </w:r>
                </w:p>
              </w:tc>
              <w:tc>
                <w:tcPr>
                  <w:tcW w:w="1661" w:type="pct"/>
                  <w:tcBorders>
                    <w:tl2br w:val="nil"/>
                    <w:tr2bl w:val="nil"/>
                  </w:tcBorders>
                  <w:noWrap w:val="0"/>
                  <w:vAlign w:val="center"/>
                </w:tcPr>
                <w:p w14:paraId="000E857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氢气发生器</w:t>
                  </w:r>
                </w:p>
              </w:tc>
              <w:tc>
                <w:tcPr>
                  <w:tcW w:w="499" w:type="pct"/>
                  <w:tcBorders>
                    <w:tl2br w:val="nil"/>
                    <w:tr2bl w:val="nil"/>
                  </w:tcBorders>
                  <w:shd w:val="clear" w:color="auto" w:fill="auto"/>
                  <w:noWrap w:val="0"/>
                  <w:vAlign w:val="center"/>
                </w:tcPr>
                <w:p w14:paraId="54C00A9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B2CF20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6C20028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GH-300</w:t>
                  </w:r>
                </w:p>
              </w:tc>
              <w:tc>
                <w:tcPr>
                  <w:tcW w:w="911" w:type="pct"/>
                  <w:tcBorders>
                    <w:tl2br w:val="nil"/>
                    <w:tr2bl w:val="nil"/>
                  </w:tcBorders>
                  <w:noWrap w:val="0"/>
                  <w:vAlign w:val="center"/>
                </w:tcPr>
                <w:p w14:paraId="1805AA1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北京中兴</w:t>
                  </w:r>
                </w:p>
              </w:tc>
            </w:tr>
            <w:tr w14:paraId="14274FF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6C6A3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8</w:t>
                  </w:r>
                </w:p>
              </w:tc>
              <w:tc>
                <w:tcPr>
                  <w:tcW w:w="1661" w:type="pct"/>
                  <w:tcBorders>
                    <w:tl2br w:val="nil"/>
                    <w:tr2bl w:val="nil"/>
                  </w:tcBorders>
                  <w:noWrap w:val="0"/>
                  <w:vAlign w:val="center"/>
                </w:tcPr>
                <w:p w14:paraId="70A111E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实验室pH计</w:t>
                  </w:r>
                </w:p>
              </w:tc>
              <w:tc>
                <w:tcPr>
                  <w:tcW w:w="499" w:type="pct"/>
                  <w:tcBorders>
                    <w:tl2br w:val="nil"/>
                    <w:tr2bl w:val="nil"/>
                  </w:tcBorders>
                  <w:shd w:val="clear" w:color="auto" w:fill="auto"/>
                  <w:noWrap w:val="0"/>
                  <w:vAlign w:val="center"/>
                </w:tcPr>
                <w:p w14:paraId="69A1E57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4F5CF6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noWrap w:val="0"/>
                  <w:vAlign w:val="center"/>
                </w:tcPr>
                <w:p w14:paraId="276C4ED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PHSJ-3F</w:t>
                  </w:r>
                </w:p>
              </w:tc>
              <w:tc>
                <w:tcPr>
                  <w:tcW w:w="911" w:type="pct"/>
                  <w:tcBorders>
                    <w:tl2br w:val="nil"/>
                    <w:tr2bl w:val="nil"/>
                  </w:tcBorders>
                  <w:noWrap w:val="0"/>
                  <w:vAlign w:val="center"/>
                </w:tcPr>
                <w:p w14:paraId="466B949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上海仪电</w:t>
                  </w:r>
                </w:p>
              </w:tc>
            </w:tr>
            <w:tr w14:paraId="5D28695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B034C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9</w:t>
                  </w:r>
                </w:p>
              </w:tc>
              <w:tc>
                <w:tcPr>
                  <w:tcW w:w="1661" w:type="pct"/>
                  <w:tcBorders>
                    <w:tl2br w:val="nil"/>
                    <w:tr2bl w:val="nil"/>
                  </w:tcBorders>
                  <w:noWrap w:val="0"/>
                  <w:vAlign w:val="center"/>
                </w:tcPr>
                <w:p w14:paraId="7FDF28A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电导率仪</w:t>
                  </w:r>
                </w:p>
              </w:tc>
              <w:tc>
                <w:tcPr>
                  <w:tcW w:w="499" w:type="pct"/>
                  <w:tcBorders>
                    <w:tl2br w:val="nil"/>
                    <w:tr2bl w:val="nil"/>
                  </w:tcBorders>
                  <w:shd w:val="clear" w:color="auto" w:fill="auto"/>
                  <w:noWrap w:val="0"/>
                  <w:vAlign w:val="center"/>
                </w:tcPr>
                <w:p w14:paraId="79155BF8">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666F12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082B1F67">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DDS-307A</w:t>
                  </w:r>
                </w:p>
              </w:tc>
              <w:tc>
                <w:tcPr>
                  <w:tcW w:w="911" w:type="pct"/>
                  <w:tcBorders>
                    <w:tl2br w:val="nil"/>
                    <w:tr2bl w:val="nil"/>
                  </w:tcBorders>
                  <w:noWrap w:val="0"/>
                  <w:vAlign w:val="center"/>
                </w:tcPr>
                <w:p w14:paraId="22A21CBF">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上海仪电</w:t>
                  </w:r>
                </w:p>
              </w:tc>
            </w:tr>
            <w:tr w14:paraId="1E92EBA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599B3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10</w:t>
                  </w:r>
                </w:p>
              </w:tc>
              <w:tc>
                <w:tcPr>
                  <w:tcW w:w="1661" w:type="pct"/>
                  <w:tcBorders>
                    <w:tl2br w:val="nil"/>
                    <w:tr2bl w:val="nil"/>
                  </w:tcBorders>
                  <w:noWrap w:val="0"/>
                  <w:vAlign w:val="center"/>
                </w:tcPr>
                <w:p w14:paraId="16820AC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离子计</w:t>
                  </w:r>
                </w:p>
              </w:tc>
              <w:tc>
                <w:tcPr>
                  <w:tcW w:w="499" w:type="pct"/>
                  <w:tcBorders>
                    <w:tl2br w:val="nil"/>
                    <w:tr2bl w:val="nil"/>
                  </w:tcBorders>
                  <w:shd w:val="clear" w:color="auto" w:fill="auto"/>
                  <w:noWrap w:val="0"/>
                  <w:vAlign w:val="center"/>
                </w:tcPr>
                <w:p w14:paraId="0DF7694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C9D548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noWrap w:val="0"/>
                  <w:vAlign w:val="center"/>
                </w:tcPr>
                <w:p w14:paraId="51C60A59">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PXSJ-216</w:t>
                  </w:r>
                </w:p>
              </w:tc>
              <w:tc>
                <w:tcPr>
                  <w:tcW w:w="911" w:type="pct"/>
                  <w:tcBorders>
                    <w:tl2br w:val="nil"/>
                    <w:tr2bl w:val="nil"/>
                  </w:tcBorders>
                  <w:noWrap w:val="0"/>
                  <w:vAlign w:val="center"/>
                </w:tcPr>
                <w:p w14:paraId="3253E56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上海仪电</w:t>
                  </w:r>
                </w:p>
              </w:tc>
            </w:tr>
            <w:tr w14:paraId="5BA592E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2AA6A1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11</w:t>
                  </w:r>
                </w:p>
              </w:tc>
              <w:tc>
                <w:tcPr>
                  <w:tcW w:w="1661" w:type="pct"/>
                  <w:tcBorders>
                    <w:tl2br w:val="nil"/>
                    <w:tr2bl w:val="nil"/>
                  </w:tcBorders>
                  <w:shd w:val="clear" w:color="auto" w:fill="auto"/>
                  <w:noWrap w:val="0"/>
                  <w:vAlign w:val="center"/>
                </w:tcPr>
                <w:p w14:paraId="79F479BB">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隔膜真空泵</w:t>
                  </w:r>
                </w:p>
              </w:tc>
              <w:tc>
                <w:tcPr>
                  <w:tcW w:w="499" w:type="pct"/>
                  <w:tcBorders>
                    <w:tl2br w:val="nil"/>
                    <w:tr2bl w:val="nil"/>
                  </w:tcBorders>
                  <w:shd w:val="clear" w:color="auto" w:fill="auto"/>
                  <w:noWrap w:val="0"/>
                  <w:vAlign w:val="center"/>
                </w:tcPr>
                <w:p w14:paraId="4E39ACB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4F3CE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6C97208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GM-0.33A</w:t>
                  </w:r>
                </w:p>
              </w:tc>
              <w:tc>
                <w:tcPr>
                  <w:tcW w:w="911" w:type="pct"/>
                  <w:tcBorders>
                    <w:tl2br w:val="nil"/>
                    <w:tr2bl w:val="nil"/>
                  </w:tcBorders>
                  <w:shd w:val="clear" w:color="auto" w:fill="auto"/>
                  <w:noWrap w:val="0"/>
                  <w:vAlign w:val="center"/>
                </w:tcPr>
                <w:p w14:paraId="219E15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天津津腾</w:t>
                  </w:r>
                </w:p>
              </w:tc>
            </w:tr>
            <w:tr w14:paraId="2A6D09F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3903B1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12</w:t>
                  </w:r>
                </w:p>
              </w:tc>
              <w:tc>
                <w:tcPr>
                  <w:tcW w:w="1661" w:type="pct"/>
                  <w:tcBorders>
                    <w:tl2br w:val="nil"/>
                    <w:tr2bl w:val="nil"/>
                  </w:tcBorders>
                  <w:shd w:val="clear" w:color="auto" w:fill="auto"/>
                  <w:noWrap w:val="0"/>
                  <w:vAlign w:val="center"/>
                </w:tcPr>
                <w:p w14:paraId="2586E37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数显恒温水浴锅</w:t>
                  </w:r>
                </w:p>
              </w:tc>
              <w:tc>
                <w:tcPr>
                  <w:tcW w:w="499" w:type="pct"/>
                  <w:tcBorders>
                    <w:tl2br w:val="nil"/>
                    <w:tr2bl w:val="nil"/>
                  </w:tcBorders>
                  <w:shd w:val="clear" w:color="auto" w:fill="auto"/>
                  <w:noWrap w:val="0"/>
                  <w:vAlign w:val="center"/>
                </w:tcPr>
                <w:p w14:paraId="4C7DB1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618557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600E8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JQ-SY8</w:t>
                  </w:r>
                </w:p>
              </w:tc>
              <w:tc>
                <w:tcPr>
                  <w:tcW w:w="911" w:type="pct"/>
                  <w:tcBorders>
                    <w:tl2br w:val="nil"/>
                    <w:tr2bl w:val="nil"/>
                  </w:tcBorders>
                  <w:shd w:val="clear" w:color="auto" w:fill="auto"/>
                  <w:noWrap w:val="0"/>
                  <w:vAlign w:val="center"/>
                </w:tcPr>
                <w:p w14:paraId="062F4C7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0A37A3E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A8DE40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13</w:t>
                  </w:r>
                </w:p>
              </w:tc>
              <w:tc>
                <w:tcPr>
                  <w:tcW w:w="1661" w:type="pct"/>
                  <w:tcBorders>
                    <w:tl2br w:val="nil"/>
                    <w:tr2bl w:val="nil"/>
                  </w:tcBorders>
                  <w:shd w:val="clear" w:color="auto" w:fill="auto"/>
                  <w:noWrap w:val="0"/>
                  <w:vAlign w:val="center"/>
                </w:tcPr>
                <w:p w14:paraId="0FC457F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499" w:type="pct"/>
                  <w:tcBorders>
                    <w:tl2br w:val="nil"/>
                    <w:tr2bl w:val="nil"/>
                  </w:tcBorders>
                  <w:shd w:val="clear" w:color="auto" w:fill="auto"/>
                  <w:noWrap w:val="0"/>
                  <w:vAlign w:val="center"/>
                </w:tcPr>
                <w:p w14:paraId="42E23F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859D1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4</w:t>
                  </w:r>
                </w:p>
              </w:tc>
              <w:tc>
                <w:tcPr>
                  <w:tcW w:w="1085" w:type="pct"/>
                  <w:tcBorders>
                    <w:tl2br w:val="nil"/>
                    <w:tr2bl w:val="nil"/>
                  </w:tcBorders>
                  <w:shd w:val="clear" w:color="auto" w:fill="auto"/>
                  <w:noWrap w:val="0"/>
                  <w:vAlign w:val="center"/>
                </w:tcPr>
                <w:p w14:paraId="0D462A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JQ-GF50</w:t>
                  </w:r>
                </w:p>
              </w:tc>
              <w:tc>
                <w:tcPr>
                  <w:tcW w:w="911" w:type="pct"/>
                  <w:tcBorders>
                    <w:tl2br w:val="nil"/>
                    <w:tr2bl w:val="nil"/>
                  </w:tcBorders>
                  <w:shd w:val="clear" w:color="auto" w:fill="auto"/>
                  <w:noWrap w:val="0"/>
                  <w:vAlign w:val="center"/>
                </w:tcPr>
                <w:p w14:paraId="50AB8B7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0712054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0AAD0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14</w:t>
                  </w:r>
                </w:p>
              </w:tc>
              <w:tc>
                <w:tcPr>
                  <w:tcW w:w="1661" w:type="pct"/>
                  <w:tcBorders>
                    <w:tl2br w:val="nil"/>
                    <w:tr2bl w:val="nil"/>
                  </w:tcBorders>
                  <w:shd w:val="clear" w:color="auto" w:fill="auto"/>
                  <w:noWrap w:val="0"/>
                  <w:vAlign w:val="center"/>
                </w:tcPr>
                <w:p w14:paraId="3445694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水质硫化物酸化吹气仪</w:t>
                  </w:r>
                </w:p>
              </w:tc>
              <w:tc>
                <w:tcPr>
                  <w:tcW w:w="499" w:type="pct"/>
                  <w:tcBorders>
                    <w:tl2br w:val="nil"/>
                    <w:tr2bl w:val="nil"/>
                  </w:tcBorders>
                  <w:shd w:val="clear" w:color="auto" w:fill="auto"/>
                  <w:noWrap w:val="0"/>
                  <w:vAlign w:val="center"/>
                </w:tcPr>
                <w:p w14:paraId="20B545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5D140B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FB9A3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JQ-LS6</w:t>
                  </w:r>
                </w:p>
              </w:tc>
              <w:tc>
                <w:tcPr>
                  <w:tcW w:w="911" w:type="pct"/>
                  <w:tcBorders>
                    <w:tl2br w:val="nil"/>
                    <w:tr2bl w:val="nil"/>
                  </w:tcBorders>
                  <w:shd w:val="clear" w:color="auto" w:fill="auto"/>
                  <w:noWrap w:val="0"/>
                  <w:vAlign w:val="center"/>
                </w:tcPr>
                <w:p w14:paraId="579576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61EF93A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DC8B7D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15</w:t>
                  </w:r>
                </w:p>
              </w:tc>
              <w:tc>
                <w:tcPr>
                  <w:tcW w:w="1661" w:type="pct"/>
                  <w:tcBorders>
                    <w:tl2br w:val="nil"/>
                    <w:tr2bl w:val="nil"/>
                  </w:tcBorders>
                  <w:shd w:val="clear" w:color="auto" w:fill="auto"/>
                  <w:noWrap w:val="0"/>
                  <w:vAlign w:val="center"/>
                </w:tcPr>
                <w:p w14:paraId="70F27D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石墨COD消解器</w:t>
                  </w:r>
                </w:p>
              </w:tc>
              <w:tc>
                <w:tcPr>
                  <w:tcW w:w="499" w:type="pct"/>
                  <w:tcBorders>
                    <w:tl2br w:val="nil"/>
                    <w:tr2bl w:val="nil"/>
                  </w:tcBorders>
                  <w:shd w:val="clear" w:color="auto" w:fill="auto"/>
                  <w:noWrap w:val="0"/>
                  <w:vAlign w:val="center"/>
                </w:tcPr>
                <w:p w14:paraId="0E95BF8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C9949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0D1D009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JQ-COD12S</w:t>
                  </w:r>
                </w:p>
              </w:tc>
              <w:tc>
                <w:tcPr>
                  <w:tcW w:w="911" w:type="pct"/>
                  <w:tcBorders>
                    <w:tl2br w:val="nil"/>
                    <w:tr2bl w:val="nil"/>
                  </w:tcBorders>
                  <w:shd w:val="clear" w:color="auto" w:fill="auto"/>
                  <w:noWrap w:val="0"/>
                  <w:vAlign w:val="center"/>
                </w:tcPr>
                <w:p w14:paraId="766C81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39FA46A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5A9EC0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16</w:t>
                  </w:r>
                </w:p>
              </w:tc>
              <w:tc>
                <w:tcPr>
                  <w:tcW w:w="1661" w:type="pct"/>
                  <w:tcBorders>
                    <w:tl2br w:val="nil"/>
                    <w:tr2bl w:val="nil"/>
                  </w:tcBorders>
                  <w:shd w:val="clear" w:color="auto" w:fill="auto"/>
                  <w:noWrap w:val="0"/>
                  <w:vAlign w:val="center"/>
                </w:tcPr>
                <w:p w14:paraId="2F8F25E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生化培养箱</w:t>
                  </w:r>
                </w:p>
              </w:tc>
              <w:tc>
                <w:tcPr>
                  <w:tcW w:w="499" w:type="pct"/>
                  <w:tcBorders>
                    <w:tl2br w:val="nil"/>
                    <w:tr2bl w:val="nil"/>
                  </w:tcBorders>
                  <w:shd w:val="clear" w:color="auto" w:fill="auto"/>
                  <w:noWrap w:val="0"/>
                  <w:vAlign w:val="center"/>
                </w:tcPr>
                <w:p w14:paraId="75CDAC3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39999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5174CA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JQ-SHP160</w:t>
                  </w:r>
                </w:p>
              </w:tc>
              <w:tc>
                <w:tcPr>
                  <w:tcW w:w="911" w:type="pct"/>
                  <w:tcBorders>
                    <w:tl2br w:val="nil"/>
                    <w:tr2bl w:val="nil"/>
                  </w:tcBorders>
                  <w:shd w:val="clear" w:color="auto" w:fill="auto"/>
                  <w:noWrap w:val="0"/>
                  <w:vAlign w:val="center"/>
                </w:tcPr>
                <w:p w14:paraId="239CBD4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25F96B9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4451A4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17</w:t>
                  </w:r>
                </w:p>
              </w:tc>
              <w:tc>
                <w:tcPr>
                  <w:tcW w:w="1661" w:type="pct"/>
                  <w:tcBorders>
                    <w:tl2br w:val="nil"/>
                    <w:tr2bl w:val="nil"/>
                  </w:tcBorders>
                  <w:shd w:val="clear" w:color="auto" w:fill="auto"/>
                  <w:noWrap w:val="0"/>
                  <w:vAlign w:val="center"/>
                </w:tcPr>
                <w:p w14:paraId="46C297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红外分光测油仪</w:t>
                  </w:r>
                </w:p>
              </w:tc>
              <w:tc>
                <w:tcPr>
                  <w:tcW w:w="499" w:type="pct"/>
                  <w:tcBorders>
                    <w:tl2br w:val="nil"/>
                    <w:tr2bl w:val="nil"/>
                  </w:tcBorders>
                  <w:shd w:val="clear" w:color="auto" w:fill="auto"/>
                  <w:noWrap w:val="0"/>
                  <w:vAlign w:val="center"/>
                </w:tcPr>
                <w:p w14:paraId="1E385A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4F51AB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208078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JLBG-126u型</w:t>
                  </w:r>
                </w:p>
              </w:tc>
              <w:tc>
                <w:tcPr>
                  <w:tcW w:w="911" w:type="pct"/>
                  <w:tcBorders>
                    <w:tl2br w:val="nil"/>
                    <w:tr2bl w:val="nil"/>
                  </w:tcBorders>
                  <w:shd w:val="clear" w:color="auto" w:fill="auto"/>
                  <w:noWrap w:val="0"/>
                  <w:vAlign w:val="center"/>
                </w:tcPr>
                <w:p w14:paraId="27C1701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吉林吉光</w:t>
                  </w:r>
                </w:p>
              </w:tc>
            </w:tr>
            <w:tr w14:paraId="4BF4F1A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BDC5F4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18</w:t>
                  </w:r>
                </w:p>
              </w:tc>
              <w:tc>
                <w:tcPr>
                  <w:tcW w:w="1661" w:type="pct"/>
                  <w:tcBorders>
                    <w:tl2br w:val="nil"/>
                    <w:tr2bl w:val="nil"/>
                  </w:tcBorders>
                  <w:shd w:val="clear" w:color="auto" w:fill="auto"/>
                  <w:noWrap w:val="0"/>
                  <w:vAlign w:val="center"/>
                </w:tcPr>
                <w:p w14:paraId="5ABE3E7A">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康氏振荡器</w:t>
                  </w:r>
                </w:p>
              </w:tc>
              <w:tc>
                <w:tcPr>
                  <w:tcW w:w="499" w:type="pct"/>
                  <w:tcBorders>
                    <w:tl2br w:val="nil"/>
                    <w:tr2bl w:val="nil"/>
                  </w:tcBorders>
                  <w:shd w:val="clear" w:color="auto" w:fill="auto"/>
                  <w:noWrap w:val="0"/>
                  <w:vAlign w:val="center"/>
                </w:tcPr>
                <w:p w14:paraId="4BAC126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CD96B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909F1D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JQ-KS</w:t>
                  </w:r>
                </w:p>
              </w:tc>
              <w:tc>
                <w:tcPr>
                  <w:tcW w:w="911" w:type="pct"/>
                  <w:tcBorders>
                    <w:tl2br w:val="nil"/>
                    <w:tr2bl w:val="nil"/>
                  </w:tcBorders>
                  <w:shd w:val="clear" w:color="auto" w:fill="auto"/>
                  <w:noWrap w:val="0"/>
                  <w:vAlign w:val="center"/>
                </w:tcPr>
                <w:p w14:paraId="7BB6CBA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541B3C7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2B9B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19</w:t>
                  </w:r>
                </w:p>
              </w:tc>
              <w:tc>
                <w:tcPr>
                  <w:tcW w:w="1661" w:type="pct"/>
                  <w:tcBorders>
                    <w:tl2br w:val="nil"/>
                    <w:tr2bl w:val="nil"/>
                  </w:tcBorders>
                  <w:shd w:val="clear" w:color="auto" w:fill="auto"/>
                  <w:noWrap w:val="0"/>
                  <w:vAlign w:val="center"/>
                </w:tcPr>
                <w:p w14:paraId="1F8D35F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499" w:type="pct"/>
                  <w:tcBorders>
                    <w:tl2br w:val="nil"/>
                    <w:tr2bl w:val="nil"/>
                  </w:tcBorders>
                  <w:shd w:val="clear" w:color="auto" w:fill="auto"/>
                  <w:noWrap w:val="0"/>
                  <w:vAlign w:val="center"/>
                </w:tcPr>
                <w:p w14:paraId="0A8876C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CD53FC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B50D5E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JQF-2000*6</w:t>
                  </w:r>
                </w:p>
              </w:tc>
              <w:tc>
                <w:tcPr>
                  <w:tcW w:w="911" w:type="pct"/>
                  <w:tcBorders>
                    <w:tl2br w:val="nil"/>
                    <w:tr2bl w:val="nil"/>
                  </w:tcBorders>
                  <w:shd w:val="clear" w:color="auto" w:fill="auto"/>
                  <w:noWrap w:val="0"/>
                  <w:vAlign w:val="center"/>
                </w:tcPr>
                <w:p w14:paraId="66F1A1A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0771C1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1A8F48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20</w:t>
                  </w:r>
                </w:p>
              </w:tc>
              <w:tc>
                <w:tcPr>
                  <w:tcW w:w="1661" w:type="pct"/>
                  <w:tcBorders>
                    <w:tl2br w:val="nil"/>
                    <w:tr2bl w:val="nil"/>
                  </w:tcBorders>
                  <w:shd w:val="clear" w:color="auto" w:fill="auto"/>
                  <w:noWrap w:val="0"/>
                  <w:vAlign w:val="center"/>
                </w:tcPr>
                <w:p w14:paraId="7DF66CC8">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499" w:type="pct"/>
                  <w:tcBorders>
                    <w:tl2br w:val="nil"/>
                    <w:tr2bl w:val="nil"/>
                  </w:tcBorders>
                  <w:shd w:val="clear" w:color="auto" w:fill="auto"/>
                  <w:noWrap w:val="0"/>
                  <w:vAlign w:val="center"/>
                </w:tcPr>
                <w:p w14:paraId="1FA4D6C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43BBC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E9F3BF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JQ-LD5</w:t>
                  </w:r>
                </w:p>
              </w:tc>
              <w:tc>
                <w:tcPr>
                  <w:tcW w:w="911" w:type="pct"/>
                  <w:tcBorders>
                    <w:tl2br w:val="nil"/>
                    <w:tr2bl w:val="nil"/>
                  </w:tcBorders>
                  <w:shd w:val="clear" w:color="auto" w:fill="auto"/>
                  <w:noWrap w:val="0"/>
                  <w:vAlign w:val="center"/>
                </w:tcPr>
                <w:p w14:paraId="222BD64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E6B2EA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32E578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21</w:t>
                  </w:r>
                </w:p>
              </w:tc>
              <w:tc>
                <w:tcPr>
                  <w:tcW w:w="1661" w:type="pct"/>
                  <w:tcBorders>
                    <w:tl2br w:val="nil"/>
                    <w:tr2bl w:val="nil"/>
                  </w:tcBorders>
                  <w:shd w:val="clear" w:color="auto" w:fill="auto"/>
                  <w:noWrap w:val="0"/>
                  <w:vAlign w:val="center"/>
                </w:tcPr>
                <w:p w14:paraId="2CE01BE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电热板</w:t>
                  </w:r>
                </w:p>
              </w:tc>
              <w:tc>
                <w:tcPr>
                  <w:tcW w:w="499" w:type="pct"/>
                  <w:tcBorders>
                    <w:tl2br w:val="nil"/>
                    <w:tr2bl w:val="nil"/>
                  </w:tcBorders>
                  <w:shd w:val="clear" w:color="auto" w:fill="auto"/>
                  <w:noWrap w:val="0"/>
                  <w:vAlign w:val="center"/>
                </w:tcPr>
                <w:p w14:paraId="1A830CC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A5258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4E1057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JQ-DB3</w:t>
                  </w:r>
                </w:p>
              </w:tc>
              <w:tc>
                <w:tcPr>
                  <w:tcW w:w="911" w:type="pct"/>
                  <w:tcBorders>
                    <w:tl2br w:val="nil"/>
                    <w:tr2bl w:val="nil"/>
                  </w:tcBorders>
                  <w:shd w:val="clear" w:color="auto" w:fill="auto"/>
                  <w:noWrap w:val="0"/>
                  <w:vAlign w:val="center"/>
                </w:tcPr>
                <w:p w14:paraId="474C1F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76F9C74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CD8502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22</w:t>
                  </w:r>
                </w:p>
              </w:tc>
              <w:tc>
                <w:tcPr>
                  <w:tcW w:w="1661" w:type="pct"/>
                  <w:tcBorders>
                    <w:tl2br w:val="nil"/>
                    <w:tr2bl w:val="nil"/>
                  </w:tcBorders>
                  <w:shd w:val="clear" w:color="auto" w:fill="auto"/>
                  <w:noWrap w:val="0"/>
                  <w:vAlign w:val="center"/>
                </w:tcPr>
                <w:p w14:paraId="1DB76A04">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磁力搅拌器</w:t>
                  </w:r>
                </w:p>
              </w:tc>
              <w:tc>
                <w:tcPr>
                  <w:tcW w:w="499" w:type="pct"/>
                  <w:tcBorders>
                    <w:tl2br w:val="nil"/>
                    <w:tr2bl w:val="nil"/>
                  </w:tcBorders>
                  <w:shd w:val="clear" w:color="auto" w:fill="auto"/>
                  <w:noWrap w:val="0"/>
                  <w:vAlign w:val="center"/>
                </w:tcPr>
                <w:p w14:paraId="23BF8F0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0E31CA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B3DCEF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JQ-CL-W1</w:t>
                  </w:r>
                </w:p>
              </w:tc>
              <w:tc>
                <w:tcPr>
                  <w:tcW w:w="911" w:type="pct"/>
                  <w:tcBorders>
                    <w:tl2br w:val="nil"/>
                    <w:tr2bl w:val="nil"/>
                  </w:tcBorders>
                  <w:shd w:val="clear" w:color="auto" w:fill="auto"/>
                  <w:noWrap w:val="0"/>
                  <w:vAlign w:val="center"/>
                </w:tcPr>
                <w:p w14:paraId="37EE811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17A34EC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7E84F0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23</w:t>
                  </w:r>
                </w:p>
              </w:tc>
              <w:tc>
                <w:tcPr>
                  <w:tcW w:w="1661" w:type="pct"/>
                  <w:tcBorders>
                    <w:tl2br w:val="nil"/>
                    <w:tr2bl w:val="nil"/>
                  </w:tcBorders>
                  <w:shd w:val="clear" w:color="auto" w:fill="auto"/>
                  <w:noWrap w:val="0"/>
                  <w:vAlign w:val="center"/>
                </w:tcPr>
                <w:p w14:paraId="2E5D2A1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超声波清洗机</w:t>
                  </w:r>
                </w:p>
              </w:tc>
              <w:tc>
                <w:tcPr>
                  <w:tcW w:w="499" w:type="pct"/>
                  <w:tcBorders>
                    <w:tl2br w:val="nil"/>
                    <w:tr2bl w:val="nil"/>
                  </w:tcBorders>
                  <w:shd w:val="clear" w:color="auto" w:fill="auto"/>
                  <w:noWrap w:val="0"/>
                  <w:vAlign w:val="center"/>
                </w:tcPr>
                <w:p w14:paraId="18C46B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417BF0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A2249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JQ-CS30L</w:t>
                  </w:r>
                </w:p>
              </w:tc>
              <w:tc>
                <w:tcPr>
                  <w:tcW w:w="911" w:type="pct"/>
                  <w:tcBorders>
                    <w:tl2br w:val="nil"/>
                    <w:tr2bl w:val="nil"/>
                  </w:tcBorders>
                  <w:shd w:val="clear" w:color="auto" w:fill="auto"/>
                  <w:noWrap w:val="0"/>
                  <w:vAlign w:val="center"/>
                </w:tcPr>
                <w:p w14:paraId="1E373F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5B0F774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AF14D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24</w:t>
                  </w:r>
                </w:p>
              </w:tc>
              <w:tc>
                <w:tcPr>
                  <w:tcW w:w="1661" w:type="pct"/>
                  <w:tcBorders>
                    <w:tl2br w:val="nil"/>
                    <w:tr2bl w:val="nil"/>
                  </w:tcBorders>
                  <w:shd w:val="clear" w:color="auto" w:fill="auto"/>
                  <w:noWrap w:val="0"/>
                  <w:vAlign w:val="center"/>
                </w:tcPr>
                <w:p w14:paraId="13E5C9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双门展示柜</w:t>
                  </w:r>
                </w:p>
              </w:tc>
              <w:tc>
                <w:tcPr>
                  <w:tcW w:w="499" w:type="pct"/>
                  <w:tcBorders>
                    <w:tl2br w:val="nil"/>
                    <w:tr2bl w:val="nil"/>
                  </w:tcBorders>
                  <w:shd w:val="clear" w:color="auto" w:fill="auto"/>
                  <w:noWrap w:val="0"/>
                  <w:vAlign w:val="center"/>
                </w:tcPr>
                <w:p w14:paraId="26D4CED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322EEA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537E8C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JCZSG-688L</w:t>
                  </w:r>
                </w:p>
              </w:tc>
              <w:tc>
                <w:tcPr>
                  <w:tcW w:w="911" w:type="pct"/>
                  <w:tcBorders>
                    <w:tl2br w:val="nil"/>
                    <w:tr2bl w:val="nil"/>
                  </w:tcBorders>
                  <w:shd w:val="clear" w:color="auto" w:fill="auto"/>
                  <w:noWrap w:val="0"/>
                  <w:vAlign w:val="center"/>
                </w:tcPr>
                <w:p w14:paraId="5965A52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青岛海尔</w:t>
                  </w:r>
                </w:p>
              </w:tc>
            </w:tr>
            <w:tr w14:paraId="6A26C31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967EBB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25</w:t>
                  </w:r>
                </w:p>
              </w:tc>
              <w:tc>
                <w:tcPr>
                  <w:tcW w:w="1661" w:type="pct"/>
                  <w:tcBorders>
                    <w:tl2br w:val="nil"/>
                    <w:tr2bl w:val="nil"/>
                  </w:tcBorders>
                  <w:shd w:val="clear" w:color="auto" w:fill="auto"/>
                  <w:noWrap w:val="0"/>
                  <w:vAlign w:val="center"/>
                </w:tcPr>
                <w:p w14:paraId="7D76D9C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数显恒温测速磁力搅拌器</w:t>
                  </w:r>
                </w:p>
              </w:tc>
              <w:tc>
                <w:tcPr>
                  <w:tcW w:w="499" w:type="pct"/>
                  <w:tcBorders>
                    <w:tl2br w:val="nil"/>
                    <w:tr2bl w:val="nil"/>
                  </w:tcBorders>
                  <w:shd w:val="clear" w:color="auto" w:fill="auto"/>
                  <w:noWrap w:val="0"/>
                  <w:vAlign w:val="center"/>
                </w:tcPr>
                <w:p w14:paraId="6B7776D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92275B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A82556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JQ-CL06A</w:t>
                  </w:r>
                </w:p>
              </w:tc>
              <w:tc>
                <w:tcPr>
                  <w:tcW w:w="911" w:type="pct"/>
                  <w:tcBorders>
                    <w:tl2br w:val="nil"/>
                    <w:tr2bl w:val="nil"/>
                  </w:tcBorders>
                  <w:shd w:val="clear" w:color="auto" w:fill="auto"/>
                  <w:noWrap w:val="0"/>
                  <w:vAlign w:val="center"/>
                </w:tcPr>
                <w:p w14:paraId="2C5977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2A7EEBC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DDA653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26</w:t>
                  </w:r>
                </w:p>
              </w:tc>
              <w:tc>
                <w:tcPr>
                  <w:tcW w:w="1661" w:type="pct"/>
                  <w:tcBorders>
                    <w:tl2br w:val="nil"/>
                    <w:tr2bl w:val="nil"/>
                  </w:tcBorders>
                  <w:shd w:val="clear" w:color="auto" w:fill="auto"/>
                  <w:noWrap w:val="0"/>
                  <w:vAlign w:val="center"/>
                </w:tcPr>
                <w:p w14:paraId="7286384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菌落计数器</w:t>
                  </w:r>
                </w:p>
              </w:tc>
              <w:tc>
                <w:tcPr>
                  <w:tcW w:w="499" w:type="pct"/>
                  <w:tcBorders>
                    <w:tl2br w:val="nil"/>
                    <w:tr2bl w:val="nil"/>
                  </w:tcBorders>
                  <w:shd w:val="clear" w:color="auto" w:fill="auto"/>
                  <w:noWrap w:val="0"/>
                  <w:vAlign w:val="center"/>
                </w:tcPr>
                <w:p w14:paraId="32F8341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B40927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3C47A2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JL-1</w:t>
                  </w:r>
                </w:p>
              </w:tc>
              <w:tc>
                <w:tcPr>
                  <w:tcW w:w="911" w:type="pct"/>
                  <w:tcBorders>
                    <w:tl2br w:val="nil"/>
                    <w:tr2bl w:val="nil"/>
                  </w:tcBorders>
                  <w:shd w:val="clear" w:color="auto" w:fill="auto"/>
                  <w:noWrap w:val="0"/>
                  <w:vAlign w:val="center"/>
                </w:tcPr>
                <w:p w14:paraId="19D4720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杭州齐威</w:t>
                  </w:r>
                </w:p>
              </w:tc>
            </w:tr>
            <w:tr w14:paraId="54EA3D2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602EA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27</w:t>
                  </w:r>
                </w:p>
              </w:tc>
              <w:tc>
                <w:tcPr>
                  <w:tcW w:w="1661" w:type="pct"/>
                  <w:tcBorders>
                    <w:tl2br w:val="nil"/>
                    <w:tr2bl w:val="nil"/>
                  </w:tcBorders>
                  <w:shd w:val="clear" w:color="auto" w:fill="auto"/>
                  <w:noWrap w:val="0"/>
                  <w:vAlign w:val="center"/>
                </w:tcPr>
                <w:p w14:paraId="4BAE4B0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隔水式培养箱</w:t>
                  </w:r>
                </w:p>
              </w:tc>
              <w:tc>
                <w:tcPr>
                  <w:tcW w:w="499" w:type="pct"/>
                  <w:tcBorders>
                    <w:tl2br w:val="nil"/>
                    <w:tr2bl w:val="nil"/>
                  </w:tcBorders>
                  <w:shd w:val="clear" w:color="auto" w:fill="auto"/>
                  <w:noWrap w:val="0"/>
                  <w:vAlign w:val="center"/>
                </w:tcPr>
                <w:p w14:paraId="4568EEA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D3703D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A2EC9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JQ-GS50</w:t>
                  </w:r>
                </w:p>
              </w:tc>
              <w:tc>
                <w:tcPr>
                  <w:tcW w:w="911" w:type="pct"/>
                  <w:tcBorders>
                    <w:tl2br w:val="nil"/>
                    <w:tr2bl w:val="nil"/>
                  </w:tcBorders>
                  <w:shd w:val="clear" w:color="auto" w:fill="auto"/>
                  <w:noWrap w:val="0"/>
                  <w:vAlign w:val="center"/>
                </w:tcPr>
                <w:p w14:paraId="4B31504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bl>
          <w:p w14:paraId="4E7594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w:t>
            </w: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8</w:t>
            </w:r>
            <w:r>
              <w:rPr>
                <w:rFonts w:hint="eastAsia" w:ascii="Times New Roman" w:hAnsi="Times New Roman"/>
                <w:b/>
                <w:color w:val="auto"/>
                <w:sz w:val="21"/>
                <w:szCs w:val="21"/>
                <w:highlight w:val="none"/>
              </w:rPr>
              <w:t xml:space="preserve"> 主要生产设备一览表</w:t>
            </w:r>
          </w:p>
          <w:tbl>
            <w:tblPr>
              <w:tblStyle w:val="26"/>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631"/>
              <w:gridCol w:w="2641"/>
              <w:gridCol w:w="794"/>
              <w:gridCol w:w="706"/>
              <w:gridCol w:w="1725"/>
              <w:gridCol w:w="1449"/>
            </w:tblGrid>
            <w:tr w14:paraId="7D55C80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539C7AA5">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序号</w:t>
                  </w:r>
                </w:p>
              </w:tc>
              <w:tc>
                <w:tcPr>
                  <w:tcW w:w="1661" w:type="pct"/>
                  <w:tcBorders>
                    <w:tl2br w:val="nil"/>
                    <w:tr2bl w:val="nil"/>
                  </w:tcBorders>
                  <w:noWrap w:val="0"/>
                  <w:vAlign w:val="center"/>
                </w:tcPr>
                <w:p w14:paraId="26567EF2">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仪器设备名称</w:t>
                  </w:r>
                </w:p>
              </w:tc>
              <w:tc>
                <w:tcPr>
                  <w:tcW w:w="499" w:type="pct"/>
                  <w:tcBorders>
                    <w:tl2br w:val="nil"/>
                    <w:tr2bl w:val="nil"/>
                  </w:tcBorders>
                  <w:noWrap w:val="0"/>
                  <w:vAlign w:val="center"/>
                </w:tcPr>
                <w:p w14:paraId="02476432">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单位</w:t>
                  </w:r>
                </w:p>
              </w:tc>
              <w:tc>
                <w:tcPr>
                  <w:tcW w:w="444" w:type="pct"/>
                  <w:tcBorders>
                    <w:tl2br w:val="nil"/>
                    <w:tr2bl w:val="nil"/>
                  </w:tcBorders>
                  <w:noWrap w:val="0"/>
                  <w:vAlign w:val="center"/>
                </w:tcPr>
                <w:p w14:paraId="04514D8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数量</w:t>
                  </w:r>
                </w:p>
              </w:tc>
              <w:tc>
                <w:tcPr>
                  <w:tcW w:w="1085" w:type="pct"/>
                  <w:tcBorders>
                    <w:tl2br w:val="nil"/>
                    <w:tr2bl w:val="nil"/>
                  </w:tcBorders>
                  <w:noWrap w:val="0"/>
                  <w:vAlign w:val="center"/>
                </w:tcPr>
                <w:p w14:paraId="75D3C08C">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型号</w:t>
                  </w:r>
                </w:p>
              </w:tc>
              <w:tc>
                <w:tcPr>
                  <w:tcW w:w="911" w:type="pct"/>
                  <w:tcBorders>
                    <w:tl2br w:val="nil"/>
                    <w:tr2bl w:val="nil"/>
                  </w:tcBorders>
                  <w:noWrap w:val="0"/>
                  <w:vAlign w:val="center"/>
                </w:tcPr>
                <w:p w14:paraId="0995E18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生产厂家</w:t>
                  </w:r>
                </w:p>
              </w:tc>
            </w:tr>
            <w:tr w14:paraId="3BFD70C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31406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28</w:t>
                  </w:r>
                </w:p>
              </w:tc>
              <w:tc>
                <w:tcPr>
                  <w:tcW w:w="1661" w:type="pct"/>
                  <w:tcBorders>
                    <w:tl2br w:val="nil"/>
                    <w:tr2bl w:val="nil"/>
                  </w:tcBorders>
                  <w:shd w:val="clear" w:color="auto" w:fill="auto"/>
                  <w:noWrap w:val="0"/>
                  <w:vAlign w:val="center"/>
                </w:tcPr>
                <w:p w14:paraId="18E94CF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立式压力蒸汽灭菌器</w:t>
                  </w:r>
                </w:p>
              </w:tc>
              <w:tc>
                <w:tcPr>
                  <w:tcW w:w="499" w:type="pct"/>
                  <w:tcBorders>
                    <w:tl2br w:val="nil"/>
                    <w:tr2bl w:val="nil"/>
                  </w:tcBorders>
                  <w:shd w:val="clear" w:color="auto" w:fill="auto"/>
                  <w:noWrap w:val="0"/>
                  <w:vAlign w:val="center"/>
                </w:tcPr>
                <w:p w14:paraId="46DFBB3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5F0E5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3519E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BXM-30R</w:t>
                  </w:r>
                </w:p>
              </w:tc>
              <w:tc>
                <w:tcPr>
                  <w:tcW w:w="911" w:type="pct"/>
                  <w:tcBorders>
                    <w:tl2br w:val="nil"/>
                    <w:tr2bl w:val="nil"/>
                  </w:tcBorders>
                  <w:shd w:val="clear" w:color="auto" w:fill="auto"/>
                  <w:noWrap w:val="0"/>
                  <w:vAlign w:val="center"/>
                </w:tcPr>
                <w:p w14:paraId="5D27999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上海博讯</w:t>
                  </w:r>
                </w:p>
              </w:tc>
            </w:tr>
            <w:tr w14:paraId="27D0F4D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52F2AE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29</w:t>
                  </w:r>
                </w:p>
              </w:tc>
              <w:tc>
                <w:tcPr>
                  <w:tcW w:w="1661" w:type="pct"/>
                  <w:tcBorders>
                    <w:tl2br w:val="nil"/>
                    <w:tr2bl w:val="nil"/>
                  </w:tcBorders>
                  <w:shd w:val="clear" w:color="auto" w:fill="auto"/>
                  <w:noWrap w:val="0"/>
                  <w:vAlign w:val="center"/>
                </w:tcPr>
                <w:p w14:paraId="21ACC144">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土壤干燥箱</w:t>
                  </w:r>
                </w:p>
              </w:tc>
              <w:tc>
                <w:tcPr>
                  <w:tcW w:w="499" w:type="pct"/>
                  <w:tcBorders>
                    <w:tl2br w:val="nil"/>
                    <w:tr2bl w:val="nil"/>
                  </w:tcBorders>
                  <w:shd w:val="clear" w:color="auto" w:fill="auto"/>
                  <w:noWrap w:val="0"/>
                  <w:vAlign w:val="center"/>
                </w:tcPr>
                <w:p w14:paraId="3D48534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D83F4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3D1534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JQ-TR24</w:t>
                  </w:r>
                </w:p>
              </w:tc>
              <w:tc>
                <w:tcPr>
                  <w:tcW w:w="911" w:type="pct"/>
                  <w:tcBorders>
                    <w:tl2br w:val="nil"/>
                    <w:tr2bl w:val="nil"/>
                  </w:tcBorders>
                  <w:shd w:val="clear" w:color="auto" w:fill="auto"/>
                  <w:noWrap w:val="0"/>
                  <w:vAlign w:val="center"/>
                </w:tcPr>
                <w:p w14:paraId="3D79346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C1429D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4BA54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30</w:t>
                  </w:r>
                </w:p>
              </w:tc>
              <w:tc>
                <w:tcPr>
                  <w:tcW w:w="1661" w:type="pct"/>
                  <w:tcBorders>
                    <w:tl2br w:val="nil"/>
                    <w:tr2bl w:val="nil"/>
                  </w:tcBorders>
                  <w:shd w:val="clear" w:color="auto" w:fill="auto"/>
                  <w:noWrap w:val="0"/>
                  <w:vAlign w:val="center"/>
                </w:tcPr>
                <w:p w14:paraId="16DA184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行星式球磨机</w:t>
                  </w:r>
                </w:p>
              </w:tc>
              <w:tc>
                <w:tcPr>
                  <w:tcW w:w="499" w:type="pct"/>
                  <w:tcBorders>
                    <w:tl2br w:val="nil"/>
                    <w:tr2bl w:val="nil"/>
                  </w:tcBorders>
                  <w:shd w:val="clear" w:color="auto" w:fill="auto"/>
                  <w:noWrap w:val="0"/>
                  <w:vAlign w:val="center"/>
                </w:tcPr>
                <w:p w14:paraId="7DE590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CEA54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F0AC8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JQM</w:t>
                  </w:r>
                </w:p>
              </w:tc>
              <w:tc>
                <w:tcPr>
                  <w:tcW w:w="911" w:type="pct"/>
                  <w:tcBorders>
                    <w:tl2br w:val="nil"/>
                    <w:tr2bl w:val="nil"/>
                  </w:tcBorders>
                  <w:shd w:val="clear" w:color="auto" w:fill="auto"/>
                  <w:noWrap w:val="0"/>
                  <w:vAlign w:val="center"/>
                </w:tcPr>
                <w:p w14:paraId="3B45981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7E6033D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45AAC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31</w:t>
                  </w:r>
                </w:p>
              </w:tc>
              <w:tc>
                <w:tcPr>
                  <w:tcW w:w="1661" w:type="pct"/>
                  <w:tcBorders>
                    <w:tl2br w:val="nil"/>
                    <w:tr2bl w:val="nil"/>
                  </w:tcBorders>
                  <w:shd w:val="clear" w:color="auto" w:fill="auto"/>
                  <w:noWrap w:val="0"/>
                  <w:vAlign w:val="center"/>
                </w:tcPr>
                <w:p w14:paraId="1E0211C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索氏提取器</w:t>
                  </w:r>
                </w:p>
              </w:tc>
              <w:tc>
                <w:tcPr>
                  <w:tcW w:w="499" w:type="pct"/>
                  <w:tcBorders>
                    <w:tl2br w:val="nil"/>
                    <w:tr2bl w:val="nil"/>
                  </w:tcBorders>
                  <w:shd w:val="clear" w:color="auto" w:fill="auto"/>
                  <w:noWrap w:val="0"/>
                  <w:vAlign w:val="center"/>
                </w:tcPr>
                <w:p w14:paraId="17D704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6817FD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4A105D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JQ-ST6</w:t>
                  </w:r>
                </w:p>
              </w:tc>
              <w:tc>
                <w:tcPr>
                  <w:tcW w:w="911" w:type="pct"/>
                  <w:tcBorders>
                    <w:tl2br w:val="nil"/>
                    <w:tr2bl w:val="nil"/>
                  </w:tcBorders>
                  <w:shd w:val="clear" w:color="auto" w:fill="auto"/>
                  <w:noWrap w:val="0"/>
                  <w:vAlign w:val="center"/>
                </w:tcPr>
                <w:p w14:paraId="60DC07A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1EEDC59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3224AC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32</w:t>
                  </w:r>
                </w:p>
              </w:tc>
              <w:tc>
                <w:tcPr>
                  <w:tcW w:w="1661" w:type="pct"/>
                  <w:tcBorders>
                    <w:tl2br w:val="nil"/>
                    <w:tr2bl w:val="nil"/>
                  </w:tcBorders>
                  <w:shd w:val="clear" w:color="auto" w:fill="auto"/>
                  <w:noWrap w:val="0"/>
                  <w:vAlign w:val="center"/>
                </w:tcPr>
                <w:p w14:paraId="4FCE012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土壤密度计</w:t>
                  </w:r>
                </w:p>
              </w:tc>
              <w:tc>
                <w:tcPr>
                  <w:tcW w:w="499" w:type="pct"/>
                  <w:tcBorders>
                    <w:tl2br w:val="nil"/>
                    <w:tr2bl w:val="nil"/>
                  </w:tcBorders>
                  <w:shd w:val="clear" w:color="auto" w:fill="auto"/>
                  <w:noWrap w:val="0"/>
                  <w:vAlign w:val="center"/>
                </w:tcPr>
                <w:p w14:paraId="0CA63EE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C9E03A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34A6DF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TM85</w:t>
                  </w:r>
                </w:p>
              </w:tc>
              <w:tc>
                <w:tcPr>
                  <w:tcW w:w="911" w:type="pct"/>
                  <w:tcBorders>
                    <w:tl2br w:val="nil"/>
                    <w:tr2bl w:val="nil"/>
                  </w:tcBorders>
                  <w:shd w:val="clear" w:color="auto" w:fill="auto"/>
                  <w:noWrap w:val="0"/>
                  <w:vAlign w:val="center"/>
                </w:tcPr>
                <w:p w14:paraId="4CA4F03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上海华东</w:t>
                  </w:r>
                </w:p>
              </w:tc>
            </w:tr>
            <w:tr w14:paraId="2C2422E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397" w:type="pct"/>
                  <w:tcBorders>
                    <w:tl2br w:val="nil"/>
                    <w:tr2bl w:val="nil"/>
                  </w:tcBorders>
                  <w:shd w:val="clear" w:color="auto" w:fill="auto"/>
                  <w:noWrap w:val="0"/>
                  <w:vAlign w:val="center"/>
                </w:tcPr>
                <w:p w14:paraId="787448C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33</w:t>
                  </w:r>
                </w:p>
              </w:tc>
              <w:tc>
                <w:tcPr>
                  <w:tcW w:w="1661" w:type="pct"/>
                  <w:tcBorders>
                    <w:tl2br w:val="nil"/>
                    <w:tr2bl w:val="nil"/>
                  </w:tcBorders>
                  <w:shd w:val="clear" w:color="auto" w:fill="auto"/>
                  <w:noWrap w:val="0"/>
                  <w:vAlign w:val="center"/>
                </w:tcPr>
                <w:p w14:paraId="71BC3FF1">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浸出水平振荡器</w:t>
                  </w:r>
                </w:p>
              </w:tc>
              <w:tc>
                <w:tcPr>
                  <w:tcW w:w="499" w:type="pct"/>
                  <w:tcBorders>
                    <w:tl2br w:val="nil"/>
                    <w:tr2bl w:val="nil"/>
                  </w:tcBorders>
                  <w:shd w:val="clear" w:color="auto" w:fill="auto"/>
                  <w:noWrap w:val="0"/>
                  <w:vAlign w:val="center"/>
                </w:tcPr>
                <w:p w14:paraId="390C12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E7899A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15F358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JQ-SP08</w:t>
                  </w:r>
                </w:p>
              </w:tc>
              <w:tc>
                <w:tcPr>
                  <w:tcW w:w="911" w:type="pct"/>
                  <w:tcBorders>
                    <w:tl2br w:val="nil"/>
                    <w:tr2bl w:val="nil"/>
                  </w:tcBorders>
                  <w:shd w:val="clear" w:color="auto" w:fill="auto"/>
                  <w:noWrap w:val="0"/>
                  <w:vAlign w:val="center"/>
                </w:tcPr>
                <w:p w14:paraId="04CFFB9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3911AD2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341A2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34</w:t>
                  </w:r>
                </w:p>
              </w:tc>
              <w:tc>
                <w:tcPr>
                  <w:tcW w:w="1661" w:type="pct"/>
                  <w:tcBorders>
                    <w:tl2br w:val="nil"/>
                    <w:tr2bl w:val="nil"/>
                  </w:tcBorders>
                  <w:shd w:val="clear" w:color="auto" w:fill="auto"/>
                  <w:noWrap w:val="0"/>
                  <w:vAlign w:val="center"/>
                </w:tcPr>
                <w:p w14:paraId="148F0E2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499" w:type="pct"/>
                  <w:tcBorders>
                    <w:tl2br w:val="nil"/>
                    <w:tr2bl w:val="nil"/>
                  </w:tcBorders>
                  <w:shd w:val="clear" w:color="auto" w:fill="auto"/>
                  <w:noWrap w:val="0"/>
                  <w:vAlign w:val="center"/>
                </w:tcPr>
                <w:p w14:paraId="138B656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3545E7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9C8B2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JQF-2000*8</w:t>
                  </w:r>
                </w:p>
              </w:tc>
              <w:tc>
                <w:tcPr>
                  <w:tcW w:w="911" w:type="pct"/>
                  <w:tcBorders>
                    <w:tl2br w:val="nil"/>
                    <w:tr2bl w:val="nil"/>
                  </w:tcBorders>
                  <w:shd w:val="clear" w:color="auto" w:fill="auto"/>
                  <w:noWrap w:val="0"/>
                  <w:vAlign w:val="center"/>
                </w:tcPr>
                <w:p w14:paraId="3476CD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B69958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6E96F7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35</w:t>
                  </w:r>
                </w:p>
              </w:tc>
              <w:tc>
                <w:tcPr>
                  <w:tcW w:w="1661" w:type="pct"/>
                  <w:tcBorders>
                    <w:tl2br w:val="nil"/>
                    <w:tr2bl w:val="nil"/>
                  </w:tcBorders>
                  <w:shd w:val="clear" w:color="auto" w:fill="auto"/>
                  <w:noWrap w:val="0"/>
                  <w:vAlign w:val="center"/>
                </w:tcPr>
                <w:p w14:paraId="0A74F3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超纯水机</w:t>
                  </w:r>
                </w:p>
              </w:tc>
              <w:tc>
                <w:tcPr>
                  <w:tcW w:w="499" w:type="pct"/>
                  <w:tcBorders>
                    <w:tl2br w:val="nil"/>
                    <w:tr2bl w:val="nil"/>
                  </w:tcBorders>
                  <w:shd w:val="clear" w:color="auto" w:fill="auto"/>
                  <w:noWrap w:val="0"/>
                  <w:vAlign w:val="center"/>
                </w:tcPr>
                <w:p w14:paraId="782FA48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CA4C6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7B26E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GWB-2</w:t>
                  </w:r>
                </w:p>
              </w:tc>
              <w:tc>
                <w:tcPr>
                  <w:tcW w:w="911" w:type="pct"/>
                  <w:tcBorders>
                    <w:tl2br w:val="nil"/>
                    <w:tr2bl w:val="nil"/>
                  </w:tcBorders>
                  <w:shd w:val="clear" w:color="auto" w:fill="auto"/>
                  <w:noWrap w:val="0"/>
                  <w:vAlign w:val="center"/>
                </w:tcPr>
                <w:p w14:paraId="6B9E098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普析通用</w:t>
                  </w:r>
                </w:p>
              </w:tc>
            </w:tr>
            <w:tr w14:paraId="55288B7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BA893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36</w:t>
                  </w:r>
                </w:p>
              </w:tc>
              <w:tc>
                <w:tcPr>
                  <w:tcW w:w="1661" w:type="pct"/>
                  <w:tcBorders>
                    <w:tl2br w:val="nil"/>
                    <w:tr2bl w:val="nil"/>
                  </w:tcBorders>
                  <w:shd w:val="clear" w:color="auto" w:fill="auto"/>
                  <w:noWrap w:val="0"/>
                  <w:vAlign w:val="center"/>
                </w:tcPr>
                <w:p w14:paraId="3DA1820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电子天平</w:t>
                  </w:r>
                </w:p>
              </w:tc>
              <w:tc>
                <w:tcPr>
                  <w:tcW w:w="499" w:type="pct"/>
                  <w:tcBorders>
                    <w:tl2br w:val="nil"/>
                    <w:tr2bl w:val="nil"/>
                  </w:tcBorders>
                  <w:shd w:val="clear" w:color="auto" w:fill="auto"/>
                  <w:noWrap w:val="0"/>
                  <w:vAlign w:val="center"/>
                </w:tcPr>
                <w:p w14:paraId="2C031EE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541F5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22B4497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ME204E/02</w:t>
                  </w:r>
                </w:p>
              </w:tc>
              <w:tc>
                <w:tcPr>
                  <w:tcW w:w="911" w:type="pct"/>
                  <w:tcBorders>
                    <w:tl2br w:val="nil"/>
                    <w:tr2bl w:val="nil"/>
                  </w:tcBorders>
                  <w:shd w:val="clear" w:color="auto" w:fill="auto"/>
                  <w:noWrap w:val="0"/>
                  <w:vAlign w:val="center"/>
                </w:tcPr>
                <w:p w14:paraId="017647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梅特勒-托利多</w:t>
                  </w:r>
                </w:p>
              </w:tc>
            </w:tr>
            <w:tr w14:paraId="2612C05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339F0B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37</w:t>
                  </w:r>
                </w:p>
              </w:tc>
              <w:tc>
                <w:tcPr>
                  <w:tcW w:w="1661" w:type="pct"/>
                  <w:tcBorders>
                    <w:tl2br w:val="nil"/>
                    <w:tr2bl w:val="nil"/>
                  </w:tcBorders>
                  <w:shd w:val="clear" w:color="auto" w:fill="auto"/>
                  <w:noWrap w:val="0"/>
                  <w:vAlign w:val="center"/>
                </w:tcPr>
                <w:p w14:paraId="137CB20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电子天平</w:t>
                  </w:r>
                </w:p>
              </w:tc>
              <w:tc>
                <w:tcPr>
                  <w:tcW w:w="499" w:type="pct"/>
                  <w:tcBorders>
                    <w:tl2br w:val="nil"/>
                    <w:tr2bl w:val="nil"/>
                  </w:tcBorders>
                  <w:shd w:val="clear" w:color="auto" w:fill="auto"/>
                  <w:noWrap w:val="0"/>
                  <w:vAlign w:val="center"/>
                </w:tcPr>
                <w:p w14:paraId="00BE2F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EF9057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00D56F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HZT-A3000</w:t>
                  </w:r>
                </w:p>
              </w:tc>
              <w:tc>
                <w:tcPr>
                  <w:tcW w:w="911" w:type="pct"/>
                  <w:tcBorders>
                    <w:tl2br w:val="nil"/>
                    <w:tr2bl w:val="nil"/>
                  </w:tcBorders>
                  <w:shd w:val="clear" w:color="auto" w:fill="auto"/>
                  <w:noWrap w:val="0"/>
                  <w:vAlign w:val="center"/>
                </w:tcPr>
                <w:p w14:paraId="75B9AC0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华志</w:t>
                  </w:r>
                </w:p>
              </w:tc>
            </w:tr>
            <w:tr w14:paraId="3FB7EAD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F3C8CC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38</w:t>
                  </w:r>
                </w:p>
              </w:tc>
              <w:tc>
                <w:tcPr>
                  <w:tcW w:w="1661" w:type="pct"/>
                  <w:tcBorders>
                    <w:tl2br w:val="nil"/>
                    <w:tr2bl w:val="nil"/>
                  </w:tcBorders>
                  <w:shd w:val="clear" w:color="auto" w:fill="auto"/>
                  <w:noWrap w:val="0"/>
                  <w:vAlign w:val="center"/>
                </w:tcPr>
                <w:p w14:paraId="7DF8B49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显微镜</w:t>
                  </w:r>
                </w:p>
              </w:tc>
              <w:tc>
                <w:tcPr>
                  <w:tcW w:w="499" w:type="pct"/>
                  <w:tcBorders>
                    <w:tl2br w:val="nil"/>
                    <w:tr2bl w:val="nil"/>
                  </w:tcBorders>
                  <w:shd w:val="clear" w:color="auto" w:fill="auto"/>
                  <w:noWrap w:val="0"/>
                  <w:vAlign w:val="center"/>
                </w:tcPr>
                <w:p w14:paraId="74BFD09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09BEDD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67F96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ECLIPSE E100</w:t>
                  </w:r>
                </w:p>
              </w:tc>
              <w:tc>
                <w:tcPr>
                  <w:tcW w:w="911" w:type="pct"/>
                  <w:tcBorders>
                    <w:tl2br w:val="nil"/>
                    <w:tr2bl w:val="nil"/>
                  </w:tcBorders>
                  <w:shd w:val="clear" w:color="auto" w:fill="auto"/>
                  <w:noWrap w:val="0"/>
                  <w:vAlign w:val="center"/>
                </w:tcPr>
                <w:p w14:paraId="556234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尼康仪器</w:t>
                  </w:r>
                </w:p>
              </w:tc>
            </w:tr>
            <w:tr w14:paraId="002FBA1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B040CC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39</w:t>
                  </w:r>
                </w:p>
              </w:tc>
              <w:tc>
                <w:tcPr>
                  <w:tcW w:w="1661" w:type="pct"/>
                  <w:tcBorders>
                    <w:tl2br w:val="nil"/>
                    <w:tr2bl w:val="nil"/>
                  </w:tcBorders>
                  <w:shd w:val="clear" w:color="auto" w:fill="auto"/>
                  <w:noWrap w:val="0"/>
                  <w:vAlign w:val="center"/>
                </w:tcPr>
                <w:p w14:paraId="04BDF69E">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循环水式多用真空泵</w:t>
                  </w:r>
                </w:p>
              </w:tc>
              <w:tc>
                <w:tcPr>
                  <w:tcW w:w="499" w:type="pct"/>
                  <w:tcBorders>
                    <w:tl2br w:val="nil"/>
                    <w:tr2bl w:val="nil"/>
                  </w:tcBorders>
                  <w:shd w:val="clear" w:color="auto" w:fill="auto"/>
                  <w:noWrap w:val="0"/>
                  <w:vAlign w:val="center"/>
                </w:tcPr>
                <w:p w14:paraId="5FC3CB4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DE532E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96BF8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SHB-Ⅲ</w:t>
                  </w:r>
                </w:p>
              </w:tc>
              <w:tc>
                <w:tcPr>
                  <w:tcW w:w="911" w:type="pct"/>
                  <w:tcBorders>
                    <w:tl2br w:val="nil"/>
                    <w:tr2bl w:val="nil"/>
                  </w:tcBorders>
                  <w:shd w:val="clear" w:color="auto" w:fill="auto"/>
                  <w:noWrap w:val="0"/>
                  <w:vAlign w:val="center"/>
                </w:tcPr>
                <w:p w14:paraId="3DC7A7E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北京科伟</w:t>
                  </w:r>
                </w:p>
              </w:tc>
            </w:tr>
            <w:tr w14:paraId="1A4A540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554668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40</w:t>
                  </w:r>
                </w:p>
              </w:tc>
              <w:tc>
                <w:tcPr>
                  <w:tcW w:w="1661" w:type="pct"/>
                  <w:tcBorders>
                    <w:tl2br w:val="nil"/>
                    <w:tr2bl w:val="nil"/>
                  </w:tcBorders>
                  <w:shd w:val="clear" w:color="auto" w:fill="auto"/>
                  <w:noWrap w:val="0"/>
                  <w:vAlign w:val="center"/>
                </w:tcPr>
                <w:p w14:paraId="2C298180">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无油空气压缩机</w:t>
                  </w:r>
                </w:p>
              </w:tc>
              <w:tc>
                <w:tcPr>
                  <w:tcW w:w="499" w:type="pct"/>
                  <w:tcBorders>
                    <w:tl2br w:val="nil"/>
                    <w:tr2bl w:val="nil"/>
                  </w:tcBorders>
                  <w:shd w:val="clear" w:color="auto" w:fill="auto"/>
                  <w:noWrap w:val="0"/>
                  <w:vAlign w:val="center"/>
                </w:tcPr>
                <w:p w14:paraId="0BF7C4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FCC48E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B90308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OTS-550</w:t>
                  </w:r>
                </w:p>
              </w:tc>
              <w:tc>
                <w:tcPr>
                  <w:tcW w:w="911" w:type="pct"/>
                  <w:tcBorders>
                    <w:tl2br w:val="nil"/>
                    <w:tr2bl w:val="nil"/>
                  </w:tcBorders>
                  <w:shd w:val="clear" w:color="auto" w:fill="auto"/>
                  <w:noWrap w:val="0"/>
                  <w:vAlign w:val="center"/>
                </w:tcPr>
                <w:p w14:paraId="2D1B519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台州奥突斯</w:t>
                  </w:r>
                </w:p>
              </w:tc>
            </w:tr>
            <w:tr w14:paraId="7D2B1FC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94AD9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41</w:t>
                  </w:r>
                </w:p>
              </w:tc>
              <w:tc>
                <w:tcPr>
                  <w:tcW w:w="1661" w:type="pct"/>
                  <w:tcBorders>
                    <w:tl2br w:val="nil"/>
                    <w:tr2bl w:val="nil"/>
                  </w:tcBorders>
                  <w:shd w:val="clear" w:color="auto" w:fill="auto"/>
                  <w:noWrap w:val="0"/>
                  <w:vAlign w:val="center"/>
                </w:tcPr>
                <w:p w14:paraId="6851BA2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酸式滴定管50mL</w:t>
                  </w:r>
                </w:p>
              </w:tc>
              <w:tc>
                <w:tcPr>
                  <w:tcW w:w="499" w:type="pct"/>
                  <w:tcBorders>
                    <w:tl2br w:val="nil"/>
                    <w:tr2bl w:val="nil"/>
                  </w:tcBorders>
                  <w:shd w:val="clear" w:color="auto" w:fill="auto"/>
                  <w:noWrap w:val="0"/>
                  <w:vAlign w:val="center"/>
                </w:tcPr>
                <w:p w14:paraId="32B1308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5329339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4</w:t>
                  </w:r>
                </w:p>
              </w:tc>
              <w:tc>
                <w:tcPr>
                  <w:tcW w:w="1085" w:type="pct"/>
                  <w:tcBorders>
                    <w:tl2br w:val="nil"/>
                    <w:tr2bl w:val="nil"/>
                  </w:tcBorders>
                  <w:shd w:val="clear" w:color="auto" w:fill="auto"/>
                  <w:noWrap w:val="0"/>
                  <w:vAlign w:val="center"/>
                </w:tcPr>
                <w:p w14:paraId="22306E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白色</w:t>
                  </w:r>
                </w:p>
              </w:tc>
              <w:tc>
                <w:tcPr>
                  <w:tcW w:w="911" w:type="pct"/>
                  <w:tcBorders>
                    <w:tl2br w:val="nil"/>
                    <w:tr2bl w:val="nil"/>
                  </w:tcBorders>
                  <w:shd w:val="clear" w:color="auto" w:fill="auto"/>
                  <w:noWrap w:val="0"/>
                  <w:vAlign w:val="center"/>
                </w:tcPr>
                <w:p w14:paraId="5A6633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15D828E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AC830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42</w:t>
                  </w:r>
                </w:p>
              </w:tc>
              <w:tc>
                <w:tcPr>
                  <w:tcW w:w="1661" w:type="pct"/>
                  <w:tcBorders>
                    <w:tl2br w:val="nil"/>
                    <w:tr2bl w:val="nil"/>
                  </w:tcBorders>
                  <w:shd w:val="clear" w:color="auto" w:fill="auto"/>
                  <w:noWrap w:val="0"/>
                  <w:vAlign w:val="center"/>
                </w:tcPr>
                <w:p w14:paraId="7BE7DC8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酸式滴定管50mL</w:t>
                  </w:r>
                </w:p>
              </w:tc>
              <w:tc>
                <w:tcPr>
                  <w:tcW w:w="499" w:type="pct"/>
                  <w:tcBorders>
                    <w:tl2br w:val="nil"/>
                    <w:tr2bl w:val="nil"/>
                  </w:tcBorders>
                  <w:shd w:val="clear" w:color="auto" w:fill="auto"/>
                  <w:noWrap w:val="0"/>
                  <w:vAlign w:val="center"/>
                </w:tcPr>
                <w:p w14:paraId="3E5CDA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33C8CF4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02B8E9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棕色</w:t>
                  </w:r>
                </w:p>
              </w:tc>
              <w:tc>
                <w:tcPr>
                  <w:tcW w:w="911" w:type="pct"/>
                  <w:tcBorders>
                    <w:tl2br w:val="nil"/>
                    <w:tr2bl w:val="nil"/>
                  </w:tcBorders>
                  <w:shd w:val="clear" w:color="auto" w:fill="auto"/>
                  <w:noWrap w:val="0"/>
                  <w:vAlign w:val="center"/>
                </w:tcPr>
                <w:p w14:paraId="36C9359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534614D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9A491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43</w:t>
                  </w:r>
                </w:p>
              </w:tc>
              <w:tc>
                <w:tcPr>
                  <w:tcW w:w="1661" w:type="pct"/>
                  <w:tcBorders>
                    <w:tl2br w:val="nil"/>
                    <w:tr2bl w:val="nil"/>
                  </w:tcBorders>
                  <w:shd w:val="clear" w:color="auto" w:fill="auto"/>
                  <w:noWrap w:val="0"/>
                  <w:vAlign w:val="center"/>
                </w:tcPr>
                <w:p w14:paraId="35F503B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w:t>
                  </w:r>
                  <w:r>
                    <w:rPr>
                      <w:rFonts w:hint="eastAsia" w:cs="Times New Roman"/>
                      <w:color w:val="auto"/>
                      <w:spacing w:val="-10"/>
                      <w:sz w:val="18"/>
                      <w:szCs w:val="18"/>
                      <w:highlight w:val="none"/>
                      <w:lang w:val="en-US" w:eastAsia="zh-CN"/>
                    </w:rPr>
                    <w:t>25</w:t>
                  </w:r>
                  <w:r>
                    <w:rPr>
                      <w:rFonts w:hint="eastAsia" w:ascii="Times New Roman" w:hAnsi="Times New Roman" w:cs="Times New Roman"/>
                      <w:color w:val="auto"/>
                      <w:spacing w:val="-10"/>
                      <w:sz w:val="18"/>
                      <w:szCs w:val="18"/>
                      <w:highlight w:val="none"/>
                      <w:lang w:val="en-US" w:eastAsia="zh-CN"/>
                    </w:rPr>
                    <w:t>mL</w:t>
                  </w:r>
                </w:p>
              </w:tc>
              <w:tc>
                <w:tcPr>
                  <w:tcW w:w="499" w:type="pct"/>
                  <w:tcBorders>
                    <w:tl2br w:val="nil"/>
                    <w:tr2bl w:val="nil"/>
                  </w:tcBorders>
                  <w:shd w:val="clear" w:color="auto" w:fill="auto"/>
                  <w:noWrap w:val="0"/>
                  <w:vAlign w:val="center"/>
                </w:tcPr>
                <w:p w14:paraId="2B9746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1AB439F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963A55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白色</w:t>
                  </w:r>
                </w:p>
              </w:tc>
              <w:tc>
                <w:tcPr>
                  <w:tcW w:w="911" w:type="pct"/>
                  <w:tcBorders>
                    <w:tl2br w:val="nil"/>
                    <w:tr2bl w:val="nil"/>
                  </w:tcBorders>
                  <w:shd w:val="clear" w:color="auto" w:fill="auto"/>
                  <w:noWrap w:val="0"/>
                  <w:vAlign w:val="center"/>
                </w:tcPr>
                <w:p w14:paraId="39E5E1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4993B63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AD4BF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44</w:t>
                  </w:r>
                </w:p>
              </w:tc>
              <w:tc>
                <w:tcPr>
                  <w:tcW w:w="1661" w:type="pct"/>
                  <w:tcBorders>
                    <w:tl2br w:val="nil"/>
                    <w:tr2bl w:val="nil"/>
                  </w:tcBorders>
                  <w:shd w:val="clear" w:color="auto" w:fill="auto"/>
                  <w:noWrap w:val="0"/>
                  <w:vAlign w:val="center"/>
                </w:tcPr>
                <w:p w14:paraId="36B65EC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酸式滴定管</w:t>
                  </w:r>
                  <w:r>
                    <w:rPr>
                      <w:rFonts w:hint="eastAsia" w:cs="Times New Roman"/>
                      <w:color w:val="auto"/>
                      <w:spacing w:val="-10"/>
                      <w:sz w:val="18"/>
                      <w:szCs w:val="18"/>
                      <w:highlight w:val="none"/>
                      <w:lang w:val="en-US" w:eastAsia="zh-CN"/>
                    </w:rPr>
                    <w:t>25</w:t>
                  </w:r>
                  <w:r>
                    <w:rPr>
                      <w:rFonts w:hint="eastAsia" w:ascii="Times New Roman" w:hAnsi="Times New Roman" w:cs="Times New Roman"/>
                      <w:color w:val="auto"/>
                      <w:spacing w:val="-10"/>
                      <w:sz w:val="18"/>
                      <w:szCs w:val="18"/>
                      <w:highlight w:val="none"/>
                      <w:lang w:val="en-US" w:eastAsia="zh-CN"/>
                    </w:rPr>
                    <w:t>mL</w:t>
                  </w:r>
                </w:p>
              </w:tc>
              <w:tc>
                <w:tcPr>
                  <w:tcW w:w="499" w:type="pct"/>
                  <w:tcBorders>
                    <w:tl2br w:val="nil"/>
                    <w:tr2bl w:val="nil"/>
                  </w:tcBorders>
                  <w:shd w:val="clear" w:color="auto" w:fill="auto"/>
                  <w:noWrap w:val="0"/>
                  <w:vAlign w:val="center"/>
                </w:tcPr>
                <w:p w14:paraId="1978F8C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auto"/>
                  <w:noWrap w:val="0"/>
                  <w:vAlign w:val="center"/>
                </w:tcPr>
                <w:p w14:paraId="684B42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E37B9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棕色</w:t>
                  </w:r>
                </w:p>
              </w:tc>
              <w:tc>
                <w:tcPr>
                  <w:tcW w:w="911" w:type="pct"/>
                  <w:tcBorders>
                    <w:tl2br w:val="nil"/>
                    <w:tr2bl w:val="nil"/>
                  </w:tcBorders>
                  <w:shd w:val="clear" w:color="auto" w:fill="auto"/>
                  <w:noWrap w:val="0"/>
                  <w:vAlign w:val="center"/>
                </w:tcPr>
                <w:p w14:paraId="5DA2868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天津天科</w:t>
                  </w:r>
                </w:p>
              </w:tc>
            </w:tr>
            <w:tr w14:paraId="563633C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EC7AD0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45</w:t>
                  </w:r>
                </w:p>
              </w:tc>
              <w:tc>
                <w:tcPr>
                  <w:tcW w:w="1661" w:type="pct"/>
                  <w:tcBorders>
                    <w:tl2br w:val="nil"/>
                    <w:tr2bl w:val="nil"/>
                  </w:tcBorders>
                  <w:shd w:val="clear" w:color="auto" w:fill="auto"/>
                  <w:noWrap w:val="0"/>
                  <w:vAlign w:val="center"/>
                </w:tcPr>
                <w:p w14:paraId="039DEE1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温湿度表</w:t>
                  </w:r>
                </w:p>
              </w:tc>
              <w:tc>
                <w:tcPr>
                  <w:tcW w:w="499" w:type="pct"/>
                  <w:tcBorders>
                    <w:tl2br w:val="nil"/>
                    <w:tr2bl w:val="nil"/>
                  </w:tcBorders>
                  <w:shd w:val="clear" w:color="auto" w:fill="auto"/>
                  <w:noWrap w:val="0"/>
                  <w:vAlign w:val="center"/>
                </w:tcPr>
                <w:p w14:paraId="0E1CDF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F4C2A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22</w:t>
                  </w:r>
                </w:p>
              </w:tc>
              <w:tc>
                <w:tcPr>
                  <w:tcW w:w="1085" w:type="pct"/>
                  <w:tcBorders>
                    <w:tl2br w:val="nil"/>
                    <w:tr2bl w:val="nil"/>
                  </w:tcBorders>
                  <w:shd w:val="clear" w:color="auto" w:fill="auto"/>
                  <w:noWrap w:val="0"/>
                  <w:vAlign w:val="center"/>
                </w:tcPr>
                <w:p w14:paraId="5DCA1B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JWS-A2</w:t>
                  </w:r>
                </w:p>
              </w:tc>
              <w:tc>
                <w:tcPr>
                  <w:tcW w:w="911" w:type="pct"/>
                  <w:tcBorders>
                    <w:tl2br w:val="nil"/>
                    <w:tr2bl w:val="nil"/>
                  </w:tcBorders>
                  <w:shd w:val="clear" w:color="auto" w:fill="auto"/>
                  <w:noWrap w:val="0"/>
                  <w:vAlign w:val="center"/>
                </w:tcPr>
                <w:p w14:paraId="1FF5025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北京亚光</w:t>
                  </w:r>
                </w:p>
              </w:tc>
            </w:tr>
            <w:tr w14:paraId="7F9AE19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854BEE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46</w:t>
                  </w:r>
                </w:p>
              </w:tc>
              <w:tc>
                <w:tcPr>
                  <w:tcW w:w="1661" w:type="pct"/>
                  <w:tcBorders>
                    <w:tl2br w:val="nil"/>
                    <w:tr2bl w:val="nil"/>
                  </w:tcBorders>
                  <w:shd w:val="clear" w:color="auto" w:fill="auto"/>
                  <w:noWrap w:val="0"/>
                  <w:vAlign w:val="center"/>
                </w:tcPr>
                <w:p w14:paraId="73F95EA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马弗炉</w:t>
                  </w:r>
                </w:p>
              </w:tc>
              <w:tc>
                <w:tcPr>
                  <w:tcW w:w="499" w:type="pct"/>
                  <w:tcBorders>
                    <w:tl2br w:val="nil"/>
                    <w:tr2bl w:val="nil"/>
                  </w:tcBorders>
                  <w:shd w:val="clear" w:color="auto" w:fill="auto"/>
                  <w:noWrap w:val="0"/>
                  <w:vAlign w:val="center"/>
                </w:tcPr>
                <w:p w14:paraId="68ED464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8551E2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6191E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SX-2.5-10型</w:t>
                  </w:r>
                </w:p>
              </w:tc>
              <w:tc>
                <w:tcPr>
                  <w:tcW w:w="911" w:type="pct"/>
                  <w:tcBorders>
                    <w:tl2br w:val="nil"/>
                    <w:tr2bl w:val="nil"/>
                  </w:tcBorders>
                  <w:shd w:val="clear" w:color="auto" w:fill="auto"/>
                  <w:noWrap w:val="0"/>
                  <w:vAlign w:val="center"/>
                </w:tcPr>
                <w:p w14:paraId="735632D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天津泰斯特</w:t>
                  </w:r>
                </w:p>
              </w:tc>
            </w:tr>
            <w:tr w14:paraId="03C9F1E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5523E9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47</w:t>
                  </w:r>
                </w:p>
              </w:tc>
              <w:tc>
                <w:tcPr>
                  <w:tcW w:w="1661" w:type="pct"/>
                  <w:tcBorders>
                    <w:tl2br w:val="nil"/>
                    <w:tr2bl w:val="nil"/>
                  </w:tcBorders>
                  <w:shd w:val="clear" w:color="auto" w:fill="auto"/>
                  <w:noWrap w:val="0"/>
                  <w:vAlign w:val="center"/>
                </w:tcPr>
                <w:p w14:paraId="59122C7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生物安全柜</w:t>
                  </w:r>
                </w:p>
              </w:tc>
              <w:tc>
                <w:tcPr>
                  <w:tcW w:w="499" w:type="pct"/>
                  <w:tcBorders>
                    <w:tl2br w:val="nil"/>
                    <w:tr2bl w:val="nil"/>
                  </w:tcBorders>
                  <w:shd w:val="clear" w:color="auto" w:fill="auto"/>
                  <w:noWrap w:val="0"/>
                  <w:vAlign w:val="center"/>
                </w:tcPr>
                <w:p w14:paraId="7E2ECC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083D3E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8BD792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BSC-1500ΙΙA2-X</w:t>
                  </w:r>
                </w:p>
              </w:tc>
              <w:tc>
                <w:tcPr>
                  <w:tcW w:w="911" w:type="pct"/>
                  <w:tcBorders>
                    <w:tl2br w:val="nil"/>
                    <w:tr2bl w:val="nil"/>
                  </w:tcBorders>
                  <w:shd w:val="clear" w:color="auto" w:fill="auto"/>
                  <w:noWrap w:val="0"/>
                  <w:vAlign w:val="center"/>
                </w:tcPr>
                <w:p w14:paraId="4199050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济南鑫贝西</w:t>
                  </w:r>
                </w:p>
              </w:tc>
            </w:tr>
            <w:tr w14:paraId="3B346DF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457979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48</w:t>
                  </w:r>
                </w:p>
              </w:tc>
              <w:tc>
                <w:tcPr>
                  <w:tcW w:w="1661" w:type="pct"/>
                  <w:tcBorders>
                    <w:tl2br w:val="nil"/>
                    <w:tr2bl w:val="nil"/>
                  </w:tcBorders>
                  <w:shd w:val="clear" w:color="auto" w:fill="auto"/>
                  <w:noWrap w:val="0"/>
                  <w:vAlign w:val="center"/>
                </w:tcPr>
                <w:p w14:paraId="22FC010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单人单面净化工作台</w:t>
                  </w:r>
                </w:p>
              </w:tc>
              <w:tc>
                <w:tcPr>
                  <w:tcW w:w="499" w:type="pct"/>
                  <w:tcBorders>
                    <w:tl2br w:val="nil"/>
                    <w:tr2bl w:val="nil"/>
                  </w:tcBorders>
                  <w:shd w:val="clear" w:color="auto" w:fill="auto"/>
                  <w:noWrap w:val="0"/>
                  <w:vAlign w:val="center"/>
                </w:tcPr>
                <w:p w14:paraId="028FD1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06CFBF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739683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SW-CJ-1FD型</w:t>
                  </w:r>
                </w:p>
              </w:tc>
              <w:tc>
                <w:tcPr>
                  <w:tcW w:w="911" w:type="pct"/>
                  <w:tcBorders>
                    <w:tl2br w:val="nil"/>
                    <w:tr2bl w:val="nil"/>
                  </w:tcBorders>
                  <w:shd w:val="clear" w:color="auto" w:fill="auto"/>
                  <w:noWrap w:val="0"/>
                  <w:vAlign w:val="center"/>
                </w:tcPr>
                <w:p w14:paraId="6BB3ABF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苏州净化设备</w:t>
                  </w:r>
                </w:p>
              </w:tc>
            </w:tr>
            <w:tr w14:paraId="431CC25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B79E68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49</w:t>
                  </w:r>
                </w:p>
              </w:tc>
              <w:tc>
                <w:tcPr>
                  <w:tcW w:w="1661" w:type="pct"/>
                  <w:tcBorders>
                    <w:tl2br w:val="nil"/>
                    <w:tr2bl w:val="nil"/>
                  </w:tcBorders>
                  <w:shd w:val="clear" w:color="auto" w:fill="auto"/>
                  <w:noWrap w:val="0"/>
                  <w:vAlign w:val="center"/>
                </w:tcPr>
                <w:p w14:paraId="230FF652">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超声波清洗器</w:t>
                  </w:r>
                </w:p>
              </w:tc>
              <w:tc>
                <w:tcPr>
                  <w:tcW w:w="499" w:type="pct"/>
                  <w:tcBorders>
                    <w:tl2br w:val="nil"/>
                    <w:tr2bl w:val="nil"/>
                  </w:tcBorders>
                  <w:shd w:val="clear" w:color="auto" w:fill="auto"/>
                  <w:noWrap w:val="0"/>
                  <w:vAlign w:val="center"/>
                </w:tcPr>
                <w:p w14:paraId="3C06EB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4DDFD7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381857C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KS-5200E</w:t>
                  </w:r>
                </w:p>
              </w:tc>
              <w:tc>
                <w:tcPr>
                  <w:tcW w:w="911" w:type="pct"/>
                  <w:tcBorders>
                    <w:tl2br w:val="nil"/>
                    <w:tr2bl w:val="nil"/>
                  </w:tcBorders>
                  <w:shd w:val="clear" w:color="auto" w:fill="auto"/>
                  <w:noWrap w:val="0"/>
                  <w:vAlign w:val="center"/>
                </w:tcPr>
                <w:p w14:paraId="05EBE68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昆山洁力美</w:t>
                  </w:r>
                </w:p>
              </w:tc>
            </w:tr>
            <w:tr w14:paraId="5BB7B1B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A690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50</w:t>
                  </w:r>
                </w:p>
              </w:tc>
              <w:tc>
                <w:tcPr>
                  <w:tcW w:w="1661" w:type="pct"/>
                  <w:tcBorders>
                    <w:tl2br w:val="nil"/>
                    <w:tr2bl w:val="nil"/>
                  </w:tcBorders>
                  <w:shd w:val="clear" w:color="auto" w:fill="auto"/>
                  <w:noWrap w:val="0"/>
                  <w:vAlign w:val="center"/>
                </w:tcPr>
                <w:p w14:paraId="4F77A8B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电热恒温水浴锅</w:t>
                  </w:r>
                </w:p>
              </w:tc>
              <w:tc>
                <w:tcPr>
                  <w:tcW w:w="499" w:type="pct"/>
                  <w:tcBorders>
                    <w:tl2br w:val="nil"/>
                    <w:tr2bl w:val="nil"/>
                  </w:tcBorders>
                  <w:shd w:val="clear" w:color="auto" w:fill="auto"/>
                  <w:noWrap w:val="0"/>
                  <w:vAlign w:val="center"/>
                </w:tcPr>
                <w:p w14:paraId="311512F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2C1A9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29BE49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DZKW-D-2</w:t>
                  </w:r>
                </w:p>
              </w:tc>
              <w:tc>
                <w:tcPr>
                  <w:tcW w:w="911" w:type="pct"/>
                  <w:tcBorders>
                    <w:tl2br w:val="nil"/>
                    <w:tr2bl w:val="nil"/>
                  </w:tcBorders>
                  <w:shd w:val="clear" w:color="auto" w:fill="auto"/>
                  <w:noWrap w:val="0"/>
                  <w:vAlign w:val="center"/>
                </w:tcPr>
                <w:p w14:paraId="783519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北京光明</w:t>
                  </w:r>
                </w:p>
              </w:tc>
            </w:tr>
            <w:tr w14:paraId="1C7408F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A9E42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51</w:t>
                  </w:r>
                </w:p>
              </w:tc>
              <w:tc>
                <w:tcPr>
                  <w:tcW w:w="1661" w:type="pct"/>
                  <w:tcBorders>
                    <w:tl2br w:val="nil"/>
                    <w:tr2bl w:val="nil"/>
                  </w:tcBorders>
                  <w:shd w:val="clear" w:color="auto" w:fill="auto"/>
                  <w:noWrap w:val="0"/>
                  <w:vAlign w:val="center"/>
                </w:tcPr>
                <w:p w14:paraId="470CDAC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鄂式破碎机</w:t>
                  </w:r>
                </w:p>
              </w:tc>
              <w:tc>
                <w:tcPr>
                  <w:tcW w:w="499" w:type="pct"/>
                  <w:tcBorders>
                    <w:tl2br w:val="nil"/>
                    <w:tr2bl w:val="nil"/>
                  </w:tcBorders>
                  <w:shd w:val="clear" w:color="auto" w:fill="auto"/>
                  <w:noWrap w:val="0"/>
                  <w:vAlign w:val="center"/>
                </w:tcPr>
                <w:p w14:paraId="7C9BD8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54D035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D21AC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JQ-ES01</w:t>
                  </w:r>
                </w:p>
              </w:tc>
              <w:tc>
                <w:tcPr>
                  <w:tcW w:w="911" w:type="pct"/>
                  <w:tcBorders>
                    <w:tl2br w:val="nil"/>
                    <w:tr2bl w:val="nil"/>
                  </w:tcBorders>
                  <w:shd w:val="clear" w:color="auto" w:fill="auto"/>
                  <w:noWrap w:val="0"/>
                  <w:vAlign w:val="center"/>
                </w:tcPr>
                <w:p w14:paraId="5ADEAFF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33C0ADE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80941B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52</w:t>
                  </w:r>
                </w:p>
              </w:tc>
              <w:tc>
                <w:tcPr>
                  <w:tcW w:w="1661" w:type="pct"/>
                  <w:tcBorders>
                    <w:tl2br w:val="nil"/>
                    <w:tr2bl w:val="nil"/>
                  </w:tcBorders>
                  <w:shd w:val="clear" w:color="auto" w:fill="auto"/>
                  <w:noWrap w:val="0"/>
                  <w:vAlign w:val="center"/>
                </w:tcPr>
                <w:p w14:paraId="5EDA66F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冰柜</w:t>
                  </w:r>
                </w:p>
              </w:tc>
              <w:tc>
                <w:tcPr>
                  <w:tcW w:w="499" w:type="pct"/>
                  <w:tcBorders>
                    <w:tl2br w:val="nil"/>
                    <w:tr2bl w:val="nil"/>
                  </w:tcBorders>
                  <w:shd w:val="clear" w:color="auto" w:fill="auto"/>
                  <w:noWrap w:val="0"/>
                  <w:vAlign w:val="center"/>
                </w:tcPr>
                <w:p w14:paraId="09448B4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1FB42D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1085" w:type="pct"/>
                  <w:tcBorders>
                    <w:tl2br w:val="nil"/>
                    <w:tr2bl w:val="nil"/>
                  </w:tcBorders>
                  <w:shd w:val="clear" w:color="auto" w:fill="auto"/>
                  <w:noWrap w:val="0"/>
                  <w:vAlign w:val="center"/>
                </w:tcPr>
                <w:p w14:paraId="66B5C2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BC/BD-103HTD</w:t>
                  </w:r>
                </w:p>
              </w:tc>
              <w:tc>
                <w:tcPr>
                  <w:tcW w:w="911" w:type="pct"/>
                  <w:tcBorders>
                    <w:tl2br w:val="nil"/>
                    <w:tr2bl w:val="nil"/>
                  </w:tcBorders>
                  <w:shd w:val="clear" w:color="auto" w:fill="auto"/>
                  <w:noWrap w:val="0"/>
                  <w:vAlign w:val="center"/>
                </w:tcPr>
                <w:p w14:paraId="1E8AB62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青岛海尔</w:t>
                  </w:r>
                </w:p>
              </w:tc>
            </w:tr>
            <w:tr w14:paraId="5B64345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23B93A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53</w:t>
                  </w:r>
                </w:p>
              </w:tc>
              <w:tc>
                <w:tcPr>
                  <w:tcW w:w="1661" w:type="pct"/>
                  <w:tcBorders>
                    <w:tl2br w:val="nil"/>
                    <w:tr2bl w:val="nil"/>
                  </w:tcBorders>
                  <w:shd w:val="clear" w:color="auto" w:fill="auto"/>
                  <w:noWrap w:val="0"/>
                  <w:vAlign w:val="center"/>
                </w:tcPr>
                <w:p w14:paraId="55A9B1A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气相色谱仪</w:t>
                  </w:r>
                </w:p>
              </w:tc>
              <w:tc>
                <w:tcPr>
                  <w:tcW w:w="499" w:type="pct"/>
                  <w:tcBorders>
                    <w:tl2br w:val="nil"/>
                    <w:tr2bl w:val="nil"/>
                  </w:tcBorders>
                  <w:shd w:val="clear" w:color="auto" w:fill="auto"/>
                  <w:noWrap w:val="0"/>
                  <w:vAlign w:val="center"/>
                </w:tcPr>
                <w:p w14:paraId="411AFB9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E036CB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774F96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GC—2030AF</w:t>
                  </w:r>
                </w:p>
              </w:tc>
              <w:tc>
                <w:tcPr>
                  <w:tcW w:w="911" w:type="pct"/>
                  <w:tcBorders>
                    <w:tl2br w:val="nil"/>
                    <w:tr2bl w:val="nil"/>
                  </w:tcBorders>
                  <w:shd w:val="clear" w:color="auto" w:fill="auto"/>
                  <w:noWrap w:val="0"/>
                  <w:vAlign w:val="center"/>
                </w:tcPr>
                <w:p w14:paraId="0CC740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岛津仪器</w:t>
                  </w:r>
                </w:p>
              </w:tc>
            </w:tr>
            <w:tr w14:paraId="1A183F0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9D9730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54</w:t>
                  </w:r>
                </w:p>
              </w:tc>
              <w:tc>
                <w:tcPr>
                  <w:tcW w:w="1661" w:type="pct"/>
                  <w:tcBorders>
                    <w:tl2br w:val="nil"/>
                    <w:tr2bl w:val="nil"/>
                  </w:tcBorders>
                  <w:shd w:val="clear" w:color="auto" w:fill="auto"/>
                  <w:noWrap w:val="0"/>
                  <w:vAlign w:val="center"/>
                </w:tcPr>
                <w:p w14:paraId="633730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液相色谱仪</w:t>
                  </w:r>
                </w:p>
              </w:tc>
              <w:tc>
                <w:tcPr>
                  <w:tcW w:w="499" w:type="pct"/>
                  <w:tcBorders>
                    <w:tl2br w:val="nil"/>
                    <w:tr2bl w:val="nil"/>
                  </w:tcBorders>
                  <w:shd w:val="clear" w:color="auto" w:fill="auto"/>
                  <w:noWrap w:val="0"/>
                  <w:vAlign w:val="center"/>
                </w:tcPr>
                <w:p w14:paraId="0FBCFC5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6298D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D8AB5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SPD-20A/RF-20A</w:t>
                  </w:r>
                </w:p>
              </w:tc>
              <w:tc>
                <w:tcPr>
                  <w:tcW w:w="911" w:type="pct"/>
                  <w:tcBorders>
                    <w:tl2br w:val="nil"/>
                    <w:tr2bl w:val="nil"/>
                  </w:tcBorders>
                  <w:shd w:val="clear" w:color="auto" w:fill="auto"/>
                  <w:noWrap w:val="0"/>
                  <w:vAlign w:val="center"/>
                </w:tcPr>
                <w:p w14:paraId="3428B85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岛津仪器</w:t>
                  </w:r>
                </w:p>
              </w:tc>
            </w:tr>
            <w:tr w14:paraId="27FB51E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55F17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55</w:t>
                  </w:r>
                </w:p>
              </w:tc>
              <w:tc>
                <w:tcPr>
                  <w:tcW w:w="1661" w:type="pct"/>
                  <w:tcBorders>
                    <w:tl2br w:val="nil"/>
                    <w:tr2bl w:val="nil"/>
                  </w:tcBorders>
                  <w:shd w:val="clear" w:color="auto" w:fill="auto"/>
                  <w:noWrap w:val="0"/>
                  <w:vAlign w:val="center"/>
                </w:tcPr>
                <w:p w14:paraId="3A5DB3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气相色谱质谱仪</w:t>
                  </w:r>
                </w:p>
              </w:tc>
              <w:tc>
                <w:tcPr>
                  <w:tcW w:w="499" w:type="pct"/>
                  <w:tcBorders>
                    <w:tl2br w:val="nil"/>
                    <w:tr2bl w:val="nil"/>
                  </w:tcBorders>
                  <w:shd w:val="clear" w:color="auto" w:fill="auto"/>
                  <w:noWrap w:val="0"/>
                  <w:vAlign w:val="center"/>
                </w:tcPr>
                <w:p w14:paraId="6CBE2C2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C075A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4174ED6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GCMS-QP2020NX</w:t>
                  </w:r>
                  <w:r>
                    <w:rPr>
                      <w:rFonts w:hint="eastAsia" w:ascii="Times New Roman" w:hAnsi="Times New Roman" w:cs="Times New Roman"/>
                      <w:color w:val="auto"/>
                      <w:spacing w:val="-10"/>
                      <w:sz w:val="18"/>
                      <w:szCs w:val="18"/>
                      <w:highlight w:val="none"/>
                      <w:lang w:val="en-US" w:eastAsia="zh-CN"/>
                    </w:rPr>
                    <w:br w:type="textWrapping"/>
                  </w:r>
                  <w:r>
                    <w:rPr>
                      <w:rFonts w:hint="eastAsia" w:ascii="Times New Roman" w:hAnsi="Times New Roman" w:cs="Times New Roman"/>
                      <w:color w:val="auto"/>
                      <w:spacing w:val="-10"/>
                      <w:sz w:val="18"/>
                      <w:szCs w:val="18"/>
                      <w:highlight w:val="none"/>
                      <w:lang w:val="en-US" w:eastAsia="zh-CN"/>
                    </w:rPr>
                    <w:t>SYSTEM</w:t>
                  </w:r>
                </w:p>
              </w:tc>
              <w:tc>
                <w:tcPr>
                  <w:tcW w:w="911" w:type="pct"/>
                  <w:tcBorders>
                    <w:tl2br w:val="nil"/>
                    <w:tr2bl w:val="nil"/>
                  </w:tcBorders>
                  <w:shd w:val="clear" w:color="auto" w:fill="auto"/>
                  <w:noWrap w:val="0"/>
                  <w:vAlign w:val="center"/>
                </w:tcPr>
                <w:p w14:paraId="693F576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岛津仪器</w:t>
                  </w:r>
                </w:p>
              </w:tc>
            </w:tr>
            <w:tr w14:paraId="23244E7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81467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56</w:t>
                  </w:r>
                </w:p>
              </w:tc>
              <w:tc>
                <w:tcPr>
                  <w:tcW w:w="1661" w:type="pct"/>
                  <w:tcBorders>
                    <w:tl2br w:val="nil"/>
                    <w:tr2bl w:val="nil"/>
                  </w:tcBorders>
                  <w:shd w:val="clear" w:color="auto" w:fill="auto"/>
                  <w:noWrap w:val="0"/>
                  <w:vAlign w:val="center"/>
                </w:tcPr>
                <w:p w14:paraId="5041C4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微波消解仪</w:t>
                  </w:r>
                </w:p>
              </w:tc>
              <w:tc>
                <w:tcPr>
                  <w:tcW w:w="499" w:type="pct"/>
                  <w:tcBorders>
                    <w:tl2br w:val="nil"/>
                    <w:tr2bl w:val="nil"/>
                  </w:tcBorders>
                  <w:shd w:val="clear" w:color="auto" w:fill="auto"/>
                  <w:noWrap w:val="0"/>
                  <w:vAlign w:val="center"/>
                </w:tcPr>
                <w:p w14:paraId="5D96396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7D04B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7D29D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极光6</w:t>
                  </w:r>
                </w:p>
              </w:tc>
              <w:tc>
                <w:tcPr>
                  <w:tcW w:w="911" w:type="pct"/>
                  <w:tcBorders>
                    <w:tl2br w:val="nil"/>
                    <w:tr2bl w:val="nil"/>
                  </w:tcBorders>
                  <w:shd w:val="clear" w:color="auto" w:fill="auto"/>
                  <w:noWrap w:val="0"/>
                  <w:vAlign w:val="center"/>
                </w:tcPr>
                <w:p w14:paraId="431F1B8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上海屹尧</w:t>
                  </w:r>
                </w:p>
              </w:tc>
            </w:tr>
            <w:tr w14:paraId="3A510AD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BB9C1D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57</w:t>
                  </w:r>
                </w:p>
              </w:tc>
              <w:tc>
                <w:tcPr>
                  <w:tcW w:w="1661" w:type="pct"/>
                  <w:tcBorders>
                    <w:tl2br w:val="nil"/>
                    <w:tr2bl w:val="nil"/>
                  </w:tcBorders>
                  <w:shd w:val="clear" w:color="auto" w:fill="auto"/>
                  <w:noWrap w:val="0"/>
                  <w:vAlign w:val="center"/>
                </w:tcPr>
                <w:p w14:paraId="6715CA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离子色谱仪</w:t>
                  </w:r>
                </w:p>
              </w:tc>
              <w:tc>
                <w:tcPr>
                  <w:tcW w:w="499" w:type="pct"/>
                  <w:tcBorders>
                    <w:tl2br w:val="nil"/>
                    <w:tr2bl w:val="nil"/>
                  </w:tcBorders>
                  <w:shd w:val="clear" w:color="auto" w:fill="auto"/>
                  <w:noWrap w:val="0"/>
                  <w:vAlign w:val="center"/>
                </w:tcPr>
                <w:p w14:paraId="2346E3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99EB36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138F5B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 xml:space="preserve">DIONEX  AQUION </w:t>
                  </w:r>
                </w:p>
              </w:tc>
              <w:tc>
                <w:tcPr>
                  <w:tcW w:w="911" w:type="pct"/>
                  <w:tcBorders>
                    <w:tl2br w:val="nil"/>
                    <w:tr2bl w:val="nil"/>
                  </w:tcBorders>
                  <w:shd w:val="clear" w:color="auto" w:fill="auto"/>
                  <w:noWrap w:val="0"/>
                  <w:vAlign w:val="center"/>
                </w:tcPr>
                <w:p w14:paraId="1254E5E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Thermo</w:t>
                  </w:r>
                </w:p>
              </w:tc>
            </w:tr>
            <w:tr w14:paraId="4D85E19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7388B0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58</w:t>
                  </w:r>
                </w:p>
              </w:tc>
              <w:tc>
                <w:tcPr>
                  <w:tcW w:w="1661" w:type="pct"/>
                  <w:tcBorders>
                    <w:tl2br w:val="nil"/>
                    <w:tr2bl w:val="nil"/>
                  </w:tcBorders>
                  <w:shd w:val="clear" w:color="auto" w:fill="auto"/>
                  <w:noWrap w:val="0"/>
                  <w:vAlign w:val="center"/>
                </w:tcPr>
                <w:p w14:paraId="5BE5B44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气相色谱仪</w:t>
                  </w:r>
                </w:p>
              </w:tc>
              <w:tc>
                <w:tcPr>
                  <w:tcW w:w="499" w:type="pct"/>
                  <w:tcBorders>
                    <w:tl2br w:val="nil"/>
                    <w:tr2bl w:val="nil"/>
                  </w:tcBorders>
                  <w:shd w:val="clear" w:color="auto" w:fill="auto"/>
                  <w:noWrap w:val="0"/>
                  <w:vAlign w:val="center"/>
                </w:tcPr>
                <w:p w14:paraId="5C5A34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EC8347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BEE90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GC9790II</w:t>
                  </w:r>
                </w:p>
              </w:tc>
              <w:tc>
                <w:tcPr>
                  <w:tcW w:w="911" w:type="pct"/>
                  <w:tcBorders>
                    <w:tl2br w:val="nil"/>
                    <w:tr2bl w:val="nil"/>
                  </w:tcBorders>
                  <w:shd w:val="clear" w:color="auto" w:fill="auto"/>
                  <w:noWrap w:val="0"/>
                  <w:vAlign w:val="center"/>
                </w:tcPr>
                <w:p w14:paraId="5FB14E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浙江福立</w:t>
                  </w:r>
                </w:p>
              </w:tc>
            </w:tr>
            <w:tr w14:paraId="5BBD166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5C122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59</w:t>
                  </w:r>
                </w:p>
              </w:tc>
              <w:tc>
                <w:tcPr>
                  <w:tcW w:w="1661" w:type="pct"/>
                  <w:tcBorders>
                    <w:tl2br w:val="nil"/>
                    <w:tr2bl w:val="nil"/>
                  </w:tcBorders>
                  <w:shd w:val="clear" w:color="auto" w:fill="auto"/>
                  <w:noWrap w:val="0"/>
                  <w:vAlign w:val="center"/>
                </w:tcPr>
                <w:p w14:paraId="2BA64F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ICP-MS</w:t>
                  </w:r>
                </w:p>
              </w:tc>
              <w:tc>
                <w:tcPr>
                  <w:tcW w:w="499" w:type="pct"/>
                  <w:tcBorders>
                    <w:tl2br w:val="nil"/>
                    <w:tr2bl w:val="nil"/>
                  </w:tcBorders>
                  <w:shd w:val="clear" w:color="auto" w:fill="auto"/>
                  <w:noWrap w:val="0"/>
                  <w:vAlign w:val="center"/>
                </w:tcPr>
                <w:p w14:paraId="2E11D2F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5B773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2EFF5E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7850 ICP-MS</w:t>
                  </w:r>
                </w:p>
              </w:tc>
              <w:tc>
                <w:tcPr>
                  <w:tcW w:w="911" w:type="pct"/>
                  <w:tcBorders>
                    <w:tl2br w:val="nil"/>
                    <w:tr2bl w:val="nil"/>
                  </w:tcBorders>
                  <w:shd w:val="clear" w:color="auto" w:fill="auto"/>
                  <w:noWrap w:val="0"/>
                  <w:vAlign w:val="center"/>
                </w:tcPr>
                <w:p w14:paraId="6A7ABF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安捷伦科技</w:t>
                  </w:r>
                </w:p>
              </w:tc>
            </w:tr>
            <w:tr w14:paraId="08A0456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302E97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60</w:t>
                  </w:r>
                </w:p>
              </w:tc>
              <w:tc>
                <w:tcPr>
                  <w:tcW w:w="1661" w:type="pct"/>
                  <w:tcBorders>
                    <w:tl2br w:val="nil"/>
                    <w:tr2bl w:val="nil"/>
                  </w:tcBorders>
                  <w:shd w:val="clear" w:color="auto" w:fill="auto"/>
                  <w:noWrap w:val="0"/>
                  <w:vAlign w:val="center"/>
                </w:tcPr>
                <w:p w14:paraId="77D26E3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高效快速溶剂萃取仪</w:t>
                  </w:r>
                </w:p>
              </w:tc>
              <w:tc>
                <w:tcPr>
                  <w:tcW w:w="499" w:type="pct"/>
                  <w:tcBorders>
                    <w:tl2br w:val="nil"/>
                    <w:tr2bl w:val="nil"/>
                  </w:tcBorders>
                  <w:shd w:val="clear" w:color="auto" w:fill="auto"/>
                  <w:noWrap w:val="0"/>
                  <w:vAlign w:val="center"/>
                </w:tcPr>
                <w:p w14:paraId="1C4549A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24ED88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E63A4E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HPSE-6</w:t>
                  </w:r>
                </w:p>
              </w:tc>
              <w:tc>
                <w:tcPr>
                  <w:tcW w:w="911" w:type="pct"/>
                  <w:tcBorders>
                    <w:tl2br w:val="nil"/>
                    <w:tr2bl w:val="nil"/>
                  </w:tcBorders>
                  <w:shd w:val="clear" w:color="auto" w:fill="auto"/>
                  <w:noWrap w:val="0"/>
                  <w:vAlign w:val="center"/>
                </w:tcPr>
                <w:p w14:paraId="18E10C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北京莱伯泰科</w:t>
                  </w:r>
                </w:p>
              </w:tc>
            </w:tr>
            <w:tr w14:paraId="6EDD7FD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879B4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61</w:t>
                  </w:r>
                </w:p>
              </w:tc>
              <w:tc>
                <w:tcPr>
                  <w:tcW w:w="1661" w:type="pct"/>
                  <w:tcBorders>
                    <w:tl2br w:val="nil"/>
                    <w:tr2bl w:val="nil"/>
                  </w:tcBorders>
                  <w:shd w:val="clear" w:color="auto" w:fill="auto"/>
                  <w:noWrap w:val="0"/>
                  <w:vAlign w:val="center"/>
                </w:tcPr>
                <w:p w14:paraId="407E555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定量平行浓缩仪</w:t>
                  </w:r>
                </w:p>
              </w:tc>
              <w:tc>
                <w:tcPr>
                  <w:tcW w:w="499" w:type="pct"/>
                  <w:tcBorders>
                    <w:tl2br w:val="nil"/>
                    <w:tr2bl w:val="nil"/>
                  </w:tcBorders>
                  <w:shd w:val="clear" w:color="auto" w:fill="auto"/>
                  <w:noWrap w:val="0"/>
                  <w:vAlign w:val="center"/>
                </w:tcPr>
                <w:p w14:paraId="5641A3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009133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7ACD88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MUItiVap-10</w:t>
                  </w:r>
                </w:p>
              </w:tc>
              <w:tc>
                <w:tcPr>
                  <w:tcW w:w="911" w:type="pct"/>
                  <w:tcBorders>
                    <w:tl2br w:val="nil"/>
                    <w:tr2bl w:val="nil"/>
                  </w:tcBorders>
                  <w:shd w:val="clear" w:color="auto" w:fill="auto"/>
                  <w:noWrap w:val="0"/>
                  <w:vAlign w:val="center"/>
                </w:tcPr>
                <w:p w14:paraId="3CBB5F7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北京莱伯泰科</w:t>
                  </w:r>
                </w:p>
              </w:tc>
            </w:tr>
            <w:tr w14:paraId="2E76D68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902361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62</w:t>
                  </w:r>
                </w:p>
              </w:tc>
              <w:tc>
                <w:tcPr>
                  <w:tcW w:w="1661" w:type="pct"/>
                  <w:tcBorders>
                    <w:tl2br w:val="nil"/>
                    <w:tr2bl w:val="nil"/>
                  </w:tcBorders>
                  <w:shd w:val="clear" w:color="auto" w:fill="auto"/>
                  <w:noWrap w:val="0"/>
                  <w:vAlign w:val="center"/>
                </w:tcPr>
                <w:p w14:paraId="7AB5B781">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低本底α、β测量仪</w:t>
                  </w:r>
                </w:p>
              </w:tc>
              <w:tc>
                <w:tcPr>
                  <w:tcW w:w="499" w:type="pct"/>
                  <w:tcBorders>
                    <w:tl2br w:val="nil"/>
                    <w:tr2bl w:val="nil"/>
                  </w:tcBorders>
                  <w:shd w:val="clear" w:color="auto" w:fill="auto"/>
                  <w:noWrap w:val="0"/>
                  <w:vAlign w:val="center"/>
                </w:tcPr>
                <w:p w14:paraId="2D29D91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CFCF2A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1FB5010">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RJ41-2</w:t>
                  </w:r>
                </w:p>
              </w:tc>
              <w:tc>
                <w:tcPr>
                  <w:tcW w:w="911" w:type="pct"/>
                  <w:tcBorders>
                    <w:tl2br w:val="nil"/>
                    <w:tr2bl w:val="nil"/>
                  </w:tcBorders>
                  <w:shd w:val="clear" w:color="auto" w:fill="auto"/>
                  <w:noWrap w:val="0"/>
                  <w:vAlign w:val="center"/>
                </w:tcPr>
                <w:p w14:paraId="366A7BB7">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cs="Times New Roman"/>
                      <w:color w:val="auto"/>
                      <w:spacing w:val="-10"/>
                      <w:sz w:val="18"/>
                      <w:szCs w:val="18"/>
                      <w:highlight w:val="none"/>
                      <w:lang w:val="en-US" w:eastAsia="zh-CN"/>
                    </w:rPr>
                    <w:t>上海仁机</w:t>
                  </w:r>
                </w:p>
              </w:tc>
            </w:tr>
            <w:tr w14:paraId="03CCC5D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C3AF39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63</w:t>
                  </w:r>
                </w:p>
              </w:tc>
              <w:tc>
                <w:tcPr>
                  <w:tcW w:w="1661" w:type="pct"/>
                  <w:tcBorders>
                    <w:tl2br w:val="nil"/>
                    <w:tr2bl w:val="nil"/>
                  </w:tcBorders>
                  <w:shd w:val="clear" w:color="auto" w:fill="auto"/>
                  <w:noWrap w:val="0"/>
                  <w:vAlign w:val="center"/>
                </w:tcPr>
                <w:p w14:paraId="2210AB6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恒温油浴</w:t>
                  </w:r>
                </w:p>
              </w:tc>
              <w:tc>
                <w:tcPr>
                  <w:tcW w:w="499" w:type="pct"/>
                  <w:tcBorders>
                    <w:tl2br w:val="nil"/>
                    <w:tr2bl w:val="nil"/>
                  </w:tcBorders>
                  <w:shd w:val="clear" w:color="auto" w:fill="auto"/>
                  <w:noWrap w:val="0"/>
                  <w:vAlign w:val="center"/>
                </w:tcPr>
                <w:p w14:paraId="17918FE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CED207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D9455C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HH-SW</w:t>
                  </w:r>
                </w:p>
              </w:tc>
              <w:tc>
                <w:tcPr>
                  <w:tcW w:w="911" w:type="pct"/>
                  <w:tcBorders>
                    <w:tl2br w:val="nil"/>
                    <w:tr2bl w:val="nil"/>
                  </w:tcBorders>
                  <w:shd w:val="clear" w:color="auto" w:fill="auto"/>
                  <w:noWrap w:val="0"/>
                  <w:vAlign w:val="center"/>
                </w:tcPr>
                <w:p w14:paraId="484FA87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江苏中大</w:t>
                  </w:r>
                </w:p>
              </w:tc>
            </w:tr>
            <w:tr w14:paraId="450CEE9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6D8506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64</w:t>
                  </w:r>
                </w:p>
              </w:tc>
              <w:tc>
                <w:tcPr>
                  <w:tcW w:w="1661" w:type="pct"/>
                  <w:tcBorders>
                    <w:tl2br w:val="nil"/>
                    <w:tr2bl w:val="nil"/>
                  </w:tcBorders>
                  <w:shd w:val="clear" w:color="auto" w:fill="auto"/>
                  <w:noWrap w:val="0"/>
                  <w:vAlign w:val="center"/>
                </w:tcPr>
                <w:p w14:paraId="297E180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架盘药物天平</w:t>
                  </w:r>
                </w:p>
              </w:tc>
              <w:tc>
                <w:tcPr>
                  <w:tcW w:w="499" w:type="pct"/>
                  <w:tcBorders>
                    <w:tl2br w:val="nil"/>
                    <w:tr2bl w:val="nil"/>
                  </w:tcBorders>
                  <w:shd w:val="clear" w:color="auto" w:fill="auto"/>
                  <w:noWrap w:val="0"/>
                  <w:vAlign w:val="center"/>
                </w:tcPr>
                <w:p w14:paraId="45E2CE2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9C0F4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926BC0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JYT-5</w:t>
                  </w:r>
                </w:p>
              </w:tc>
              <w:tc>
                <w:tcPr>
                  <w:tcW w:w="911" w:type="pct"/>
                  <w:tcBorders>
                    <w:tl2br w:val="nil"/>
                    <w:tr2bl w:val="nil"/>
                  </w:tcBorders>
                  <w:shd w:val="clear" w:color="auto" w:fill="auto"/>
                  <w:noWrap w:val="0"/>
                  <w:vAlign w:val="center"/>
                </w:tcPr>
                <w:p w14:paraId="76D1C9D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上海光正</w:t>
                  </w:r>
                </w:p>
              </w:tc>
            </w:tr>
            <w:tr w14:paraId="7A6A7C3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C91A3E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65</w:t>
                  </w:r>
                </w:p>
              </w:tc>
              <w:tc>
                <w:tcPr>
                  <w:tcW w:w="1661" w:type="pct"/>
                  <w:tcBorders>
                    <w:tl2br w:val="nil"/>
                    <w:tr2bl w:val="nil"/>
                  </w:tcBorders>
                  <w:shd w:val="clear" w:color="auto" w:fill="auto"/>
                  <w:noWrap w:val="0"/>
                  <w:vAlign w:val="center"/>
                </w:tcPr>
                <w:p w14:paraId="5EAC9EF9">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低温水浴恒温振荡器</w:t>
                  </w:r>
                </w:p>
              </w:tc>
              <w:tc>
                <w:tcPr>
                  <w:tcW w:w="499" w:type="pct"/>
                  <w:tcBorders>
                    <w:tl2br w:val="nil"/>
                    <w:tr2bl w:val="nil"/>
                  </w:tcBorders>
                  <w:shd w:val="clear" w:color="auto" w:fill="auto"/>
                  <w:noWrap w:val="0"/>
                  <w:vAlign w:val="center"/>
                </w:tcPr>
                <w:p w14:paraId="320C43C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E8100F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7CE436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JQ-SHAT</w:t>
                  </w:r>
                </w:p>
              </w:tc>
              <w:tc>
                <w:tcPr>
                  <w:tcW w:w="911" w:type="pct"/>
                  <w:tcBorders>
                    <w:tl2br w:val="nil"/>
                    <w:tr2bl w:val="nil"/>
                  </w:tcBorders>
                  <w:shd w:val="clear" w:color="auto" w:fill="auto"/>
                  <w:noWrap w:val="0"/>
                  <w:vAlign w:val="center"/>
                </w:tcPr>
                <w:p w14:paraId="35E72E5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54751D0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B7EB77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66</w:t>
                  </w:r>
                </w:p>
              </w:tc>
              <w:tc>
                <w:tcPr>
                  <w:tcW w:w="1661" w:type="pct"/>
                  <w:tcBorders>
                    <w:tl2br w:val="nil"/>
                    <w:tr2bl w:val="nil"/>
                  </w:tcBorders>
                  <w:shd w:val="clear" w:color="auto" w:fill="auto"/>
                  <w:noWrap w:val="0"/>
                  <w:vAlign w:val="center"/>
                </w:tcPr>
                <w:p w14:paraId="142A3AB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凯氏定氮仪</w:t>
                  </w:r>
                </w:p>
              </w:tc>
              <w:tc>
                <w:tcPr>
                  <w:tcW w:w="499" w:type="pct"/>
                  <w:tcBorders>
                    <w:tl2br w:val="nil"/>
                    <w:tr2bl w:val="nil"/>
                  </w:tcBorders>
                  <w:shd w:val="clear" w:color="auto" w:fill="auto"/>
                  <w:noWrap w:val="0"/>
                  <w:vAlign w:val="center"/>
                </w:tcPr>
                <w:p w14:paraId="71297FD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82FFA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9B388B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JQ-KS100Y</w:t>
                  </w:r>
                </w:p>
              </w:tc>
              <w:tc>
                <w:tcPr>
                  <w:tcW w:w="911" w:type="pct"/>
                  <w:tcBorders>
                    <w:tl2br w:val="nil"/>
                    <w:tr2bl w:val="nil"/>
                  </w:tcBorders>
                  <w:shd w:val="clear" w:color="auto" w:fill="auto"/>
                  <w:noWrap w:val="0"/>
                  <w:vAlign w:val="center"/>
                </w:tcPr>
                <w:p w14:paraId="2C67769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447A624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71E0DE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67</w:t>
                  </w:r>
                </w:p>
              </w:tc>
              <w:tc>
                <w:tcPr>
                  <w:tcW w:w="1661" w:type="pct"/>
                  <w:tcBorders>
                    <w:tl2br w:val="nil"/>
                    <w:tr2bl w:val="nil"/>
                  </w:tcBorders>
                  <w:shd w:val="clear" w:color="auto" w:fill="auto"/>
                  <w:noWrap w:val="0"/>
                  <w:vAlign w:val="center"/>
                </w:tcPr>
                <w:p w14:paraId="2193E3E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自动电位滴定仪</w:t>
                  </w:r>
                </w:p>
              </w:tc>
              <w:tc>
                <w:tcPr>
                  <w:tcW w:w="499" w:type="pct"/>
                  <w:tcBorders>
                    <w:tl2br w:val="nil"/>
                    <w:tr2bl w:val="nil"/>
                  </w:tcBorders>
                  <w:shd w:val="clear" w:color="auto" w:fill="auto"/>
                  <w:noWrap w:val="0"/>
                  <w:vAlign w:val="center"/>
                </w:tcPr>
                <w:p w14:paraId="3E1F466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EF2007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8301E8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ZDJ-4B</w:t>
                  </w:r>
                </w:p>
              </w:tc>
              <w:tc>
                <w:tcPr>
                  <w:tcW w:w="911" w:type="pct"/>
                  <w:tcBorders>
                    <w:tl2br w:val="nil"/>
                    <w:tr2bl w:val="nil"/>
                  </w:tcBorders>
                  <w:shd w:val="clear" w:color="auto" w:fill="auto"/>
                  <w:noWrap w:val="0"/>
                  <w:vAlign w:val="center"/>
                </w:tcPr>
                <w:p w14:paraId="7AB60F3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上海仪电</w:t>
                  </w:r>
                </w:p>
              </w:tc>
            </w:tr>
            <w:tr w14:paraId="2EA1519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B43EB3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68</w:t>
                  </w:r>
                </w:p>
              </w:tc>
              <w:tc>
                <w:tcPr>
                  <w:tcW w:w="1661" w:type="pct"/>
                  <w:tcBorders>
                    <w:tl2br w:val="nil"/>
                    <w:tr2bl w:val="nil"/>
                  </w:tcBorders>
                  <w:shd w:val="clear" w:color="auto" w:fill="auto"/>
                  <w:noWrap w:val="0"/>
                  <w:vAlign w:val="center"/>
                </w:tcPr>
                <w:p w14:paraId="0A8838B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光照培养箱</w:t>
                  </w:r>
                </w:p>
              </w:tc>
              <w:tc>
                <w:tcPr>
                  <w:tcW w:w="499" w:type="pct"/>
                  <w:tcBorders>
                    <w:tl2br w:val="nil"/>
                    <w:tr2bl w:val="nil"/>
                  </w:tcBorders>
                  <w:shd w:val="clear" w:color="auto" w:fill="auto"/>
                  <w:noWrap w:val="0"/>
                  <w:vAlign w:val="center"/>
                </w:tcPr>
                <w:p w14:paraId="7E8CA01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07692E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793A44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JQ-GZ250Y</w:t>
                  </w:r>
                </w:p>
              </w:tc>
              <w:tc>
                <w:tcPr>
                  <w:tcW w:w="911" w:type="pct"/>
                  <w:tcBorders>
                    <w:tl2br w:val="nil"/>
                    <w:tr2bl w:val="nil"/>
                  </w:tcBorders>
                  <w:shd w:val="clear" w:color="auto" w:fill="auto"/>
                  <w:noWrap w:val="0"/>
                  <w:vAlign w:val="center"/>
                </w:tcPr>
                <w:p w14:paraId="48F8074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14A23F4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987D1F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69</w:t>
                  </w:r>
                </w:p>
              </w:tc>
              <w:tc>
                <w:tcPr>
                  <w:tcW w:w="1661" w:type="pct"/>
                  <w:tcBorders>
                    <w:tl2br w:val="nil"/>
                    <w:tr2bl w:val="nil"/>
                  </w:tcBorders>
                  <w:shd w:val="clear" w:color="auto" w:fill="auto"/>
                  <w:noWrap w:val="0"/>
                  <w:vAlign w:val="center"/>
                </w:tcPr>
                <w:p w14:paraId="1B537926">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499" w:type="pct"/>
                  <w:tcBorders>
                    <w:tl2br w:val="nil"/>
                    <w:tr2bl w:val="nil"/>
                  </w:tcBorders>
                  <w:shd w:val="clear" w:color="auto" w:fill="auto"/>
                  <w:noWrap w:val="0"/>
                  <w:vAlign w:val="center"/>
                </w:tcPr>
                <w:p w14:paraId="689B649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5DAD35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F816EC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LGJ-10</w:t>
                  </w:r>
                </w:p>
              </w:tc>
              <w:tc>
                <w:tcPr>
                  <w:tcW w:w="911" w:type="pct"/>
                  <w:tcBorders>
                    <w:tl2br w:val="nil"/>
                    <w:tr2bl w:val="nil"/>
                  </w:tcBorders>
                  <w:shd w:val="clear" w:color="auto" w:fill="auto"/>
                  <w:noWrap w:val="0"/>
                  <w:vAlign w:val="center"/>
                </w:tcPr>
                <w:p w14:paraId="6B801ED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北京松源华兴</w:t>
                  </w:r>
                </w:p>
              </w:tc>
            </w:tr>
            <w:tr w14:paraId="6D8DEEB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17470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70</w:t>
                  </w:r>
                </w:p>
              </w:tc>
              <w:tc>
                <w:tcPr>
                  <w:tcW w:w="1661" w:type="pct"/>
                  <w:tcBorders>
                    <w:tl2br w:val="nil"/>
                    <w:tr2bl w:val="nil"/>
                  </w:tcBorders>
                  <w:shd w:val="clear" w:color="auto" w:fill="auto"/>
                  <w:noWrap w:val="0"/>
                  <w:vAlign w:val="center"/>
                </w:tcPr>
                <w:p w14:paraId="5883C79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石英亚沸高纯水蒸馏器</w:t>
                  </w:r>
                </w:p>
              </w:tc>
              <w:tc>
                <w:tcPr>
                  <w:tcW w:w="499" w:type="pct"/>
                  <w:tcBorders>
                    <w:tl2br w:val="nil"/>
                    <w:tr2bl w:val="nil"/>
                  </w:tcBorders>
                  <w:shd w:val="clear" w:color="auto" w:fill="auto"/>
                  <w:noWrap w:val="0"/>
                  <w:vAlign w:val="center"/>
                </w:tcPr>
                <w:p w14:paraId="1A1BEBA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4900CC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EC500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JQ-SYZ-550</w:t>
                  </w:r>
                </w:p>
              </w:tc>
              <w:tc>
                <w:tcPr>
                  <w:tcW w:w="911" w:type="pct"/>
                  <w:tcBorders>
                    <w:tl2br w:val="nil"/>
                    <w:tr2bl w:val="nil"/>
                  </w:tcBorders>
                  <w:shd w:val="clear" w:color="auto" w:fill="auto"/>
                  <w:noWrap w:val="0"/>
                  <w:vAlign w:val="center"/>
                </w:tcPr>
                <w:p w14:paraId="533BC38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2E2C7F5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7B3DCB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71</w:t>
                  </w:r>
                </w:p>
              </w:tc>
              <w:tc>
                <w:tcPr>
                  <w:tcW w:w="1661" w:type="pct"/>
                  <w:tcBorders>
                    <w:tl2br w:val="nil"/>
                    <w:tr2bl w:val="nil"/>
                  </w:tcBorders>
                  <w:shd w:val="clear" w:color="auto" w:fill="auto"/>
                  <w:noWrap w:val="0"/>
                  <w:vAlign w:val="center"/>
                </w:tcPr>
                <w:p w14:paraId="373E7E1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智能恒温加热器</w:t>
                  </w:r>
                </w:p>
              </w:tc>
              <w:tc>
                <w:tcPr>
                  <w:tcW w:w="499" w:type="pct"/>
                  <w:tcBorders>
                    <w:tl2br w:val="nil"/>
                    <w:tr2bl w:val="nil"/>
                  </w:tcBorders>
                  <w:shd w:val="clear" w:color="auto" w:fill="auto"/>
                  <w:noWrap w:val="0"/>
                  <w:vAlign w:val="center"/>
                </w:tcPr>
                <w:p w14:paraId="50F1302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D657A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F83086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ZNJR-B280*280</w:t>
                  </w:r>
                </w:p>
              </w:tc>
              <w:tc>
                <w:tcPr>
                  <w:tcW w:w="911" w:type="pct"/>
                  <w:tcBorders>
                    <w:tl2br w:val="nil"/>
                    <w:tr2bl w:val="nil"/>
                  </w:tcBorders>
                  <w:shd w:val="clear" w:color="auto" w:fill="auto"/>
                  <w:noWrap w:val="0"/>
                  <w:vAlign w:val="center"/>
                </w:tcPr>
                <w:p w14:paraId="2B23234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河南爱博</w:t>
                  </w:r>
                </w:p>
              </w:tc>
            </w:tr>
            <w:tr w14:paraId="4EF6927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9DCB2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72</w:t>
                  </w:r>
                </w:p>
              </w:tc>
              <w:tc>
                <w:tcPr>
                  <w:tcW w:w="1661" w:type="pct"/>
                  <w:tcBorders>
                    <w:tl2br w:val="nil"/>
                    <w:tr2bl w:val="nil"/>
                  </w:tcBorders>
                  <w:shd w:val="clear" w:color="auto" w:fill="auto"/>
                  <w:noWrap w:val="0"/>
                  <w:vAlign w:val="center"/>
                </w:tcPr>
                <w:p w14:paraId="4603DBC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高氯废水COD分析仪</w:t>
                  </w:r>
                </w:p>
              </w:tc>
              <w:tc>
                <w:tcPr>
                  <w:tcW w:w="499" w:type="pct"/>
                  <w:tcBorders>
                    <w:tl2br w:val="nil"/>
                    <w:tr2bl w:val="nil"/>
                  </w:tcBorders>
                  <w:shd w:val="clear" w:color="auto" w:fill="auto"/>
                  <w:noWrap w:val="0"/>
                  <w:vAlign w:val="center"/>
                </w:tcPr>
                <w:p w14:paraId="4FB5E83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2EAFC2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F72816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JQ-COD8G型</w:t>
                  </w:r>
                </w:p>
              </w:tc>
              <w:tc>
                <w:tcPr>
                  <w:tcW w:w="911" w:type="pct"/>
                  <w:tcBorders>
                    <w:tl2br w:val="nil"/>
                    <w:tr2bl w:val="nil"/>
                  </w:tcBorders>
                  <w:shd w:val="clear" w:color="auto" w:fill="auto"/>
                  <w:noWrap w:val="0"/>
                  <w:vAlign w:val="center"/>
                </w:tcPr>
                <w:p w14:paraId="02951EA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河北清洁</w:t>
                  </w:r>
                </w:p>
              </w:tc>
            </w:tr>
            <w:tr w14:paraId="3532615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9792B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73</w:t>
                  </w:r>
                </w:p>
              </w:tc>
              <w:tc>
                <w:tcPr>
                  <w:tcW w:w="1661" w:type="pct"/>
                  <w:tcBorders>
                    <w:tl2br w:val="nil"/>
                    <w:tr2bl w:val="nil"/>
                  </w:tcBorders>
                  <w:shd w:val="clear" w:color="auto" w:fill="auto"/>
                  <w:noWrap w:val="0"/>
                  <w:vAlign w:val="center"/>
                </w:tcPr>
                <w:p w14:paraId="1E63166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5mL微量滴定管</w:t>
                  </w:r>
                </w:p>
              </w:tc>
              <w:tc>
                <w:tcPr>
                  <w:tcW w:w="499" w:type="pct"/>
                  <w:tcBorders>
                    <w:tl2br w:val="nil"/>
                    <w:tr2bl w:val="nil"/>
                  </w:tcBorders>
                  <w:shd w:val="clear" w:color="auto" w:fill="FFFFFF"/>
                  <w:noWrap w:val="0"/>
                  <w:vAlign w:val="center"/>
                </w:tcPr>
                <w:p w14:paraId="20E358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根</w:t>
                  </w:r>
                </w:p>
              </w:tc>
              <w:tc>
                <w:tcPr>
                  <w:tcW w:w="444" w:type="pct"/>
                  <w:tcBorders>
                    <w:tl2br w:val="nil"/>
                    <w:tr2bl w:val="nil"/>
                  </w:tcBorders>
                  <w:shd w:val="clear" w:color="auto" w:fill="FFFFFF"/>
                  <w:noWrap w:val="0"/>
                  <w:vAlign w:val="center"/>
                </w:tcPr>
                <w:p w14:paraId="6AA82F6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435379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5mL</w:t>
                  </w:r>
                </w:p>
              </w:tc>
              <w:tc>
                <w:tcPr>
                  <w:tcW w:w="911" w:type="pct"/>
                  <w:tcBorders>
                    <w:tl2br w:val="nil"/>
                    <w:tr2bl w:val="nil"/>
                  </w:tcBorders>
                  <w:shd w:val="clear" w:color="auto" w:fill="auto"/>
                  <w:noWrap w:val="0"/>
                  <w:vAlign w:val="center"/>
                </w:tcPr>
                <w:p w14:paraId="6CFA0E4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201C5A7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FD6B32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74</w:t>
                  </w:r>
                </w:p>
              </w:tc>
              <w:tc>
                <w:tcPr>
                  <w:tcW w:w="1661" w:type="pct"/>
                  <w:tcBorders>
                    <w:tl2br w:val="nil"/>
                    <w:tr2bl w:val="nil"/>
                  </w:tcBorders>
                  <w:shd w:val="clear" w:color="auto" w:fill="auto"/>
                  <w:noWrap w:val="0"/>
                  <w:vAlign w:val="center"/>
                </w:tcPr>
                <w:p w14:paraId="2D4E33D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实验室盐度计</w:t>
                  </w:r>
                </w:p>
              </w:tc>
              <w:tc>
                <w:tcPr>
                  <w:tcW w:w="499" w:type="pct"/>
                  <w:tcBorders>
                    <w:tl2br w:val="nil"/>
                    <w:tr2bl w:val="nil"/>
                  </w:tcBorders>
                  <w:shd w:val="clear" w:color="auto" w:fill="auto"/>
                  <w:noWrap w:val="0"/>
                  <w:vAlign w:val="center"/>
                </w:tcPr>
                <w:p w14:paraId="3C18DCE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C2DB9E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F2C7F5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HWYDA-1</w:t>
                  </w:r>
                </w:p>
              </w:tc>
              <w:tc>
                <w:tcPr>
                  <w:tcW w:w="911" w:type="pct"/>
                  <w:tcBorders>
                    <w:tl2br w:val="nil"/>
                    <w:tr2bl w:val="nil"/>
                  </w:tcBorders>
                  <w:shd w:val="clear" w:color="auto" w:fill="auto"/>
                  <w:noWrap w:val="0"/>
                  <w:vAlign w:val="center"/>
                </w:tcPr>
                <w:p w14:paraId="6AEA219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天津海为</w:t>
                  </w:r>
                </w:p>
              </w:tc>
            </w:tr>
            <w:tr w14:paraId="1F8A018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F13FD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75</w:t>
                  </w:r>
                </w:p>
              </w:tc>
              <w:tc>
                <w:tcPr>
                  <w:tcW w:w="1661" w:type="pct"/>
                  <w:tcBorders>
                    <w:tl2br w:val="nil"/>
                    <w:tr2bl w:val="nil"/>
                  </w:tcBorders>
                  <w:shd w:val="clear" w:color="auto" w:fill="auto"/>
                  <w:noWrap w:val="0"/>
                  <w:vAlign w:val="center"/>
                </w:tcPr>
                <w:p w14:paraId="1AE0E94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电子温湿度计</w:t>
                  </w:r>
                </w:p>
              </w:tc>
              <w:tc>
                <w:tcPr>
                  <w:tcW w:w="499" w:type="pct"/>
                  <w:tcBorders>
                    <w:tl2br w:val="nil"/>
                    <w:tr2bl w:val="nil"/>
                  </w:tcBorders>
                  <w:shd w:val="clear" w:color="auto" w:fill="auto"/>
                  <w:noWrap w:val="0"/>
                  <w:vAlign w:val="center"/>
                </w:tcPr>
                <w:p w14:paraId="3B49A43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B3336B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6</w:t>
                  </w:r>
                </w:p>
              </w:tc>
              <w:tc>
                <w:tcPr>
                  <w:tcW w:w="1085" w:type="pct"/>
                  <w:tcBorders>
                    <w:tl2br w:val="nil"/>
                    <w:tr2bl w:val="nil"/>
                  </w:tcBorders>
                  <w:shd w:val="clear" w:color="auto" w:fill="auto"/>
                  <w:noWrap w:val="0"/>
                  <w:vAlign w:val="center"/>
                </w:tcPr>
                <w:p w14:paraId="0E6348E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HTC-1</w:t>
                  </w:r>
                </w:p>
              </w:tc>
              <w:tc>
                <w:tcPr>
                  <w:tcW w:w="911" w:type="pct"/>
                  <w:tcBorders>
                    <w:tl2br w:val="nil"/>
                    <w:tr2bl w:val="nil"/>
                  </w:tcBorders>
                  <w:shd w:val="clear" w:color="auto" w:fill="auto"/>
                  <w:noWrap w:val="0"/>
                  <w:vAlign w:val="center"/>
                </w:tcPr>
                <w:p w14:paraId="0047370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深圳优维客</w:t>
                  </w:r>
                </w:p>
              </w:tc>
            </w:tr>
            <w:tr w14:paraId="1B4D427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5374F3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76</w:t>
                  </w:r>
                </w:p>
              </w:tc>
              <w:tc>
                <w:tcPr>
                  <w:tcW w:w="1661" w:type="pct"/>
                  <w:tcBorders>
                    <w:tl2br w:val="nil"/>
                    <w:tr2bl w:val="nil"/>
                  </w:tcBorders>
                  <w:shd w:val="clear" w:color="auto" w:fill="auto"/>
                  <w:noWrap w:val="0"/>
                  <w:vAlign w:val="center"/>
                </w:tcPr>
                <w:p w14:paraId="2C1B413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恒温水浴锅</w:t>
                  </w:r>
                </w:p>
              </w:tc>
              <w:tc>
                <w:tcPr>
                  <w:tcW w:w="499" w:type="pct"/>
                  <w:tcBorders>
                    <w:tl2br w:val="nil"/>
                    <w:tr2bl w:val="nil"/>
                  </w:tcBorders>
                  <w:shd w:val="clear" w:color="auto" w:fill="auto"/>
                  <w:noWrap w:val="0"/>
                  <w:vAlign w:val="center"/>
                </w:tcPr>
                <w:p w14:paraId="29F3B52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43B28F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1A0F91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DZKW-C</w:t>
                  </w:r>
                </w:p>
              </w:tc>
              <w:tc>
                <w:tcPr>
                  <w:tcW w:w="911" w:type="pct"/>
                  <w:tcBorders>
                    <w:tl2br w:val="nil"/>
                    <w:tr2bl w:val="nil"/>
                  </w:tcBorders>
                  <w:shd w:val="clear" w:color="auto" w:fill="auto"/>
                  <w:noWrap w:val="0"/>
                  <w:vAlign w:val="center"/>
                </w:tcPr>
                <w:p w14:paraId="00AF422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上海树立</w:t>
                  </w:r>
                </w:p>
              </w:tc>
            </w:tr>
            <w:tr w14:paraId="366E13D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B08E8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77</w:t>
                  </w:r>
                </w:p>
              </w:tc>
              <w:tc>
                <w:tcPr>
                  <w:tcW w:w="1661" w:type="pct"/>
                  <w:tcBorders>
                    <w:tl2br w:val="nil"/>
                    <w:tr2bl w:val="nil"/>
                  </w:tcBorders>
                  <w:shd w:val="clear" w:color="auto" w:fill="auto"/>
                  <w:noWrap w:val="0"/>
                  <w:vAlign w:val="center"/>
                </w:tcPr>
                <w:p w14:paraId="5914B5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立式压力蒸汽灭菌器</w:t>
                  </w:r>
                </w:p>
              </w:tc>
              <w:tc>
                <w:tcPr>
                  <w:tcW w:w="499" w:type="pct"/>
                  <w:tcBorders>
                    <w:tl2br w:val="nil"/>
                    <w:tr2bl w:val="nil"/>
                  </w:tcBorders>
                  <w:shd w:val="clear" w:color="auto" w:fill="auto"/>
                  <w:noWrap w:val="0"/>
                  <w:vAlign w:val="center"/>
                </w:tcPr>
                <w:p w14:paraId="32FDD58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F7CA19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9061E7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LX-B35L</w:t>
                  </w:r>
                </w:p>
              </w:tc>
              <w:tc>
                <w:tcPr>
                  <w:tcW w:w="911" w:type="pct"/>
                  <w:tcBorders>
                    <w:tl2br w:val="nil"/>
                    <w:tr2bl w:val="nil"/>
                  </w:tcBorders>
                  <w:shd w:val="clear" w:color="auto" w:fill="auto"/>
                  <w:noWrap w:val="0"/>
                  <w:vAlign w:val="center"/>
                </w:tcPr>
                <w:p w14:paraId="7CD144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合肥华泰</w:t>
                  </w:r>
                </w:p>
              </w:tc>
            </w:tr>
            <w:tr w14:paraId="6B9126D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B3A72B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78</w:t>
                  </w:r>
                </w:p>
              </w:tc>
              <w:tc>
                <w:tcPr>
                  <w:tcW w:w="1661" w:type="pct"/>
                  <w:tcBorders>
                    <w:tl2br w:val="nil"/>
                    <w:tr2bl w:val="nil"/>
                  </w:tcBorders>
                  <w:shd w:val="clear" w:color="auto" w:fill="auto"/>
                  <w:noWrap w:val="0"/>
                  <w:vAlign w:val="center"/>
                </w:tcPr>
                <w:p w14:paraId="49CC2235">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499" w:type="pct"/>
                  <w:tcBorders>
                    <w:tl2br w:val="nil"/>
                    <w:tr2bl w:val="nil"/>
                  </w:tcBorders>
                  <w:shd w:val="clear" w:color="auto" w:fill="auto"/>
                  <w:noWrap w:val="0"/>
                  <w:vAlign w:val="center"/>
                </w:tcPr>
                <w:p w14:paraId="1CDEC78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83BB3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BE66F4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JTT-TDL5A</w:t>
                  </w:r>
                </w:p>
              </w:tc>
              <w:tc>
                <w:tcPr>
                  <w:tcW w:w="911" w:type="pct"/>
                  <w:tcBorders>
                    <w:tl2br w:val="nil"/>
                    <w:tr2bl w:val="nil"/>
                  </w:tcBorders>
                  <w:shd w:val="clear" w:color="auto" w:fill="auto"/>
                  <w:noWrap w:val="0"/>
                  <w:vAlign w:val="center"/>
                </w:tcPr>
                <w:p w14:paraId="1821AB0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bl>
          <w:p w14:paraId="6A693D5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w:t>
            </w: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8</w:t>
            </w:r>
            <w:r>
              <w:rPr>
                <w:rFonts w:hint="eastAsia" w:ascii="Times New Roman" w:hAnsi="Times New Roman"/>
                <w:b/>
                <w:color w:val="auto"/>
                <w:sz w:val="21"/>
                <w:szCs w:val="21"/>
                <w:highlight w:val="none"/>
              </w:rPr>
              <w:t xml:space="preserve"> 主要生产设备一览表</w:t>
            </w:r>
          </w:p>
          <w:tbl>
            <w:tblPr>
              <w:tblStyle w:val="26"/>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631"/>
              <w:gridCol w:w="2641"/>
              <w:gridCol w:w="794"/>
              <w:gridCol w:w="706"/>
              <w:gridCol w:w="1725"/>
              <w:gridCol w:w="1449"/>
            </w:tblGrid>
            <w:tr w14:paraId="017D50F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noWrap w:val="0"/>
                  <w:vAlign w:val="center"/>
                </w:tcPr>
                <w:p w14:paraId="443486E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序号</w:t>
                  </w:r>
                </w:p>
              </w:tc>
              <w:tc>
                <w:tcPr>
                  <w:tcW w:w="1661" w:type="pct"/>
                  <w:tcBorders>
                    <w:tl2br w:val="nil"/>
                    <w:tr2bl w:val="nil"/>
                  </w:tcBorders>
                  <w:noWrap w:val="0"/>
                  <w:vAlign w:val="center"/>
                </w:tcPr>
                <w:p w14:paraId="4E0BDD5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仪器设备名称</w:t>
                  </w:r>
                </w:p>
              </w:tc>
              <w:tc>
                <w:tcPr>
                  <w:tcW w:w="499" w:type="pct"/>
                  <w:tcBorders>
                    <w:tl2br w:val="nil"/>
                    <w:tr2bl w:val="nil"/>
                  </w:tcBorders>
                  <w:noWrap w:val="0"/>
                  <w:vAlign w:val="center"/>
                </w:tcPr>
                <w:p w14:paraId="32A2884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单位</w:t>
                  </w:r>
                </w:p>
              </w:tc>
              <w:tc>
                <w:tcPr>
                  <w:tcW w:w="444" w:type="pct"/>
                  <w:tcBorders>
                    <w:tl2br w:val="nil"/>
                    <w:tr2bl w:val="nil"/>
                  </w:tcBorders>
                  <w:noWrap w:val="0"/>
                  <w:vAlign w:val="center"/>
                </w:tcPr>
                <w:p w14:paraId="38887144">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数量</w:t>
                  </w:r>
                </w:p>
              </w:tc>
              <w:tc>
                <w:tcPr>
                  <w:tcW w:w="1085" w:type="pct"/>
                  <w:tcBorders>
                    <w:tl2br w:val="nil"/>
                    <w:tr2bl w:val="nil"/>
                  </w:tcBorders>
                  <w:noWrap w:val="0"/>
                  <w:vAlign w:val="center"/>
                </w:tcPr>
                <w:p w14:paraId="0E47F193">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型号</w:t>
                  </w:r>
                </w:p>
              </w:tc>
              <w:tc>
                <w:tcPr>
                  <w:tcW w:w="911" w:type="pct"/>
                  <w:tcBorders>
                    <w:tl2br w:val="nil"/>
                    <w:tr2bl w:val="nil"/>
                  </w:tcBorders>
                  <w:noWrap w:val="0"/>
                  <w:vAlign w:val="center"/>
                </w:tcPr>
                <w:p w14:paraId="2BDB88C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生产厂家</w:t>
                  </w:r>
                </w:p>
              </w:tc>
            </w:tr>
            <w:tr w14:paraId="3F9EF58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C00229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79</w:t>
                  </w:r>
                </w:p>
              </w:tc>
              <w:tc>
                <w:tcPr>
                  <w:tcW w:w="1661" w:type="pct"/>
                  <w:tcBorders>
                    <w:tl2br w:val="nil"/>
                    <w:tr2bl w:val="nil"/>
                  </w:tcBorders>
                  <w:shd w:val="clear" w:color="auto" w:fill="auto"/>
                  <w:noWrap w:val="0"/>
                  <w:vAlign w:val="center"/>
                </w:tcPr>
                <w:p w14:paraId="6CDD52D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便携式溶解氧测定仪</w:t>
                  </w:r>
                </w:p>
              </w:tc>
              <w:tc>
                <w:tcPr>
                  <w:tcW w:w="499" w:type="pct"/>
                  <w:tcBorders>
                    <w:tl2br w:val="nil"/>
                    <w:tr2bl w:val="nil"/>
                  </w:tcBorders>
                  <w:shd w:val="clear" w:color="auto" w:fill="auto"/>
                  <w:noWrap w:val="0"/>
                  <w:vAlign w:val="center"/>
                </w:tcPr>
                <w:p w14:paraId="7DE3EFD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53A4BA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6C7FF3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JPBJ-608</w:t>
                  </w:r>
                </w:p>
              </w:tc>
              <w:tc>
                <w:tcPr>
                  <w:tcW w:w="911" w:type="pct"/>
                  <w:tcBorders>
                    <w:tl2br w:val="nil"/>
                    <w:tr2bl w:val="nil"/>
                  </w:tcBorders>
                  <w:shd w:val="clear" w:color="auto" w:fill="auto"/>
                  <w:noWrap w:val="0"/>
                  <w:vAlign w:val="center"/>
                </w:tcPr>
                <w:p w14:paraId="12F5D32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上海仪电</w:t>
                  </w:r>
                </w:p>
              </w:tc>
            </w:tr>
            <w:tr w14:paraId="4DE207D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B9120C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80</w:t>
                  </w:r>
                </w:p>
              </w:tc>
              <w:tc>
                <w:tcPr>
                  <w:tcW w:w="1661" w:type="pct"/>
                  <w:tcBorders>
                    <w:tl2br w:val="nil"/>
                    <w:tr2bl w:val="nil"/>
                  </w:tcBorders>
                  <w:shd w:val="clear" w:color="auto" w:fill="auto"/>
                  <w:noWrap w:val="0"/>
                  <w:vAlign w:val="center"/>
                </w:tcPr>
                <w:p w14:paraId="290F0A7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生化培养箱</w:t>
                  </w:r>
                </w:p>
              </w:tc>
              <w:tc>
                <w:tcPr>
                  <w:tcW w:w="499" w:type="pct"/>
                  <w:tcBorders>
                    <w:tl2br w:val="nil"/>
                    <w:tr2bl w:val="nil"/>
                  </w:tcBorders>
                  <w:shd w:val="clear" w:color="auto" w:fill="auto"/>
                  <w:noWrap w:val="0"/>
                  <w:vAlign w:val="center"/>
                </w:tcPr>
                <w:p w14:paraId="3B4C7DC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CCAA69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58D3105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JTT-SHP150</w:t>
                  </w:r>
                </w:p>
              </w:tc>
              <w:tc>
                <w:tcPr>
                  <w:tcW w:w="911" w:type="pct"/>
                  <w:tcBorders>
                    <w:tl2br w:val="nil"/>
                    <w:tr2bl w:val="nil"/>
                  </w:tcBorders>
                  <w:shd w:val="clear" w:color="auto" w:fill="auto"/>
                  <w:noWrap w:val="0"/>
                  <w:vAlign w:val="center"/>
                </w:tcPr>
                <w:p w14:paraId="3A2FE1B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r w14:paraId="70ADDC8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C4805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81</w:t>
                  </w:r>
                </w:p>
              </w:tc>
              <w:tc>
                <w:tcPr>
                  <w:tcW w:w="1661" w:type="pct"/>
                  <w:tcBorders>
                    <w:tl2br w:val="nil"/>
                    <w:tr2bl w:val="nil"/>
                  </w:tcBorders>
                  <w:shd w:val="clear" w:color="auto" w:fill="auto"/>
                  <w:noWrap w:val="0"/>
                  <w:vAlign w:val="center"/>
                </w:tcPr>
                <w:p w14:paraId="0B65A0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沙浴锅</w:t>
                  </w:r>
                </w:p>
              </w:tc>
              <w:tc>
                <w:tcPr>
                  <w:tcW w:w="499" w:type="pct"/>
                  <w:tcBorders>
                    <w:tl2br w:val="nil"/>
                    <w:tr2bl w:val="nil"/>
                  </w:tcBorders>
                  <w:shd w:val="clear" w:color="auto" w:fill="auto"/>
                  <w:noWrap w:val="0"/>
                  <w:vAlign w:val="center"/>
                </w:tcPr>
                <w:p w14:paraId="2974797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C2ED75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5412F34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JTT-SY40</w:t>
                  </w:r>
                </w:p>
              </w:tc>
              <w:tc>
                <w:tcPr>
                  <w:tcW w:w="911" w:type="pct"/>
                  <w:tcBorders>
                    <w:tl2br w:val="nil"/>
                    <w:tr2bl w:val="nil"/>
                  </w:tcBorders>
                  <w:shd w:val="clear" w:color="auto" w:fill="auto"/>
                  <w:noWrap w:val="0"/>
                  <w:vAlign w:val="center"/>
                </w:tcPr>
                <w:p w14:paraId="65E65D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r w14:paraId="1377867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B7B42B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82</w:t>
                  </w:r>
                </w:p>
              </w:tc>
              <w:tc>
                <w:tcPr>
                  <w:tcW w:w="1661" w:type="pct"/>
                  <w:tcBorders>
                    <w:tl2br w:val="nil"/>
                    <w:tr2bl w:val="nil"/>
                  </w:tcBorders>
                  <w:shd w:val="clear" w:color="auto" w:fill="auto"/>
                  <w:noWrap w:val="0"/>
                  <w:vAlign w:val="center"/>
                </w:tcPr>
                <w:p w14:paraId="1A0DCBC4">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翻转式振荡器</w:t>
                  </w:r>
                </w:p>
              </w:tc>
              <w:tc>
                <w:tcPr>
                  <w:tcW w:w="499" w:type="pct"/>
                  <w:tcBorders>
                    <w:tl2br w:val="nil"/>
                    <w:tr2bl w:val="nil"/>
                  </w:tcBorders>
                  <w:shd w:val="clear" w:color="auto" w:fill="auto"/>
                  <w:noWrap w:val="0"/>
                  <w:vAlign w:val="center"/>
                </w:tcPr>
                <w:p w14:paraId="63B639A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CDC765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1207071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JTT-G8W</w:t>
                  </w:r>
                </w:p>
              </w:tc>
              <w:tc>
                <w:tcPr>
                  <w:tcW w:w="911" w:type="pct"/>
                  <w:tcBorders>
                    <w:tl2br w:val="nil"/>
                    <w:tr2bl w:val="nil"/>
                  </w:tcBorders>
                  <w:shd w:val="clear" w:color="auto" w:fill="auto"/>
                  <w:noWrap w:val="0"/>
                  <w:vAlign w:val="center"/>
                </w:tcPr>
                <w:p w14:paraId="462C046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天津九州通泰</w:t>
                  </w:r>
                </w:p>
              </w:tc>
            </w:tr>
            <w:tr w14:paraId="3F4DBCE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025BA9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83</w:t>
                  </w:r>
                </w:p>
              </w:tc>
              <w:tc>
                <w:tcPr>
                  <w:tcW w:w="1661" w:type="pct"/>
                  <w:tcBorders>
                    <w:tl2br w:val="nil"/>
                    <w:tr2bl w:val="nil"/>
                  </w:tcBorders>
                  <w:shd w:val="clear" w:color="auto" w:fill="auto"/>
                  <w:noWrap w:val="0"/>
                  <w:vAlign w:val="center"/>
                </w:tcPr>
                <w:p w14:paraId="7085BDFF">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499" w:type="pct"/>
                  <w:tcBorders>
                    <w:tl2br w:val="nil"/>
                    <w:tr2bl w:val="nil"/>
                  </w:tcBorders>
                  <w:shd w:val="clear" w:color="auto" w:fill="auto"/>
                  <w:noWrap w:val="0"/>
                  <w:vAlign w:val="center"/>
                </w:tcPr>
                <w:p w14:paraId="21ED8F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6BE8E8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06AA84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LGJ-30FD</w:t>
                  </w:r>
                </w:p>
              </w:tc>
              <w:tc>
                <w:tcPr>
                  <w:tcW w:w="911" w:type="pct"/>
                  <w:tcBorders>
                    <w:tl2br w:val="nil"/>
                    <w:tr2bl w:val="nil"/>
                  </w:tcBorders>
                  <w:shd w:val="clear" w:color="auto" w:fill="auto"/>
                  <w:noWrap w:val="0"/>
                  <w:vAlign w:val="center"/>
                </w:tcPr>
                <w:p w14:paraId="7A0A7BD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北京松原华兴</w:t>
                  </w:r>
                </w:p>
              </w:tc>
            </w:tr>
            <w:tr w14:paraId="541BC61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28C0544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84</w:t>
                  </w:r>
                </w:p>
              </w:tc>
              <w:tc>
                <w:tcPr>
                  <w:tcW w:w="1661" w:type="pct"/>
                  <w:tcBorders>
                    <w:tl2br w:val="nil"/>
                    <w:tr2bl w:val="nil"/>
                  </w:tcBorders>
                  <w:shd w:val="clear" w:color="auto" w:fill="auto"/>
                  <w:noWrap w:val="0"/>
                  <w:vAlign w:val="center"/>
                </w:tcPr>
                <w:p w14:paraId="154798A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微晶COD消解器</w:t>
                  </w:r>
                </w:p>
              </w:tc>
              <w:tc>
                <w:tcPr>
                  <w:tcW w:w="499" w:type="pct"/>
                  <w:tcBorders>
                    <w:tl2br w:val="nil"/>
                    <w:tr2bl w:val="nil"/>
                  </w:tcBorders>
                  <w:shd w:val="clear" w:color="auto" w:fill="auto"/>
                  <w:noWrap w:val="0"/>
                  <w:vAlign w:val="center"/>
                </w:tcPr>
                <w:p w14:paraId="7FC4A66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224AFFC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C005D3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SCOD-102型</w:t>
                  </w:r>
                </w:p>
              </w:tc>
              <w:tc>
                <w:tcPr>
                  <w:tcW w:w="911" w:type="pct"/>
                  <w:tcBorders>
                    <w:tl2br w:val="nil"/>
                    <w:tr2bl w:val="nil"/>
                  </w:tcBorders>
                  <w:shd w:val="clear" w:color="auto" w:fill="auto"/>
                  <w:noWrap w:val="0"/>
                  <w:vAlign w:val="center"/>
                </w:tcPr>
                <w:p w14:paraId="0722C27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江苏双诚</w:t>
                  </w:r>
                </w:p>
              </w:tc>
            </w:tr>
            <w:tr w14:paraId="68AF538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A03BC1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85</w:t>
                  </w:r>
                </w:p>
              </w:tc>
              <w:tc>
                <w:tcPr>
                  <w:tcW w:w="1661" w:type="pct"/>
                  <w:tcBorders>
                    <w:tl2br w:val="nil"/>
                    <w:tr2bl w:val="nil"/>
                  </w:tcBorders>
                  <w:shd w:val="clear" w:color="auto" w:fill="auto"/>
                  <w:noWrap w:val="0"/>
                  <w:vAlign w:val="center"/>
                </w:tcPr>
                <w:p w14:paraId="6C5022B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多管涡旋混匀仪</w:t>
                  </w:r>
                </w:p>
              </w:tc>
              <w:tc>
                <w:tcPr>
                  <w:tcW w:w="499" w:type="pct"/>
                  <w:tcBorders>
                    <w:tl2br w:val="nil"/>
                    <w:tr2bl w:val="nil"/>
                  </w:tcBorders>
                  <w:shd w:val="clear" w:color="auto" w:fill="auto"/>
                  <w:noWrap w:val="0"/>
                  <w:vAlign w:val="center"/>
                </w:tcPr>
                <w:p w14:paraId="085F180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F81E29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FE7583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JTT-MIX200</w:t>
                  </w:r>
                </w:p>
              </w:tc>
              <w:tc>
                <w:tcPr>
                  <w:tcW w:w="911" w:type="pct"/>
                  <w:tcBorders>
                    <w:tl2br w:val="nil"/>
                    <w:tr2bl w:val="nil"/>
                  </w:tcBorders>
                  <w:shd w:val="clear" w:color="auto" w:fill="auto"/>
                  <w:noWrap w:val="0"/>
                  <w:vAlign w:val="center"/>
                </w:tcPr>
                <w:p w14:paraId="02123C1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106D4B8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6662BEA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86</w:t>
                  </w:r>
                </w:p>
              </w:tc>
              <w:tc>
                <w:tcPr>
                  <w:tcW w:w="1661" w:type="pct"/>
                  <w:tcBorders>
                    <w:tl2br w:val="nil"/>
                    <w:tr2bl w:val="nil"/>
                  </w:tcBorders>
                  <w:shd w:val="clear" w:color="auto" w:fill="auto"/>
                  <w:noWrap w:val="0"/>
                  <w:vAlign w:val="center"/>
                </w:tcPr>
                <w:p w14:paraId="2019D5F5">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搅拌器</w:t>
                  </w:r>
                </w:p>
              </w:tc>
              <w:tc>
                <w:tcPr>
                  <w:tcW w:w="499" w:type="pct"/>
                  <w:tcBorders>
                    <w:tl2br w:val="nil"/>
                    <w:tr2bl w:val="nil"/>
                  </w:tcBorders>
                  <w:shd w:val="clear" w:color="auto" w:fill="auto"/>
                  <w:noWrap w:val="0"/>
                  <w:vAlign w:val="center"/>
                </w:tcPr>
                <w:p w14:paraId="432FF6C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680B20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457E12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JB-10</w:t>
                  </w:r>
                </w:p>
              </w:tc>
              <w:tc>
                <w:tcPr>
                  <w:tcW w:w="911" w:type="pct"/>
                  <w:tcBorders>
                    <w:tl2br w:val="nil"/>
                    <w:tr2bl w:val="nil"/>
                  </w:tcBorders>
                  <w:shd w:val="clear" w:color="auto" w:fill="auto"/>
                  <w:noWrap w:val="0"/>
                  <w:vAlign w:val="center"/>
                </w:tcPr>
                <w:p w14:paraId="49606A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上海仪电</w:t>
                  </w:r>
                </w:p>
              </w:tc>
            </w:tr>
            <w:tr w14:paraId="3FE3A5F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C5BCA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87</w:t>
                  </w:r>
                </w:p>
              </w:tc>
              <w:tc>
                <w:tcPr>
                  <w:tcW w:w="1661" w:type="pct"/>
                  <w:tcBorders>
                    <w:tl2br w:val="nil"/>
                    <w:tr2bl w:val="nil"/>
                  </w:tcBorders>
                  <w:shd w:val="clear" w:color="auto" w:fill="auto"/>
                  <w:noWrap w:val="0"/>
                  <w:vAlign w:val="center"/>
                </w:tcPr>
                <w:p w14:paraId="03DF841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冰柜</w:t>
                  </w:r>
                </w:p>
              </w:tc>
              <w:tc>
                <w:tcPr>
                  <w:tcW w:w="499" w:type="pct"/>
                  <w:tcBorders>
                    <w:tl2br w:val="nil"/>
                    <w:tr2bl w:val="nil"/>
                  </w:tcBorders>
                  <w:shd w:val="clear" w:color="auto" w:fill="auto"/>
                  <w:noWrap w:val="0"/>
                  <w:vAlign w:val="center"/>
                </w:tcPr>
                <w:p w14:paraId="24E64CA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378821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D55C92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BC/BD-86A136D</w:t>
                  </w:r>
                </w:p>
              </w:tc>
              <w:tc>
                <w:tcPr>
                  <w:tcW w:w="911" w:type="pct"/>
                  <w:tcBorders>
                    <w:tl2br w:val="nil"/>
                    <w:tr2bl w:val="nil"/>
                  </w:tcBorders>
                  <w:shd w:val="clear" w:color="auto" w:fill="auto"/>
                  <w:noWrap w:val="0"/>
                  <w:vAlign w:val="center"/>
                </w:tcPr>
                <w:p w14:paraId="721CFC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广东高而美</w:t>
                  </w:r>
                </w:p>
              </w:tc>
            </w:tr>
            <w:tr w14:paraId="0C19993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DFEF0A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88</w:t>
                  </w:r>
                </w:p>
              </w:tc>
              <w:tc>
                <w:tcPr>
                  <w:tcW w:w="1661" w:type="pct"/>
                  <w:tcBorders>
                    <w:tl2br w:val="nil"/>
                    <w:tr2bl w:val="nil"/>
                  </w:tcBorders>
                  <w:shd w:val="clear" w:color="auto" w:fill="auto"/>
                  <w:noWrap w:val="0"/>
                  <w:vAlign w:val="center"/>
                </w:tcPr>
                <w:p w14:paraId="73A9D30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电子分析天平</w:t>
                  </w:r>
                </w:p>
              </w:tc>
              <w:tc>
                <w:tcPr>
                  <w:tcW w:w="499" w:type="pct"/>
                  <w:tcBorders>
                    <w:tl2br w:val="nil"/>
                    <w:tr2bl w:val="nil"/>
                  </w:tcBorders>
                  <w:shd w:val="clear" w:color="auto" w:fill="auto"/>
                  <w:noWrap w:val="0"/>
                  <w:vAlign w:val="center"/>
                </w:tcPr>
                <w:p w14:paraId="119F00C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ADBD32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E05758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AE200S型</w:t>
                  </w:r>
                </w:p>
              </w:tc>
              <w:tc>
                <w:tcPr>
                  <w:tcW w:w="911" w:type="pct"/>
                  <w:tcBorders>
                    <w:tl2br w:val="nil"/>
                    <w:tr2bl w:val="nil"/>
                  </w:tcBorders>
                  <w:shd w:val="clear" w:color="auto" w:fill="auto"/>
                  <w:noWrap w:val="0"/>
                  <w:vAlign w:val="center"/>
                </w:tcPr>
                <w:p w14:paraId="66AB71B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梅特勒-托利多</w:t>
                  </w:r>
                </w:p>
              </w:tc>
            </w:tr>
            <w:tr w14:paraId="5B597E8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47E625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89</w:t>
                  </w:r>
                </w:p>
              </w:tc>
              <w:tc>
                <w:tcPr>
                  <w:tcW w:w="1661" w:type="pct"/>
                  <w:tcBorders>
                    <w:tl2br w:val="nil"/>
                    <w:tr2bl w:val="nil"/>
                  </w:tcBorders>
                  <w:shd w:val="clear" w:color="auto" w:fill="auto"/>
                  <w:noWrap w:val="0"/>
                  <w:vAlign w:val="center"/>
                </w:tcPr>
                <w:p w14:paraId="2E1C429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电子天平</w:t>
                  </w:r>
                </w:p>
              </w:tc>
              <w:tc>
                <w:tcPr>
                  <w:tcW w:w="499" w:type="pct"/>
                  <w:tcBorders>
                    <w:tl2br w:val="nil"/>
                    <w:tr2bl w:val="nil"/>
                  </w:tcBorders>
                  <w:shd w:val="clear" w:color="auto" w:fill="auto"/>
                  <w:noWrap w:val="0"/>
                  <w:vAlign w:val="center"/>
                </w:tcPr>
                <w:p w14:paraId="0FF8E00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1589D5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1C4EB2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PT-104/55S</w:t>
                  </w:r>
                </w:p>
              </w:tc>
              <w:tc>
                <w:tcPr>
                  <w:tcW w:w="911" w:type="pct"/>
                  <w:tcBorders>
                    <w:tl2br w:val="nil"/>
                    <w:tr2bl w:val="nil"/>
                  </w:tcBorders>
                  <w:shd w:val="clear" w:color="auto" w:fill="auto"/>
                  <w:noWrap w:val="0"/>
                  <w:vAlign w:val="center"/>
                </w:tcPr>
                <w:p w14:paraId="3E3529A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华志</w:t>
                  </w:r>
                </w:p>
              </w:tc>
            </w:tr>
            <w:tr w14:paraId="11EC8B7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549C651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90</w:t>
                  </w:r>
                </w:p>
              </w:tc>
              <w:tc>
                <w:tcPr>
                  <w:tcW w:w="1661" w:type="pct"/>
                  <w:tcBorders>
                    <w:tl2br w:val="nil"/>
                    <w:tr2bl w:val="nil"/>
                  </w:tcBorders>
                  <w:shd w:val="clear" w:color="auto" w:fill="auto"/>
                  <w:noWrap w:val="0"/>
                  <w:vAlign w:val="center"/>
                </w:tcPr>
                <w:p w14:paraId="327DF6F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恒温恒湿间</w:t>
                  </w:r>
                </w:p>
              </w:tc>
              <w:tc>
                <w:tcPr>
                  <w:tcW w:w="499" w:type="pct"/>
                  <w:tcBorders>
                    <w:tl2br w:val="nil"/>
                    <w:tr2bl w:val="nil"/>
                  </w:tcBorders>
                  <w:shd w:val="clear" w:color="auto" w:fill="auto"/>
                  <w:noWrap w:val="0"/>
                  <w:vAlign w:val="center"/>
                </w:tcPr>
                <w:p w14:paraId="5EBBD66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座</w:t>
                  </w:r>
                </w:p>
              </w:tc>
              <w:tc>
                <w:tcPr>
                  <w:tcW w:w="444" w:type="pct"/>
                  <w:tcBorders>
                    <w:tl2br w:val="nil"/>
                    <w:tr2bl w:val="nil"/>
                  </w:tcBorders>
                  <w:shd w:val="clear" w:color="auto" w:fill="auto"/>
                  <w:noWrap w:val="0"/>
                  <w:vAlign w:val="center"/>
                </w:tcPr>
                <w:p w14:paraId="0A136BD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31A008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c>
                <w:tcPr>
                  <w:tcW w:w="911" w:type="pct"/>
                  <w:tcBorders>
                    <w:tl2br w:val="nil"/>
                    <w:tr2bl w:val="nil"/>
                  </w:tcBorders>
                  <w:shd w:val="clear" w:color="auto" w:fill="auto"/>
                  <w:noWrap w:val="0"/>
                  <w:vAlign w:val="center"/>
                </w:tcPr>
                <w:p w14:paraId="1AABD61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天津迪斯科瑞</w:t>
                  </w:r>
                </w:p>
              </w:tc>
            </w:tr>
            <w:tr w14:paraId="07D421A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8B9587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91</w:t>
                  </w:r>
                </w:p>
              </w:tc>
              <w:tc>
                <w:tcPr>
                  <w:tcW w:w="1661" w:type="pct"/>
                  <w:tcBorders>
                    <w:tl2br w:val="nil"/>
                    <w:tr2bl w:val="nil"/>
                  </w:tcBorders>
                  <w:shd w:val="clear" w:color="auto" w:fill="auto"/>
                  <w:noWrap w:val="0"/>
                  <w:vAlign w:val="center"/>
                </w:tcPr>
                <w:p w14:paraId="464716D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无线低功耗超低温</w:t>
                  </w:r>
                </w:p>
              </w:tc>
              <w:tc>
                <w:tcPr>
                  <w:tcW w:w="499" w:type="pct"/>
                  <w:tcBorders>
                    <w:tl2br w:val="nil"/>
                    <w:tr2bl w:val="nil"/>
                  </w:tcBorders>
                  <w:shd w:val="clear" w:color="auto" w:fill="auto"/>
                  <w:noWrap w:val="0"/>
                  <w:vAlign w:val="center"/>
                </w:tcPr>
                <w:p w14:paraId="635191D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92D4DF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1B9C328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RS-WD-DC-6C-5L</w:t>
                  </w:r>
                </w:p>
              </w:tc>
              <w:tc>
                <w:tcPr>
                  <w:tcW w:w="911" w:type="pct"/>
                  <w:tcBorders>
                    <w:tl2br w:val="nil"/>
                    <w:tr2bl w:val="nil"/>
                  </w:tcBorders>
                  <w:shd w:val="clear" w:color="auto" w:fill="auto"/>
                  <w:noWrap w:val="0"/>
                  <w:vAlign w:val="center"/>
                </w:tcPr>
                <w:p w14:paraId="6771EC68">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w:t>
                  </w:r>
                </w:p>
              </w:tc>
            </w:tr>
            <w:tr w14:paraId="3073F48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67AA59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92</w:t>
                  </w:r>
                </w:p>
              </w:tc>
              <w:tc>
                <w:tcPr>
                  <w:tcW w:w="1661" w:type="pct"/>
                  <w:tcBorders>
                    <w:tl2br w:val="nil"/>
                    <w:tr2bl w:val="nil"/>
                  </w:tcBorders>
                  <w:shd w:val="clear" w:color="auto" w:fill="auto"/>
                  <w:noWrap w:val="0"/>
                  <w:vAlign w:val="center"/>
                </w:tcPr>
                <w:p w14:paraId="5DA7447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三用紫外分析仪</w:t>
                  </w:r>
                </w:p>
              </w:tc>
              <w:tc>
                <w:tcPr>
                  <w:tcW w:w="499" w:type="pct"/>
                  <w:tcBorders>
                    <w:tl2br w:val="nil"/>
                    <w:tr2bl w:val="nil"/>
                  </w:tcBorders>
                  <w:shd w:val="clear" w:color="auto" w:fill="auto"/>
                  <w:noWrap w:val="0"/>
                  <w:vAlign w:val="center"/>
                </w:tcPr>
                <w:p w14:paraId="5162FF5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07DB79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22BA862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ZF-1</w:t>
                  </w:r>
                </w:p>
              </w:tc>
              <w:tc>
                <w:tcPr>
                  <w:tcW w:w="911" w:type="pct"/>
                  <w:tcBorders>
                    <w:tl2br w:val="nil"/>
                    <w:tr2bl w:val="nil"/>
                  </w:tcBorders>
                  <w:shd w:val="clear" w:color="auto" w:fill="auto"/>
                  <w:noWrap w:val="0"/>
                  <w:vAlign w:val="center"/>
                </w:tcPr>
                <w:p w14:paraId="757B1245">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上海力辰邦西</w:t>
                  </w:r>
                </w:p>
              </w:tc>
            </w:tr>
            <w:tr w14:paraId="09D15CA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399D1B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93</w:t>
                  </w:r>
                </w:p>
              </w:tc>
              <w:tc>
                <w:tcPr>
                  <w:tcW w:w="1661" w:type="pct"/>
                  <w:tcBorders>
                    <w:tl2br w:val="nil"/>
                    <w:tr2bl w:val="nil"/>
                  </w:tcBorders>
                  <w:shd w:val="clear" w:color="auto" w:fill="auto"/>
                  <w:noWrap w:val="0"/>
                  <w:vAlign w:val="center"/>
                </w:tcPr>
                <w:p w14:paraId="6A4F2275">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消化炉</w:t>
                  </w:r>
                </w:p>
              </w:tc>
              <w:tc>
                <w:tcPr>
                  <w:tcW w:w="499" w:type="pct"/>
                  <w:tcBorders>
                    <w:tl2br w:val="nil"/>
                    <w:tr2bl w:val="nil"/>
                  </w:tcBorders>
                  <w:shd w:val="clear" w:color="auto" w:fill="auto"/>
                  <w:noWrap w:val="0"/>
                  <w:vAlign w:val="center"/>
                </w:tcPr>
                <w:p w14:paraId="307DD71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2E6CE69">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04CEE6C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JQ-SH20</w:t>
                  </w:r>
                </w:p>
              </w:tc>
              <w:tc>
                <w:tcPr>
                  <w:tcW w:w="911" w:type="pct"/>
                  <w:tcBorders>
                    <w:tl2br w:val="nil"/>
                    <w:tr2bl w:val="nil"/>
                  </w:tcBorders>
                  <w:shd w:val="clear" w:color="auto" w:fill="auto"/>
                  <w:noWrap w:val="0"/>
                  <w:vAlign w:val="center"/>
                </w:tcPr>
                <w:p w14:paraId="204E49F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68957BB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A2B235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94</w:t>
                  </w:r>
                </w:p>
              </w:tc>
              <w:tc>
                <w:tcPr>
                  <w:tcW w:w="1661" w:type="pct"/>
                  <w:tcBorders>
                    <w:tl2br w:val="nil"/>
                    <w:tr2bl w:val="nil"/>
                  </w:tcBorders>
                  <w:shd w:val="clear" w:color="auto" w:fill="auto"/>
                  <w:noWrap w:val="0"/>
                  <w:vAlign w:val="center"/>
                </w:tcPr>
                <w:p w14:paraId="7ECC892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智能控温电加热器</w:t>
                  </w:r>
                </w:p>
              </w:tc>
              <w:tc>
                <w:tcPr>
                  <w:tcW w:w="499" w:type="pct"/>
                  <w:tcBorders>
                    <w:tl2br w:val="nil"/>
                    <w:tr2bl w:val="nil"/>
                  </w:tcBorders>
                  <w:shd w:val="clear" w:color="auto" w:fill="auto"/>
                  <w:noWrap w:val="0"/>
                  <w:vAlign w:val="center"/>
                </w:tcPr>
                <w:p w14:paraId="7594FD8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5C2C0C4">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631F794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G-400</w:t>
                  </w:r>
                </w:p>
              </w:tc>
              <w:tc>
                <w:tcPr>
                  <w:tcW w:w="911" w:type="pct"/>
                  <w:tcBorders>
                    <w:tl2br w:val="nil"/>
                    <w:tr2bl w:val="nil"/>
                  </w:tcBorders>
                  <w:shd w:val="clear" w:color="auto" w:fill="auto"/>
                  <w:noWrap w:val="0"/>
                  <w:vAlign w:val="center"/>
                </w:tcPr>
                <w:p w14:paraId="393830C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上海屹尧</w:t>
                  </w:r>
                </w:p>
              </w:tc>
            </w:tr>
            <w:tr w14:paraId="679D07F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1B3D29AB">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95</w:t>
                  </w:r>
                </w:p>
              </w:tc>
              <w:tc>
                <w:tcPr>
                  <w:tcW w:w="1661" w:type="pct"/>
                  <w:tcBorders>
                    <w:tl2br w:val="nil"/>
                    <w:tr2bl w:val="nil"/>
                  </w:tcBorders>
                  <w:shd w:val="clear" w:color="auto" w:fill="auto"/>
                  <w:noWrap w:val="0"/>
                  <w:vAlign w:val="center"/>
                </w:tcPr>
                <w:p w14:paraId="55BD806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高效快速溶剂萃取仪</w:t>
                  </w:r>
                </w:p>
              </w:tc>
              <w:tc>
                <w:tcPr>
                  <w:tcW w:w="499" w:type="pct"/>
                  <w:tcBorders>
                    <w:tl2br w:val="nil"/>
                    <w:tr2bl w:val="nil"/>
                  </w:tcBorders>
                  <w:shd w:val="clear" w:color="auto" w:fill="auto"/>
                  <w:noWrap w:val="0"/>
                  <w:vAlign w:val="center"/>
                </w:tcPr>
                <w:p w14:paraId="7ECB49A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A8E122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2E0B853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HPSE-6</w:t>
                  </w:r>
                </w:p>
              </w:tc>
              <w:tc>
                <w:tcPr>
                  <w:tcW w:w="911" w:type="pct"/>
                  <w:tcBorders>
                    <w:tl2br w:val="nil"/>
                    <w:tr2bl w:val="nil"/>
                  </w:tcBorders>
                  <w:shd w:val="clear" w:color="auto" w:fill="auto"/>
                  <w:noWrap w:val="0"/>
                  <w:vAlign w:val="center"/>
                </w:tcPr>
                <w:p w14:paraId="1CB4F6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北京莱伯泰科</w:t>
                  </w:r>
                </w:p>
              </w:tc>
            </w:tr>
            <w:tr w14:paraId="7CBC0F3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09C6B5F">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96</w:t>
                  </w:r>
                </w:p>
              </w:tc>
              <w:tc>
                <w:tcPr>
                  <w:tcW w:w="1661" w:type="pct"/>
                  <w:tcBorders>
                    <w:tl2br w:val="nil"/>
                    <w:tr2bl w:val="nil"/>
                  </w:tcBorders>
                  <w:shd w:val="clear" w:color="auto" w:fill="auto"/>
                  <w:noWrap w:val="0"/>
                  <w:vAlign w:val="center"/>
                </w:tcPr>
                <w:p w14:paraId="3E45EB7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射流萃取器</w:t>
                  </w:r>
                </w:p>
              </w:tc>
              <w:tc>
                <w:tcPr>
                  <w:tcW w:w="499" w:type="pct"/>
                  <w:tcBorders>
                    <w:tl2br w:val="nil"/>
                    <w:tr2bl w:val="nil"/>
                  </w:tcBorders>
                  <w:shd w:val="clear" w:color="auto" w:fill="auto"/>
                  <w:noWrap w:val="0"/>
                  <w:vAlign w:val="center"/>
                </w:tcPr>
                <w:p w14:paraId="39EA4D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4E7523B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60265A76">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JQ-CQQ1000*3</w:t>
                  </w:r>
                </w:p>
              </w:tc>
              <w:tc>
                <w:tcPr>
                  <w:tcW w:w="911" w:type="pct"/>
                  <w:tcBorders>
                    <w:tl2br w:val="nil"/>
                    <w:tr2bl w:val="nil"/>
                  </w:tcBorders>
                  <w:shd w:val="clear" w:color="auto" w:fill="auto"/>
                  <w:noWrap w:val="0"/>
                  <w:vAlign w:val="center"/>
                </w:tcPr>
                <w:p w14:paraId="7113E29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河北洁清</w:t>
                  </w:r>
                </w:p>
              </w:tc>
            </w:tr>
            <w:tr w14:paraId="715128A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909B0D0">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97</w:t>
                  </w:r>
                </w:p>
              </w:tc>
              <w:tc>
                <w:tcPr>
                  <w:tcW w:w="1661" w:type="pct"/>
                  <w:tcBorders>
                    <w:tl2br w:val="nil"/>
                    <w:tr2bl w:val="nil"/>
                  </w:tcBorders>
                  <w:shd w:val="clear" w:color="auto" w:fill="auto"/>
                  <w:noWrap w:val="0"/>
                  <w:vAlign w:val="center"/>
                </w:tcPr>
                <w:p w14:paraId="0FE7A251">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空气净化器</w:t>
                  </w:r>
                </w:p>
              </w:tc>
              <w:tc>
                <w:tcPr>
                  <w:tcW w:w="499" w:type="pct"/>
                  <w:tcBorders>
                    <w:tl2br w:val="nil"/>
                    <w:tr2bl w:val="nil"/>
                  </w:tcBorders>
                  <w:shd w:val="clear" w:color="auto" w:fill="auto"/>
                  <w:noWrap w:val="0"/>
                  <w:vAlign w:val="center"/>
                </w:tcPr>
                <w:p w14:paraId="6B8D5FB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58A09ECC">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2</w:t>
                  </w:r>
                </w:p>
              </w:tc>
              <w:tc>
                <w:tcPr>
                  <w:tcW w:w="1085" w:type="pct"/>
                  <w:tcBorders>
                    <w:tl2br w:val="nil"/>
                    <w:tr2bl w:val="nil"/>
                  </w:tcBorders>
                  <w:shd w:val="clear" w:color="auto" w:fill="auto"/>
                  <w:noWrap w:val="0"/>
                  <w:vAlign w:val="center"/>
                </w:tcPr>
                <w:p w14:paraId="7B6E765A">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YD-08</w:t>
                  </w:r>
                </w:p>
              </w:tc>
              <w:tc>
                <w:tcPr>
                  <w:tcW w:w="911" w:type="pct"/>
                  <w:tcBorders>
                    <w:tl2br w:val="nil"/>
                    <w:tr2bl w:val="nil"/>
                  </w:tcBorders>
                  <w:shd w:val="clear" w:color="auto" w:fill="auto"/>
                  <w:noWrap w:val="0"/>
                  <w:vAlign w:val="center"/>
                </w:tcPr>
                <w:p w14:paraId="26BAC7A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中山优的</w:t>
                  </w:r>
                </w:p>
              </w:tc>
            </w:tr>
            <w:tr w14:paraId="1B32849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B5DDFA8">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98</w:t>
                  </w:r>
                </w:p>
              </w:tc>
              <w:tc>
                <w:tcPr>
                  <w:tcW w:w="1661" w:type="pct"/>
                  <w:tcBorders>
                    <w:tl2br w:val="nil"/>
                    <w:tr2bl w:val="nil"/>
                  </w:tcBorders>
                  <w:shd w:val="clear" w:color="auto" w:fill="auto"/>
                  <w:noWrap w:val="0"/>
                  <w:vAlign w:val="center"/>
                </w:tcPr>
                <w:p w14:paraId="28B39D92">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 xml:space="preserve">双路 </w:t>
                  </w:r>
                  <w:r>
                    <w:rPr>
                      <w:rFonts w:hint="default" w:ascii="Times New Roman" w:hAnsi="Times New Roman" w:eastAsia="宋体" w:cs="Times New Roman"/>
                      <w:color w:val="auto"/>
                      <w:spacing w:val="-10"/>
                      <w:kern w:val="2"/>
                      <w:sz w:val="18"/>
                      <w:szCs w:val="18"/>
                      <w:highlight w:val="none"/>
                      <w:lang w:val="en-US" w:eastAsia="zh-CN" w:bidi="ar-SA"/>
                    </w:rPr>
                    <w:t>VOCs/</w:t>
                  </w:r>
                  <w:r>
                    <w:rPr>
                      <w:rFonts w:hint="eastAsia" w:ascii="Times New Roman" w:hAnsi="Times New Roman" w:eastAsia="宋体" w:cs="Times New Roman"/>
                      <w:color w:val="auto"/>
                      <w:spacing w:val="-10"/>
                      <w:kern w:val="2"/>
                      <w:sz w:val="18"/>
                      <w:szCs w:val="18"/>
                      <w:highlight w:val="none"/>
                      <w:lang w:val="en-US" w:eastAsia="zh-CN" w:bidi="ar-SA"/>
                    </w:rPr>
                    <w:t>气体采样器</w:t>
                  </w:r>
                </w:p>
              </w:tc>
              <w:tc>
                <w:tcPr>
                  <w:tcW w:w="499" w:type="pct"/>
                  <w:tcBorders>
                    <w:tl2br w:val="nil"/>
                    <w:tr2bl w:val="nil"/>
                  </w:tcBorders>
                  <w:shd w:val="clear" w:color="auto" w:fill="auto"/>
                  <w:noWrap w:val="0"/>
                  <w:vAlign w:val="center"/>
                </w:tcPr>
                <w:p w14:paraId="12BC805D">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FF274D2">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w:t>
                  </w:r>
                </w:p>
              </w:tc>
              <w:tc>
                <w:tcPr>
                  <w:tcW w:w="1085" w:type="pct"/>
                  <w:tcBorders>
                    <w:tl2br w:val="nil"/>
                    <w:tr2bl w:val="nil"/>
                  </w:tcBorders>
                  <w:shd w:val="clear" w:color="auto" w:fill="auto"/>
                  <w:noWrap w:val="0"/>
                  <w:vAlign w:val="center"/>
                </w:tcPr>
                <w:p w14:paraId="1F79EE18">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崂应</w:t>
                  </w:r>
                  <w:r>
                    <w:rPr>
                      <w:rFonts w:hint="default" w:ascii="Times New Roman" w:hAnsi="Times New Roman" w:cs="Times New Roman"/>
                      <w:color w:val="auto"/>
                      <w:spacing w:val="-10"/>
                      <w:sz w:val="18"/>
                      <w:szCs w:val="18"/>
                      <w:highlight w:val="none"/>
                      <w:lang w:val="en-US" w:eastAsia="zh-CN"/>
                    </w:rPr>
                    <w:t>2061</w:t>
                  </w:r>
                  <w:r>
                    <w:rPr>
                      <w:rFonts w:hint="eastAsia" w:ascii="Times New Roman" w:hAnsi="Times New Roman" w:cs="Times New Roman"/>
                      <w:color w:val="auto"/>
                      <w:spacing w:val="-10"/>
                      <w:sz w:val="18"/>
                      <w:szCs w:val="18"/>
                      <w:highlight w:val="none"/>
                      <w:lang w:val="en-US" w:eastAsia="zh-CN"/>
                    </w:rPr>
                    <w:t>型</w:t>
                  </w:r>
                </w:p>
              </w:tc>
              <w:tc>
                <w:tcPr>
                  <w:tcW w:w="911" w:type="pct"/>
                  <w:tcBorders>
                    <w:tl2br w:val="nil"/>
                    <w:tr2bl w:val="nil"/>
                  </w:tcBorders>
                  <w:shd w:val="clear" w:color="auto" w:fill="auto"/>
                  <w:noWrap w:val="0"/>
                  <w:vAlign w:val="center"/>
                </w:tcPr>
                <w:p w14:paraId="3856CF45">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青岛</w:t>
                  </w:r>
                  <w:r>
                    <w:rPr>
                      <w:rFonts w:hint="eastAsia" w:ascii="Times New Roman" w:hAnsi="Times New Roman" w:cs="Times New Roman"/>
                      <w:color w:val="auto"/>
                      <w:spacing w:val="-10"/>
                      <w:sz w:val="18"/>
                      <w:szCs w:val="18"/>
                      <w:highlight w:val="none"/>
                      <w:lang w:val="en-US" w:eastAsia="zh-CN"/>
                    </w:rPr>
                    <w:t>崂应</w:t>
                  </w:r>
                </w:p>
              </w:tc>
            </w:tr>
            <w:tr w14:paraId="2738B45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4CAC7652">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99</w:t>
                  </w:r>
                </w:p>
              </w:tc>
              <w:tc>
                <w:tcPr>
                  <w:tcW w:w="1661" w:type="pct"/>
                  <w:tcBorders>
                    <w:tl2br w:val="nil"/>
                    <w:tr2bl w:val="nil"/>
                  </w:tcBorders>
                  <w:shd w:val="clear" w:color="auto" w:fill="auto"/>
                  <w:noWrap w:val="0"/>
                  <w:vAlign w:val="center"/>
                </w:tcPr>
                <w:p w14:paraId="4392007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环境空气综合采样器</w:t>
                  </w:r>
                </w:p>
              </w:tc>
              <w:tc>
                <w:tcPr>
                  <w:tcW w:w="499" w:type="pct"/>
                  <w:tcBorders>
                    <w:tl2br w:val="nil"/>
                    <w:tr2bl w:val="nil"/>
                  </w:tcBorders>
                  <w:shd w:val="clear" w:color="auto" w:fill="auto"/>
                  <w:noWrap w:val="0"/>
                  <w:vAlign w:val="center"/>
                </w:tcPr>
                <w:p w14:paraId="0579F2C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D00464C">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w:t>
                  </w:r>
                </w:p>
              </w:tc>
              <w:tc>
                <w:tcPr>
                  <w:tcW w:w="1085" w:type="pct"/>
                  <w:tcBorders>
                    <w:tl2br w:val="nil"/>
                    <w:tr2bl w:val="nil"/>
                  </w:tcBorders>
                  <w:shd w:val="clear" w:color="auto" w:fill="auto"/>
                  <w:noWrap w:val="0"/>
                  <w:vAlign w:val="center"/>
                </w:tcPr>
                <w:p w14:paraId="6268B6DB">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崂应</w:t>
                  </w:r>
                  <w:r>
                    <w:rPr>
                      <w:rFonts w:hint="default" w:ascii="Times New Roman" w:hAnsi="Times New Roman" w:cs="Times New Roman"/>
                      <w:color w:val="auto"/>
                      <w:spacing w:val="-10"/>
                      <w:sz w:val="18"/>
                      <w:szCs w:val="18"/>
                      <w:highlight w:val="none"/>
                      <w:lang w:val="en-US" w:eastAsia="zh-CN"/>
                    </w:rPr>
                    <w:t>2071</w:t>
                  </w:r>
                  <w:r>
                    <w:rPr>
                      <w:rFonts w:hint="eastAsia" w:ascii="Times New Roman" w:hAnsi="Times New Roman" w:cs="Times New Roman"/>
                      <w:color w:val="auto"/>
                      <w:spacing w:val="-10"/>
                      <w:sz w:val="18"/>
                      <w:szCs w:val="18"/>
                      <w:highlight w:val="none"/>
                      <w:lang w:val="en-US" w:eastAsia="zh-CN"/>
                    </w:rPr>
                    <w:t>型</w:t>
                  </w:r>
                </w:p>
              </w:tc>
              <w:tc>
                <w:tcPr>
                  <w:tcW w:w="911" w:type="pct"/>
                  <w:tcBorders>
                    <w:tl2br w:val="nil"/>
                    <w:tr2bl w:val="nil"/>
                  </w:tcBorders>
                  <w:shd w:val="clear" w:color="auto" w:fill="auto"/>
                  <w:noWrap w:val="0"/>
                  <w:vAlign w:val="center"/>
                </w:tcPr>
                <w:p w14:paraId="23DC5DAA">
                  <w:pPr>
                    <w:widowControl/>
                    <w:jc w:val="center"/>
                    <w:rPr>
                      <w:rFonts w:hint="eastAsia"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青岛</w:t>
                  </w:r>
                  <w:r>
                    <w:rPr>
                      <w:rFonts w:hint="eastAsia" w:ascii="Times New Roman" w:hAnsi="Times New Roman" w:cs="Times New Roman"/>
                      <w:color w:val="auto"/>
                      <w:spacing w:val="-10"/>
                      <w:sz w:val="18"/>
                      <w:szCs w:val="18"/>
                      <w:highlight w:val="none"/>
                      <w:lang w:val="en-US" w:eastAsia="zh-CN"/>
                    </w:rPr>
                    <w:t>崂应</w:t>
                  </w:r>
                </w:p>
              </w:tc>
            </w:tr>
            <w:tr w14:paraId="1252B38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7566FBA3">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100</w:t>
                  </w:r>
                </w:p>
              </w:tc>
              <w:tc>
                <w:tcPr>
                  <w:tcW w:w="1661" w:type="pct"/>
                  <w:tcBorders>
                    <w:tl2br w:val="nil"/>
                    <w:tr2bl w:val="nil"/>
                  </w:tcBorders>
                  <w:shd w:val="clear" w:color="auto" w:fill="auto"/>
                  <w:noWrap w:val="0"/>
                  <w:vAlign w:val="center"/>
                </w:tcPr>
                <w:p w14:paraId="2EB101FE">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油气回收多参数检测仪</w:t>
                  </w:r>
                </w:p>
              </w:tc>
              <w:tc>
                <w:tcPr>
                  <w:tcW w:w="499" w:type="pct"/>
                  <w:tcBorders>
                    <w:tl2br w:val="nil"/>
                    <w:tr2bl w:val="nil"/>
                  </w:tcBorders>
                  <w:shd w:val="clear" w:color="auto" w:fill="auto"/>
                  <w:noWrap w:val="0"/>
                  <w:vAlign w:val="center"/>
                </w:tcPr>
                <w:p w14:paraId="07432119">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07C0F59E">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12D8BBD">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崂应</w:t>
                  </w:r>
                  <w:r>
                    <w:rPr>
                      <w:rFonts w:hint="default" w:ascii="Times New Roman" w:hAnsi="Times New Roman" w:cs="Times New Roman"/>
                      <w:color w:val="auto"/>
                      <w:spacing w:val="-10"/>
                      <w:sz w:val="18"/>
                      <w:szCs w:val="18"/>
                      <w:highlight w:val="none"/>
                      <w:lang w:val="en-US" w:eastAsia="zh-CN"/>
                    </w:rPr>
                    <w:t>7003</w:t>
                  </w:r>
                  <w:r>
                    <w:rPr>
                      <w:rFonts w:hint="eastAsia" w:ascii="Times New Roman" w:hAnsi="Times New Roman" w:cs="Times New Roman"/>
                      <w:color w:val="auto"/>
                      <w:spacing w:val="-10"/>
                      <w:sz w:val="18"/>
                      <w:szCs w:val="18"/>
                      <w:highlight w:val="none"/>
                      <w:lang w:val="en-US" w:eastAsia="zh-CN"/>
                    </w:rPr>
                    <w:t>型</w:t>
                  </w:r>
                </w:p>
              </w:tc>
              <w:tc>
                <w:tcPr>
                  <w:tcW w:w="911" w:type="pct"/>
                  <w:tcBorders>
                    <w:tl2br w:val="nil"/>
                    <w:tr2bl w:val="nil"/>
                  </w:tcBorders>
                  <w:shd w:val="clear" w:color="auto" w:fill="auto"/>
                  <w:noWrap w:val="0"/>
                  <w:vAlign w:val="center"/>
                </w:tcPr>
                <w:p w14:paraId="1AC7DA45">
                  <w:pPr>
                    <w:widowControl/>
                    <w:jc w:val="center"/>
                    <w:rPr>
                      <w:rFonts w:hint="eastAsia"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青岛</w:t>
                  </w:r>
                  <w:r>
                    <w:rPr>
                      <w:rFonts w:hint="eastAsia" w:ascii="Times New Roman" w:hAnsi="Times New Roman" w:cs="Times New Roman"/>
                      <w:color w:val="auto"/>
                      <w:spacing w:val="-10"/>
                      <w:sz w:val="18"/>
                      <w:szCs w:val="18"/>
                      <w:highlight w:val="none"/>
                      <w:lang w:val="en-US" w:eastAsia="zh-CN"/>
                    </w:rPr>
                    <w:t>崂应</w:t>
                  </w:r>
                </w:p>
              </w:tc>
            </w:tr>
            <w:tr w14:paraId="4280EB5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37E32AF8">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101</w:t>
                  </w:r>
                </w:p>
              </w:tc>
              <w:tc>
                <w:tcPr>
                  <w:tcW w:w="1661" w:type="pct"/>
                  <w:tcBorders>
                    <w:tl2br w:val="nil"/>
                    <w:tr2bl w:val="nil"/>
                  </w:tcBorders>
                  <w:shd w:val="clear" w:color="auto" w:fill="auto"/>
                  <w:noWrap w:val="0"/>
                  <w:vAlign w:val="center"/>
                </w:tcPr>
                <w:p w14:paraId="5CD5C44D">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通风橱</w:t>
                  </w:r>
                </w:p>
              </w:tc>
              <w:tc>
                <w:tcPr>
                  <w:tcW w:w="499" w:type="pct"/>
                  <w:tcBorders>
                    <w:tl2br w:val="nil"/>
                    <w:tr2bl w:val="nil"/>
                  </w:tcBorders>
                  <w:shd w:val="clear" w:color="auto" w:fill="auto"/>
                  <w:noWrap w:val="0"/>
                  <w:vAlign w:val="center"/>
                </w:tcPr>
                <w:p w14:paraId="3893C27F">
                  <w:pPr>
                    <w:widowControl/>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645EDF1C">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12</w:t>
                  </w:r>
                </w:p>
              </w:tc>
              <w:tc>
                <w:tcPr>
                  <w:tcW w:w="1085" w:type="pct"/>
                  <w:tcBorders>
                    <w:tl2br w:val="nil"/>
                    <w:tr2bl w:val="nil"/>
                  </w:tcBorders>
                  <w:shd w:val="clear" w:color="auto" w:fill="auto"/>
                  <w:noWrap w:val="0"/>
                  <w:vAlign w:val="center"/>
                </w:tcPr>
                <w:p w14:paraId="402D3506">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1.2m×0.7m</w:t>
                  </w:r>
                </w:p>
              </w:tc>
              <w:tc>
                <w:tcPr>
                  <w:tcW w:w="911" w:type="pct"/>
                  <w:tcBorders>
                    <w:tl2br w:val="nil"/>
                    <w:tr2bl w:val="nil"/>
                  </w:tcBorders>
                  <w:shd w:val="clear" w:color="auto" w:fill="auto"/>
                  <w:noWrap w:val="0"/>
                  <w:vAlign w:val="center"/>
                </w:tcPr>
                <w:p w14:paraId="35F3BD2B">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r>
            <w:tr w14:paraId="1E5FAAB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397" w:type="pct"/>
                  <w:tcBorders>
                    <w:tl2br w:val="nil"/>
                    <w:tr2bl w:val="nil"/>
                  </w:tcBorders>
                  <w:shd w:val="clear" w:color="auto" w:fill="auto"/>
                  <w:noWrap w:val="0"/>
                  <w:vAlign w:val="center"/>
                </w:tcPr>
                <w:p w14:paraId="5E20B741">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102</w:t>
                  </w:r>
                </w:p>
              </w:tc>
              <w:tc>
                <w:tcPr>
                  <w:tcW w:w="1661" w:type="pct"/>
                  <w:tcBorders>
                    <w:tl2br w:val="nil"/>
                    <w:tr2bl w:val="nil"/>
                  </w:tcBorders>
                  <w:shd w:val="clear" w:color="auto" w:fill="auto"/>
                  <w:noWrap w:val="0"/>
                  <w:vAlign w:val="center"/>
                </w:tcPr>
                <w:p w14:paraId="3ED0824C">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万向罩</w:t>
                  </w:r>
                </w:p>
              </w:tc>
              <w:tc>
                <w:tcPr>
                  <w:tcW w:w="499" w:type="pct"/>
                  <w:tcBorders>
                    <w:tl2br w:val="nil"/>
                    <w:tr2bl w:val="nil"/>
                  </w:tcBorders>
                  <w:shd w:val="clear" w:color="auto" w:fill="auto"/>
                  <w:noWrap w:val="0"/>
                  <w:vAlign w:val="center"/>
                </w:tcPr>
                <w:p w14:paraId="628ACA83">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76900277">
                  <w:pPr>
                    <w:widowControl/>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12</w:t>
                  </w:r>
                </w:p>
              </w:tc>
              <w:tc>
                <w:tcPr>
                  <w:tcW w:w="1085" w:type="pct"/>
                  <w:tcBorders>
                    <w:tl2br w:val="nil"/>
                    <w:tr2bl w:val="nil"/>
                  </w:tcBorders>
                  <w:shd w:val="clear" w:color="auto" w:fill="auto"/>
                  <w:noWrap w:val="0"/>
                  <w:vAlign w:val="center"/>
                </w:tcPr>
                <w:p w14:paraId="601ECDEE">
                  <w:pPr>
                    <w:widowControl/>
                    <w:jc w:val="center"/>
                    <w:rPr>
                      <w:rFonts w:hint="eastAsia" w:ascii="Times New Roman" w:hAnsi="Times New Roman" w:cs="Times New Roman"/>
                      <w:color w:val="auto"/>
                      <w:spacing w:val="-10"/>
                      <w:sz w:val="18"/>
                      <w:szCs w:val="18"/>
                      <w:highlight w:val="none"/>
                      <w:lang w:val="en-US" w:eastAsia="zh-CN"/>
                    </w:rPr>
                  </w:pPr>
                  <w:r>
                    <w:rPr>
                      <w:rFonts w:hint="default" w:ascii="Times New Roman" w:hAnsi="Times New Roman" w:cs="Times New Roman"/>
                      <w:color w:val="auto"/>
                      <w:spacing w:val="-10"/>
                      <w:sz w:val="18"/>
                      <w:szCs w:val="18"/>
                      <w:highlight w:val="none"/>
                      <w:lang w:val="en-US" w:eastAsia="zh-CN"/>
                    </w:rPr>
                    <w:t>φ</w:t>
                  </w:r>
                  <w:r>
                    <w:rPr>
                      <w:rFonts w:hint="eastAsia" w:ascii="Times New Roman" w:hAnsi="Times New Roman" w:cs="Times New Roman"/>
                      <w:color w:val="auto"/>
                      <w:spacing w:val="-10"/>
                      <w:sz w:val="18"/>
                      <w:szCs w:val="18"/>
                      <w:highlight w:val="none"/>
                      <w:lang w:val="en-US" w:eastAsia="zh-CN"/>
                    </w:rPr>
                    <w:t>0.35m</w:t>
                  </w:r>
                </w:p>
              </w:tc>
              <w:tc>
                <w:tcPr>
                  <w:tcW w:w="911" w:type="pct"/>
                  <w:tcBorders>
                    <w:tl2br w:val="nil"/>
                    <w:tr2bl w:val="nil"/>
                  </w:tcBorders>
                  <w:shd w:val="clear" w:color="auto" w:fill="auto"/>
                  <w:noWrap w:val="0"/>
                  <w:vAlign w:val="center"/>
                </w:tcPr>
                <w:p w14:paraId="60DC5FBE">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r>
            <w:tr w14:paraId="5D344E9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20" w:hRule="atLeast"/>
              </w:trPr>
              <w:tc>
                <w:tcPr>
                  <w:tcW w:w="397" w:type="pct"/>
                  <w:tcBorders>
                    <w:tl2br w:val="nil"/>
                    <w:tr2bl w:val="nil"/>
                  </w:tcBorders>
                  <w:shd w:val="clear" w:color="auto" w:fill="auto"/>
                  <w:noWrap w:val="0"/>
                  <w:vAlign w:val="center"/>
                </w:tcPr>
                <w:p w14:paraId="04D21D92">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103</w:t>
                  </w:r>
                </w:p>
              </w:tc>
              <w:tc>
                <w:tcPr>
                  <w:tcW w:w="1661" w:type="pct"/>
                  <w:tcBorders>
                    <w:tl2br w:val="nil"/>
                    <w:tr2bl w:val="nil"/>
                  </w:tcBorders>
                  <w:shd w:val="clear" w:color="auto" w:fill="auto"/>
                  <w:noWrap w:val="0"/>
                  <w:vAlign w:val="center"/>
                </w:tcPr>
                <w:p w14:paraId="76504ACA">
                  <w:pPr>
                    <w:widowControl/>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活性炭吸附装置</w:t>
                  </w:r>
                </w:p>
              </w:tc>
              <w:tc>
                <w:tcPr>
                  <w:tcW w:w="499" w:type="pct"/>
                  <w:tcBorders>
                    <w:tl2br w:val="nil"/>
                    <w:tr2bl w:val="nil"/>
                  </w:tcBorders>
                  <w:shd w:val="clear" w:color="auto" w:fill="auto"/>
                  <w:noWrap w:val="0"/>
                  <w:vAlign w:val="center"/>
                </w:tcPr>
                <w:p w14:paraId="19CF669A">
                  <w:pPr>
                    <w:widowControl/>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台</w:t>
                  </w:r>
                </w:p>
              </w:tc>
              <w:tc>
                <w:tcPr>
                  <w:tcW w:w="444" w:type="pct"/>
                  <w:tcBorders>
                    <w:tl2br w:val="nil"/>
                    <w:tr2bl w:val="nil"/>
                  </w:tcBorders>
                  <w:shd w:val="clear" w:color="auto" w:fill="auto"/>
                  <w:noWrap w:val="0"/>
                  <w:vAlign w:val="center"/>
                </w:tcPr>
                <w:p w14:paraId="166272D3">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p>
              </w:tc>
              <w:tc>
                <w:tcPr>
                  <w:tcW w:w="1085" w:type="pct"/>
                  <w:tcBorders>
                    <w:tl2br w:val="nil"/>
                    <w:tr2bl w:val="nil"/>
                  </w:tcBorders>
                  <w:shd w:val="clear" w:color="auto" w:fill="auto"/>
                  <w:noWrap w:val="0"/>
                  <w:vAlign w:val="center"/>
                </w:tcPr>
                <w:p w14:paraId="78798F40">
                  <w:pPr>
                    <w:widowControl/>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10000m</w:t>
                  </w:r>
                  <w:r>
                    <w:rPr>
                      <w:rFonts w:hint="eastAsia" w:ascii="Times New Roman" w:hAnsi="Times New Roman" w:cs="Times New Roman"/>
                      <w:color w:val="auto"/>
                      <w:spacing w:val="-10"/>
                      <w:sz w:val="18"/>
                      <w:szCs w:val="18"/>
                      <w:highlight w:val="none"/>
                      <w:vertAlign w:val="superscript"/>
                      <w:lang w:val="en-US" w:eastAsia="zh-CN"/>
                    </w:rPr>
                    <w:t>3</w:t>
                  </w:r>
                  <w:r>
                    <w:rPr>
                      <w:rFonts w:hint="eastAsia" w:ascii="Times New Roman" w:hAnsi="Times New Roman" w:cs="Times New Roman"/>
                      <w:color w:val="auto"/>
                      <w:spacing w:val="-10"/>
                      <w:sz w:val="18"/>
                      <w:szCs w:val="18"/>
                      <w:highlight w:val="none"/>
                      <w:lang w:val="en-US" w:eastAsia="zh-CN"/>
                    </w:rPr>
                    <w:t>/h</w:t>
                  </w:r>
                </w:p>
              </w:tc>
              <w:tc>
                <w:tcPr>
                  <w:tcW w:w="911" w:type="pct"/>
                  <w:tcBorders>
                    <w:tl2br w:val="nil"/>
                    <w:tr2bl w:val="nil"/>
                  </w:tcBorders>
                  <w:shd w:val="clear" w:color="auto" w:fill="auto"/>
                  <w:noWrap w:val="0"/>
                  <w:vAlign w:val="center"/>
                </w:tcPr>
                <w:p w14:paraId="08202238">
                  <w:pPr>
                    <w:widowControl/>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r>
          </w:tbl>
          <w:p w14:paraId="668610F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5.</w:t>
            </w:r>
            <w:r>
              <w:rPr>
                <w:rFonts w:ascii="Times New Roman" w:hAnsi="Times New Roman" w:cs="Times New Roman"/>
                <w:b/>
                <w:color w:val="auto"/>
                <w:sz w:val="21"/>
                <w:szCs w:val="21"/>
                <w:highlight w:val="none"/>
              </w:rPr>
              <w:t>主要实验用试剂</w:t>
            </w:r>
            <w:r>
              <w:rPr>
                <w:rFonts w:hint="eastAsia" w:ascii="Times New Roman" w:hAnsi="Times New Roman" w:cs="Times New Roman"/>
                <w:b/>
                <w:color w:val="auto"/>
                <w:sz w:val="21"/>
                <w:szCs w:val="21"/>
                <w:highlight w:val="none"/>
                <w:lang w:val="en-US" w:eastAsia="zh-CN"/>
              </w:rPr>
              <w:t>消耗</w:t>
            </w:r>
            <w:r>
              <w:rPr>
                <w:rFonts w:ascii="Times New Roman" w:hAnsi="Times New Roman" w:cs="Times New Roman"/>
                <w:b/>
                <w:color w:val="auto"/>
                <w:sz w:val="21"/>
                <w:szCs w:val="21"/>
                <w:highlight w:val="none"/>
              </w:rPr>
              <w:t>情况</w:t>
            </w:r>
          </w:p>
          <w:p w14:paraId="37D626D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项目所用试剂均为常用试剂。项目主要试剂使用量见表</w:t>
            </w:r>
            <w:r>
              <w:rPr>
                <w:rFonts w:hint="eastAsia"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lang w:val="en-US" w:eastAsia="zh-CN"/>
              </w:rPr>
              <w:t>。</w:t>
            </w:r>
          </w:p>
          <w:p w14:paraId="1E45035F">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9 项目</w:t>
            </w:r>
            <w:r>
              <w:rPr>
                <w:rFonts w:hint="eastAsia" w:ascii="Times New Roman" w:hAnsi="Times New Roman" w:cs="Times New Roman"/>
                <w:b/>
                <w:color w:val="auto"/>
                <w:sz w:val="21"/>
                <w:szCs w:val="21"/>
                <w:highlight w:val="none"/>
              </w:rPr>
              <w:t>实验用试剂</w:t>
            </w:r>
            <w:r>
              <w:rPr>
                <w:rFonts w:hint="eastAsia" w:ascii="Times New Roman" w:hAnsi="Times New Roman" w:cs="Times New Roman"/>
                <w:b/>
                <w:color w:val="auto"/>
                <w:sz w:val="21"/>
                <w:szCs w:val="21"/>
                <w:highlight w:val="none"/>
                <w:lang w:val="en-US" w:eastAsia="zh-CN"/>
              </w:rPr>
              <w:t>消耗</w:t>
            </w:r>
            <w:r>
              <w:rPr>
                <w:rFonts w:hint="eastAsia" w:ascii="Times New Roman" w:hAnsi="Times New Roman" w:cs="Times New Roman"/>
                <w:b/>
                <w:color w:val="auto"/>
                <w:sz w:val="21"/>
                <w:szCs w:val="21"/>
                <w:highlight w:val="none"/>
              </w:rPr>
              <w:t>情况一览表</w:t>
            </w:r>
          </w:p>
          <w:tbl>
            <w:tblPr>
              <w:tblStyle w:val="26"/>
              <w:tblW w:w="503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8"/>
              <w:gridCol w:w="1752"/>
              <w:gridCol w:w="881"/>
              <w:gridCol w:w="1007"/>
              <w:gridCol w:w="923"/>
              <w:gridCol w:w="661"/>
              <w:gridCol w:w="1164"/>
              <w:gridCol w:w="999"/>
            </w:tblGrid>
            <w:tr w14:paraId="31F952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386" w:type="pct"/>
                  <w:tcBorders>
                    <w:tl2br w:val="nil"/>
                    <w:tr2bl w:val="nil"/>
                  </w:tcBorders>
                  <w:noWrap w:val="0"/>
                  <w:vAlign w:val="center"/>
                </w:tcPr>
                <w:p w14:paraId="39CAEAA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序号</w:t>
                  </w:r>
                </w:p>
              </w:tc>
              <w:tc>
                <w:tcPr>
                  <w:tcW w:w="1094" w:type="pct"/>
                  <w:tcBorders>
                    <w:tl2br w:val="nil"/>
                    <w:tr2bl w:val="nil"/>
                  </w:tcBorders>
                  <w:noWrap w:val="0"/>
                  <w:vAlign w:val="center"/>
                </w:tcPr>
                <w:p w14:paraId="216B466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试剂名称</w:t>
                  </w:r>
                </w:p>
              </w:tc>
              <w:tc>
                <w:tcPr>
                  <w:tcW w:w="550" w:type="pct"/>
                  <w:tcBorders>
                    <w:tl2br w:val="nil"/>
                    <w:tr2bl w:val="nil"/>
                  </w:tcBorders>
                  <w:noWrap w:val="0"/>
                  <w:vAlign w:val="center"/>
                </w:tcPr>
                <w:p w14:paraId="1C7B917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年用量</w:t>
                  </w:r>
                </w:p>
              </w:tc>
              <w:tc>
                <w:tcPr>
                  <w:tcW w:w="628" w:type="pct"/>
                  <w:tcBorders>
                    <w:tl2br w:val="nil"/>
                    <w:tr2bl w:val="nil"/>
                  </w:tcBorders>
                  <w:noWrap w:val="0"/>
                  <w:vAlign w:val="center"/>
                </w:tcPr>
                <w:p w14:paraId="58D3BED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包装</w:t>
                  </w:r>
                  <w:r>
                    <w:rPr>
                      <w:rFonts w:hint="eastAsia" w:ascii="Times New Roman" w:hAnsi="Times New Roman" w:eastAsia="宋体" w:cs="Times New Roman"/>
                      <w:color w:val="auto"/>
                      <w:spacing w:val="0"/>
                      <w:sz w:val="18"/>
                      <w:szCs w:val="18"/>
                      <w:highlight w:val="none"/>
                      <w:lang w:val="en-US" w:eastAsia="zh-CN"/>
                    </w:rPr>
                    <w:t>规格</w:t>
                  </w:r>
                </w:p>
              </w:tc>
              <w:tc>
                <w:tcPr>
                  <w:tcW w:w="576" w:type="pct"/>
                  <w:tcBorders>
                    <w:tl2br w:val="nil"/>
                    <w:tr2bl w:val="nil"/>
                  </w:tcBorders>
                  <w:noWrap w:val="0"/>
                  <w:vAlign w:val="center"/>
                </w:tcPr>
                <w:p w14:paraId="4F604FCC">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纯度</w:t>
                  </w:r>
                </w:p>
              </w:tc>
              <w:tc>
                <w:tcPr>
                  <w:tcW w:w="412" w:type="pct"/>
                  <w:tcBorders>
                    <w:tl2br w:val="nil"/>
                    <w:tr2bl w:val="nil"/>
                  </w:tcBorders>
                  <w:noWrap w:val="0"/>
                  <w:vAlign w:val="center"/>
                </w:tcPr>
                <w:p w14:paraId="3400776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来源</w:t>
                  </w:r>
                </w:p>
              </w:tc>
              <w:tc>
                <w:tcPr>
                  <w:tcW w:w="727" w:type="pct"/>
                  <w:tcBorders>
                    <w:tl2br w:val="nil"/>
                    <w:tr2bl w:val="nil"/>
                  </w:tcBorders>
                  <w:shd w:val="clear" w:color="auto" w:fill="auto"/>
                  <w:noWrap w:val="0"/>
                  <w:vAlign w:val="center"/>
                </w:tcPr>
                <w:p w14:paraId="72ADDC9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最大存储量</w:t>
                  </w:r>
                </w:p>
              </w:tc>
              <w:tc>
                <w:tcPr>
                  <w:tcW w:w="623" w:type="pct"/>
                  <w:tcBorders>
                    <w:tl2br w:val="nil"/>
                    <w:tr2bl w:val="nil"/>
                  </w:tcBorders>
                  <w:noWrap w:val="0"/>
                  <w:vAlign w:val="center"/>
                </w:tcPr>
                <w:p w14:paraId="2DEA7BF0">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存储位置</w:t>
                  </w:r>
                </w:p>
              </w:tc>
            </w:tr>
            <w:tr w14:paraId="7E0B626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691D29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w:t>
                  </w:r>
                </w:p>
              </w:tc>
              <w:tc>
                <w:tcPr>
                  <w:tcW w:w="1094" w:type="pct"/>
                  <w:tcBorders>
                    <w:tl2br w:val="nil"/>
                    <w:tr2bl w:val="nil"/>
                  </w:tcBorders>
                  <w:noWrap w:val="0"/>
                  <w:vAlign w:val="center"/>
                </w:tcPr>
                <w:p w14:paraId="6CBB39C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氢氧化钠（GR）</w:t>
                  </w:r>
                </w:p>
              </w:tc>
              <w:tc>
                <w:tcPr>
                  <w:tcW w:w="550" w:type="pct"/>
                  <w:tcBorders>
                    <w:tl2br w:val="nil"/>
                    <w:tr2bl w:val="nil"/>
                  </w:tcBorders>
                  <w:noWrap w:val="0"/>
                  <w:vAlign w:val="center"/>
                </w:tcPr>
                <w:p w14:paraId="42FF703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11kg</w:t>
                  </w:r>
                </w:p>
              </w:tc>
              <w:tc>
                <w:tcPr>
                  <w:tcW w:w="628" w:type="pct"/>
                  <w:tcBorders>
                    <w:tl2br w:val="nil"/>
                    <w:tr2bl w:val="nil"/>
                  </w:tcBorders>
                  <w:shd w:val="clear" w:color="auto" w:fill="auto"/>
                  <w:noWrap w:val="0"/>
                  <w:vAlign w:val="center"/>
                </w:tcPr>
                <w:p w14:paraId="4ADF1E0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14AAA247">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12" w:type="pct"/>
                  <w:tcBorders>
                    <w:tl2br w:val="nil"/>
                    <w:tr2bl w:val="nil"/>
                  </w:tcBorders>
                  <w:shd w:val="clear" w:color="auto" w:fill="auto"/>
                  <w:noWrap w:val="0"/>
                  <w:vAlign w:val="center"/>
                </w:tcPr>
                <w:p w14:paraId="6CDE7B63">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4D217D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11kg</w:t>
                  </w:r>
                </w:p>
              </w:tc>
              <w:tc>
                <w:tcPr>
                  <w:tcW w:w="623" w:type="pct"/>
                  <w:tcBorders>
                    <w:tl2br w:val="nil"/>
                    <w:tr2bl w:val="nil"/>
                  </w:tcBorders>
                  <w:noWrap w:val="0"/>
                  <w:vAlign w:val="center"/>
                </w:tcPr>
                <w:p w14:paraId="152BADB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r>
            <w:tr w14:paraId="7B72BE3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ED4B85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w:t>
                  </w:r>
                </w:p>
              </w:tc>
              <w:tc>
                <w:tcPr>
                  <w:tcW w:w="1094" w:type="pct"/>
                  <w:tcBorders>
                    <w:tl2br w:val="nil"/>
                    <w:tr2bl w:val="nil"/>
                  </w:tcBorders>
                  <w:noWrap w:val="0"/>
                  <w:vAlign w:val="center"/>
                </w:tcPr>
                <w:p w14:paraId="3664CF1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氢氧化钠（AR）</w:t>
                  </w:r>
                </w:p>
              </w:tc>
              <w:tc>
                <w:tcPr>
                  <w:tcW w:w="550" w:type="pct"/>
                  <w:tcBorders>
                    <w:tl2br w:val="nil"/>
                    <w:tr2bl w:val="nil"/>
                  </w:tcBorders>
                  <w:noWrap w:val="0"/>
                  <w:vAlign w:val="center"/>
                </w:tcPr>
                <w:p w14:paraId="1E10C3A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96D1F0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BD69286">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96%</w:t>
                  </w:r>
                </w:p>
              </w:tc>
              <w:tc>
                <w:tcPr>
                  <w:tcW w:w="412" w:type="pct"/>
                  <w:tcBorders>
                    <w:tl2br w:val="nil"/>
                    <w:tr2bl w:val="nil"/>
                  </w:tcBorders>
                  <w:shd w:val="clear" w:color="auto" w:fill="auto"/>
                  <w:noWrap w:val="0"/>
                  <w:vAlign w:val="center"/>
                </w:tcPr>
                <w:p w14:paraId="18B980B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1C91AB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noWrap w:val="0"/>
                  <w:vAlign w:val="center"/>
                </w:tcPr>
                <w:p w14:paraId="026B430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r>
            <w:tr w14:paraId="77FBF7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53AE2E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w:t>
                  </w:r>
                </w:p>
              </w:tc>
              <w:tc>
                <w:tcPr>
                  <w:tcW w:w="1094" w:type="pct"/>
                  <w:tcBorders>
                    <w:tl2br w:val="nil"/>
                    <w:tr2bl w:val="nil"/>
                  </w:tcBorders>
                  <w:noWrap w:val="0"/>
                  <w:vAlign w:val="center"/>
                </w:tcPr>
                <w:p w14:paraId="17A045D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氢氧化钾（AR）</w:t>
                  </w:r>
                </w:p>
              </w:tc>
              <w:tc>
                <w:tcPr>
                  <w:tcW w:w="550" w:type="pct"/>
                  <w:tcBorders>
                    <w:tl2br w:val="nil"/>
                    <w:tr2bl w:val="nil"/>
                  </w:tcBorders>
                  <w:noWrap w:val="0"/>
                  <w:vAlign w:val="center"/>
                </w:tcPr>
                <w:p w14:paraId="24E8A23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41D32F9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0D0089D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90%</w:t>
                  </w:r>
                </w:p>
              </w:tc>
              <w:tc>
                <w:tcPr>
                  <w:tcW w:w="412" w:type="pct"/>
                  <w:tcBorders>
                    <w:tl2br w:val="nil"/>
                    <w:tr2bl w:val="nil"/>
                  </w:tcBorders>
                  <w:shd w:val="clear" w:color="auto" w:fill="auto"/>
                  <w:noWrap w:val="0"/>
                  <w:vAlign w:val="center"/>
                </w:tcPr>
                <w:p w14:paraId="1A48214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18DF5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noWrap w:val="0"/>
                  <w:vAlign w:val="center"/>
                </w:tcPr>
                <w:p w14:paraId="535438E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cs="Times New Roman"/>
                      <w:color w:val="auto"/>
                      <w:spacing w:val="-10"/>
                      <w:sz w:val="18"/>
                      <w:szCs w:val="18"/>
                      <w:highlight w:val="none"/>
                    </w:rPr>
                    <w:t>药品室</w:t>
                  </w:r>
                </w:p>
              </w:tc>
            </w:tr>
            <w:tr w14:paraId="08FD5A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271841D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w:t>
                  </w:r>
                </w:p>
              </w:tc>
              <w:tc>
                <w:tcPr>
                  <w:tcW w:w="1094" w:type="pct"/>
                  <w:tcBorders>
                    <w:tl2br w:val="nil"/>
                    <w:tr2bl w:val="nil"/>
                  </w:tcBorders>
                  <w:noWrap w:val="0"/>
                  <w:vAlign w:val="center"/>
                </w:tcPr>
                <w:p w14:paraId="09129EB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氢氧化铝（AR）</w:t>
                  </w:r>
                </w:p>
              </w:tc>
              <w:tc>
                <w:tcPr>
                  <w:tcW w:w="550" w:type="pct"/>
                  <w:tcBorders>
                    <w:tl2br w:val="nil"/>
                    <w:tr2bl w:val="nil"/>
                  </w:tcBorders>
                  <w:noWrap w:val="0"/>
                  <w:vAlign w:val="center"/>
                </w:tcPr>
                <w:p w14:paraId="4DF4FEE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354D5E6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1F93C1C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745D3E2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C2AD1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6864514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52BC4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2A3F96E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w:t>
                  </w:r>
                </w:p>
              </w:tc>
              <w:tc>
                <w:tcPr>
                  <w:tcW w:w="1094" w:type="pct"/>
                  <w:tcBorders>
                    <w:tl2br w:val="nil"/>
                    <w:tr2bl w:val="nil"/>
                  </w:tcBorders>
                  <w:noWrap w:val="0"/>
                  <w:vAlign w:val="center"/>
                </w:tcPr>
                <w:p w14:paraId="387E6B1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氢氧化铵（AR）</w:t>
                  </w:r>
                </w:p>
              </w:tc>
              <w:tc>
                <w:tcPr>
                  <w:tcW w:w="550" w:type="pct"/>
                  <w:tcBorders>
                    <w:tl2br w:val="nil"/>
                    <w:tr2bl w:val="nil"/>
                  </w:tcBorders>
                  <w:noWrap w:val="0"/>
                  <w:vAlign w:val="center"/>
                </w:tcPr>
                <w:p w14:paraId="7D8DD850">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046CED1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32F723AF">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28%</w:t>
                  </w:r>
                </w:p>
              </w:tc>
              <w:tc>
                <w:tcPr>
                  <w:tcW w:w="412" w:type="pct"/>
                  <w:tcBorders>
                    <w:tl2br w:val="nil"/>
                    <w:tr2bl w:val="nil"/>
                  </w:tcBorders>
                  <w:shd w:val="clear" w:color="auto" w:fill="auto"/>
                  <w:noWrap w:val="0"/>
                  <w:vAlign w:val="center"/>
                </w:tcPr>
                <w:p w14:paraId="7D8D511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70EE75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31DE7A1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0378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F6F02F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6</w:t>
                  </w:r>
                </w:p>
              </w:tc>
              <w:tc>
                <w:tcPr>
                  <w:tcW w:w="1094" w:type="pct"/>
                  <w:tcBorders>
                    <w:tl2br w:val="nil"/>
                    <w:tr2bl w:val="nil"/>
                  </w:tcBorders>
                  <w:noWrap w:val="0"/>
                  <w:vAlign w:val="center"/>
                </w:tcPr>
                <w:p w14:paraId="5E6F877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氢氧化钡（AR）</w:t>
                  </w:r>
                </w:p>
              </w:tc>
              <w:tc>
                <w:tcPr>
                  <w:tcW w:w="550" w:type="pct"/>
                  <w:tcBorders>
                    <w:tl2br w:val="nil"/>
                    <w:tr2bl w:val="nil"/>
                  </w:tcBorders>
                  <w:noWrap w:val="0"/>
                  <w:vAlign w:val="center"/>
                </w:tcPr>
                <w:p w14:paraId="19C2D4F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45062C7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B34345D">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12" w:type="pct"/>
                  <w:tcBorders>
                    <w:tl2br w:val="nil"/>
                    <w:tr2bl w:val="nil"/>
                  </w:tcBorders>
                  <w:shd w:val="clear" w:color="auto" w:fill="auto"/>
                  <w:noWrap w:val="0"/>
                  <w:vAlign w:val="center"/>
                </w:tcPr>
                <w:p w14:paraId="70C4073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4D32BE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2B15EF3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61020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3B703F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7</w:t>
                  </w:r>
                </w:p>
              </w:tc>
              <w:tc>
                <w:tcPr>
                  <w:tcW w:w="1094" w:type="pct"/>
                  <w:tcBorders>
                    <w:tl2br w:val="nil"/>
                    <w:tr2bl w:val="nil"/>
                  </w:tcBorders>
                  <w:noWrap w:val="0"/>
                  <w:vAlign w:val="center"/>
                </w:tcPr>
                <w:p w14:paraId="0988E0E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硼酸（AR）</w:t>
                  </w:r>
                </w:p>
              </w:tc>
              <w:tc>
                <w:tcPr>
                  <w:tcW w:w="550" w:type="pct"/>
                  <w:tcBorders>
                    <w:tl2br w:val="nil"/>
                    <w:tr2bl w:val="nil"/>
                  </w:tcBorders>
                  <w:noWrap w:val="0"/>
                  <w:vAlign w:val="center"/>
                </w:tcPr>
                <w:p w14:paraId="4C6D4AE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12.5kg</w:t>
                  </w:r>
                </w:p>
              </w:tc>
              <w:tc>
                <w:tcPr>
                  <w:tcW w:w="628" w:type="pct"/>
                  <w:tcBorders>
                    <w:tl2br w:val="nil"/>
                    <w:tr2bl w:val="nil"/>
                  </w:tcBorders>
                  <w:shd w:val="clear" w:color="auto" w:fill="auto"/>
                  <w:noWrap w:val="0"/>
                  <w:vAlign w:val="center"/>
                </w:tcPr>
                <w:p w14:paraId="5B07283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1569AC2A">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12" w:type="pct"/>
                  <w:tcBorders>
                    <w:tl2br w:val="nil"/>
                    <w:tr2bl w:val="nil"/>
                  </w:tcBorders>
                  <w:shd w:val="clear" w:color="auto" w:fill="auto"/>
                  <w:noWrap w:val="0"/>
                  <w:vAlign w:val="center"/>
                </w:tcPr>
                <w:p w14:paraId="1E70EBF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E7B31B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12.5kg</w:t>
                  </w:r>
                </w:p>
              </w:tc>
              <w:tc>
                <w:tcPr>
                  <w:tcW w:w="623" w:type="pct"/>
                  <w:tcBorders>
                    <w:tl2br w:val="nil"/>
                    <w:tr2bl w:val="nil"/>
                  </w:tcBorders>
                  <w:shd w:val="clear" w:color="auto" w:fill="auto"/>
                  <w:noWrap w:val="0"/>
                  <w:vAlign w:val="center"/>
                </w:tcPr>
                <w:p w14:paraId="4AE75E2E">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0EA19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0175E97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8</w:t>
                  </w:r>
                </w:p>
              </w:tc>
              <w:tc>
                <w:tcPr>
                  <w:tcW w:w="1094" w:type="pct"/>
                  <w:tcBorders>
                    <w:tl2br w:val="nil"/>
                    <w:tr2bl w:val="nil"/>
                  </w:tcBorders>
                  <w:noWrap w:val="0"/>
                  <w:vAlign w:val="center"/>
                </w:tcPr>
                <w:p w14:paraId="58B150C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谷氨酸（AR）</w:t>
                  </w:r>
                </w:p>
              </w:tc>
              <w:tc>
                <w:tcPr>
                  <w:tcW w:w="550" w:type="pct"/>
                  <w:tcBorders>
                    <w:tl2br w:val="nil"/>
                    <w:tr2bl w:val="nil"/>
                  </w:tcBorders>
                  <w:noWrap w:val="0"/>
                  <w:vAlign w:val="center"/>
                </w:tcPr>
                <w:p w14:paraId="41B275F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0.4kg</w:t>
                  </w:r>
                </w:p>
              </w:tc>
              <w:tc>
                <w:tcPr>
                  <w:tcW w:w="628" w:type="pct"/>
                  <w:tcBorders>
                    <w:tl2br w:val="nil"/>
                    <w:tr2bl w:val="nil"/>
                  </w:tcBorders>
                  <w:shd w:val="clear" w:color="auto" w:fill="auto"/>
                  <w:noWrap w:val="0"/>
                  <w:vAlign w:val="center"/>
                </w:tcPr>
                <w:p w14:paraId="6433C89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6" w:type="pct"/>
                  <w:tcBorders>
                    <w:tl2br w:val="nil"/>
                    <w:tr2bl w:val="nil"/>
                  </w:tcBorders>
                  <w:shd w:val="clear" w:color="auto" w:fill="auto"/>
                  <w:noWrap w:val="0"/>
                  <w:vAlign w:val="center"/>
                </w:tcPr>
                <w:p w14:paraId="7E498E66">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7EC3D7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1F8F2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0.4kg</w:t>
                  </w:r>
                </w:p>
              </w:tc>
              <w:tc>
                <w:tcPr>
                  <w:tcW w:w="623" w:type="pct"/>
                  <w:tcBorders>
                    <w:tl2br w:val="nil"/>
                    <w:tr2bl w:val="nil"/>
                  </w:tcBorders>
                  <w:shd w:val="clear" w:color="auto" w:fill="auto"/>
                  <w:noWrap w:val="0"/>
                  <w:vAlign w:val="center"/>
                </w:tcPr>
                <w:p w14:paraId="2CC1FBC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D140D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518791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9</w:t>
                  </w:r>
                </w:p>
              </w:tc>
              <w:tc>
                <w:tcPr>
                  <w:tcW w:w="1094" w:type="pct"/>
                  <w:tcBorders>
                    <w:tl2br w:val="nil"/>
                    <w:tr2bl w:val="nil"/>
                  </w:tcBorders>
                  <w:noWrap w:val="0"/>
                  <w:vAlign w:val="center"/>
                </w:tcPr>
                <w:p w14:paraId="2E6BE88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淀粉</w:t>
                  </w:r>
                </w:p>
              </w:tc>
              <w:tc>
                <w:tcPr>
                  <w:tcW w:w="550" w:type="pct"/>
                  <w:tcBorders>
                    <w:tl2br w:val="nil"/>
                    <w:tr2bl w:val="nil"/>
                  </w:tcBorders>
                  <w:noWrap w:val="0"/>
                  <w:vAlign w:val="center"/>
                </w:tcPr>
                <w:p w14:paraId="30BE50A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3.5kg</w:t>
                  </w:r>
                </w:p>
              </w:tc>
              <w:tc>
                <w:tcPr>
                  <w:tcW w:w="628" w:type="pct"/>
                  <w:tcBorders>
                    <w:tl2br w:val="nil"/>
                    <w:tr2bl w:val="nil"/>
                  </w:tcBorders>
                  <w:shd w:val="clear" w:color="auto" w:fill="auto"/>
                  <w:noWrap w:val="0"/>
                  <w:vAlign w:val="center"/>
                </w:tcPr>
                <w:p w14:paraId="1702B4C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20420AA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3C8FAEF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75CD2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3.5kg</w:t>
                  </w:r>
                </w:p>
              </w:tc>
              <w:tc>
                <w:tcPr>
                  <w:tcW w:w="623" w:type="pct"/>
                  <w:tcBorders>
                    <w:tl2br w:val="nil"/>
                    <w:tr2bl w:val="nil"/>
                  </w:tcBorders>
                  <w:shd w:val="clear" w:color="auto" w:fill="auto"/>
                  <w:noWrap w:val="0"/>
                  <w:vAlign w:val="center"/>
                </w:tcPr>
                <w:p w14:paraId="78FBFAE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1DB82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4CEA51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10</w:t>
                  </w:r>
                </w:p>
              </w:tc>
              <w:tc>
                <w:tcPr>
                  <w:tcW w:w="1094" w:type="pct"/>
                  <w:tcBorders>
                    <w:tl2br w:val="nil"/>
                    <w:tr2bl w:val="nil"/>
                  </w:tcBorders>
                  <w:noWrap w:val="0"/>
                  <w:vAlign w:val="center"/>
                </w:tcPr>
                <w:p w14:paraId="6A76E41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硝酸银（AR）</w:t>
                  </w:r>
                </w:p>
              </w:tc>
              <w:tc>
                <w:tcPr>
                  <w:tcW w:w="550" w:type="pct"/>
                  <w:tcBorders>
                    <w:tl2br w:val="nil"/>
                    <w:tr2bl w:val="nil"/>
                  </w:tcBorders>
                  <w:noWrap w:val="0"/>
                  <w:vAlign w:val="center"/>
                </w:tcPr>
                <w:p w14:paraId="447FACE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3kg</w:t>
                  </w:r>
                </w:p>
              </w:tc>
              <w:tc>
                <w:tcPr>
                  <w:tcW w:w="628" w:type="pct"/>
                  <w:tcBorders>
                    <w:tl2br w:val="nil"/>
                    <w:tr2bl w:val="nil"/>
                  </w:tcBorders>
                  <w:shd w:val="clear" w:color="auto" w:fill="auto"/>
                  <w:noWrap w:val="0"/>
                  <w:vAlign w:val="center"/>
                </w:tcPr>
                <w:p w14:paraId="5D8B0B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6" w:type="pct"/>
                  <w:tcBorders>
                    <w:tl2br w:val="nil"/>
                    <w:tr2bl w:val="nil"/>
                  </w:tcBorders>
                  <w:shd w:val="clear" w:color="auto" w:fill="auto"/>
                  <w:noWrap w:val="0"/>
                  <w:vAlign w:val="center"/>
                </w:tcPr>
                <w:p w14:paraId="1284136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12" w:type="pct"/>
                  <w:tcBorders>
                    <w:tl2br w:val="nil"/>
                    <w:tr2bl w:val="nil"/>
                  </w:tcBorders>
                  <w:shd w:val="clear" w:color="auto" w:fill="auto"/>
                  <w:noWrap w:val="0"/>
                  <w:vAlign w:val="center"/>
                </w:tcPr>
                <w:p w14:paraId="77F109D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397611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3kg</w:t>
                  </w:r>
                </w:p>
              </w:tc>
              <w:tc>
                <w:tcPr>
                  <w:tcW w:w="623" w:type="pct"/>
                  <w:tcBorders>
                    <w:tl2br w:val="nil"/>
                    <w:tr2bl w:val="nil"/>
                  </w:tcBorders>
                  <w:shd w:val="clear" w:color="auto" w:fill="auto"/>
                  <w:noWrap w:val="0"/>
                  <w:vAlign w:val="center"/>
                </w:tcPr>
                <w:p w14:paraId="6291E68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30A58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7E3D10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11</w:t>
                  </w:r>
                </w:p>
              </w:tc>
              <w:tc>
                <w:tcPr>
                  <w:tcW w:w="1094" w:type="pct"/>
                  <w:tcBorders>
                    <w:tl2br w:val="nil"/>
                    <w:tr2bl w:val="nil"/>
                  </w:tcBorders>
                  <w:noWrap w:val="0"/>
                  <w:vAlign w:val="center"/>
                </w:tcPr>
                <w:p w14:paraId="47FD8B29">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硝酸钠(AR)</w:t>
                  </w:r>
                </w:p>
              </w:tc>
              <w:tc>
                <w:tcPr>
                  <w:tcW w:w="550" w:type="pct"/>
                  <w:tcBorders>
                    <w:tl2br w:val="nil"/>
                    <w:tr2bl w:val="nil"/>
                  </w:tcBorders>
                  <w:noWrap w:val="0"/>
                  <w:vAlign w:val="center"/>
                </w:tcPr>
                <w:p w14:paraId="4062F5F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5EA4A7D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27981711">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4839C20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F6A987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B1D94F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C51E5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5580A0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12</w:t>
                  </w:r>
                </w:p>
              </w:tc>
              <w:tc>
                <w:tcPr>
                  <w:tcW w:w="1094" w:type="pct"/>
                  <w:tcBorders>
                    <w:tl2br w:val="nil"/>
                    <w:tr2bl w:val="nil"/>
                  </w:tcBorders>
                  <w:noWrap w:val="0"/>
                  <w:vAlign w:val="center"/>
                </w:tcPr>
                <w:p w14:paraId="1F429AF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亚硝酸钠(AR)</w:t>
                  </w:r>
                </w:p>
              </w:tc>
              <w:tc>
                <w:tcPr>
                  <w:tcW w:w="550" w:type="pct"/>
                  <w:tcBorders>
                    <w:tl2br w:val="nil"/>
                    <w:tr2bl w:val="nil"/>
                  </w:tcBorders>
                  <w:noWrap w:val="0"/>
                  <w:vAlign w:val="center"/>
                </w:tcPr>
                <w:p w14:paraId="42171B7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2C93F9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0BFD181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6ADB0F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D06B2E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1906841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1DEE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4CD43D2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13</w:t>
                  </w:r>
                </w:p>
              </w:tc>
              <w:tc>
                <w:tcPr>
                  <w:tcW w:w="1094" w:type="pct"/>
                  <w:tcBorders>
                    <w:tl2br w:val="nil"/>
                    <w:tr2bl w:val="nil"/>
                  </w:tcBorders>
                  <w:noWrap w:val="0"/>
                  <w:vAlign w:val="center"/>
                </w:tcPr>
                <w:p w14:paraId="660D5FA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硝酸钾</w:t>
                  </w:r>
                </w:p>
              </w:tc>
              <w:tc>
                <w:tcPr>
                  <w:tcW w:w="550" w:type="pct"/>
                  <w:tcBorders>
                    <w:tl2br w:val="nil"/>
                    <w:tr2bl w:val="nil"/>
                  </w:tcBorders>
                  <w:noWrap w:val="0"/>
                  <w:vAlign w:val="center"/>
                </w:tcPr>
                <w:p w14:paraId="7A4EFECD">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7E0C98B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868AEC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444CFC8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1CC022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42029A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19EC8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262C96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14</w:t>
                  </w:r>
                </w:p>
              </w:tc>
              <w:tc>
                <w:tcPr>
                  <w:tcW w:w="1094" w:type="pct"/>
                  <w:tcBorders>
                    <w:tl2br w:val="nil"/>
                    <w:tr2bl w:val="nil"/>
                  </w:tcBorders>
                  <w:noWrap w:val="0"/>
                  <w:vAlign w:val="center"/>
                </w:tcPr>
                <w:p w14:paraId="69CA14D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氯化钾</w:t>
                  </w:r>
                </w:p>
              </w:tc>
              <w:tc>
                <w:tcPr>
                  <w:tcW w:w="550" w:type="pct"/>
                  <w:tcBorders>
                    <w:tl2br w:val="nil"/>
                    <w:tr2bl w:val="nil"/>
                  </w:tcBorders>
                  <w:noWrap w:val="0"/>
                  <w:vAlign w:val="center"/>
                </w:tcPr>
                <w:p w14:paraId="35E09B4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16A1FA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6E2FD12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12" w:type="pct"/>
                  <w:tcBorders>
                    <w:tl2br w:val="nil"/>
                    <w:tr2bl w:val="nil"/>
                  </w:tcBorders>
                  <w:shd w:val="clear" w:color="auto" w:fill="auto"/>
                  <w:noWrap w:val="0"/>
                  <w:vAlign w:val="center"/>
                </w:tcPr>
                <w:p w14:paraId="03B9A84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50532E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1447C24E">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B4D2A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9B895F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15</w:t>
                  </w:r>
                </w:p>
              </w:tc>
              <w:tc>
                <w:tcPr>
                  <w:tcW w:w="1094" w:type="pct"/>
                  <w:tcBorders>
                    <w:tl2br w:val="nil"/>
                    <w:tr2bl w:val="nil"/>
                  </w:tcBorders>
                  <w:noWrap w:val="0"/>
                  <w:vAlign w:val="center"/>
                </w:tcPr>
                <w:p w14:paraId="610605E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氯化钙（AR）</w:t>
                  </w:r>
                </w:p>
              </w:tc>
              <w:tc>
                <w:tcPr>
                  <w:tcW w:w="550" w:type="pct"/>
                  <w:tcBorders>
                    <w:tl2br w:val="nil"/>
                    <w:tr2bl w:val="nil"/>
                  </w:tcBorders>
                  <w:noWrap w:val="0"/>
                  <w:vAlign w:val="center"/>
                </w:tcPr>
                <w:p w14:paraId="0A51E8E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23A2FC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21370B7">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96%</w:t>
                  </w:r>
                </w:p>
              </w:tc>
              <w:tc>
                <w:tcPr>
                  <w:tcW w:w="412" w:type="pct"/>
                  <w:tcBorders>
                    <w:tl2br w:val="nil"/>
                    <w:tr2bl w:val="nil"/>
                  </w:tcBorders>
                  <w:shd w:val="clear" w:color="auto" w:fill="auto"/>
                  <w:noWrap w:val="0"/>
                  <w:vAlign w:val="center"/>
                </w:tcPr>
                <w:p w14:paraId="090452F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D1551E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83047C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AF130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C8C16B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16</w:t>
                  </w:r>
                </w:p>
              </w:tc>
              <w:tc>
                <w:tcPr>
                  <w:tcW w:w="1094" w:type="pct"/>
                  <w:tcBorders>
                    <w:tl2br w:val="nil"/>
                    <w:tr2bl w:val="nil"/>
                  </w:tcBorders>
                  <w:noWrap w:val="0"/>
                  <w:vAlign w:val="center"/>
                </w:tcPr>
                <w:p w14:paraId="57E85F7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无水硫酸钠(AR)</w:t>
                  </w:r>
                </w:p>
              </w:tc>
              <w:tc>
                <w:tcPr>
                  <w:tcW w:w="550" w:type="pct"/>
                  <w:tcBorders>
                    <w:tl2br w:val="nil"/>
                    <w:tr2bl w:val="nil"/>
                  </w:tcBorders>
                  <w:noWrap w:val="0"/>
                  <w:vAlign w:val="center"/>
                </w:tcPr>
                <w:p w14:paraId="776C4AC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7.5kg</w:t>
                  </w:r>
                </w:p>
              </w:tc>
              <w:tc>
                <w:tcPr>
                  <w:tcW w:w="628" w:type="pct"/>
                  <w:tcBorders>
                    <w:tl2br w:val="nil"/>
                    <w:tr2bl w:val="nil"/>
                  </w:tcBorders>
                  <w:shd w:val="clear" w:color="auto" w:fill="auto"/>
                  <w:noWrap w:val="0"/>
                  <w:vAlign w:val="center"/>
                </w:tcPr>
                <w:p w14:paraId="5A615F1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6D057F9E">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29E8366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AF2821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7.5kg</w:t>
                  </w:r>
                </w:p>
              </w:tc>
              <w:tc>
                <w:tcPr>
                  <w:tcW w:w="623" w:type="pct"/>
                  <w:tcBorders>
                    <w:tl2br w:val="nil"/>
                    <w:tr2bl w:val="nil"/>
                  </w:tcBorders>
                  <w:shd w:val="clear" w:color="auto" w:fill="auto"/>
                  <w:noWrap w:val="0"/>
                  <w:vAlign w:val="center"/>
                </w:tcPr>
                <w:p w14:paraId="7E42BDA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4A864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60E549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17</w:t>
                  </w:r>
                </w:p>
              </w:tc>
              <w:tc>
                <w:tcPr>
                  <w:tcW w:w="1094" w:type="pct"/>
                  <w:tcBorders>
                    <w:tl2br w:val="nil"/>
                    <w:tr2bl w:val="nil"/>
                  </w:tcBorders>
                  <w:noWrap w:val="0"/>
                  <w:vAlign w:val="center"/>
                </w:tcPr>
                <w:p w14:paraId="797CC50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氯化铵（AR）</w:t>
                  </w:r>
                </w:p>
              </w:tc>
              <w:tc>
                <w:tcPr>
                  <w:tcW w:w="550" w:type="pct"/>
                  <w:tcBorders>
                    <w:tl2br w:val="nil"/>
                    <w:tr2bl w:val="nil"/>
                  </w:tcBorders>
                  <w:noWrap w:val="0"/>
                  <w:vAlign w:val="center"/>
                </w:tcPr>
                <w:p w14:paraId="59C7B3D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28" w:type="pct"/>
                  <w:tcBorders>
                    <w:tl2br w:val="nil"/>
                    <w:tr2bl w:val="nil"/>
                  </w:tcBorders>
                  <w:shd w:val="clear" w:color="auto" w:fill="auto"/>
                  <w:noWrap w:val="0"/>
                  <w:vAlign w:val="center"/>
                </w:tcPr>
                <w:p w14:paraId="5A1686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5DB5EAA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12" w:type="pct"/>
                  <w:tcBorders>
                    <w:tl2br w:val="nil"/>
                    <w:tr2bl w:val="nil"/>
                  </w:tcBorders>
                  <w:shd w:val="clear" w:color="auto" w:fill="auto"/>
                  <w:noWrap w:val="0"/>
                  <w:vAlign w:val="center"/>
                </w:tcPr>
                <w:p w14:paraId="5F6643D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2762EA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765C7481">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7BEC7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5D3DE8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18</w:t>
                  </w:r>
                </w:p>
              </w:tc>
              <w:tc>
                <w:tcPr>
                  <w:tcW w:w="1094" w:type="pct"/>
                  <w:tcBorders>
                    <w:tl2br w:val="nil"/>
                    <w:tr2bl w:val="nil"/>
                  </w:tcBorders>
                  <w:noWrap w:val="0"/>
                  <w:vAlign w:val="center"/>
                </w:tcPr>
                <w:p w14:paraId="2362D9D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氯化铁（六）（AR）</w:t>
                  </w:r>
                </w:p>
              </w:tc>
              <w:tc>
                <w:tcPr>
                  <w:tcW w:w="550" w:type="pct"/>
                  <w:tcBorders>
                    <w:tl2br w:val="nil"/>
                    <w:tr2bl w:val="nil"/>
                  </w:tcBorders>
                  <w:noWrap w:val="0"/>
                  <w:vAlign w:val="center"/>
                </w:tcPr>
                <w:p w14:paraId="11F0539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51A169F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4A52D58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3FE6C06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82B16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CC32B6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A9C5EE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8CB470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19</w:t>
                  </w:r>
                </w:p>
              </w:tc>
              <w:tc>
                <w:tcPr>
                  <w:tcW w:w="1094" w:type="pct"/>
                  <w:tcBorders>
                    <w:tl2br w:val="nil"/>
                    <w:tr2bl w:val="nil"/>
                  </w:tcBorders>
                  <w:noWrap w:val="0"/>
                  <w:vAlign w:val="center"/>
                </w:tcPr>
                <w:p w14:paraId="655671C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硫酸钾(A)</w:t>
                  </w:r>
                </w:p>
              </w:tc>
              <w:tc>
                <w:tcPr>
                  <w:tcW w:w="550" w:type="pct"/>
                  <w:tcBorders>
                    <w:tl2br w:val="nil"/>
                    <w:tr2bl w:val="nil"/>
                  </w:tcBorders>
                  <w:noWrap w:val="0"/>
                  <w:vAlign w:val="center"/>
                </w:tcPr>
                <w:p w14:paraId="5031C3C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6F67141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6" w:type="pct"/>
                  <w:tcBorders>
                    <w:tl2br w:val="nil"/>
                    <w:tr2bl w:val="nil"/>
                  </w:tcBorders>
                  <w:shd w:val="clear" w:color="auto" w:fill="auto"/>
                  <w:noWrap w:val="0"/>
                  <w:vAlign w:val="center"/>
                </w:tcPr>
                <w:p w14:paraId="4A6C455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6FECD3BB">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183978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08B3EB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66B9E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E521E6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20</w:t>
                  </w:r>
                </w:p>
              </w:tc>
              <w:tc>
                <w:tcPr>
                  <w:tcW w:w="1094" w:type="pct"/>
                  <w:tcBorders>
                    <w:tl2br w:val="nil"/>
                    <w:tr2bl w:val="nil"/>
                  </w:tcBorders>
                  <w:noWrap w:val="0"/>
                  <w:vAlign w:val="center"/>
                </w:tcPr>
                <w:p w14:paraId="6A77341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硫酸银（AR）</w:t>
                  </w:r>
                </w:p>
              </w:tc>
              <w:tc>
                <w:tcPr>
                  <w:tcW w:w="550" w:type="pct"/>
                  <w:tcBorders>
                    <w:tl2br w:val="nil"/>
                    <w:tr2bl w:val="nil"/>
                  </w:tcBorders>
                  <w:noWrap w:val="0"/>
                  <w:vAlign w:val="center"/>
                </w:tcPr>
                <w:p w14:paraId="36F09FD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0.7kg</w:t>
                  </w:r>
                </w:p>
              </w:tc>
              <w:tc>
                <w:tcPr>
                  <w:tcW w:w="628" w:type="pct"/>
                  <w:tcBorders>
                    <w:tl2br w:val="nil"/>
                    <w:tr2bl w:val="nil"/>
                  </w:tcBorders>
                  <w:shd w:val="clear" w:color="auto" w:fill="auto"/>
                  <w:noWrap w:val="0"/>
                  <w:vAlign w:val="center"/>
                </w:tcPr>
                <w:p w14:paraId="5F859E0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20g/瓶</w:t>
                  </w:r>
                </w:p>
              </w:tc>
              <w:tc>
                <w:tcPr>
                  <w:tcW w:w="576" w:type="pct"/>
                  <w:tcBorders>
                    <w:tl2br w:val="nil"/>
                    <w:tr2bl w:val="nil"/>
                  </w:tcBorders>
                  <w:shd w:val="clear" w:color="auto" w:fill="auto"/>
                  <w:noWrap w:val="0"/>
                  <w:vAlign w:val="center"/>
                </w:tcPr>
                <w:p w14:paraId="299F7DD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12" w:type="pct"/>
                  <w:tcBorders>
                    <w:tl2br w:val="nil"/>
                    <w:tr2bl w:val="nil"/>
                  </w:tcBorders>
                  <w:shd w:val="clear" w:color="auto" w:fill="auto"/>
                  <w:noWrap w:val="0"/>
                  <w:vAlign w:val="center"/>
                </w:tcPr>
                <w:p w14:paraId="0D214EF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92A14E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0.7kg</w:t>
                  </w:r>
                </w:p>
              </w:tc>
              <w:tc>
                <w:tcPr>
                  <w:tcW w:w="623" w:type="pct"/>
                  <w:tcBorders>
                    <w:tl2br w:val="nil"/>
                    <w:tr2bl w:val="nil"/>
                  </w:tcBorders>
                  <w:shd w:val="clear" w:color="auto" w:fill="auto"/>
                  <w:noWrap w:val="0"/>
                  <w:vAlign w:val="center"/>
                </w:tcPr>
                <w:p w14:paraId="3A80167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bl>
          <w:p w14:paraId="313F0762">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9 项目</w:t>
            </w:r>
            <w:r>
              <w:rPr>
                <w:rFonts w:hint="eastAsia" w:ascii="Times New Roman" w:hAnsi="Times New Roman" w:cs="Times New Roman"/>
                <w:b/>
                <w:color w:val="auto"/>
                <w:sz w:val="21"/>
                <w:szCs w:val="21"/>
                <w:highlight w:val="none"/>
              </w:rPr>
              <w:t>实验用试剂</w:t>
            </w:r>
            <w:r>
              <w:rPr>
                <w:rFonts w:hint="eastAsia" w:ascii="Times New Roman" w:hAnsi="Times New Roman" w:cs="Times New Roman"/>
                <w:b/>
                <w:color w:val="auto"/>
                <w:sz w:val="21"/>
                <w:szCs w:val="21"/>
                <w:highlight w:val="none"/>
                <w:lang w:val="en-US" w:eastAsia="zh-CN"/>
              </w:rPr>
              <w:t>消耗</w:t>
            </w:r>
            <w:r>
              <w:rPr>
                <w:rFonts w:hint="eastAsia" w:ascii="Times New Roman" w:hAnsi="Times New Roman" w:cs="Times New Roman"/>
                <w:b/>
                <w:color w:val="auto"/>
                <w:sz w:val="21"/>
                <w:szCs w:val="21"/>
                <w:highlight w:val="none"/>
              </w:rPr>
              <w:t>情况一览表</w:t>
            </w:r>
          </w:p>
          <w:tbl>
            <w:tblPr>
              <w:tblStyle w:val="26"/>
              <w:tblW w:w="503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8"/>
              <w:gridCol w:w="1752"/>
              <w:gridCol w:w="891"/>
              <w:gridCol w:w="1007"/>
              <w:gridCol w:w="924"/>
              <w:gridCol w:w="650"/>
              <w:gridCol w:w="1164"/>
              <w:gridCol w:w="999"/>
            </w:tblGrid>
            <w:tr w14:paraId="3FFFB8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A31E6D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序号</w:t>
                  </w:r>
                </w:p>
              </w:tc>
              <w:tc>
                <w:tcPr>
                  <w:tcW w:w="1094" w:type="pct"/>
                  <w:tcBorders>
                    <w:tl2br w:val="nil"/>
                    <w:tr2bl w:val="nil"/>
                  </w:tcBorders>
                  <w:noWrap w:val="0"/>
                  <w:vAlign w:val="center"/>
                </w:tcPr>
                <w:p w14:paraId="3BBBCB2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试剂名称</w:t>
                  </w:r>
                </w:p>
              </w:tc>
              <w:tc>
                <w:tcPr>
                  <w:tcW w:w="556" w:type="pct"/>
                  <w:tcBorders>
                    <w:tl2br w:val="nil"/>
                    <w:tr2bl w:val="nil"/>
                  </w:tcBorders>
                  <w:noWrap w:val="0"/>
                  <w:vAlign w:val="center"/>
                </w:tcPr>
                <w:p w14:paraId="30ABF0D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年用量</w:t>
                  </w:r>
                </w:p>
              </w:tc>
              <w:tc>
                <w:tcPr>
                  <w:tcW w:w="628" w:type="pct"/>
                  <w:tcBorders>
                    <w:tl2br w:val="nil"/>
                    <w:tr2bl w:val="nil"/>
                  </w:tcBorders>
                  <w:noWrap w:val="0"/>
                  <w:vAlign w:val="center"/>
                </w:tcPr>
                <w:p w14:paraId="2B6C6F4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包装</w:t>
                  </w:r>
                  <w:r>
                    <w:rPr>
                      <w:rFonts w:hint="eastAsia" w:ascii="Times New Roman" w:hAnsi="Times New Roman" w:eastAsia="宋体" w:cs="Times New Roman"/>
                      <w:color w:val="auto"/>
                      <w:spacing w:val="0"/>
                      <w:sz w:val="18"/>
                      <w:szCs w:val="18"/>
                      <w:highlight w:val="none"/>
                      <w:lang w:val="en-US" w:eastAsia="zh-CN"/>
                    </w:rPr>
                    <w:t>规格</w:t>
                  </w:r>
                </w:p>
              </w:tc>
              <w:tc>
                <w:tcPr>
                  <w:tcW w:w="577" w:type="pct"/>
                  <w:tcBorders>
                    <w:tl2br w:val="nil"/>
                    <w:tr2bl w:val="nil"/>
                  </w:tcBorders>
                  <w:noWrap w:val="0"/>
                  <w:vAlign w:val="center"/>
                </w:tcPr>
                <w:p w14:paraId="6DF47A6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纯度</w:t>
                  </w:r>
                </w:p>
              </w:tc>
              <w:tc>
                <w:tcPr>
                  <w:tcW w:w="405" w:type="pct"/>
                  <w:tcBorders>
                    <w:tl2br w:val="nil"/>
                    <w:tr2bl w:val="nil"/>
                  </w:tcBorders>
                  <w:noWrap w:val="0"/>
                  <w:vAlign w:val="center"/>
                </w:tcPr>
                <w:p w14:paraId="337A596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来源</w:t>
                  </w:r>
                </w:p>
              </w:tc>
              <w:tc>
                <w:tcPr>
                  <w:tcW w:w="727" w:type="pct"/>
                  <w:tcBorders>
                    <w:tl2br w:val="nil"/>
                    <w:tr2bl w:val="nil"/>
                  </w:tcBorders>
                  <w:shd w:val="clear" w:color="auto" w:fill="auto"/>
                  <w:noWrap w:val="0"/>
                  <w:vAlign w:val="center"/>
                </w:tcPr>
                <w:p w14:paraId="4D4CEFC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最大存储量</w:t>
                  </w:r>
                </w:p>
              </w:tc>
              <w:tc>
                <w:tcPr>
                  <w:tcW w:w="623" w:type="pct"/>
                  <w:tcBorders>
                    <w:tl2br w:val="nil"/>
                    <w:tr2bl w:val="nil"/>
                  </w:tcBorders>
                  <w:noWrap w:val="0"/>
                  <w:vAlign w:val="center"/>
                </w:tcPr>
                <w:p w14:paraId="1EE38D5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存储位置</w:t>
                  </w:r>
                </w:p>
              </w:tc>
            </w:tr>
            <w:tr w14:paraId="7AEEB8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00DF374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21</w:t>
                  </w:r>
                </w:p>
              </w:tc>
              <w:tc>
                <w:tcPr>
                  <w:tcW w:w="1094" w:type="pct"/>
                  <w:tcBorders>
                    <w:tl2br w:val="nil"/>
                    <w:tr2bl w:val="nil"/>
                  </w:tcBorders>
                  <w:shd w:val="clear" w:color="auto" w:fill="auto"/>
                  <w:noWrap w:val="0"/>
                  <w:vAlign w:val="center"/>
                </w:tcPr>
                <w:p w14:paraId="2DD4DDC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硫酸汞（AR）</w:t>
                  </w:r>
                </w:p>
              </w:tc>
              <w:tc>
                <w:tcPr>
                  <w:tcW w:w="556" w:type="pct"/>
                  <w:tcBorders>
                    <w:tl2br w:val="nil"/>
                    <w:tr2bl w:val="nil"/>
                  </w:tcBorders>
                  <w:shd w:val="clear" w:color="auto" w:fill="auto"/>
                  <w:noWrap w:val="0"/>
                  <w:vAlign w:val="center"/>
                </w:tcPr>
                <w:p w14:paraId="3B07376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3.5kg</w:t>
                  </w:r>
                </w:p>
              </w:tc>
              <w:tc>
                <w:tcPr>
                  <w:tcW w:w="628" w:type="pct"/>
                  <w:tcBorders>
                    <w:tl2br w:val="nil"/>
                    <w:tr2bl w:val="nil"/>
                  </w:tcBorders>
                  <w:shd w:val="clear" w:color="auto" w:fill="auto"/>
                  <w:noWrap w:val="0"/>
                  <w:vAlign w:val="center"/>
                </w:tcPr>
                <w:p w14:paraId="7D7AF3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shd w:val="clear" w:color="auto" w:fill="auto"/>
                  <w:noWrap w:val="0"/>
                  <w:vAlign w:val="center"/>
                </w:tcPr>
                <w:p w14:paraId="12E56C4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58E2DD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F594BD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3.5kg</w:t>
                  </w:r>
                </w:p>
              </w:tc>
              <w:tc>
                <w:tcPr>
                  <w:tcW w:w="623" w:type="pct"/>
                  <w:tcBorders>
                    <w:tl2br w:val="nil"/>
                    <w:tr2bl w:val="nil"/>
                  </w:tcBorders>
                  <w:shd w:val="clear" w:color="auto" w:fill="auto"/>
                  <w:noWrap w:val="0"/>
                  <w:vAlign w:val="center"/>
                </w:tcPr>
                <w:p w14:paraId="4778347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73D0D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AD91AC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22</w:t>
                  </w:r>
                </w:p>
              </w:tc>
              <w:tc>
                <w:tcPr>
                  <w:tcW w:w="1094" w:type="pct"/>
                  <w:tcBorders>
                    <w:tl2br w:val="nil"/>
                    <w:tr2bl w:val="nil"/>
                  </w:tcBorders>
                  <w:shd w:val="clear" w:color="auto" w:fill="auto"/>
                  <w:noWrap w:val="0"/>
                  <w:vAlign w:val="center"/>
                </w:tcPr>
                <w:p w14:paraId="5766EF1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硫酸锰（无水二价）</w:t>
                  </w:r>
                </w:p>
              </w:tc>
              <w:tc>
                <w:tcPr>
                  <w:tcW w:w="556" w:type="pct"/>
                  <w:tcBorders>
                    <w:tl2br w:val="nil"/>
                    <w:tr2bl w:val="nil"/>
                  </w:tcBorders>
                  <w:shd w:val="clear" w:color="auto" w:fill="auto"/>
                  <w:noWrap w:val="0"/>
                  <w:vAlign w:val="center"/>
                </w:tcPr>
                <w:p w14:paraId="406F504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0.3kg</w:t>
                  </w:r>
                </w:p>
              </w:tc>
              <w:tc>
                <w:tcPr>
                  <w:tcW w:w="628" w:type="pct"/>
                  <w:tcBorders>
                    <w:tl2br w:val="nil"/>
                    <w:tr2bl w:val="nil"/>
                  </w:tcBorders>
                  <w:shd w:val="clear" w:color="auto" w:fill="auto"/>
                  <w:noWrap w:val="0"/>
                  <w:vAlign w:val="center"/>
                </w:tcPr>
                <w:p w14:paraId="6A4376E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shd w:val="clear" w:color="auto" w:fill="auto"/>
                  <w:noWrap w:val="0"/>
                  <w:vAlign w:val="center"/>
                </w:tcPr>
                <w:p w14:paraId="4AADE18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4A88493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C9BC84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0.3kg</w:t>
                  </w:r>
                </w:p>
              </w:tc>
              <w:tc>
                <w:tcPr>
                  <w:tcW w:w="623" w:type="pct"/>
                  <w:tcBorders>
                    <w:tl2br w:val="nil"/>
                    <w:tr2bl w:val="nil"/>
                  </w:tcBorders>
                  <w:shd w:val="clear" w:color="auto" w:fill="auto"/>
                  <w:noWrap w:val="0"/>
                  <w:vAlign w:val="center"/>
                </w:tcPr>
                <w:p w14:paraId="4C9949A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AAAF9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3F44386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23</w:t>
                  </w:r>
                </w:p>
              </w:tc>
              <w:tc>
                <w:tcPr>
                  <w:tcW w:w="1094" w:type="pct"/>
                  <w:tcBorders>
                    <w:tl2br w:val="nil"/>
                    <w:tr2bl w:val="nil"/>
                  </w:tcBorders>
                  <w:shd w:val="clear" w:color="auto" w:fill="auto"/>
                  <w:noWrap w:val="0"/>
                  <w:vAlign w:val="center"/>
                </w:tcPr>
                <w:p w14:paraId="02F007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硫酸锌（AR）</w:t>
                  </w:r>
                </w:p>
              </w:tc>
              <w:tc>
                <w:tcPr>
                  <w:tcW w:w="556" w:type="pct"/>
                  <w:tcBorders>
                    <w:tl2br w:val="nil"/>
                    <w:tr2bl w:val="nil"/>
                  </w:tcBorders>
                  <w:shd w:val="clear" w:color="auto" w:fill="auto"/>
                  <w:noWrap w:val="0"/>
                  <w:vAlign w:val="center"/>
                </w:tcPr>
                <w:p w14:paraId="20F5C03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70BF568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shd w:val="clear" w:color="auto" w:fill="auto"/>
                  <w:noWrap w:val="0"/>
                  <w:vAlign w:val="center"/>
                </w:tcPr>
                <w:p w14:paraId="4C73D3E3">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4DDB90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C92B76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1D9E7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779EDC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7F66E6E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24</w:t>
                  </w:r>
                </w:p>
              </w:tc>
              <w:tc>
                <w:tcPr>
                  <w:tcW w:w="1094" w:type="pct"/>
                  <w:tcBorders>
                    <w:tl2br w:val="nil"/>
                    <w:tr2bl w:val="nil"/>
                  </w:tcBorders>
                  <w:shd w:val="clear" w:color="auto" w:fill="auto"/>
                  <w:noWrap w:val="0"/>
                  <w:vAlign w:val="center"/>
                </w:tcPr>
                <w:p w14:paraId="3FB4C52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硫酸铝钾（AR）</w:t>
                  </w:r>
                </w:p>
              </w:tc>
              <w:tc>
                <w:tcPr>
                  <w:tcW w:w="556" w:type="pct"/>
                  <w:tcBorders>
                    <w:tl2br w:val="nil"/>
                    <w:tr2bl w:val="nil"/>
                  </w:tcBorders>
                  <w:shd w:val="clear" w:color="auto" w:fill="auto"/>
                  <w:noWrap w:val="0"/>
                  <w:vAlign w:val="center"/>
                </w:tcPr>
                <w:p w14:paraId="643149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7CA56A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shd w:val="clear" w:color="auto" w:fill="auto"/>
                  <w:noWrap w:val="0"/>
                  <w:vAlign w:val="center"/>
                </w:tcPr>
                <w:p w14:paraId="7DD5ED20">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986E52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47E881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6F2D005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BED5DB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2DDCAC4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w:t>
                  </w:r>
                </w:p>
              </w:tc>
              <w:tc>
                <w:tcPr>
                  <w:tcW w:w="1094" w:type="pct"/>
                  <w:tcBorders>
                    <w:tl2br w:val="nil"/>
                    <w:tr2bl w:val="nil"/>
                  </w:tcBorders>
                  <w:shd w:val="clear" w:color="auto" w:fill="auto"/>
                  <w:noWrap w:val="0"/>
                  <w:vAlign w:val="center"/>
                </w:tcPr>
                <w:p w14:paraId="351FA6D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硫酸亚铁铵（AR）</w:t>
                  </w:r>
                </w:p>
              </w:tc>
              <w:tc>
                <w:tcPr>
                  <w:tcW w:w="556" w:type="pct"/>
                  <w:tcBorders>
                    <w:tl2br w:val="nil"/>
                    <w:tr2bl w:val="nil"/>
                  </w:tcBorders>
                  <w:shd w:val="clear" w:color="auto" w:fill="auto"/>
                  <w:noWrap w:val="0"/>
                  <w:vAlign w:val="center"/>
                </w:tcPr>
                <w:p w14:paraId="43F8A8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5B14CF5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shd w:val="clear" w:color="auto" w:fill="auto"/>
                  <w:noWrap w:val="0"/>
                  <w:vAlign w:val="center"/>
                </w:tcPr>
                <w:p w14:paraId="198514C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D04012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C97944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2C4C15D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29501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B2C140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26</w:t>
                  </w:r>
                </w:p>
              </w:tc>
              <w:tc>
                <w:tcPr>
                  <w:tcW w:w="1094" w:type="pct"/>
                  <w:tcBorders>
                    <w:tl2br w:val="nil"/>
                    <w:tr2bl w:val="nil"/>
                  </w:tcBorders>
                  <w:noWrap w:val="0"/>
                  <w:vAlign w:val="center"/>
                </w:tcPr>
                <w:p w14:paraId="1B5AB65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硫酸镁（七水）(AR)</w:t>
                  </w:r>
                </w:p>
              </w:tc>
              <w:tc>
                <w:tcPr>
                  <w:tcW w:w="556" w:type="pct"/>
                  <w:tcBorders>
                    <w:tl2br w:val="nil"/>
                    <w:tr2bl w:val="nil"/>
                  </w:tcBorders>
                  <w:noWrap w:val="0"/>
                  <w:vAlign w:val="center"/>
                </w:tcPr>
                <w:p w14:paraId="6907201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178425E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B9F51C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162A676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26D1D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42991CA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AB58E1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3A9053D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27</w:t>
                  </w:r>
                </w:p>
              </w:tc>
              <w:tc>
                <w:tcPr>
                  <w:tcW w:w="1094" w:type="pct"/>
                  <w:tcBorders>
                    <w:tl2br w:val="nil"/>
                    <w:tr2bl w:val="nil"/>
                  </w:tcBorders>
                  <w:noWrap w:val="0"/>
                  <w:vAlign w:val="center"/>
                </w:tcPr>
                <w:p w14:paraId="3DF6F98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磷酸氢二钠(AR)</w:t>
                  </w:r>
                </w:p>
              </w:tc>
              <w:tc>
                <w:tcPr>
                  <w:tcW w:w="556" w:type="pct"/>
                  <w:tcBorders>
                    <w:tl2br w:val="nil"/>
                    <w:tr2bl w:val="nil"/>
                  </w:tcBorders>
                  <w:noWrap w:val="0"/>
                  <w:vAlign w:val="center"/>
                </w:tcPr>
                <w:p w14:paraId="3DA1469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C634D2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23A9A22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064E3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D6296F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B67111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DF2B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CCD68B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28</w:t>
                  </w:r>
                </w:p>
              </w:tc>
              <w:tc>
                <w:tcPr>
                  <w:tcW w:w="1094" w:type="pct"/>
                  <w:tcBorders>
                    <w:tl2br w:val="nil"/>
                    <w:tr2bl w:val="nil"/>
                  </w:tcBorders>
                  <w:noWrap w:val="0"/>
                  <w:vAlign w:val="center"/>
                </w:tcPr>
                <w:p w14:paraId="485BB79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磷酸氢二钾(AR)</w:t>
                  </w:r>
                </w:p>
              </w:tc>
              <w:tc>
                <w:tcPr>
                  <w:tcW w:w="556" w:type="pct"/>
                  <w:tcBorders>
                    <w:tl2br w:val="nil"/>
                    <w:tr2bl w:val="nil"/>
                  </w:tcBorders>
                  <w:noWrap w:val="0"/>
                  <w:vAlign w:val="center"/>
                </w:tcPr>
                <w:p w14:paraId="28942BF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4AE988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777951F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3BB0A3A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943CF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6686D3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722DF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D23D02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29</w:t>
                  </w:r>
                </w:p>
              </w:tc>
              <w:tc>
                <w:tcPr>
                  <w:tcW w:w="1094" w:type="pct"/>
                  <w:tcBorders>
                    <w:tl2br w:val="nil"/>
                    <w:tr2bl w:val="nil"/>
                  </w:tcBorders>
                  <w:noWrap w:val="0"/>
                  <w:vAlign w:val="center"/>
                </w:tcPr>
                <w:p w14:paraId="6F3B0F3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磷酸氢二钠(七水)(AR)</w:t>
                  </w:r>
                </w:p>
              </w:tc>
              <w:tc>
                <w:tcPr>
                  <w:tcW w:w="556" w:type="pct"/>
                  <w:tcBorders>
                    <w:tl2br w:val="nil"/>
                    <w:tr2bl w:val="nil"/>
                  </w:tcBorders>
                  <w:noWrap w:val="0"/>
                  <w:vAlign w:val="center"/>
                </w:tcPr>
                <w:p w14:paraId="16EF8A2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57F871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6EB46E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3E0F941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BD97F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411F257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A0752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028875F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30</w:t>
                  </w:r>
                </w:p>
              </w:tc>
              <w:tc>
                <w:tcPr>
                  <w:tcW w:w="1094" w:type="pct"/>
                  <w:tcBorders>
                    <w:tl2br w:val="nil"/>
                    <w:tr2bl w:val="nil"/>
                  </w:tcBorders>
                  <w:noWrap w:val="0"/>
                  <w:vAlign w:val="center"/>
                </w:tcPr>
                <w:p w14:paraId="09B974D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磷酸二氢钾（AR）</w:t>
                  </w:r>
                </w:p>
              </w:tc>
              <w:tc>
                <w:tcPr>
                  <w:tcW w:w="556" w:type="pct"/>
                  <w:tcBorders>
                    <w:tl2br w:val="nil"/>
                    <w:tr2bl w:val="nil"/>
                  </w:tcBorders>
                  <w:noWrap w:val="0"/>
                  <w:vAlign w:val="center"/>
                </w:tcPr>
                <w:p w14:paraId="7352579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551DD22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66475B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120237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E78D85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7A6D27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2C7B1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982000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31</w:t>
                  </w:r>
                </w:p>
              </w:tc>
              <w:tc>
                <w:tcPr>
                  <w:tcW w:w="1094" w:type="pct"/>
                  <w:tcBorders>
                    <w:tl2br w:val="nil"/>
                    <w:tr2bl w:val="nil"/>
                  </w:tcBorders>
                  <w:noWrap w:val="0"/>
                  <w:vAlign w:val="center"/>
                </w:tcPr>
                <w:p w14:paraId="0C12C03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碳酸钠（AR）</w:t>
                  </w:r>
                </w:p>
              </w:tc>
              <w:tc>
                <w:tcPr>
                  <w:tcW w:w="556" w:type="pct"/>
                  <w:tcBorders>
                    <w:tl2br w:val="nil"/>
                    <w:tr2bl w:val="nil"/>
                  </w:tcBorders>
                  <w:noWrap w:val="0"/>
                  <w:vAlign w:val="center"/>
                </w:tcPr>
                <w:p w14:paraId="190EBF3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34516B5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FB2D38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1FCE47A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229F78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635C140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EABB4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2" w:hRule="atLeast"/>
                <w:jc w:val="center"/>
              </w:trPr>
              <w:tc>
                <w:tcPr>
                  <w:tcW w:w="386" w:type="pct"/>
                  <w:tcBorders>
                    <w:tl2br w:val="nil"/>
                    <w:tr2bl w:val="nil"/>
                  </w:tcBorders>
                  <w:noWrap w:val="0"/>
                  <w:vAlign w:val="center"/>
                </w:tcPr>
                <w:p w14:paraId="499C17E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32</w:t>
                  </w:r>
                </w:p>
              </w:tc>
              <w:tc>
                <w:tcPr>
                  <w:tcW w:w="1094" w:type="pct"/>
                  <w:tcBorders>
                    <w:tl2br w:val="nil"/>
                    <w:tr2bl w:val="nil"/>
                  </w:tcBorders>
                  <w:noWrap w:val="0"/>
                  <w:vAlign w:val="center"/>
                </w:tcPr>
                <w:p w14:paraId="442F413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碳酸氢钠（AR）</w:t>
                  </w:r>
                </w:p>
              </w:tc>
              <w:tc>
                <w:tcPr>
                  <w:tcW w:w="556" w:type="pct"/>
                  <w:tcBorders>
                    <w:tl2br w:val="nil"/>
                    <w:tr2bl w:val="nil"/>
                  </w:tcBorders>
                  <w:noWrap w:val="0"/>
                  <w:vAlign w:val="center"/>
                </w:tcPr>
                <w:p w14:paraId="086E28F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E60E3A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6E4932D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2ADF4A7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C350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3D74303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59E6C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7B42FB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33</w:t>
                  </w:r>
                </w:p>
              </w:tc>
              <w:tc>
                <w:tcPr>
                  <w:tcW w:w="1094" w:type="pct"/>
                  <w:tcBorders>
                    <w:tl2br w:val="nil"/>
                    <w:tr2bl w:val="nil"/>
                  </w:tcBorders>
                  <w:noWrap w:val="0"/>
                  <w:vAlign w:val="center"/>
                </w:tcPr>
                <w:p w14:paraId="2093927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乙酸铅（AR）</w:t>
                  </w:r>
                </w:p>
              </w:tc>
              <w:tc>
                <w:tcPr>
                  <w:tcW w:w="556" w:type="pct"/>
                  <w:tcBorders>
                    <w:tl2br w:val="nil"/>
                    <w:tr2bl w:val="nil"/>
                  </w:tcBorders>
                  <w:noWrap w:val="0"/>
                  <w:vAlign w:val="center"/>
                </w:tcPr>
                <w:p w14:paraId="22340DA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1kg</w:t>
                  </w:r>
                </w:p>
              </w:tc>
              <w:tc>
                <w:tcPr>
                  <w:tcW w:w="628" w:type="pct"/>
                  <w:tcBorders>
                    <w:tl2br w:val="nil"/>
                    <w:tr2bl w:val="nil"/>
                  </w:tcBorders>
                  <w:shd w:val="clear" w:color="auto" w:fill="auto"/>
                  <w:noWrap w:val="0"/>
                  <w:vAlign w:val="center"/>
                </w:tcPr>
                <w:p w14:paraId="4A7E4CB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1B275C6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44A78C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ADB131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1kg</w:t>
                  </w:r>
                </w:p>
              </w:tc>
              <w:tc>
                <w:tcPr>
                  <w:tcW w:w="623" w:type="pct"/>
                  <w:tcBorders>
                    <w:tl2br w:val="nil"/>
                    <w:tr2bl w:val="nil"/>
                  </w:tcBorders>
                  <w:shd w:val="clear" w:color="auto" w:fill="auto"/>
                  <w:noWrap w:val="0"/>
                  <w:vAlign w:val="center"/>
                </w:tcPr>
                <w:p w14:paraId="38BD661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60521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5A1B21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34</w:t>
                  </w:r>
                </w:p>
              </w:tc>
              <w:tc>
                <w:tcPr>
                  <w:tcW w:w="1094" w:type="pct"/>
                  <w:tcBorders>
                    <w:tl2br w:val="nil"/>
                    <w:tr2bl w:val="nil"/>
                  </w:tcBorders>
                  <w:noWrap w:val="0"/>
                  <w:vAlign w:val="center"/>
                </w:tcPr>
                <w:p w14:paraId="504A65B9">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乙酸铵（AR）</w:t>
                  </w:r>
                </w:p>
              </w:tc>
              <w:tc>
                <w:tcPr>
                  <w:tcW w:w="556" w:type="pct"/>
                  <w:tcBorders>
                    <w:tl2br w:val="nil"/>
                    <w:tr2bl w:val="nil"/>
                  </w:tcBorders>
                  <w:noWrap w:val="0"/>
                  <w:vAlign w:val="center"/>
                </w:tcPr>
                <w:p w14:paraId="7409426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0AB5E6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576F53B">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277F088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A86776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0C5A12F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66BE8A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505B79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35</w:t>
                  </w:r>
                </w:p>
              </w:tc>
              <w:tc>
                <w:tcPr>
                  <w:tcW w:w="1094" w:type="pct"/>
                  <w:tcBorders>
                    <w:tl2br w:val="nil"/>
                    <w:tr2bl w:val="nil"/>
                  </w:tcBorders>
                  <w:noWrap w:val="0"/>
                  <w:vAlign w:val="center"/>
                </w:tcPr>
                <w:p w14:paraId="3F7591A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盐酸羟胺（AR）</w:t>
                  </w:r>
                </w:p>
              </w:tc>
              <w:tc>
                <w:tcPr>
                  <w:tcW w:w="556" w:type="pct"/>
                  <w:tcBorders>
                    <w:tl2br w:val="nil"/>
                    <w:tr2bl w:val="nil"/>
                  </w:tcBorders>
                  <w:noWrap w:val="0"/>
                  <w:vAlign w:val="center"/>
                </w:tcPr>
                <w:p w14:paraId="26850A7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0.4kg</w:t>
                  </w:r>
                </w:p>
              </w:tc>
              <w:tc>
                <w:tcPr>
                  <w:tcW w:w="628" w:type="pct"/>
                  <w:tcBorders>
                    <w:tl2br w:val="nil"/>
                    <w:tr2bl w:val="nil"/>
                  </w:tcBorders>
                  <w:shd w:val="clear" w:color="auto" w:fill="auto"/>
                  <w:noWrap w:val="0"/>
                  <w:vAlign w:val="center"/>
                </w:tcPr>
                <w:p w14:paraId="4A8D736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7" w:type="pct"/>
                  <w:tcBorders>
                    <w:tl2br w:val="nil"/>
                    <w:tr2bl w:val="nil"/>
                  </w:tcBorders>
                  <w:noWrap w:val="0"/>
                  <w:vAlign w:val="center"/>
                </w:tcPr>
                <w:p w14:paraId="30C2E33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98.5%</w:t>
                  </w:r>
                </w:p>
              </w:tc>
              <w:tc>
                <w:tcPr>
                  <w:tcW w:w="405" w:type="pct"/>
                  <w:tcBorders>
                    <w:tl2br w:val="nil"/>
                    <w:tr2bl w:val="nil"/>
                  </w:tcBorders>
                  <w:shd w:val="clear" w:color="auto" w:fill="auto"/>
                  <w:noWrap w:val="0"/>
                  <w:vAlign w:val="center"/>
                </w:tcPr>
                <w:p w14:paraId="7F8BD1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E6AB8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0.4kg</w:t>
                  </w:r>
                </w:p>
              </w:tc>
              <w:tc>
                <w:tcPr>
                  <w:tcW w:w="623" w:type="pct"/>
                  <w:tcBorders>
                    <w:tl2br w:val="nil"/>
                    <w:tr2bl w:val="nil"/>
                  </w:tcBorders>
                  <w:shd w:val="clear" w:color="auto" w:fill="auto"/>
                  <w:noWrap w:val="0"/>
                  <w:vAlign w:val="center"/>
                </w:tcPr>
                <w:p w14:paraId="3FAB704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5A875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4236A5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36</w:t>
                  </w:r>
                </w:p>
              </w:tc>
              <w:tc>
                <w:tcPr>
                  <w:tcW w:w="1094" w:type="pct"/>
                  <w:tcBorders>
                    <w:tl2br w:val="nil"/>
                    <w:tr2bl w:val="nil"/>
                  </w:tcBorders>
                  <w:noWrap w:val="0"/>
                  <w:vAlign w:val="center"/>
                </w:tcPr>
                <w:p w14:paraId="03091E0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硼氢化钾（</w:t>
                  </w:r>
                  <w:r>
                    <w:rPr>
                      <w:rFonts w:hint="eastAsia" w:cs="Times New Roman"/>
                      <w:color w:val="auto"/>
                      <w:spacing w:val="0"/>
                      <w:sz w:val="18"/>
                      <w:szCs w:val="18"/>
                      <w:highlight w:val="none"/>
                      <w:lang w:val="en-US" w:eastAsia="zh-CN"/>
                    </w:rPr>
                    <w:t>A</w:t>
                  </w:r>
                  <w:r>
                    <w:rPr>
                      <w:rFonts w:hint="eastAsia" w:ascii="Times New Roman" w:hAnsi="Times New Roman" w:eastAsia="宋体" w:cs="Times New Roman"/>
                      <w:color w:val="auto"/>
                      <w:spacing w:val="0"/>
                      <w:sz w:val="18"/>
                      <w:szCs w:val="18"/>
                      <w:highlight w:val="none"/>
                      <w:lang w:val="en-US" w:eastAsia="zh-CN"/>
                    </w:rPr>
                    <w:t>R）</w:t>
                  </w:r>
                </w:p>
              </w:tc>
              <w:tc>
                <w:tcPr>
                  <w:tcW w:w="556" w:type="pct"/>
                  <w:tcBorders>
                    <w:tl2br w:val="nil"/>
                    <w:tr2bl w:val="nil"/>
                  </w:tcBorders>
                  <w:noWrap w:val="0"/>
                  <w:vAlign w:val="center"/>
                </w:tcPr>
                <w:p w14:paraId="118C9B99">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311B40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5746E97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97%</w:t>
                  </w:r>
                </w:p>
              </w:tc>
              <w:tc>
                <w:tcPr>
                  <w:tcW w:w="405" w:type="pct"/>
                  <w:tcBorders>
                    <w:tl2br w:val="nil"/>
                    <w:tr2bl w:val="nil"/>
                  </w:tcBorders>
                  <w:shd w:val="clear" w:color="auto" w:fill="auto"/>
                  <w:noWrap w:val="0"/>
                  <w:vAlign w:val="center"/>
                </w:tcPr>
                <w:p w14:paraId="19FA74F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F5FA46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08340B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A4F0F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4E3070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37</w:t>
                  </w:r>
                </w:p>
              </w:tc>
              <w:tc>
                <w:tcPr>
                  <w:tcW w:w="1094" w:type="pct"/>
                  <w:tcBorders>
                    <w:tl2br w:val="nil"/>
                    <w:tr2bl w:val="nil"/>
                  </w:tcBorders>
                  <w:noWrap w:val="0"/>
                  <w:vAlign w:val="center"/>
                </w:tcPr>
                <w:p w14:paraId="1EB1791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硫脲（AR）</w:t>
                  </w:r>
                </w:p>
              </w:tc>
              <w:tc>
                <w:tcPr>
                  <w:tcW w:w="556" w:type="pct"/>
                  <w:tcBorders>
                    <w:tl2br w:val="nil"/>
                    <w:tr2bl w:val="nil"/>
                  </w:tcBorders>
                  <w:noWrap w:val="0"/>
                  <w:vAlign w:val="center"/>
                </w:tcPr>
                <w:p w14:paraId="5FDC960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9kg</w:t>
                  </w:r>
                </w:p>
              </w:tc>
              <w:tc>
                <w:tcPr>
                  <w:tcW w:w="628" w:type="pct"/>
                  <w:tcBorders>
                    <w:tl2br w:val="nil"/>
                    <w:tr2bl w:val="nil"/>
                  </w:tcBorders>
                  <w:shd w:val="clear" w:color="auto" w:fill="auto"/>
                  <w:noWrap w:val="0"/>
                  <w:vAlign w:val="center"/>
                </w:tcPr>
                <w:p w14:paraId="6F714B0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752AA6A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0374A87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243C5A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9kg</w:t>
                  </w:r>
                </w:p>
              </w:tc>
              <w:tc>
                <w:tcPr>
                  <w:tcW w:w="623" w:type="pct"/>
                  <w:tcBorders>
                    <w:tl2br w:val="nil"/>
                    <w:tr2bl w:val="nil"/>
                  </w:tcBorders>
                  <w:shd w:val="clear" w:color="auto" w:fill="auto"/>
                  <w:noWrap w:val="0"/>
                  <w:vAlign w:val="center"/>
                </w:tcPr>
                <w:p w14:paraId="22FE89B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5E3577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02F1328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38</w:t>
                  </w:r>
                </w:p>
              </w:tc>
              <w:tc>
                <w:tcPr>
                  <w:tcW w:w="1094" w:type="pct"/>
                  <w:tcBorders>
                    <w:tl2br w:val="nil"/>
                    <w:tr2bl w:val="nil"/>
                  </w:tcBorders>
                  <w:noWrap w:val="0"/>
                  <w:vAlign w:val="center"/>
                </w:tcPr>
                <w:p w14:paraId="3BA67B2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高锰酸钾（AR）</w:t>
                  </w:r>
                </w:p>
              </w:tc>
              <w:tc>
                <w:tcPr>
                  <w:tcW w:w="556" w:type="pct"/>
                  <w:tcBorders>
                    <w:tl2br w:val="nil"/>
                    <w:tr2bl w:val="nil"/>
                  </w:tcBorders>
                  <w:noWrap w:val="0"/>
                  <w:vAlign w:val="center"/>
                </w:tcPr>
                <w:p w14:paraId="1D25344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10kg</w:t>
                  </w:r>
                </w:p>
              </w:tc>
              <w:tc>
                <w:tcPr>
                  <w:tcW w:w="628" w:type="pct"/>
                  <w:tcBorders>
                    <w:tl2br w:val="nil"/>
                    <w:tr2bl w:val="nil"/>
                  </w:tcBorders>
                  <w:shd w:val="clear" w:color="auto" w:fill="auto"/>
                  <w:noWrap w:val="0"/>
                  <w:vAlign w:val="center"/>
                </w:tcPr>
                <w:p w14:paraId="5443BB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2E01E90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51F633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36CC4E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10kg</w:t>
                  </w:r>
                </w:p>
              </w:tc>
              <w:tc>
                <w:tcPr>
                  <w:tcW w:w="623" w:type="pct"/>
                  <w:tcBorders>
                    <w:tl2br w:val="nil"/>
                    <w:tr2bl w:val="nil"/>
                  </w:tcBorders>
                  <w:shd w:val="clear" w:color="auto" w:fill="auto"/>
                  <w:noWrap w:val="0"/>
                  <w:vAlign w:val="center"/>
                </w:tcPr>
                <w:p w14:paraId="3AF1DEA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8395A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73F821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39</w:t>
                  </w:r>
                </w:p>
              </w:tc>
              <w:tc>
                <w:tcPr>
                  <w:tcW w:w="1094" w:type="pct"/>
                  <w:tcBorders>
                    <w:tl2br w:val="nil"/>
                    <w:tr2bl w:val="nil"/>
                  </w:tcBorders>
                  <w:noWrap w:val="0"/>
                  <w:vAlign w:val="center"/>
                </w:tcPr>
                <w:p w14:paraId="321117D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铬酸钾（AR）</w:t>
                  </w:r>
                </w:p>
              </w:tc>
              <w:tc>
                <w:tcPr>
                  <w:tcW w:w="556" w:type="pct"/>
                  <w:tcBorders>
                    <w:tl2br w:val="nil"/>
                    <w:tr2bl w:val="nil"/>
                  </w:tcBorders>
                  <w:noWrap w:val="0"/>
                  <w:vAlign w:val="center"/>
                </w:tcPr>
                <w:p w14:paraId="7E093F4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421D686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7B16427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B5DB56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1FCD27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797A466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F20BF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DFFF87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40</w:t>
                  </w:r>
                </w:p>
              </w:tc>
              <w:tc>
                <w:tcPr>
                  <w:tcW w:w="1094" w:type="pct"/>
                  <w:tcBorders>
                    <w:tl2br w:val="nil"/>
                    <w:tr2bl w:val="nil"/>
                  </w:tcBorders>
                  <w:noWrap w:val="0"/>
                  <w:vAlign w:val="center"/>
                </w:tcPr>
                <w:p w14:paraId="566D0FB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重铬酸钾（AR）</w:t>
                  </w:r>
                </w:p>
              </w:tc>
              <w:tc>
                <w:tcPr>
                  <w:tcW w:w="556" w:type="pct"/>
                  <w:tcBorders>
                    <w:tl2br w:val="nil"/>
                    <w:tr2bl w:val="nil"/>
                  </w:tcBorders>
                  <w:noWrap w:val="0"/>
                  <w:vAlign w:val="center"/>
                </w:tcPr>
                <w:p w14:paraId="2E1487A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646126F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6A70AD78">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7984343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3733D4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45A5D0C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08922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7D514F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41</w:t>
                  </w:r>
                </w:p>
              </w:tc>
              <w:tc>
                <w:tcPr>
                  <w:tcW w:w="1094" w:type="pct"/>
                  <w:tcBorders>
                    <w:tl2br w:val="nil"/>
                    <w:tr2bl w:val="nil"/>
                  </w:tcBorders>
                  <w:noWrap w:val="0"/>
                  <w:vAlign w:val="center"/>
                </w:tcPr>
                <w:p w14:paraId="52DF988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柠檬酸钠（AR）</w:t>
                  </w:r>
                </w:p>
              </w:tc>
              <w:tc>
                <w:tcPr>
                  <w:tcW w:w="556" w:type="pct"/>
                  <w:tcBorders>
                    <w:tl2br w:val="nil"/>
                    <w:tr2bl w:val="nil"/>
                  </w:tcBorders>
                  <w:noWrap w:val="0"/>
                  <w:vAlign w:val="center"/>
                </w:tcPr>
                <w:p w14:paraId="7143A96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1kg</w:t>
                  </w:r>
                </w:p>
              </w:tc>
              <w:tc>
                <w:tcPr>
                  <w:tcW w:w="628" w:type="pct"/>
                  <w:tcBorders>
                    <w:tl2br w:val="nil"/>
                    <w:tr2bl w:val="nil"/>
                  </w:tcBorders>
                  <w:shd w:val="clear" w:color="auto" w:fill="auto"/>
                  <w:noWrap w:val="0"/>
                  <w:vAlign w:val="center"/>
                </w:tcPr>
                <w:p w14:paraId="0745A9F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29E6BC9">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588DDA3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72F091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1kg</w:t>
                  </w:r>
                </w:p>
              </w:tc>
              <w:tc>
                <w:tcPr>
                  <w:tcW w:w="623" w:type="pct"/>
                  <w:tcBorders>
                    <w:tl2br w:val="nil"/>
                    <w:tr2bl w:val="nil"/>
                  </w:tcBorders>
                  <w:shd w:val="clear" w:color="auto" w:fill="auto"/>
                  <w:noWrap w:val="0"/>
                  <w:vAlign w:val="center"/>
                </w:tcPr>
                <w:p w14:paraId="0E6C7F6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41DF8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3E01737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42</w:t>
                  </w:r>
                </w:p>
              </w:tc>
              <w:tc>
                <w:tcPr>
                  <w:tcW w:w="1094" w:type="pct"/>
                  <w:tcBorders>
                    <w:tl2br w:val="nil"/>
                    <w:tr2bl w:val="nil"/>
                  </w:tcBorders>
                  <w:noWrap w:val="0"/>
                  <w:vAlign w:val="center"/>
                </w:tcPr>
                <w:p w14:paraId="0F43793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硅镁（AR）</w:t>
                  </w:r>
                </w:p>
              </w:tc>
              <w:tc>
                <w:tcPr>
                  <w:tcW w:w="556" w:type="pct"/>
                  <w:tcBorders>
                    <w:tl2br w:val="nil"/>
                    <w:tr2bl w:val="nil"/>
                  </w:tcBorders>
                  <w:noWrap w:val="0"/>
                  <w:vAlign w:val="center"/>
                </w:tcPr>
                <w:p w14:paraId="5EE1434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2E76EC8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4C3C595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56AE37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FFA45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2FCD7A2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3C5DB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610F3083">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43</w:t>
                  </w:r>
                </w:p>
              </w:tc>
              <w:tc>
                <w:tcPr>
                  <w:tcW w:w="1094" w:type="pct"/>
                  <w:tcBorders>
                    <w:tl2br w:val="nil"/>
                    <w:tr2bl w:val="nil"/>
                  </w:tcBorders>
                  <w:noWrap w:val="0"/>
                  <w:vAlign w:val="center"/>
                </w:tcPr>
                <w:p w14:paraId="62F9052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二氯化汞(AR)</w:t>
                  </w:r>
                </w:p>
              </w:tc>
              <w:tc>
                <w:tcPr>
                  <w:tcW w:w="556" w:type="pct"/>
                  <w:tcBorders>
                    <w:tl2br w:val="nil"/>
                    <w:tr2bl w:val="nil"/>
                  </w:tcBorders>
                  <w:noWrap w:val="0"/>
                  <w:vAlign w:val="center"/>
                </w:tcPr>
                <w:p w14:paraId="730FEE0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0.3kg</w:t>
                  </w:r>
                </w:p>
              </w:tc>
              <w:tc>
                <w:tcPr>
                  <w:tcW w:w="628" w:type="pct"/>
                  <w:tcBorders>
                    <w:tl2br w:val="nil"/>
                    <w:tr2bl w:val="nil"/>
                  </w:tcBorders>
                  <w:shd w:val="clear" w:color="auto" w:fill="auto"/>
                  <w:noWrap w:val="0"/>
                  <w:vAlign w:val="center"/>
                </w:tcPr>
                <w:p w14:paraId="0E4D8E2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214459F1">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99.7%</w:t>
                  </w:r>
                </w:p>
              </w:tc>
              <w:tc>
                <w:tcPr>
                  <w:tcW w:w="405" w:type="pct"/>
                  <w:tcBorders>
                    <w:tl2br w:val="nil"/>
                    <w:tr2bl w:val="nil"/>
                  </w:tcBorders>
                  <w:shd w:val="clear" w:color="auto" w:fill="auto"/>
                  <w:noWrap w:val="0"/>
                  <w:vAlign w:val="center"/>
                </w:tcPr>
                <w:p w14:paraId="7CB78D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5CACAC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0.3kg</w:t>
                  </w:r>
                </w:p>
              </w:tc>
              <w:tc>
                <w:tcPr>
                  <w:tcW w:w="623" w:type="pct"/>
                  <w:tcBorders>
                    <w:tl2br w:val="nil"/>
                    <w:tr2bl w:val="nil"/>
                  </w:tcBorders>
                  <w:shd w:val="clear" w:color="auto" w:fill="auto"/>
                  <w:noWrap w:val="0"/>
                  <w:vAlign w:val="center"/>
                </w:tcPr>
                <w:p w14:paraId="0379F7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8CC629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707CA75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44</w:t>
                  </w:r>
                </w:p>
              </w:tc>
              <w:tc>
                <w:tcPr>
                  <w:tcW w:w="1094" w:type="pct"/>
                  <w:tcBorders>
                    <w:tl2br w:val="nil"/>
                    <w:tr2bl w:val="nil"/>
                  </w:tcBorders>
                  <w:noWrap w:val="0"/>
                  <w:vAlign w:val="center"/>
                </w:tcPr>
                <w:p w14:paraId="16A60A2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氨基磺酸（AR）</w:t>
                  </w:r>
                </w:p>
              </w:tc>
              <w:tc>
                <w:tcPr>
                  <w:tcW w:w="556" w:type="pct"/>
                  <w:tcBorders>
                    <w:tl2br w:val="nil"/>
                    <w:tr2bl w:val="nil"/>
                  </w:tcBorders>
                  <w:noWrap w:val="0"/>
                  <w:vAlign w:val="center"/>
                </w:tcPr>
                <w:p w14:paraId="3078AA9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0.1kg</w:t>
                  </w:r>
                </w:p>
              </w:tc>
              <w:tc>
                <w:tcPr>
                  <w:tcW w:w="628" w:type="pct"/>
                  <w:tcBorders>
                    <w:tl2br w:val="nil"/>
                    <w:tr2bl w:val="nil"/>
                  </w:tcBorders>
                  <w:shd w:val="clear" w:color="auto" w:fill="auto"/>
                  <w:noWrap w:val="0"/>
                  <w:vAlign w:val="center"/>
                </w:tcPr>
                <w:p w14:paraId="65EFFF5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7" w:type="pct"/>
                  <w:tcBorders>
                    <w:tl2br w:val="nil"/>
                    <w:tr2bl w:val="nil"/>
                  </w:tcBorders>
                  <w:noWrap w:val="0"/>
                  <w:vAlign w:val="center"/>
                </w:tcPr>
                <w:p w14:paraId="433E035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715F8ED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3E4057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0.1kg</w:t>
                  </w:r>
                </w:p>
              </w:tc>
              <w:tc>
                <w:tcPr>
                  <w:tcW w:w="623" w:type="pct"/>
                  <w:tcBorders>
                    <w:tl2br w:val="nil"/>
                    <w:tr2bl w:val="nil"/>
                  </w:tcBorders>
                  <w:shd w:val="clear" w:color="auto" w:fill="auto"/>
                  <w:noWrap w:val="0"/>
                  <w:vAlign w:val="center"/>
                </w:tcPr>
                <w:p w14:paraId="60C7300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8018B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4E824DA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45</w:t>
                  </w:r>
                </w:p>
              </w:tc>
              <w:tc>
                <w:tcPr>
                  <w:tcW w:w="1094" w:type="pct"/>
                  <w:tcBorders>
                    <w:tl2br w:val="nil"/>
                    <w:tr2bl w:val="nil"/>
                  </w:tcBorders>
                  <w:noWrap w:val="0"/>
                  <w:vAlign w:val="center"/>
                </w:tcPr>
                <w:p w14:paraId="3D5F0EA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钼酸铵（AR）</w:t>
                  </w:r>
                </w:p>
              </w:tc>
              <w:tc>
                <w:tcPr>
                  <w:tcW w:w="556" w:type="pct"/>
                  <w:tcBorders>
                    <w:tl2br w:val="nil"/>
                    <w:tr2bl w:val="nil"/>
                  </w:tcBorders>
                  <w:noWrap w:val="0"/>
                  <w:vAlign w:val="center"/>
                </w:tcPr>
                <w:p w14:paraId="61709FA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0D7716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572DFB8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8374A2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73B1A6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45EAB9E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5BF0B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4CBAB8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46</w:t>
                  </w:r>
                </w:p>
              </w:tc>
              <w:tc>
                <w:tcPr>
                  <w:tcW w:w="1094" w:type="pct"/>
                  <w:tcBorders>
                    <w:tl2br w:val="nil"/>
                    <w:tr2bl w:val="nil"/>
                  </w:tcBorders>
                  <w:noWrap w:val="0"/>
                  <w:vAlign w:val="center"/>
                </w:tcPr>
                <w:p w14:paraId="0D6133E5">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酒石酸锑钾（CP)</w:t>
                  </w:r>
                </w:p>
              </w:tc>
              <w:tc>
                <w:tcPr>
                  <w:tcW w:w="556" w:type="pct"/>
                  <w:tcBorders>
                    <w:tl2br w:val="nil"/>
                    <w:tr2bl w:val="nil"/>
                  </w:tcBorders>
                  <w:noWrap w:val="0"/>
                  <w:vAlign w:val="center"/>
                </w:tcPr>
                <w:p w14:paraId="6E680CA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DD1CA1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41FE32B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33ACF0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A565E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1478DD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3DC5E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8CD784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47</w:t>
                  </w:r>
                </w:p>
              </w:tc>
              <w:tc>
                <w:tcPr>
                  <w:tcW w:w="1094" w:type="pct"/>
                  <w:tcBorders>
                    <w:tl2br w:val="nil"/>
                    <w:tr2bl w:val="nil"/>
                  </w:tcBorders>
                  <w:noWrap w:val="0"/>
                  <w:vAlign w:val="center"/>
                </w:tcPr>
                <w:p w14:paraId="35496B3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EDTA(AR)</w:t>
                  </w:r>
                </w:p>
              </w:tc>
              <w:tc>
                <w:tcPr>
                  <w:tcW w:w="556" w:type="pct"/>
                  <w:tcBorders>
                    <w:tl2br w:val="nil"/>
                    <w:tr2bl w:val="nil"/>
                  </w:tcBorders>
                  <w:noWrap w:val="0"/>
                  <w:vAlign w:val="center"/>
                </w:tcPr>
                <w:p w14:paraId="04306B3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1.25kg</w:t>
                  </w:r>
                </w:p>
              </w:tc>
              <w:tc>
                <w:tcPr>
                  <w:tcW w:w="628" w:type="pct"/>
                  <w:tcBorders>
                    <w:tl2br w:val="nil"/>
                    <w:tr2bl w:val="nil"/>
                  </w:tcBorders>
                  <w:shd w:val="clear" w:color="auto" w:fill="auto"/>
                  <w:noWrap w:val="0"/>
                  <w:vAlign w:val="center"/>
                </w:tcPr>
                <w:p w14:paraId="3A9BAC1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3235806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31449B3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12C1B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1.25kg</w:t>
                  </w:r>
                </w:p>
              </w:tc>
              <w:tc>
                <w:tcPr>
                  <w:tcW w:w="623" w:type="pct"/>
                  <w:tcBorders>
                    <w:tl2br w:val="nil"/>
                    <w:tr2bl w:val="nil"/>
                  </w:tcBorders>
                  <w:shd w:val="clear" w:color="auto" w:fill="auto"/>
                  <w:noWrap w:val="0"/>
                  <w:vAlign w:val="center"/>
                </w:tcPr>
                <w:p w14:paraId="49FBFA0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3C6AE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4D9305B">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48</w:t>
                  </w:r>
                </w:p>
              </w:tc>
              <w:tc>
                <w:tcPr>
                  <w:tcW w:w="1094" w:type="pct"/>
                  <w:tcBorders>
                    <w:tl2br w:val="nil"/>
                    <w:tr2bl w:val="nil"/>
                  </w:tcBorders>
                  <w:noWrap w:val="0"/>
                  <w:vAlign w:val="center"/>
                </w:tcPr>
                <w:p w14:paraId="55E3D73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邻苯二甲酸氢钾(基准）</w:t>
                  </w:r>
                </w:p>
              </w:tc>
              <w:tc>
                <w:tcPr>
                  <w:tcW w:w="556" w:type="pct"/>
                  <w:tcBorders>
                    <w:tl2br w:val="nil"/>
                    <w:tr2bl w:val="nil"/>
                  </w:tcBorders>
                  <w:noWrap w:val="0"/>
                  <w:vAlign w:val="center"/>
                </w:tcPr>
                <w:p w14:paraId="398DEF5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0.6kg</w:t>
                  </w:r>
                </w:p>
              </w:tc>
              <w:tc>
                <w:tcPr>
                  <w:tcW w:w="628" w:type="pct"/>
                  <w:tcBorders>
                    <w:tl2br w:val="nil"/>
                    <w:tr2bl w:val="nil"/>
                  </w:tcBorders>
                  <w:shd w:val="clear" w:color="auto" w:fill="auto"/>
                  <w:noWrap w:val="0"/>
                  <w:vAlign w:val="center"/>
                </w:tcPr>
                <w:p w14:paraId="3D81992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37006AFF">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99.96%</w:t>
                  </w:r>
                </w:p>
              </w:tc>
              <w:tc>
                <w:tcPr>
                  <w:tcW w:w="405" w:type="pct"/>
                  <w:tcBorders>
                    <w:tl2br w:val="nil"/>
                    <w:tr2bl w:val="nil"/>
                  </w:tcBorders>
                  <w:shd w:val="clear" w:color="auto" w:fill="auto"/>
                  <w:noWrap w:val="0"/>
                  <w:vAlign w:val="center"/>
                </w:tcPr>
                <w:p w14:paraId="1E35880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CE93E3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0.6kg</w:t>
                  </w:r>
                </w:p>
              </w:tc>
              <w:tc>
                <w:tcPr>
                  <w:tcW w:w="623" w:type="pct"/>
                  <w:tcBorders>
                    <w:tl2br w:val="nil"/>
                    <w:tr2bl w:val="nil"/>
                  </w:tcBorders>
                  <w:shd w:val="clear" w:color="auto" w:fill="auto"/>
                  <w:noWrap w:val="0"/>
                  <w:vAlign w:val="center"/>
                </w:tcPr>
                <w:p w14:paraId="77FFAC1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D7F6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A8DF19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49</w:t>
                  </w:r>
                </w:p>
              </w:tc>
              <w:tc>
                <w:tcPr>
                  <w:tcW w:w="1094" w:type="pct"/>
                  <w:tcBorders>
                    <w:tl2br w:val="nil"/>
                    <w:tr2bl w:val="nil"/>
                  </w:tcBorders>
                  <w:noWrap w:val="0"/>
                  <w:vAlign w:val="center"/>
                </w:tcPr>
                <w:p w14:paraId="6A41CCE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尿(AR)</w:t>
                  </w:r>
                </w:p>
              </w:tc>
              <w:tc>
                <w:tcPr>
                  <w:tcW w:w="556" w:type="pct"/>
                  <w:tcBorders>
                    <w:tl2br w:val="nil"/>
                    <w:tr2bl w:val="nil"/>
                  </w:tcBorders>
                  <w:noWrap w:val="0"/>
                  <w:vAlign w:val="center"/>
                </w:tcPr>
                <w:p w14:paraId="0305AB2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2kg</w:t>
                  </w:r>
                </w:p>
              </w:tc>
              <w:tc>
                <w:tcPr>
                  <w:tcW w:w="628" w:type="pct"/>
                  <w:tcBorders>
                    <w:tl2br w:val="nil"/>
                    <w:tr2bl w:val="nil"/>
                  </w:tcBorders>
                  <w:shd w:val="clear" w:color="auto" w:fill="auto"/>
                  <w:noWrap w:val="0"/>
                  <w:vAlign w:val="center"/>
                </w:tcPr>
                <w:p w14:paraId="4159A8A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57A41119">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5A00FD0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5975D4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2kg</w:t>
                  </w:r>
                </w:p>
              </w:tc>
              <w:tc>
                <w:tcPr>
                  <w:tcW w:w="623" w:type="pct"/>
                  <w:tcBorders>
                    <w:tl2br w:val="nil"/>
                    <w:tr2bl w:val="nil"/>
                  </w:tcBorders>
                  <w:shd w:val="clear" w:color="auto" w:fill="auto"/>
                  <w:noWrap w:val="0"/>
                  <w:vAlign w:val="center"/>
                </w:tcPr>
                <w:p w14:paraId="1B11AF8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C29E2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153B16F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50</w:t>
                  </w:r>
                </w:p>
              </w:tc>
              <w:tc>
                <w:tcPr>
                  <w:tcW w:w="1094" w:type="pct"/>
                  <w:tcBorders>
                    <w:tl2br w:val="nil"/>
                    <w:tr2bl w:val="nil"/>
                  </w:tcBorders>
                  <w:noWrap w:val="0"/>
                  <w:vAlign w:val="center"/>
                </w:tcPr>
                <w:p w14:paraId="4485903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抗坏血栓（AR）</w:t>
                  </w:r>
                </w:p>
              </w:tc>
              <w:tc>
                <w:tcPr>
                  <w:tcW w:w="556" w:type="pct"/>
                  <w:tcBorders>
                    <w:tl2br w:val="nil"/>
                    <w:tr2bl w:val="nil"/>
                  </w:tcBorders>
                  <w:noWrap w:val="0"/>
                  <w:vAlign w:val="center"/>
                </w:tcPr>
                <w:p w14:paraId="286DA05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0.875kg</w:t>
                  </w:r>
                </w:p>
              </w:tc>
              <w:tc>
                <w:tcPr>
                  <w:tcW w:w="628" w:type="pct"/>
                  <w:tcBorders>
                    <w:tl2br w:val="nil"/>
                    <w:tr2bl w:val="nil"/>
                  </w:tcBorders>
                  <w:shd w:val="clear" w:color="auto" w:fill="auto"/>
                  <w:noWrap w:val="0"/>
                  <w:vAlign w:val="center"/>
                </w:tcPr>
                <w:p w14:paraId="1A1A9C7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7" w:type="pct"/>
                  <w:tcBorders>
                    <w:tl2br w:val="nil"/>
                    <w:tr2bl w:val="nil"/>
                  </w:tcBorders>
                  <w:shd w:val="clear" w:color="auto" w:fill="auto"/>
                  <w:noWrap w:val="0"/>
                  <w:vAlign w:val="center"/>
                </w:tcPr>
                <w:p w14:paraId="29D8DE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E7CE1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0E5B6B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0.875kg</w:t>
                  </w:r>
                </w:p>
              </w:tc>
              <w:tc>
                <w:tcPr>
                  <w:tcW w:w="623" w:type="pct"/>
                  <w:tcBorders>
                    <w:tl2br w:val="nil"/>
                    <w:tr2bl w:val="nil"/>
                  </w:tcBorders>
                  <w:shd w:val="clear" w:color="auto" w:fill="auto"/>
                  <w:noWrap w:val="0"/>
                  <w:vAlign w:val="center"/>
                </w:tcPr>
                <w:p w14:paraId="51AD637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C3694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537E667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51</w:t>
                  </w:r>
                </w:p>
              </w:tc>
              <w:tc>
                <w:tcPr>
                  <w:tcW w:w="1094" w:type="pct"/>
                  <w:tcBorders>
                    <w:tl2br w:val="nil"/>
                    <w:tr2bl w:val="nil"/>
                  </w:tcBorders>
                  <w:noWrap w:val="0"/>
                  <w:vAlign w:val="center"/>
                </w:tcPr>
                <w:p w14:paraId="18DD092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四硼酸钠（AR）</w:t>
                  </w:r>
                </w:p>
              </w:tc>
              <w:tc>
                <w:tcPr>
                  <w:tcW w:w="556" w:type="pct"/>
                  <w:tcBorders>
                    <w:tl2br w:val="nil"/>
                    <w:tr2bl w:val="nil"/>
                  </w:tcBorders>
                  <w:noWrap w:val="0"/>
                  <w:vAlign w:val="center"/>
                </w:tcPr>
                <w:p w14:paraId="49CD714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0.7kg</w:t>
                  </w:r>
                </w:p>
              </w:tc>
              <w:tc>
                <w:tcPr>
                  <w:tcW w:w="628" w:type="pct"/>
                  <w:tcBorders>
                    <w:tl2br w:val="nil"/>
                    <w:tr2bl w:val="nil"/>
                  </w:tcBorders>
                  <w:shd w:val="clear" w:color="auto" w:fill="auto"/>
                  <w:noWrap w:val="0"/>
                  <w:vAlign w:val="center"/>
                </w:tcPr>
                <w:p w14:paraId="17580CC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7" w:type="pct"/>
                  <w:tcBorders>
                    <w:tl2br w:val="nil"/>
                    <w:tr2bl w:val="nil"/>
                  </w:tcBorders>
                  <w:noWrap w:val="0"/>
                  <w:vAlign w:val="center"/>
                </w:tcPr>
                <w:p w14:paraId="5B5D798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p>
              </w:tc>
              <w:tc>
                <w:tcPr>
                  <w:tcW w:w="405" w:type="pct"/>
                  <w:tcBorders>
                    <w:tl2br w:val="nil"/>
                    <w:tr2bl w:val="nil"/>
                  </w:tcBorders>
                  <w:shd w:val="clear" w:color="auto" w:fill="auto"/>
                  <w:noWrap w:val="0"/>
                  <w:vAlign w:val="center"/>
                </w:tcPr>
                <w:p w14:paraId="1C998FB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D28350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0.7kg</w:t>
                  </w:r>
                </w:p>
              </w:tc>
              <w:tc>
                <w:tcPr>
                  <w:tcW w:w="623" w:type="pct"/>
                  <w:tcBorders>
                    <w:tl2br w:val="nil"/>
                    <w:tr2bl w:val="nil"/>
                  </w:tcBorders>
                  <w:shd w:val="clear" w:color="auto" w:fill="auto"/>
                  <w:noWrap w:val="0"/>
                  <w:vAlign w:val="center"/>
                </w:tcPr>
                <w:p w14:paraId="1B80D4B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67818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4DDF63E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52</w:t>
                  </w:r>
                </w:p>
              </w:tc>
              <w:tc>
                <w:tcPr>
                  <w:tcW w:w="1094" w:type="pct"/>
                  <w:tcBorders>
                    <w:tl2br w:val="nil"/>
                    <w:tr2bl w:val="nil"/>
                  </w:tcBorders>
                  <w:noWrap w:val="0"/>
                  <w:vAlign w:val="center"/>
                </w:tcPr>
                <w:p w14:paraId="260EF57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变色硅胶</w:t>
                  </w:r>
                </w:p>
              </w:tc>
              <w:tc>
                <w:tcPr>
                  <w:tcW w:w="556" w:type="pct"/>
                  <w:tcBorders>
                    <w:tl2br w:val="nil"/>
                    <w:tr2bl w:val="nil"/>
                  </w:tcBorders>
                  <w:noWrap w:val="0"/>
                  <w:vAlign w:val="center"/>
                </w:tcPr>
                <w:p w14:paraId="1DF3E1F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28" w:type="pct"/>
                  <w:tcBorders>
                    <w:tl2br w:val="nil"/>
                    <w:tr2bl w:val="nil"/>
                  </w:tcBorders>
                  <w:shd w:val="clear" w:color="auto" w:fill="auto"/>
                  <w:noWrap w:val="0"/>
                  <w:vAlign w:val="center"/>
                </w:tcPr>
                <w:p w14:paraId="1A5AB19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3B7275D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2DD059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433899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63EB39CB">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7576A7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noWrap w:val="0"/>
                  <w:vAlign w:val="center"/>
                </w:tcPr>
                <w:p w14:paraId="2C0DA17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53</w:t>
                  </w:r>
                </w:p>
              </w:tc>
              <w:tc>
                <w:tcPr>
                  <w:tcW w:w="1094" w:type="pct"/>
                  <w:tcBorders>
                    <w:tl2br w:val="nil"/>
                    <w:tr2bl w:val="nil"/>
                  </w:tcBorders>
                  <w:noWrap w:val="0"/>
                  <w:vAlign w:val="center"/>
                </w:tcPr>
                <w:p w14:paraId="66E5C15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碘（AR）</w:t>
                  </w:r>
                </w:p>
              </w:tc>
              <w:tc>
                <w:tcPr>
                  <w:tcW w:w="556" w:type="pct"/>
                  <w:tcBorders>
                    <w:tl2br w:val="nil"/>
                    <w:tr2bl w:val="nil"/>
                  </w:tcBorders>
                  <w:noWrap w:val="0"/>
                  <w:vAlign w:val="center"/>
                </w:tcPr>
                <w:p w14:paraId="0896263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0.75kg</w:t>
                  </w:r>
                </w:p>
              </w:tc>
              <w:tc>
                <w:tcPr>
                  <w:tcW w:w="628" w:type="pct"/>
                  <w:tcBorders>
                    <w:tl2br w:val="nil"/>
                    <w:tr2bl w:val="nil"/>
                  </w:tcBorders>
                  <w:shd w:val="clear" w:color="auto" w:fill="auto"/>
                  <w:noWrap w:val="0"/>
                  <w:vAlign w:val="center"/>
                </w:tcPr>
                <w:p w14:paraId="3DE7EC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238C3E6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72A9627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792449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0.75kg</w:t>
                  </w:r>
                </w:p>
              </w:tc>
              <w:tc>
                <w:tcPr>
                  <w:tcW w:w="623" w:type="pct"/>
                  <w:tcBorders>
                    <w:tl2br w:val="nil"/>
                    <w:tr2bl w:val="nil"/>
                  </w:tcBorders>
                  <w:shd w:val="clear" w:color="auto" w:fill="auto"/>
                  <w:noWrap w:val="0"/>
                  <w:vAlign w:val="center"/>
                </w:tcPr>
                <w:p w14:paraId="17D519B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4B1DD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6" w:type="pct"/>
                  <w:tcBorders>
                    <w:tl2br w:val="nil"/>
                    <w:tr2bl w:val="nil"/>
                  </w:tcBorders>
                  <w:noWrap w:val="0"/>
                  <w:vAlign w:val="center"/>
                </w:tcPr>
                <w:p w14:paraId="788FA89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54</w:t>
                  </w:r>
                </w:p>
              </w:tc>
              <w:tc>
                <w:tcPr>
                  <w:tcW w:w="1094" w:type="pct"/>
                  <w:tcBorders>
                    <w:tl2br w:val="nil"/>
                    <w:tr2bl w:val="nil"/>
                  </w:tcBorders>
                  <w:noWrap w:val="0"/>
                  <w:vAlign w:val="center"/>
                </w:tcPr>
                <w:p w14:paraId="649AB0B2">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碘化钾（AR）</w:t>
                  </w:r>
                </w:p>
              </w:tc>
              <w:tc>
                <w:tcPr>
                  <w:tcW w:w="556" w:type="pct"/>
                  <w:tcBorders>
                    <w:tl2br w:val="nil"/>
                    <w:tr2bl w:val="nil"/>
                  </w:tcBorders>
                  <w:noWrap w:val="0"/>
                  <w:vAlign w:val="center"/>
                </w:tcPr>
                <w:p w14:paraId="6101845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1.5kg</w:t>
                  </w:r>
                </w:p>
              </w:tc>
              <w:tc>
                <w:tcPr>
                  <w:tcW w:w="628" w:type="pct"/>
                  <w:tcBorders>
                    <w:tl2br w:val="nil"/>
                    <w:tr2bl w:val="nil"/>
                  </w:tcBorders>
                  <w:shd w:val="clear" w:color="auto" w:fill="auto"/>
                  <w:noWrap w:val="0"/>
                  <w:vAlign w:val="center"/>
                </w:tcPr>
                <w:p w14:paraId="1262C35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7" w:type="pct"/>
                  <w:tcBorders>
                    <w:tl2br w:val="nil"/>
                    <w:tr2bl w:val="nil"/>
                  </w:tcBorders>
                  <w:noWrap w:val="0"/>
                  <w:vAlign w:val="center"/>
                </w:tcPr>
                <w:p w14:paraId="2C69FEA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77FD7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84AEEC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1.5kg</w:t>
                  </w:r>
                </w:p>
              </w:tc>
              <w:tc>
                <w:tcPr>
                  <w:tcW w:w="623" w:type="pct"/>
                  <w:tcBorders>
                    <w:tl2br w:val="nil"/>
                    <w:tr2bl w:val="nil"/>
                  </w:tcBorders>
                  <w:shd w:val="clear" w:color="auto" w:fill="auto"/>
                  <w:noWrap w:val="0"/>
                  <w:vAlign w:val="center"/>
                </w:tcPr>
                <w:p w14:paraId="5FA703A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979E2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B25987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55</w:t>
                  </w:r>
                </w:p>
              </w:tc>
              <w:tc>
                <w:tcPr>
                  <w:tcW w:w="1094" w:type="pct"/>
                  <w:tcBorders>
                    <w:tl2br w:val="nil"/>
                    <w:tr2bl w:val="nil"/>
                  </w:tcBorders>
                  <w:noWrap w:val="0"/>
                  <w:vAlign w:val="center"/>
                </w:tcPr>
                <w:p w14:paraId="3F346EA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营养琼脂（AR）</w:t>
                  </w:r>
                </w:p>
              </w:tc>
              <w:tc>
                <w:tcPr>
                  <w:tcW w:w="556" w:type="pct"/>
                  <w:tcBorders>
                    <w:tl2br w:val="nil"/>
                    <w:tr2bl w:val="nil"/>
                  </w:tcBorders>
                  <w:noWrap w:val="0"/>
                  <w:vAlign w:val="center"/>
                </w:tcPr>
                <w:p w14:paraId="7647EB09">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2BE4247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21A4A17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2DD5E5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CB84C4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1016A49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66E41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1AA6B26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56</w:t>
                  </w:r>
                </w:p>
              </w:tc>
              <w:tc>
                <w:tcPr>
                  <w:tcW w:w="1094" w:type="pct"/>
                  <w:tcBorders>
                    <w:tl2br w:val="nil"/>
                    <w:tr2bl w:val="nil"/>
                  </w:tcBorders>
                  <w:noWrap w:val="0"/>
                  <w:vAlign w:val="center"/>
                </w:tcPr>
                <w:p w14:paraId="5FE09406">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伊红美蓝琼脂（AR）</w:t>
                  </w:r>
                </w:p>
              </w:tc>
              <w:tc>
                <w:tcPr>
                  <w:tcW w:w="556" w:type="pct"/>
                  <w:tcBorders>
                    <w:tl2br w:val="nil"/>
                    <w:tr2bl w:val="nil"/>
                  </w:tcBorders>
                  <w:noWrap w:val="0"/>
                  <w:vAlign w:val="center"/>
                </w:tcPr>
                <w:p w14:paraId="722F109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3919881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6E96F6E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32D7454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09E812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348D2CE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F77E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5ABFF6C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57</w:t>
                  </w:r>
                </w:p>
              </w:tc>
              <w:tc>
                <w:tcPr>
                  <w:tcW w:w="1094" w:type="pct"/>
                  <w:tcBorders>
                    <w:tl2br w:val="nil"/>
                    <w:tr2bl w:val="nil"/>
                  </w:tcBorders>
                  <w:noWrap w:val="0"/>
                  <w:vAlign w:val="center"/>
                </w:tcPr>
                <w:p w14:paraId="10618AC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EC肉汤</w:t>
                  </w:r>
                </w:p>
              </w:tc>
              <w:tc>
                <w:tcPr>
                  <w:tcW w:w="556" w:type="pct"/>
                  <w:tcBorders>
                    <w:tl2br w:val="nil"/>
                    <w:tr2bl w:val="nil"/>
                  </w:tcBorders>
                  <w:noWrap w:val="0"/>
                  <w:vAlign w:val="center"/>
                </w:tcPr>
                <w:p w14:paraId="4ECF0CC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7B548E0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19D5EF4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6CBE208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65112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5DC82935">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519A3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2DC392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58</w:t>
                  </w:r>
                </w:p>
              </w:tc>
              <w:tc>
                <w:tcPr>
                  <w:tcW w:w="1094" w:type="pct"/>
                  <w:tcBorders>
                    <w:tl2br w:val="nil"/>
                    <w:tr2bl w:val="nil"/>
                  </w:tcBorders>
                  <w:noWrap w:val="0"/>
                  <w:vAlign w:val="center"/>
                </w:tcPr>
                <w:p w14:paraId="5D7EBB7E">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乳糖蛋白胨培养液（AR）</w:t>
                  </w:r>
                </w:p>
              </w:tc>
              <w:tc>
                <w:tcPr>
                  <w:tcW w:w="556" w:type="pct"/>
                  <w:tcBorders>
                    <w:tl2br w:val="nil"/>
                    <w:tr2bl w:val="nil"/>
                  </w:tcBorders>
                  <w:noWrap w:val="0"/>
                  <w:vAlign w:val="center"/>
                </w:tcPr>
                <w:p w14:paraId="55C49660">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3.75kg</w:t>
                  </w:r>
                </w:p>
              </w:tc>
              <w:tc>
                <w:tcPr>
                  <w:tcW w:w="628" w:type="pct"/>
                  <w:tcBorders>
                    <w:tl2br w:val="nil"/>
                    <w:tr2bl w:val="nil"/>
                  </w:tcBorders>
                  <w:shd w:val="clear" w:color="auto" w:fill="auto"/>
                  <w:noWrap w:val="0"/>
                  <w:vAlign w:val="center"/>
                </w:tcPr>
                <w:p w14:paraId="5653AF7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250g/瓶</w:t>
                  </w:r>
                </w:p>
              </w:tc>
              <w:tc>
                <w:tcPr>
                  <w:tcW w:w="577" w:type="pct"/>
                  <w:tcBorders>
                    <w:tl2br w:val="nil"/>
                    <w:tr2bl w:val="nil"/>
                  </w:tcBorders>
                  <w:noWrap w:val="0"/>
                  <w:vAlign w:val="center"/>
                </w:tcPr>
                <w:p w14:paraId="7FDA4F2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481DE15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AD95B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3.75kg</w:t>
                  </w:r>
                </w:p>
              </w:tc>
              <w:tc>
                <w:tcPr>
                  <w:tcW w:w="623" w:type="pct"/>
                  <w:tcBorders>
                    <w:tl2br w:val="nil"/>
                    <w:tr2bl w:val="nil"/>
                  </w:tcBorders>
                  <w:shd w:val="clear" w:color="auto" w:fill="auto"/>
                  <w:noWrap w:val="0"/>
                  <w:vAlign w:val="center"/>
                </w:tcPr>
                <w:p w14:paraId="28B094EC">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AB0B4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A80F3D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59</w:t>
                  </w:r>
                </w:p>
              </w:tc>
              <w:tc>
                <w:tcPr>
                  <w:tcW w:w="1094" w:type="pct"/>
                  <w:tcBorders>
                    <w:tl2br w:val="nil"/>
                    <w:tr2bl w:val="nil"/>
                  </w:tcBorders>
                  <w:noWrap w:val="0"/>
                  <w:vAlign w:val="center"/>
                </w:tcPr>
                <w:p w14:paraId="2DA3EC4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过氧化氢（AR）</w:t>
                  </w:r>
                </w:p>
              </w:tc>
              <w:tc>
                <w:tcPr>
                  <w:tcW w:w="556" w:type="pct"/>
                  <w:tcBorders>
                    <w:tl2br w:val="nil"/>
                    <w:tr2bl w:val="nil"/>
                  </w:tcBorders>
                  <w:noWrap w:val="0"/>
                  <w:vAlign w:val="center"/>
                </w:tcPr>
                <w:p w14:paraId="0ADCD61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7.5L</w:t>
                  </w:r>
                </w:p>
              </w:tc>
              <w:tc>
                <w:tcPr>
                  <w:tcW w:w="628" w:type="pct"/>
                  <w:tcBorders>
                    <w:tl2br w:val="nil"/>
                    <w:tr2bl w:val="nil"/>
                  </w:tcBorders>
                  <w:shd w:val="clear" w:color="auto" w:fill="auto"/>
                  <w:noWrap w:val="0"/>
                  <w:vAlign w:val="center"/>
                </w:tcPr>
                <w:p w14:paraId="3A50DB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shd w:val="clear" w:color="auto" w:fill="auto"/>
                  <w:noWrap w:val="0"/>
                  <w:vAlign w:val="center"/>
                </w:tcPr>
                <w:p w14:paraId="5D79DF5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30%</w:t>
                  </w:r>
                </w:p>
              </w:tc>
              <w:tc>
                <w:tcPr>
                  <w:tcW w:w="405" w:type="pct"/>
                  <w:tcBorders>
                    <w:tl2br w:val="nil"/>
                    <w:tr2bl w:val="nil"/>
                  </w:tcBorders>
                  <w:shd w:val="clear" w:color="auto" w:fill="auto"/>
                  <w:noWrap w:val="0"/>
                  <w:vAlign w:val="center"/>
                </w:tcPr>
                <w:p w14:paraId="4616243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3599BB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7.5L</w:t>
                  </w:r>
                </w:p>
              </w:tc>
              <w:tc>
                <w:tcPr>
                  <w:tcW w:w="623" w:type="pct"/>
                  <w:tcBorders>
                    <w:tl2br w:val="nil"/>
                    <w:tr2bl w:val="nil"/>
                  </w:tcBorders>
                  <w:shd w:val="clear" w:color="auto" w:fill="auto"/>
                  <w:noWrap w:val="0"/>
                  <w:vAlign w:val="center"/>
                </w:tcPr>
                <w:p w14:paraId="40605613">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E2BEF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6FE1F07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60</w:t>
                  </w:r>
                </w:p>
              </w:tc>
              <w:tc>
                <w:tcPr>
                  <w:tcW w:w="1094" w:type="pct"/>
                  <w:tcBorders>
                    <w:tl2br w:val="nil"/>
                    <w:tr2bl w:val="nil"/>
                  </w:tcBorders>
                  <w:noWrap w:val="0"/>
                  <w:vAlign w:val="center"/>
                </w:tcPr>
                <w:p w14:paraId="3E2125E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盐酸（AR）</w:t>
                  </w:r>
                </w:p>
              </w:tc>
              <w:tc>
                <w:tcPr>
                  <w:tcW w:w="556" w:type="pct"/>
                  <w:tcBorders>
                    <w:tl2br w:val="nil"/>
                    <w:tr2bl w:val="nil"/>
                  </w:tcBorders>
                  <w:noWrap w:val="0"/>
                  <w:vAlign w:val="center"/>
                </w:tcPr>
                <w:p w14:paraId="7ECCF81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28" w:type="pct"/>
                  <w:tcBorders>
                    <w:tl2br w:val="nil"/>
                    <w:tr2bl w:val="nil"/>
                  </w:tcBorders>
                  <w:shd w:val="clear" w:color="auto" w:fill="auto"/>
                  <w:noWrap w:val="0"/>
                  <w:vAlign w:val="center"/>
                </w:tcPr>
                <w:p w14:paraId="250DBBD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4E5BBA2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36%</w:t>
                  </w:r>
                </w:p>
              </w:tc>
              <w:tc>
                <w:tcPr>
                  <w:tcW w:w="405" w:type="pct"/>
                  <w:tcBorders>
                    <w:tl2br w:val="nil"/>
                    <w:tr2bl w:val="nil"/>
                  </w:tcBorders>
                  <w:shd w:val="clear" w:color="auto" w:fill="auto"/>
                  <w:noWrap w:val="0"/>
                  <w:vAlign w:val="center"/>
                </w:tcPr>
                <w:p w14:paraId="44ED27A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41E605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186DD33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8C93F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3D535F5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61</w:t>
                  </w:r>
                </w:p>
              </w:tc>
              <w:tc>
                <w:tcPr>
                  <w:tcW w:w="1094" w:type="pct"/>
                  <w:tcBorders>
                    <w:tl2br w:val="nil"/>
                    <w:tr2bl w:val="nil"/>
                  </w:tcBorders>
                  <w:noWrap w:val="0"/>
                  <w:vAlign w:val="center"/>
                </w:tcPr>
                <w:p w14:paraId="06B4794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盐酸（GR）</w:t>
                  </w:r>
                </w:p>
              </w:tc>
              <w:tc>
                <w:tcPr>
                  <w:tcW w:w="556" w:type="pct"/>
                  <w:tcBorders>
                    <w:tl2br w:val="nil"/>
                    <w:tr2bl w:val="nil"/>
                  </w:tcBorders>
                  <w:noWrap w:val="0"/>
                  <w:vAlign w:val="center"/>
                </w:tcPr>
                <w:p w14:paraId="3DE0BD5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28" w:type="pct"/>
                  <w:tcBorders>
                    <w:tl2br w:val="nil"/>
                    <w:tr2bl w:val="nil"/>
                  </w:tcBorders>
                  <w:shd w:val="clear" w:color="auto" w:fill="auto"/>
                  <w:noWrap w:val="0"/>
                  <w:vAlign w:val="center"/>
                </w:tcPr>
                <w:p w14:paraId="418C0F5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6844E98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37%</w:t>
                  </w:r>
                </w:p>
              </w:tc>
              <w:tc>
                <w:tcPr>
                  <w:tcW w:w="405" w:type="pct"/>
                  <w:tcBorders>
                    <w:tl2br w:val="nil"/>
                    <w:tr2bl w:val="nil"/>
                  </w:tcBorders>
                  <w:shd w:val="clear" w:color="auto" w:fill="auto"/>
                  <w:noWrap w:val="0"/>
                  <w:vAlign w:val="center"/>
                </w:tcPr>
                <w:p w14:paraId="0604960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BC5C35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230870BE">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AAA2D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7F2C846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62</w:t>
                  </w:r>
                </w:p>
              </w:tc>
              <w:tc>
                <w:tcPr>
                  <w:tcW w:w="1094" w:type="pct"/>
                  <w:tcBorders>
                    <w:tl2br w:val="nil"/>
                    <w:tr2bl w:val="nil"/>
                  </w:tcBorders>
                  <w:noWrap w:val="0"/>
                  <w:vAlign w:val="center"/>
                </w:tcPr>
                <w:p w14:paraId="62B06A2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磷酸（</w:t>
                  </w:r>
                  <w:r>
                    <w:rPr>
                      <w:rFonts w:hint="eastAsia" w:cs="Times New Roman"/>
                      <w:color w:val="auto"/>
                      <w:spacing w:val="0"/>
                      <w:sz w:val="18"/>
                      <w:szCs w:val="18"/>
                      <w:highlight w:val="none"/>
                      <w:lang w:val="en-US" w:eastAsia="zh-CN"/>
                    </w:rPr>
                    <w:t>A</w:t>
                  </w:r>
                  <w:r>
                    <w:rPr>
                      <w:rFonts w:hint="eastAsia" w:ascii="Times New Roman" w:hAnsi="Times New Roman" w:eastAsia="宋体" w:cs="Times New Roman"/>
                      <w:color w:val="auto"/>
                      <w:spacing w:val="0"/>
                      <w:sz w:val="18"/>
                      <w:szCs w:val="18"/>
                      <w:highlight w:val="none"/>
                      <w:lang w:val="en-US" w:eastAsia="zh-CN"/>
                    </w:rPr>
                    <w:t>R）</w:t>
                  </w:r>
                </w:p>
              </w:tc>
              <w:tc>
                <w:tcPr>
                  <w:tcW w:w="556" w:type="pct"/>
                  <w:tcBorders>
                    <w:tl2br w:val="nil"/>
                    <w:tr2bl w:val="nil"/>
                  </w:tcBorders>
                  <w:noWrap w:val="0"/>
                  <w:vAlign w:val="center"/>
                </w:tcPr>
                <w:p w14:paraId="31FCEAF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5L</w:t>
                  </w:r>
                </w:p>
              </w:tc>
              <w:tc>
                <w:tcPr>
                  <w:tcW w:w="628" w:type="pct"/>
                  <w:tcBorders>
                    <w:tl2br w:val="nil"/>
                    <w:tr2bl w:val="nil"/>
                  </w:tcBorders>
                  <w:shd w:val="clear" w:color="auto" w:fill="auto"/>
                  <w:noWrap w:val="0"/>
                  <w:vAlign w:val="center"/>
                </w:tcPr>
                <w:p w14:paraId="48C2A8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53F0544B">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85%</w:t>
                  </w:r>
                </w:p>
              </w:tc>
              <w:tc>
                <w:tcPr>
                  <w:tcW w:w="405" w:type="pct"/>
                  <w:tcBorders>
                    <w:tl2br w:val="nil"/>
                    <w:tr2bl w:val="nil"/>
                  </w:tcBorders>
                  <w:shd w:val="clear" w:color="auto" w:fill="auto"/>
                  <w:noWrap w:val="0"/>
                  <w:vAlign w:val="center"/>
                </w:tcPr>
                <w:p w14:paraId="57B9D32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B9D866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5L</w:t>
                  </w:r>
                </w:p>
              </w:tc>
              <w:tc>
                <w:tcPr>
                  <w:tcW w:w="623" w:type="pct"/>
                  <w:tcBorders>
                    <w:tl2br w:val="nil"/>
                    <w:tr2bl w:val="nil"/>
                  </w:tcBorders>
                  <w:shd w:val="clear" w:color="auto" w:fill="auto"/>
                  <w:noWrap w:val="0"/>
                  <w:vAlign w:val="center"/>
                </w:tcPr>
                <w:p w14:paraId="7EFBC10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F90F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1BA3AD7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63</w:t>
                  </w:r>
                </w:p>
              </w:tc>
              <w:tc>
                <w:tcPr>
                  <w:tcW w:w="1094" w:type="pct"/>
                  <w:tcBorders>
                    <w:tl2br w:val="nil"/>
                    <w:tr2bl w:val="nil"/>
                  </w:tcBorders>
                  <w:noWrap w:val="0"/>
                  <w:vAlign w:val="center"/>
                </w:tcPr>
                <w:p w14:paraId="4815241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硫酸（GR）</w:t>
                  </w:r>
                </w:p>
              </w:tc>
              <w:tc>
                <w:tcPr>
                  <w:tcW w:w="556" w:type="pct"/>
                  <w:tcBorders>
                    <w:tl2br w:val="nil"/>
                    <w:tr2bl w:val="nil"/>
                  </w:tcBorders>
                  <w:noWrap w:val="0"/>
                  <w:vAlign w:val="center"/>
                </w:tcPr>
                <w:p w14:paraId="1D525B0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28" w:type="pct"/>
                  <w:tcBorders>
                    <w:tl2br w:val="nil"/>
                    <w:tr2bl w:val="nil"/>
                  </w:tcBorders>
                  <w:shd w:val="clear" w:color="auto" w:fill="auto"/>
                  <w:noWrap w:val="0"/>
                  <w:vAlign w:val="center"/>
                </w:tcPr>
                <w:p w14:paraId="46934E8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60B7EFD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99.8%</w:t>
                  </w:r>
                </w:p>
              </w:tc>
              <w:tc>
                <w:tcPr>
                  <w:tcW w:w="405" w:type="pct"/>
                  <w:tcBorders>
                    <w:tl2br w:val="nil"/>
                    <w:tr2bl w:val="nil"/>
                  </w:tcBorders>
                  <w:shd w:val="clear" w:color="auto" w:fill="auto"/>
                  <w:noWrap w:val="0"/>
                  <w:vAlign w:val="center"/>
                </w:tcPr>
                <w:p w14:paraId="72BE3CA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2B4E2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0103E09A">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6B0006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53E848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64</w:t>
                  </w:r>
                </w:p>
              </w:tc>
              <w:tc>
                <w:tcPr>
                  <w:tcW w:w="1094" w:type="pct"/>
                  <w:tcBorders>
                    <w:tl2br w:val="nil"/>
                    <w:tr2bl w:val="nil"/>
                  </w:tcBorders>
                  <w:noWrap w:val="0"/>
                  <w:vAlign w:val="center"/>
                </w:tcPr>
                <w:p w14:paraId="1CDBB27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高氯酸（GR)</w:t>
                  </w:r>
                </w:p>
              </w:tc>
              <w:tc>
                <w:tcPr>
                  <w:tcW w:w="556" w:type="pct"/>
                  <w:tcBorders>
                    <w:tl2br w:val="nil"/>
                    <w:tr2bl w:val="nil"/>
                  </w:tcBorders>
                  <w:noWrap w:val="0"/>
                  <w:vAlign w:val="center"/>
                </w:tcPr>
                <w:p w14:paraId="5842089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10L</w:t>
                  </w:r>
                </w:p>
              </w:tc>
              <w:tc>
                <w:tcPr>
                  <w:tcW w:w="628" w:type="pct"/>
                  <w:tcBorders>
                    <w:tl2br w:val="nil"/>
                    <w:tr2bl w:val="nil"/>
                  </w:tcBorders>
                  <w:shd w:val="clear" w:color="auto" w:fill="auto"/>
                  <w:noWrap w:val="0"/>
                  <w:vAlign w:val="center"/>
                </w:tcPr>
                <w:p w14:paraId="0F1420F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7" w:type="pct"/>
                  <w:tcBorders>
                    <w:tl2br w:val="nil"/>
                    <w:tr2bl w:val="nil"/>
                  </w:tcBorders>
                  <w:noWrap w:val="0"/>
                  <w:vAlign w:val="center"/>
                </w:tcPr>
                <w:p w14:paraId="0E1BC4E9">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70%</w:t>
                  </w:r>
                </w:p>
              </w:tc>
              <w:tc>
                <w:tcPr>
                  <w:tcW w:w="405" w:type="pct"/>
                  <w:tcBorders>
                    <w:tl2br w:val="nil"/>
                    <w:tr2bl w:val="nil"/>
                  </w:tcBorders>
                  <w:shd w:val="clear" w:color="auto" w:fill="auto"/>
                  <w:noWrap w:val="0"/>
                  <w:vAlign w:val="center"/>
                </w:tcPr>
                <w:p w14:paraId="68F3EB8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75A063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10L</w:t>
                  </w:r>
                </w:p>
              </w:tc>
              <w:tc>
                <w:tcPr>
                  <w:tcW w:w="623" w:type="pct"/>
                  <w:tcBorders>
                    <w:tl2br w:val="nil"/>
                    <w:tr2bl w:val="nil"/>
                  </w:tcBorders>
                  <w:shd w:val="clear" w:color="auto" w:fill="auto"/>
                  <w:noWrap w:val="0"/>
                  <w:vAlign w:val="center"/>
                </w:tcPr>
                <w:p w14:paraId="2E9538C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DEA5E1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11961E7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65</w:t>
                  </w:r>
                </w:p>
              </w:tc>
              <w:tc>
                <w:tcPr>
                  <w:tcW w:w="1094" w:type="pct"/>
                  <w:tcBorders>
                    <w:tl2br w:val="nil"/>
                    <w:tr2bl w:val="nil"/>
                  </w:tcBorders>
                  <w:noWrap w:val="0"/>
                  <w:vAlign w:val="center"/>
                </w:tcPr>
                <w:p w14:paraId="222E51D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汞（标准溶液）</w:t>
                  </w:r>
                </w:p>
              </w:tc>
              <w:tc>
                <w:tcPr>
                  <w:tcW w:w="556" w:type="pct"/>
                  <w:tcBorders>
                    <w:tl2br w:val="nil"/>
                    <w:tr2bl w:val="nil"/>
                  </w:tcBorders>
                  <w:noWrap w:val="0"/>
                  <w:vAlign w:val="center"/>
                </w:tcPr>
                <w:p w14:paraId="1A0DF5B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299D56D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2565B3EA">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330BC55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B0426C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2A9D936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056F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46D5DAD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66</w:t>
                  </w:r>
                </w:p>
              </w:tc>
              <w:tc>
                <w:tcPr>
                  <w:tcW w:w="1094" w:type="pct"/>
                  <w:tcBorders>
                    <w:tl2br w:val="nil"/>
                    <w:tr2bl w:val="nil"/>
                  </w:tcBorders>
                  <w:noWrap w:val="0"/>
                  <w:vAlign w:val="center"/>
                </w:tcPr>
                <w:p w14:paraId="2DB5960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铜（标准溶液）</w:t>
                  </w:r>
                </w:p>
              </w:tc>
              <w:tc>
                <w:tcPr>
                  <w:tcW w:w="556" w:type="pct"/>
                  <w:tcBorders>
                    <w:tl2br w:val="nil"/>
                    <w:tr2bl w:val="nil"/>
                  </w:tcBorders>
                  <w:noWrap w:val="0"/>
                  <w:vAlign w:val="center"/>
                </w:tcPr>
                <w:p w14:paraId="74C97EE1">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5DA679B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0FAF6DE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545554C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4AE82B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53E556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9EE83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7F63201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67</w:t>
                  </w:r>
                </w:p>
              </w:tc>
              <w:tc>
                <w:tcPr>
                  <w:tcW w:w="1094" w:type="pct"/>
                  <w:tcBorders>
                    <w:tl2br w:val="nil"/>
                    <w:tr2bl w:val="nil"/>
                  </w:tcBorders>
                  <w:noWrap w:val="0"/>
                  <w:vAlign w:val="center"/>
                </w:tcPr>
                <w:p w14:paraId="586D99E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铅（标准溶液）</w:t>
                  </w:r>
                </w:p>
              </w:tc>
              <w:tc>
                <w:tcPr>
                  <w:tcW w:w="556" w:type="pct"/>
                  <w:tcBorders>
                    <w:tl2br w:val="nil"/>
                    <w:tr2bl w:val="nil"/>
                  </w:tcBorders>
                  <w:noWrap w:val="0"/>
                  <w:vAlign w:val="center"/>
                </w:tcPr>
                <w:p w14:paraId="5C10633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7F3F42B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7D8DFADC">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405" w:type="pct"/>
                  <w:tcBorders>
                    <w:tl2br w:val="nil"/>
                    <w:tr2bl w:val="nil"/>
                  </w:tcBorders>
                  <w:shd w:val="clear" w:color="auto" w:fill="auto"/>
                  <w:noWrap w:val="0"/>
                  <w:vAlign w:val="center"/>
                </w:tcPr>
                <w:p w14:paraId="73341F9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DCBCB1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419A70C7">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BC992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48AD752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68</w:t>
                  </w:r>
                </w:p>
              </w:tc>
              <w:tc>
                <w:tcPr>
                  <w:tcW w:w="1094" w:type="pct"/>
                  <w:tcBorders>
                    <w:tl2br w:val="nil"/>
                    <w:tr2bl w:val="nil"/>
                  </w:tcBorders>
                  <w:noWrap w:val="0"/>
                  <w:vAlign w:val="center"/>
                </w:tcPr>
                <w:p w14:paraId="4CDE9586">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镉（标准溶液）</w:t>
                  </w:r>
                </w:p>
              </w:tc>
              <w:tc>
                <w:tcPr>
                  <w:tcW w:w="556" w:type="pct"/>
                  <w:tcBorders>
                    <w:tl2br w:val="nil"/>
                    <w:tr2bl w:val="nil"/>
                  </w:tcBorders>
                  <w:noWrap w:val="0"/>
                  <w:vAlign w:val="center"/>
                </w:tcPr>
                <w:p w14:paraId="437BA91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1226044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2B0C2AC3">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405" w:type="pct"/>
                  <w:tcBorders>
                    <w:tl2br w:val="nil"/>
                    <w:tr2bl w:val="nil"/>
                  </w:tcBorders>
                  <w:shd w:val="clear" w:color="auto" w:fill="auto"/>
                  <w:noWrap w:val="0"/>
                  <w:vAlign w:val="center"/>
                </w:tcPr>
                <w:p w14:paraId="1478478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FB9441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08C943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6CFDC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6" w:type="pct"/>
                  <w:tcBorders>
                    <w:tl2br w:val="nil"/>
                    <w:tr2bl w:val="nil"/>
                  </w:tcBorders>
                  <w:shd w:val="clear" w:color="auto" w:fill="auto"/>
                  <w:noWrap w:val="0"/>
                  <w:vAlign w:val="center"/>
                </w:tcPr>
                <w:p w14:paraId="0A607D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69</w:t>
                  </w:r>
                </w:p>
              </w:tc>
              <w:tc>
                <w:tcPr>
                  <w:tcW w:w="1094" w:type="pct"/>
                  <w:tcBorders>
                    <w:tl2br w:val="nil"/>
                    <w:tr2bl w:val="nil"/>
                  </w:tcBorders>
                  <w:noWrap w:val="0"/>
                  <w:vAlign w:val="center"/>
                </w:tcPr>
                <w:p w14:paraId="4B60B4A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铁（标准溶液）</w:t>
                  </w:r>
                </w:p>
              </w:tc>
              <w:tc>
                <w:tcPr>
                  <w:tcW w:w="556" w:type="pct"/>
                  <w:tcBorders>
                    <w:tl2br w:val="nil"/>
                    <w:tr2bl w:val="nil"/>
                  </w:tcBorders>
                  <w:noWrap w:val="0"/>
                  <w:vAlign w:val="center"/>
                </w:tcPr>
                <w:p w14:paraId="1E4FA0A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28" w:type="pct"/>
                  <w:tcBorders>
                    <w:tl2br w:val="nil"/>
                    <w:tr2bl w:val="nil"/>
                  </w:tcBorders>
                  <w:shd w:val="clear" w:color="auto" w:fill="auto"/>
                  <w:noWrap w:val="0"/>
                  <w:vAlign w:val="center"/>
                </w:tcPr>
                <w:p w14:paraId="75A8AF0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7" w:type="pct"/>
                  <w:tcBorders>
                    <w:tl2br w:val="nil"/>
                    <w:tr2bl w:val="nil"/>
                  </w:tcBorders>
                  <w:noWrap w:val="0"/>
                  <w:vAlign w:val="center"/>
                </w:tcPr>
                <w:p w14:paraId="333A48C0">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99.95%</w:t>
                  </w:r>
                </w:p>
              </w:tc>
              <w:tc>
                <w:tcPr>
                  <w:tcW w:w="405" w:type="pct"/>
                  <w:tcBorders>
                    <w:tl2br w:val="nil"/>
                    <w:tr2bl w:val="nil"/>
                  </w:tcBorders>
                  <w:shd w:val="clear" w:color="auto" w:fill="auto"/>
                  <w:noWrap w:val="0"/>
                  <w:vAlign w:val="center"/>
                </w:tcPr>
                <w:p w14:paraId="371979D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788C86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E70CF8D">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bl>
          <w:p w14:paraId="3612A0F0">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cs="Times New Roman"/>
                <w:b/>
                <w:color w:val="auto"/>
                <w:sz w:val="21"/>
                <w:szCs w:val="21"/>
                <w:highlight w:val="none"/>
              </w:rPr>
            </w:pPr>
            <w:r>
              <w:rPr>
                <w:rFonts w:hint="eastAsia" w:ascii="Times New Roman" w:hAnsi="Times New Roman" w:cs="Times New Roman"/>
                <w:b/>
                <w:color w:val="auto"/>
                <w:sz w:val="21"/>
                <w:szCs w:val="21"/>
                <w:highlight w:val="none"/>
                <w:lang w:val="en-US" w:eastAsia="zh-CN"/>
              </w:rPr>
              <w:t>续</w:t>
            </w:r>
            <w:r>
              <w:rPr>
                <w:rFonts w:hint="eastAsia" w:ascii="Times New Roman" w:hAnsi="Times New Roman" w:cs="Times New Roman"/>
                <w:b/>
                <w:color w:val="auto"/>
                <w:sz w:val="21"/>
                <w:szCs w:val="21"/>
                <w:highlight w:val="none"/>
              </w:rPr>
              <w:t>表</w:t>
            </w:r>
            <w:r>
              <w:rPr>
                <w:rFonts w:hint="eastAsia" w:ascii="Times New Roman" w:hAnsi="Times New Roman" w:cs="Times New Roman"/>
                <w:b/>
                <w:color w:val="auto"/>
                <w:sz w:val="21"/>
                <w:szCs w:val="21"/>
                <w:highlight w:val="none"/>
                <w:lang w:val="en-US" w:eastAsia="zh-CN"/>
              </w:rPr>
              <w:t>9 项目</w:t>
            </w:r>
            <w:r>
              <w:rPr>
                <w:rFonts w:hint="eastAsia" w:ascii="Times New Roman" w:hAnsi="Times New Roman" w:cs="Times New Roman"/>
                <w:b/>
                <w:color w:val="auto"/>
                <w:sz w:val="21"/>
                <w:szCs w:val="21"/>
                <w:highlight w:val="none"/>
              </w:rPr>
              <w:t>实验用试剂</w:t>
            </w:r>
            <w:r>
              <w:rPr>
                <w:rFonts w:hint="eastAsia" w:ascii="Times New Roman" w:hAnsi="Times New Roman" w:cs="Times New Roman"/>
                <w:b/>
                <w:color w:val="auto"/>
                <w:sz w:val="21"/>
                <w:szCs w:val="21"/>
                <w:highlight w:val="none"/>
                <w:lang w:val="en-US" w:eastAsia="zh-CN"/>
              </w:rPr>
              <w:t>消耗</w:t>
            </w:r>
            <w:r>
              <w:rPr>
                <w:rFonts w:hint="eastAsia" w:ascii="Times New Roman" w:hAnsi="Times New Roman" w:cs="Times New Roman"/>
                <w:b/>
                <w:color w:val="auto"/>
                <w:sz w:val="21"/>
                <w:szCs w:val="21"/>
                <w:highlight w:val="none"/>
              </w:rPr>
              <w:t>情况一览表</w:t>
            </w:r>
          </w:p>
          <w:tbl>
            <w:tblPr>
              <w:tblStyle w:val="26"/>
              <w:tblW w:w="503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07"/>
              <w:gridCol w:w="1763"/>
              <w:gridCol w:w="891"/>
              <w:gridCol w:w="1028"/>
              <w:gridCol w:w="913"/>
              <w:gridCol w:w="640"/>
              <w:gridCol w:w="1164"/>
              <w:gridCol w:w="999"/>
            </w:tblGrid>
            <w:tr w14:paraId="20A115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noWrap w:val="0"/>
                  <w:vAlign w:val="center"/>
                </w:tcPr>
                <w:p w14:paraId="026BC467">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序号</w:t>
                  </w:r>
                </w:p>
              </w:tc>
              <w:tc>
                <w:tcPr>
                  <w:tcW w:w="1101" w:type="pct"/>
                  <w:tcBorders>
                    <w:tl2br w:val="nil"/>
                    <w:tr2bl w:val="nil"/>
                  </w:tcBorders>
                  <w:noWrap w:val="0"/>
                  <w:vAlign w:val="center"/>
                </w:tcPr>
                <w:p w14:paraId="7F3124D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试剂名称</w:t>
                  </w:r>
                </w:p>
              </w:tc>
              <w:tc>
                <w:tcPr>
                  <w:tcW w:w="556" w:type="pct"/>
                  <w:tcBorders>
                    <w:tl2br w:val="nil"/>
                    <w:tr2bl w:val="nil"/>
                  </w:tcBorders>
                  <w:noWrap w:val="0"/>
                  <w:vAlign w:val="center"/>
                </w:tcPr>
                <w:p w14:paraId="42EF955B">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年用量</w:t>
                  </w:r>
                </w:p>
              </w:tc>
              <w:tc>
                <w:tcPr>
                  <w:tcW w:w="642" w:type="pct"/>
                  <w:tcBorders>
                    <w:tl2br w:val="nil"/>
                    <w:tr2bl w:val="nil"/>
                  </w:tcBorders>
                  <w:noWrap w:val="0"/>
                  <w:vAlign w:val="center"/>
                </w:tcPr>
                <w:p w14:paraId="6C6CCAC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包装</w:t>
                  </w:r>
                  <w:r>
                    <w:rPr>
                      <w:rFonts w:hint="eastAsia" w:ascii="Times New Roman" w:hAnsi="Times New Roman" w:eastAsia="宋体" w:cs="Times New Roman"/>
                      <w:color w:val="auto"/>
                      <w:spacing w:val="0"/>
                      <w:sz w:val="18"/>
                      <w:szCs w:val="18"/>
                      <w:highlight w:val="none"/>
                      <w:lang w:val="en-US" w:eastAsia="zh-CN"/>
                    </w:rPr>
                    <w:t>规格</w:t>
                  </w:r>
                </w:p>
              </w:tc>
              <w:tc>
                <w:tcPr>
                  <w:tcW w:w="570" w:type="pct"/>
                  <w:tcBorders>
                    <w:tl2br w:val="nil"/>
                    <w:tr2bl w:val="nil"/>
                  </w:tcBorders>
                  <w:noWrap w:val="0"/>
                  <w:vAlign w:val="center"/>
                </w:tcPr>
                <w:p w14:paraId="1812CE0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纯度</w:t>
                  </w:r>
                </w:p>
              </w:tc>
              <w:tc>
                <w:tcPr>
                  <w:tcW w:w="399" w:type="pct"/>
                  <w:tcBorders>
                    <w:tl2br w:val="nil"/>
                    <w:tr2bl w:val="nil"/>
                  </w:tcBorders>
                  <w:noWrap w:val="0"/>
                  <w:vAlign w:val="center"/>
                </w:tcPr>
                <w:p w14:paraId="197D868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来源</w:t>
                  </w:r>
                </w:p>
              </w:tc>
              <w:tc>
                <w:tcPr>
                  <w:tcW w:w="727" w:type="pct"/>
                  <w:tcBorders>
                    <w:tl2br w:val="nil"/>
                    <w:tr2bl w:val="nil"/>
                  </w:tcBorders>
                  <w:shd w:val="clear" w:color="auto" w:fill="auto"/>
                  <w:noWrap w:val="0"/>
                  <w:vAlign w:val="center"/>
                </w:tcPr>
                <w:p w14:paraId="0B90060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最大存储量</w:t>
                  </w:r>
                </w:p>
              </w:tc>
              <w:tc>
                <w:tcPr>
                  <w:tcW w:w="623" w:type="pct"/>
                  <w:tcBorders>
                    <w:tl2br w:val="nil"/>
                    <w:tr2bl w:val="nil"/>
                  </w:tcBorders>
                  <w:noWrap w:val="0"/>
                  <w:vAlign w:val="center"/>
                </w:tcPr>
                <w:p w14:paraId="2CAC926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存储位置</w:t>
                  </w:r>
                </w:p>
              </w:tc>
            </w:tr>
            <w:tr w14:paraId="20A333A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shd w:val="clear" w:color="auto" w:fill="auto"/>
                  <w:noWrap w:val="0"/>
                  <w:vAlign w:val="center"/>
                </w:tcPr>
                <w:p w14:paraId="7ABE2E9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70</w:t>
                  </w:r>
                </w:p>
              </w:tc>
              <w:tc>
                <w:tcPr>
                  <w:tcW w:w="1101" w:type="pct"/>
                  <w:tcBorders>
                    <w:tl2br w:val="nil"/>
                    <w:tr2bl w:val="nil"/>
                  </w:tcBorders>
                  <w:shd w:val="clear" w:color="auto" w:fill="auto"/>
                  <w:noWrap w:val="0"/>
                  <w:vAlign w:val="center"/>
                </w:tcPr>
                <w:p w14:paraId="3FF6EE1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锰（标准溶液）</w:t>
                  </w:r>
                </w:p>
              </w:tc>
              <w:tc>
                <w:tcPr>
                  <w:tcW w:w="556" w:type="pct"/>
                  <w:tcBorders>
                    <w:tl2br w:val="nil"/>
                    <w:tr2bl w:val="nil"/>
                  </w:tcBorders>
                  <w:shd w:val="clear" w:color="auto" w:fill="auto"/>
                  <w:noWrap w:val="0"/>
                  <w:vAlign w:val="center"/>
                </w:tcPr>
                <w:p w14:paraId="14A6F85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27D1AC1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7703417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98%</w:t>
                  </w:r>
                </w:p>
              </w:tc>
              <w:tc>
                <w:tcPr>
                  <w:tcW w:w="399" w:type="pct"/>
                  <w:tcBorders>
                    <w:tl2br w:val="nil"/>
                    <w:tr2bl w:val="nil"/>
                  </w:tcBorders>
                  <w:shd w:val="clear" w:color="auto" w:fill="auto"/>
                  <w:noWrap w:val="0"/>
                  <w:vAlign w:val="center"/>
                </w:tcPr>
                <w:p w14:paraId="319D70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4E612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7CE4D54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CC4BC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shd w:val="clear" w:color="auto" w:fill="auto"/>
                  <w:noWrap w:val="0"/>
                  <w:vAlign w:val="center"/>
                </w:tcPr>
                <w:p w14:paraId="393C916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71</w:t>
                  </w:r>
                </w:p>
              </w:tc>
              <w:tc>
                <w:tcPr>
                  <w:tcW w:w="1101" w:type="pct"/>
                  <w:tcBorders>
                    <w:tl2br w:val="nil"/>
                    <w:tr2bl w:val="nil"/>
                  </w:tcBorders>
                  <w:shd w:val="clear" w:color="auto" w:fill="auto"/>
                  <w:noWrap w:val="0"/>
                  <w:vAlign w:val="center"/>
                </w:tcPr>
                <w:p w14:paraId="1CC420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镍（标准溶液）</w:t>
                  </w:r>
                </w:p>
              </w:tc>
              <w:tc>
                <w:tcPr>
                  <w:tcW w:w="556" w:type="pct"/>
                  <w:tcBorders>
                    <w:tl2br w:val="nil"/>
                    <w:tr2bl w:val="nil"/>
                  </w:tcBorders>
                  <w:shd w:val="clear" w:color="auto" w:fill="auto"/>
                  <w:noWrap w:val="0"/>
                  <w:vAlign w:val="center"/>
                </w:tcPr>
                <w:p w14:paraId="05A471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2AEACF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522168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66349DC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D7CC09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261FDD2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2119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379" w:type="pct"/>
                  <w:tcBorders>
                    <w:tl2br w:val="nil"/>
                    <w:tr2bl w:val="nil"/>
                  </w:tcBorders>
                  <w:shd w:val="clear" w:color="auto" w:fill="auto"/>
                  <w:noWrap w:val="0"/>
                  <w:vAlign w:val="center"/>
                </w:tcPr>
                <w:p w14:paraId="0B89ADB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72</w:t>
                  </w:r>
                </w:p>
              </w:tc>
              <w:tc>
                <w:tcPr>
                  <w:tcW w:w="1101" w:type="pct"/>
                  <w:tcBorders>
                    <w:tl2br w:val="nil"/>
                    <w:tr2bl w:val="nil"/>
                  </w:tcBorders>
                  <w:shd w:val="clear" w:color="auto" w:fill="auto"/>
                  <w:noWrap w:val="0"/>
                  <w:vAlign w:val="center"/>
                </w:tcPr>
                <w:p w14:paraId="31730C8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砷（标准溶液）</w:t>
                  </w:r>
                </w:p>
              </w:tc>
              <w:tc>
                <w:tcPr>
                  <w:tcW w:w="556" w:type="pct"/>
                  <w:tcBorders>
                    <w:tl2br w:val="nil"/>
                    <w:tr2bl w:val="nil"/>
                  </w:tcBorders>
                  <w:shd w:val="clear" w:color="auto" w:fill="auto"/>
                  <w:noWrap w:val="0"/>
                  <w:vAlign w:val="center"/>
                </w:tcPr>
                <w:p w14:paraId="7A3578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55F6A9D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0D49EC6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4F1CF0D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679A1D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2F0FA27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8035C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128A45D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w:t>
                  </w:r>
                  <w:r>
                    <w:rPr>
                      <w:rFonts w:hint="eastAsia" w:cs="Times New Roman"/>
                      <w:color w:val="auto"/>
                      <w:spacing w:val="0"/>
                      <w:sz w:val="18"/>
                      <w:szCs w:val="18"/>
                      <w:highlight w:val="none"/>
                      <w:lang w:val="en-US" w:eastAsia="zh-CN"/>
                    </w:rPr>
                    <w:t>3</w:t>
                  </w:r>
                </w:p>
              </w:tc>
              <w:tc>
                <w:tcPr>
                  <w:tcW w:w="1101" w:type="pct"/>
                  <w:tcBorders>
                    <w:tl2br w:val="nil"/>
                    <w:tr2bl w:val="nil"/>
                  </w:tcBorders>
                  <w:shd w:val="clear" w:color="auto" w:fill="auto"/>
                  <w:noWrap w:val="0"/>
                  <w:vAlign w:val="center"/>
                </w:tcPr>
                <w:p w14:paraId="32D2F9B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硫酸根（标准溶液）</w:t>
                  </w:r>
                </w:p>
              </w:tc>
              <w:tc>
                <w:tcPr>
                  <w:tcW w:w="556" w:type="pct"/>
                  <w:tcBorders>
                    <w:tl2br w:val="nil"/>
                    <w:tr2bl w:val="nil"/>
                  </w:tcBorders>
                  <w:shd w:val="clear" w:color="auto" w:fill="auto"/>
                  <w:noWrap w:val="0"/>
                  <w:vAlign w:val="center"/>
                </w:tcPr>
                <w:p w14:paraId="6A03EA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46C0DDF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1589780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p>
              </w:tc>
              <w:tc>
                <w:tcPr>
                  <w:tcW w:w="399" w:type="pct"/>
                  <w:tcBorders>
                    <w:tl2br w:val="nil"/>
                    <w:tr2bl w:val="nil"/>
                  </w:tcBorders>
                  <w:shd w:val="clear" w:color="auto" w:fill="auto"/>
                  <w:noWrap w:val="0"/>
                  <w:vAlign w:val="center"/>
                </w:tcPr>
                <w:p w14:paraId="68404634">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15C438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37DA84E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2C24A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316E31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w:t>
                  </w:r>
                  <w:r>
                    <w:rPr>
                      <w:rFonts w:hint="eastAsia" w:cs="Times New Roman"/>
                      <w:color w:val="auto"/>
                      <w:spacing w:val="0"/>
                      <w:sz w:val="18"/>
                      <w:szCs w:val="18"/>
                      <w:highlight w:val="none"/>
                      <w:lang w:val="en-US" w:eastAsia="zh-CN"/>
                    </w:rPr>
                    <w:t>4</w:t>
                  </w:r>
                </w:p>
              </w:tc>
              <w:tc>
                <w:tcPr>
                  <w:tcW w:w="1101" w:type="pct"/>
                  <w:tcBorders>
                    <w:tl2br w:val="nil"/>
                    <w:tr2bl w:val="nil"/>
                  </w:tcBorders>
                  <w:shd w:val="clear" w:color="auto" w:fill="auto"/>
                  <w:noWrap w:val="0"/>
                  <w:vAlign w:val="center"/>
                </w:tcPr>
                <w:p w14:paraId="5A3006B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硝酸根（标准溶液）</w:t>
                  </w:r>
                </w:p>
              </w:tc>
              <w:tc>
                <w:tcPr>
                  <w:tcW w:w="556" w:type="pct"/>
                  <w:tcBorders>
                    <w:tl2br w:val="nil"/>
                    <w:tr2bl w:val="nil"/>
                  </w:tcBorders>
                  <w:shd w:val="clear" w:color="auto" w:fill="auto"/>
                  <w:noWrap w:val="0"/>
                  <w:vAlign w:val="center"/>
                </w:tcPr>
                <w:p w14:paraId="17C0398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6E993CF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76B8F08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1ADBFEC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C93B40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5A63431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0EC57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5435C62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75</w:t>
                  </w:r>
                </w:p>
              </w:tc>
              <w:tc>
                <w:tcPr>
                  <w:tcW w:w="1101" w:type="pct"/>
                  <w:tcBorders>
                    <w:tl2br w:val="nil"/>
                    <w:tr2bl w:val="nil"/>
                  </w:tcBorders>
                  <w:shd w:val="clear" w:color="auto" w:fill="auto"/>
                  <w:noWrap w:val="0"/>
                  <w:vAlign w:val="center"/>
                </w:tcPr>
                <w:p w14:paraId="23DDE89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氟化物（标准溶液）</w:t>
                  </w:r>
                </w:p>
              </w:tc>
              <w:tc>
                <w:tcPr>
                  <w:tcW w:w="556" w:type="pct"/>
                  <w:tcBorders>
                    <w:tl2br w:val="nil"/>
                    <w:tr2bl w:val="nil"/>
                  </w:tcBorders>
                  <w:shd w:val="clear" w:color="auto" w:fill="auto"/>
                  <w:noWrap w:val="0"/>
                  <w:vAlign w:val="center"/>
                </w:tcPr>
                <w:p w14:paraId="4471B7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4C3265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1CFE1009">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w:t>
                  </w:r>
                </w:p>
              </w:tc>
              <w:tc>
                <w:tcPr>
                  <w:tcW w:w="399" w:type="pct"/>
                  <w:tcBorders>
                    <w:tl2br w:val="nil"/>
                    <w:tr2bl w:val="nil"/>
                  </w:tcBorders>
                  <w:shd w:val="clear" w:color="auto" w:fill="auto"/>
                  <w:noWrap w:val="0"/>
                  <w:vAlign w:val="center"/>
                </w:tcPr>
                <w:p w14:paraId="57FE8BB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756A0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644AD3A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E590B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76556E8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76</w:t>
                  </w:r>
                </w:p>
              </w:tc>
              <w:tc>
                <w:tcPr>
                  <w:tcW w:w="1101" w:type="pct"/>
                  <w:tcBorders>
                    <w:tl2br w:val="nil"/>
                    <w:tr2bl w:val="nil"/>
                  </w:tcBorders>
                  <w:noWrap w:val="0"/>
                  <w:vAlign w:val="center"/>
                </w:tcPr>
                <w:p w14:paraId="260C2AD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氰化钾（标准溶液）</w:t>
                  </w:r>
                </w:p>
              </w:tc>
              <w:tc>
                <w:tcPr>
                  <w:tcW w:w="556" w:type="pct"/>
                  <w:tcBorders>
                    <w:tl2br w:val="nil"/>
                    <w:tr2bl w:val="nil"/>
                  </w:tcBorders>
                  <w:noWrap w:val="0"/>
                  <w:vAlign w:val="center"/>
                </w:tcPr>
                <w:p w14:paraId="6201CBB4">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2L</w:t>
                  </w:r>
                </w:p>
              </w:tc>
              <w:tc>
                <w:tcPr>
                  <w:tcW w:w="642" w:type="pct"/>
                  <w:tcBorders>
                    <w:tl2br w:val="nil"/>
                    <w:tr2bl w:val="nil"/>
                  </w:tcBorders>
                  <w:shd w:val="clear" w:color="auto" w:fill="auto"/>
                  <w:noWrap w:val="0"/>
                  <w:vAlign w:val="center"/>
                </w:tcPr>
                <w:p w14:paraId="0718683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100ml/瓶</w:t>
                  </w:r>
                </w:p>
              </w:tc>
              <w:tc>
                <w:tcPr>
                  <w:tcW w:w="570" w:type="pct"/>
                  <w:tcBorders>
                    <w:tl2br w:val="nil"/>
                    <w:tr2bl w:val="nil"/>
                  </w:tcBorders>
                  <w:shd w:val="clear" w:color="auto" w:fill="auto"/>
                  <w:noWrap w:val="0"/>
                  <w:vAlign w:val="center"/>
                </w:tcPr>
                <w:p w14:paraId="681A45A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2CE1A84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8EE3FD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2L</w:t>
                  </w:r>
                </w:p>
              </w:tc>
              <w:tc>
                <w:tcPr>
                  <w:tcW w:w="623" w:type="pct"/>
                  <w:tcBorders>
                    <w:tl2br w:val="nil"/>
                    <w:tr2bl w:val="nil"/>
                  </w:tcBorders>
                  <w:shd w:val="clear" w:color="auto" w:fill="auto"/>
                  <w:noWrap w:val="0"/>
                  <w:vAlign w:val="center"/>
                </w:tcPr>
                <w:p w14:paraId="0E8B566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84C185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2F0597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77</w:t>
                  </w:r>
                </w:p>
              </w:tc>
              <w:tc>
                <w:tcPr>
                  <w:tcW w:w="1101" w:type="pct"/>
                  <w:tcBorders>
                    <w:tl2br w:val="nil"/>
                    <w:tr2bl w:val="nil"/>
                  </w:tcBorders>
                  <w:noWrap w:val="0"/>
                  <w:vAlign w:val="center"/>
                </w:tcPr>
                <w:p w14:paraId="383F6B0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四氯化碳（环保专用）</w:t>
                  </w:r>
                </w:p>
              </w:tc>
              <w:tc>
                <w:tcPr>
                  <w:tcW w:w="556" w:type="pct"/>
                  <w:tcBorders>
                    <w:tl2br w:val="nil"/>
                    <w:tr2bl w:val="nil"/>
                  </w:tcBorders>
                  <w:noWrap w:val="0"/>
                  <w:vAlign w:val="center"/>
                </w:tcPr>
                <w:p w14:paraId="2FFD823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12.5L</w:t>
                  </w:r>
                </w:p>
              </w:tc>
              <w:tc>
                <w:tcPr>
                  <w:tcW w:w="642" w:type="pct"/>
                  <w:tcBorders>
                    <w:tl2br w:val="nil"/>
                    <w:tr2bl w:val="nil"/>
                  </w:tcBorders>
                  <w:shd w:val="clear" w:color="auto" w:fill="auto"/>
                  <w:noWrap w:val="0"/>
                  <w:vAlign w:val="center"/>
                </w:tcPr>
                <w:p w14:paraId="40F3FAD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295F0E2F">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65853B7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42B802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12.5L</w:t>
                  </w:r>
                </w:p>
              </w:tc>
              <w:tc>
                <w:tcPr>
                  <w:tcW w:w="623" w:type="pct"/>
                  <w:tcBorders>
                    <w:tl2br w:val="nil"/>
                    <w:tr2bl w:val="nil"/>
                  </w:tcBorders>
                  <w:shd w:val="clear" w:color="auto" w:fill="auto"/>
                  <w:noWrap w:val="0"/>
                  <w:vAlign w:val="center"/>
                </w:tcPr>
                <w:p w14:paraId="0E72E18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FAF68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97156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78</w:t>
                  </w:r>
                </w:p>
              </w:tc>
              <w:tc>
                <w:tcPr>
                  <w:tcW w:w="1101" w:type="pct"/>
                  <w:tcBorders>
                    <w:tl2br w:val="nil"/>
                    <w:tr2bl w:val="nil"/>
                  </w:tcBorders>
                  <w:noWrap w:val="0"/>
                  <w:vAlign w:val="center"/>
                </w:tcPr>
                <w:p w14:paraId="1643E719">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冰醋酸（AR）</w:t>
                  </w:r>
                </w:p>
              </w:tc>
              <w:tc>
                <w:tcPr>
                  <w:tcW w:w="556" w:type="pct"/>
                  <w:tcBorders>
                    <w:tl2br w:val="nil"/>
                    <w:tr2bl w:val="nil"/>
                  </w:tcBorders>
                  <w:noWrap w:val="0"/>
                  <w:vAlign w:val="center"/>
                </w:tcPr>
                <w:p w14:paraId="70AAA803">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12.5L</w:t>
                  </w:r>
                </w:p>
              </w:tc>
              <w:tc>
                <w:tcPr>
                  <w:tcW w:w="642" w:type="pct"/>
                  <w:tcBorders>
                    <w:tl2br w:val="nil"/>
                    <w:tr2bl w:val="nil"/>
                  </w:tcBorders>
                  <w:shd w:val="clear" w:color="auto" w:fill="auto"/>
                  <w:noWrap w:val="0"/>
                  <w:vAlign w:val="center"/>
                </w:tcPr>
                <w:p w14:paraId="65BD5C9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6B4D874B">
                  <w:pPr>
                    <w:widowControl/>
                    <w:spacing w:line="0" w:lineRule="atLeast"/>
                    <w:jc w:val="center"/>
                    <w:rPr>
                      <w:rFonts w:hint="eastAsia"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9</w:t>
                  </w:r>
                  <w:r>
                    <w:rPr>
                      <w:rFonts w:hint="eastAsia" w:cs="Times New Roman"/>
                      <w:color w:val="auto"/>
                      <w:spacing w:val="0"/>
                      <w:sz w:val="18"/>
                      <w:szCs w:val="18"/>
                      <w:highlight w:val="none"/>
                      <w:lang w:val="en-US" w:eastAsia="zh-CN"/>
                    </w:rPr>
                    <w:t>9.7</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161280C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3BDBE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12.5L</w:t>
                  </w:r>
                </w:p>
              </w:tc>
              <w:tc>
                <w:tcPr>
                  <w:tcW w:w="623" w:type="pct"/>
                  <w:tcBorders>
                    <w:tl2br w:val="nil"/>
                    <w:tr2bl w:val="nil"/>
                  </w:tcBorders>
                  <w:shd w:val="clear" w:color="auto" w:fill="auto"/>
                  <w:noWrap w:val="0"/>
                  <w:vAlign w:val="center"/>
                </w:tcPr>
                <w:p w14:paraId="21C7C1D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5489B61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6B3C7A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79</w:t>
                  </w:r>
                </w:p>
              </w:tc>
              <w:tc>
                <w:tcPr>
                  <w:tcW w:w="1101" w:type="pct"/>
                  <w:tcBorders>
                    <w:tl2br w:val="nil"/>
                    <w:tr2bl w:val="nil"/>
                  </w:tcBorders>
                  <w:noWrap w:val="0"/>
                  <w:vAlign w:val="center"/>
                </w:tcPr>
                <w:p w14:paraId="539191C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乙醇（95%）（AR）</w:t>
                  </w:r>
                </w:p>
              </w:tc>
              <w:tc>
                <w:tcPr>
                  <w:tcW w:w="556" w:type="pct"/>
                  <w:tcBorders>
                    <w:tl2br w:val="nil"/>
                    <w:tr2bl w:val="nil"/>
                  </w:tcBorders>
                  <w:noWrap w:val="0"/>
                  <w:vAlign w:val="center"/>
                </w:tcPr>
                <w:p w14:paraId="0088FB3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7.5L</w:t>
                  </w:r>
                </w:p>
              </w:tc>
              <w:tc>
                <w:tcPr>
                  <w:tcW w:w="642" w:type="pct"/>
                  <w:tcBorders>
                    <w:tl2br w:val="nil"/>
                    <w:tr2bl w:val="nil"/>
                  </w:tcBorders>
                  <w:shd w:val="clear" w:color="auto" w:fill="auto"/>
                  <w:noWrap w:val="0"/>
                  <w:vAlign w:val="center"/>
                </w:tcPr>
                <w:p w14:paraId="717F8E2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3092633D">
                  <w:pPr>
                    <w:widowControl/>
                    <w:spacing w:line="0" w:lineRule="atLeast"/>
                    <w:jc w:val="center"/>
                    <w:rPr>
                      <w:rFonts w:hint="eastAsia"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95%</w:t>
                  </w:r>
                </w:p>
              </w:tc>
              <w:tc>
                <w:tcPr>
                  <w:tcW w:w="399" w:type="pct"/>
                  <w:tcBorders>
                    <w:tl2br w:val="nil"/>
                    <w:tr2bl w:val="nil"/>
                  </w:tcBorders>
                  <w:shd w:val="clear" w:color="auto" w:fill="auto"/>
                  <w:noWrap w:val="0"/>
                  <w:vAlign w:val="center"/>
                </w:tcPr>
                <w:p w14:paraId="4F8A02B7">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8AEC7E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7.5L</w:t>
                  </w:r>
                </w:p>
              </w:tc>
              <w:tc>
                <w:tcPr>
                  <w:tcW w:w="623" w:type="pct"/>
                  <w:tcBorders>
                    <w:tl2br w:val="nil"/>
                    <w:tr2bl w:val="nil"/>
                  </w:tcBorders>
                  <w:shd w:val="clear" w:color="auto" w:fill="auto"/>
                  <w:noWrap w:val="0"/>
                  <w:vAlign w:val="center"/>
                </w:tcPr>
                <w:p w14:paraId="63E82C90">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80C7B9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70697AF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80</w:t>
                  </w:r>
                </w:p>
              </w:tc>
              <w:tc>
                <w:tcPr>
                  <w:tcW w:w="1101" w:type="pct"/>
                  <w:tcBorders>
                    <w:tl2br w:val="nil"/>
                    <w:tr2bl w:val="nil"/>
                  </w:tcBorders>
                  <w:noWrap w:val="0"/>
                  <w:vAlign w:val="center"/>
                </w:tcPr>
                <w:p w14:paraId="605F73A8">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高氯酸（AR）</w:t>
                  </w:r>
                </w:p>
              </w:tc>
              <w:tc>
                <w:tcPr>
                  <w:tcW w:w="556" w:type="pct"/>
                  <w:tcBorders>
                    <w:tl2br w:val="nil"/>
                    <w:tr2bl w:val="nil"/>
                  </w:tcBorders>
                  <w:noWrap w:val="0"/>
                  <w:vAlign w:val="center"/>
                </w:tcPr>
                <w:p w14:paraId="7CFA8372">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10L</w:t>
                  </w:r>
                </w:p>
              </w:tc>
              <w:tc>
                <w:tcPr>
                  <w:tcW w:w="642" w:type="pct"/>
                  <w:tcBorders>
                    <w:tl2br w:val="nil"/>
                    <w:tr2bl w:val="nil"/>
                  </w:tcBorders>
                  <w:shd w:val="clear" w:color="auto" w:fill="auto"/>
                  <w:noWrap w:val="0"/>
                  <w:vAlign w:val="center"/>
                </w:tcPr>
                <w:p w14:paraId="4107ACD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180E5289">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72</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60C0813A">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8BB167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10L</w:t>
                  </w:r>
                </w:p>
              </w:tc>
              <w:tc>
                <w:tcPr>
                  <w:tcW w:w="623" w:type="pct"/>
                  <w:tcBorders>
                    <w:tl2br w:val="nil"/>
                    <w:tr2bl w:val="nil"/>
                  </w:tcBorders>
                  <w:shd w:val="clear" w:color="auto" w:fill="auto"/>
                  <w:noWrap w:val="0"/>
                  <w:vAlign w:val="center"/>
                </w:tcPr>
                <w:p w14:paraId="28E9B02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FF02B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4D487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81</w:t>
                  </w:r>
                </w:p>
              </w:tc>
              <w:tc>
                <w:tcPr>
                  <w:tcW w:w="1101" w:type="pct"/>
                  <w:tcBorders>
                    <w:tl2br w:val="nil"/>
                    <w:tr2bl w:val="nil"/>
                  </w:tcBorders>
                  <w:noWrap w:val="0"/>
                  <w:vAlign w:val="center"/>
                </w:tcPr>
                <w:p w14:paraId="5171AEFE">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氯仿（AR）</w:t>
                  </w:r>
                </w:p>
              </w:tc>
              <w:tc>
                <w:tcPr>
                  <w:tcW w:w="556" w:type="pct"/>
                  <w:tcBorders>
                    <w:tl2br w:val="nil"/>
                    <w:tr2bl w:val="nil"/>
                  </w:tcBorders>
                  <w:noWrap w:val="0"/>
                  <w:vAlign w:val="center"/>
                </w:tcPr>
                <w:p w14:paraId="4E51DC18">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25L</w:t>
                  </w:r>
                </w:p>
              </w:tc>
              <w:tc>
                <w:tcPr>
                  <w:tcW w:w="642" w:type="pct"/>
                  <w:tcBorders>
                    <w:tl2br w:val="nil"/>
                    <w:tr2bl w:val="nil"/>
                  </w:tcBorders>
                  <w:shd w:val="clear" w:color="auto" w:fill="auto"/>
                  <w:noWrap w:val="0"/>
                  <w:vAlign w:val="center"/>
                </w:tcPr>
                <w:p w14:paraId="2955538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500ml/瓶</w:t>
                  </w:r>
                </w:p>
              </w:tc>
              <w:tc>
                <w:tcPr>
                  <w:tcW w:w="570" w:type="pct"/>
                  <w:tcBorders>
                    <w:tl2br w:val="nil"/>
                    <w:tr2bl w:val="nil"/>
                  </w:tcBorders>
                  <w:shd w:val="clear" w:color="auto" w:fill="auto"/>
                  <w:noWrap w:val="0"/>
                  <w:vAlign w:val="center"/>
                </w:tcPr>
                <w:p w14:paraId="41DE15F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w:t>
                  </w:r>
                  <w:r>
                    <w:rPr>
                      <w:rFonts w:hint="eastAsia" w:cs="Times New Roman"/>
                      <w:color w:val="auto"/>
                      <w:spacing w:val="0"/>
                      <w:sz w:val="18"/>
                      <w:szCs w:val="18"/>
                      <w:highlight w:val="none"/>
                      <w:lang w:val="en-US" w:eastAsia="zh-CN"/>
                    </w:rPr>
                    <w:t>9.7</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31D9BFAD">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325064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25L</w:t>
                  </w:r>
                </w:p>
              </w:tc>
              <w:tc>
                <w:tcPr>
                  <w:tcW w:w="623" w:type="pct"/>
                  <w:tcBorders>
                    <w:tl2br w:val="nil"/>
                    <w:tr2bl w:val="nil"/>
                  </w:tcBorders>
                  <w:shd w:val="clear" w:color="auto" w:fill="auto"/>
                  <w:noWrap w:val="0"/>
                  <w:vAlign w:val="center"/>
                </w:tcPr>
                <w:p w14:paraId="4D352D8A">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F1D72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67CC652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82</w:t>
                  </w:r>
                </w:p>
              </w:tc>
              <w:tc>
                <w:tcPr>
                  <w:tcW w:w="1101" w:type="pct"/>
                  <w:tcBorders>
                    <w:tl2br w:val="nil"/>
                    <w:tr2bl w:val="nil"/>
                  </w:tcBorders>
                  <w:noWrap w:val="0"/>
                  <w:vAlign w:val="center"/>
                </w:tcPr>
                <w:p w14:paraId="3BE8E870">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空气</w:t>
                  </w:r>
                </w:p>
              </w:tc>
              <w:tc>
                <w:tcPr>
                  <w:tcW w:w="556" w:type="pct"/>
                  <w:tcBorders>
                    <w:tl2br w:val="nil"/>
                    <w:tr2bl w:val="nil"/>
                  </w:tcBorders>
                  <w:noWrap w:val="0"/>
                  <w:vAlign w:val="center"/>
                </w:tcPr>
                <w:p w14:paraId="41B6CB0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90L</w:t>
                  </w:r>
                </w:p>
              </w:tc>
              <w:tc>
                <w:tcPr>
                  <w:tcW w:w="642" w:type="pct"/>
                  <w:tcBorders>
                    <w:tl2br w:val="nil"/>
                    <w:tr2bl w:val="nil"/>
                  </w:tcBorders>
                  <w:shd w:val="clear" w:color="auto" w:fill="auto"/>
                  <w:noWrap w:val="0"/>
                  <w:vAlign w:val="center"/>
                </w:tcPr>
                <w:p w14:paraId="3737F88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30L/瓶</w:t>
                  </w:r>
                </w:p>
              </w:tc>
              <w:tc>
                <w:tcPr>
                  <w:tcW w:w="570" w:type="pct"/>
                  <w:tcBorders>
                    <w:tl2br w:val="nil"/>
                    <w:tr2bl w:val="nil"/>
                  </w:tcBorders>
                  <w:shd w:val="clear" w:color="auto" w:fill="auto"/>
                  <w:noWrap w:val="0"/>
                  <w:vAlign w:val="center"/>
                </w:tcPr>
                <w:p w14:paraId="4915F487">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75F755B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CC46B5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90L</w:t>
                  </w:r>
                </w:p>
              </w:tc>
              <w:tc>
                <w:tcPr>
                  <w:tcW w:w="623" w:type="pct"/>
                  <w:tcBorders>
                    <w:tl2br w:val="nil"/>
                    <w:tr2bl w:val="nil"/>
                  </w:tcBorders>
                  <w:shd w:val="clear" w:color="auto" w:fill="auto"/>
                  <w:noWrap w:val="0"/>
                  <w:vAlign w:val="center"/>
                </w:tcPr>
                <w:p w14:paraId="040C633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2CA251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B23F16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83</w:t>
                  </w:r>
                </w:p>
              </w:tc>
              <w:tc>
                <w:tcPr>
                  <w:tcW w:w="1101" w:type="pct"/>
                  <w:tcBorders>
                    <w:tl2br w:val="nil"/>
                    <w:tr2bl w:val="nil"/>
                  </w:tcBorders>
                  <w:noWrap w:val="0"/>
                  <w:vAlign w:val="center"/>
                </w:tcPr>
                <w:p w14:paraId="7B4F82B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氢气</w:t>
                  </w:r>
                </w:p>
              </w:tc>
              <w:tc>
                <w:tcPr>
                  <w:tcW w:w="556" w:type="pct"/>
                  <w:tcBorders>
                    <w:tl2br w:val="nil"/>
                    <w:tr2bl w:val="nil"/>
                  </w:tcBorders>
                  <w:noWrap w:val="0"/>
                  <w:vAlign w:val="center"/>
                </w:tcPr>
                <w:p w14:paraId="2B62461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120L</w:t>
                  </w:r>
                </w:p>
              </w:tc>
              <w:tc>
                <w:tcPr>
                  <w:tcW w:w="642" w:type="pct"/>
                  <w:tcBorders>
                    <w:tl2br w:val="nil"/>
                    <w:tr2bl w:val="nil"/>
                  </w:tcBorders>
                  <w:shd w:val="clear" w:color="auto" w:fill="auto"/>
                  <w:noWrap w:val="0"/>
                  <w:vAlign w:val="center"/>
                </w:tcPr>
                <w:p w14:paraId="48E57C6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40L/瓶</w:t>
                  </w:r>
                </w:p>
              </w:tc>
              <w:tc>
                <w:tcPr>
                  <w:tcW w:w="570" w:type="pct"/>
                  <w:tcBorders>
                    <w:tl2br w:val="nil"/>
                    <w:tr2bl w:val="nil"/>
                  </w:tcBorders>
                  <w:shd w:val="clear" w:color="auto" w:fill="auto"/>
                  <w:noWrap w:val="0"/>
                  <w:vAlign w:val="center"/>
                </w:tcPr>
                <w:p w14:paraId="568D3068">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99.99</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3F04A93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0E705A9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120L</w:t>
                  </w:r>
                </w:p>
              </w:tc>
              <w:tc>
                <w:tcPr>
                  <w:tcW w:w="623" w:type="pct"/>
                  <w:tcBorders>
                    <w:tl2br w:val="nil"/>
                    <w:tr2bl w:val="nil"/>
                  </w:tcBorders>
                  <w:shd w:val="clear" w:color="auto" w:fill="auto"/>
                  <w:noWrap w:val="0"/>
                  <w:vAlign w:val="center"/>
                </w:tcPr>
                <w:p w14:paraId="13DA1B9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5253E7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5F1E19C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84</w:t>
                  </w:r>
                </w:p>
              </w:tc>
              <w:tc>
                <w:tcPr>
                  <w:tcW w:w="1101" w:type="pct"/>
                  <w:tcBorders>
                    <w:tl2br w:val="nil"/>
                    <w:tr2bl w:val="nil"/>
                  </w:tcBorders>
                  <w:noWrap w:val="0"/>
                  <w:vAlign w:val="center"/>
                </w:tcPr>
                <w:p w14:paraId="49C4DCA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乙炔</w:t>
                  </w:r>
                </w:p>
              </w:tc>
              <w:tc>
                <w:tcPr>
                  <w:tcW w:w="556" w:type="pct"/>
                  <w:tcBorders>
                    <w:tl2br w:val="nil"/>
                    <w:tr2bl w:val="nil"/>
                  </w:tcBorders>
                  <w:noWrap w:val="0"/>
                  <w:vAlign w:val="center"/>
                </w:tcPr>
                <w:p w14:paraId="420937F5">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400L</w:t>
                  </w:r>
                </w:p>
              </w:tc>
              <w:tc>
                <w:tcPr>
                  <w:tcW w:w="642" w:type="pct"/>
                  <w:tcBorders>
                    <w:tl2br w:val="nil"/>
                    <w:tr2bl w:val="nil"/>
                  </w:tcBorders>
                  <w:shd w:val="clear" w:color="auto" w:fill="auto"/>
                  <w:noWrap w:val="0"/>
                  <w:vAlign w:val="center"/>
                </w:tcPr>
                <w:p w14:paraId="52CF89A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40L/瓶</w:t>
                  </w:r>
                </w:p>
              </w:tc>
              <w:tc>
                <w:tcPr>
                  <w:tcW w:w="570" w:type="pct"/>
                  <w:tcBorders>
                    <w:tl2br w:val="nil"/>
                    <w:tr2bl w:val="nil"/>
                  </w:tcBorders>
                  <w:shd w:val="clear" w:color="auto" w:fill="auto"/>
                  <w:noWrap w:val="0"/>
                  <w:vAlign w:val="center"/>
                </w:tcPr>
                <w:p w14:paraId="2E3CAA0F">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6FC43082">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DDA92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400L</w:t>
                  </w:r>
                </w:p>
              </w:tc>
              <w:tc>
                <w:tcPr>
                  <w:tcW w:w="623" w:type="pct"/>
                  <w:tcBorders>
                    <w:tl2br w:val="nil"/>
                    <w:tr2bl w:val="nil"/>
                  </w:tcBorders>
                  <w:shd w:val="clear" w:color="auto" w:fill="auto"/>
                  <w:noWrap w:val="0"/>
                  <w:vAlign w:val="center"/>
                </w:tcPr>
                <w:p w14:paraId="5F80790A">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7A529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11706DB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85</w:t>
                  </w:r>
                </w:p>
              </w:tc>
              <w:tc>
                <w:tcPr>
                  <w:tcW w:w="1101" w:type="pct"/>
                  <w:tcBorders>
                    <w:tl2br w:val="nil"/>
                    <w:tr2bl w:val="nil"/>
                  </w:tcBorders>
                  <w:noWrap w:val="0"/>
                  <w:vAlign w:val="center"/>
                </w:tcPr>
                <w:p w14:paraId="0535A8CF">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氩气</w:t>
                  </w:r>
                </w:p>
              </w:tc>
              <w:tc>
                <w:tcPr>
                  <w:tcW w:w="556" w:type="pct"/>
                  <w:tcBorders>
                    <w:tl2br w:val="nil"/>
                    <w:tr2bl w:val="nil"/>
                  </w:tcBorders>
                  <w:noWrap w:val="0"/>
                  <w:vAlign w:val="center"/>
                </w:tcPr>
                <w:p w14:paraId="4EFDC46A">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50L</w:t>
                  </w:r>
                </w:p>
              </w:tc>
              <w:tc>
                <w:tcPr>
                  <w:tcW w:w="642" w:type="pct"/>
                  <w:tcBorders>
                    <w:tl2br w:val="nil"/>
                    <w:tr2bl w:val="nil"/>
                  </w:tcBorders>
                  <w:shd w:val="clear" w:color="auto" w:fill="auto"/>
                  <w:noWrap w:val="0"/>
                  <w:vAlign w:val="center"/>
                </w:tcPr>
                <w:p w14:paraId="4B69528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10L/瓶</w:t>
                  </w:r>
                </w:p>
              </w:tc>
              <w:tc>
                <w:tcPr>
                  <w:tcW w:w="570" w:type="pct"/>
                  <w:tcBorders>
                    <w:tl2br w:val="nil"/>
                    <w:tr2bl w:val="nil"/>
                  </w:tcBorders>
                  <w:shd w:val="clear" w:color="auto" w:fill="auto"/>
                  <w:noWrap w:val="0"/>
                  <w:vAlign w:val="center"/>
                </w:tcPr>
                <w:p w14:paraId="689A341C">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99.996</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12DB4AA5">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FE28D7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50L</w:t>
                  </w:r>
                </w:p>
              </w:tc>
              <w:tc>
                <w:tcPr>
                  <w:tcW w:w="623" w:type="pct"/>
                  <w:tcBorders>
                    <w:tl2br w:val="nil"/>
                    <w:tr2bl w:val="nil"/>
                  </w:tcBorders>
                  <w:shd w:val="clear" w:color="auto" w:fill="auto"/>
                  <w:noWrap w:val="0"/>
                  <w:vAlign w:val="center"/>
                </w:tcPr>
                <w:p w14:paraId="199C850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35B83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DA8A4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86</w:t>
                  </w:r>
                </w:p>
              </w:tc>
              <w:tc>
                <w:tcPr>
                  <w:tcW w:w="1101" w:type="pct"/>
                  <w:tcBorders>
                    <w:tl2br w:val="nil"/>
                    <w:tr2bl w:val="nil"/>
                  </w:tcBorders>
                  <w:noWrap w:val="0"/>
                  <w:vAlign w:val="center"/>
                </w:tcPr>
                <w:p w14:paraId="69F62239">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硝酸汞</w:t>
                  </w:r>
                </w:p>
              </w:tc>
              <w:tc>
                <w:tcPr>
                  <w:tcW w:w="556" w:type="pct"/>
                  <w:tcBorders>
                    <w:tl2br w:val="nil"/>
                    <w:tr2bl w:val="nil"/>
                  </w:tcBorders>
                  <w:noWrap w:val="0"/>
                  <w:vAlign w:val="center"/>
                </w:tcPr>
                <w:p w14:paraId="1E925F8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42" w:type="pct"/>
                  <w:tcBorders>
                    <w:tl2br w:val="nil"/>
                    <w:tr2bl w:val="nil"/>
                  </w:tcBorders>
                  <w:shd w:val="clear" w:color="auto" w:fill="auto"/>
                  <w:noWrap w:val="0"/>
                  <w:vAlign w:val="center"/>
                </w:tcPr>
                <w:p w14:paraId="3F190C3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0" w:type="pct"/>
                  <w:tcBorders>
                    <w:tl2br w:val="nil"/>
                    <w:tr2bl w:val="nil"/>
                  </w:tcBorders>
                  <w:shd w:val="clear" w:color="auto" w:fill="auto"/>
                  <w:noWrap w:val="0"/>
                  <w:vAlign w:val="center"/>
                </w:tcPr>
                <w:p w14:paraId="12096852">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453A72A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1A13B93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3D3286D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F4AA87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37064A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87</w:t>
                  </w:r>
                </w:p>
              </w:tc>
              <w:tc>
                <w:tcPr>
                  <w:tcW w:w="1101" w:type="pct"/>
                  <w:tcBorders>
                    <w:tl2br w:val="nil"/>
                    <w:tr2bl w:val="nil"/>
                  </w:tcBorders>
                  <w:noWrap w:val="0"/>
                  <w:vAlign w:val="center"/>
                </w:tcPr>
                <w:p w14:paraId="413614AC">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硝酸镍</w:t>
                  </w:r>
                </w:p>
              </w:tc>
              <w:tc>
                <w:tcPr>
                  <w:tcW w:w="556" w:type="pct"/>
                  <w:tcBorders>
                    <w:tl2br w:val="nil"/>
                    <w:tr2bl w:val="nil"/>
                  </w:tcBorders>
                  <w:noWrap w:val="0"/>
                  <w:vAlign w:val="center"/>
                </w:tcPr>
                <w:p w14:paraId="19ABD801">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0.5kg</w:t>
                  </w:r>
                </w:p>
              </w:tc>
              <w:tc>
                <w:tcPr>
                  <w:tcW w:w="642" w:type="pct"/>
                  <w:tcBorders>
                    <w:tl2br w:val="nil"/>
                    <w:tr2bl w:val="nil"/>
                  </w:tcBorders>
                  <w:shd w:val="clear" w:color="auto" w:fill="auto"/>
                  <w:noWrap w:val="0"/>
                  <w:vAlign w:val="center"/>
                </w:tcPr>
                <w:p w14:paraId="556A524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0" w:type="pct"/>
                  <w:tcBorders>
                    <w:tl2br w:val="nil"/>
                    <w:tr2bl w:val="nil"/>
                  </w:tcBorders>
                  <w:shd w:val="clear" w:color="auto" w:fill="auto"/>
                  <w:noWrap w:val="0"/>
                  <w:vAlign w:val="center"/>
                </w:tcPr>
                <w:p w14:paraId="18D13412">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2B0DF0D0">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56EEA0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0.5kg</w:t>
                  </w:r>
                </w:p>
              </w:tc>
              <w:tc>
                <w:tcPr>
                  <w:tcW w:w="623" w:type="pct"/>
                  <w:tcBorders>
                    <w:tl2br w:val="nil"/>
                    <w:tr2bl w:val="nil"/>
                  </w:tcBorders>
                  <w:shd w:val="clear" w:color="auto" w:fill="auto"/>
                  <w:noWrap w:val="0"/>
                  <w:vAlign w:val="center"/>
                </w:tcPr>
                <w:p w14:paraId="5C67AE7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EFD30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B4F462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88</w:t>
                  </w:r>
                </w:p>
              </w:tc>
              <w:tc>
                <w:tcPr>
                  <w:tcW w:w="1101" w:type="pct"/>
                  <w:tcBorders>
                    <w:tl2br w:val="nil"/>
                    <w:tr2bl w:val="nil"/>
                  </w:tcBorders>
                  <w:noWrap w:val="0"/>
                  <w:vAlign w:val="center"/>
                </w:tcPr>
                <w:p w14:paraId="1F36ED8D">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硝酸铅</w:t>
                  </w:r>
                </w:p>
              </w:tc>
              <w:tc>
                <w:tcPr>
                  <w:tcW w:w="556" w:type="pct"/>
                  <w:tcBorders>
                    <w:tl2br w:val="nil"/>
                    <w:tr2bl w:val="nil"/>
                  </w:tcBorders>
                  <w:noWrap w:val="0"/>
                  <w:vAlign w:val="center"/>
                </w:tcPr>
                <w:p w14:paraId="4B8095AF">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0.4kg</w:t>
                  </w:r>
                </w:p>
              </w:tc>
              <w:tc>
                <w:tcPr>
                  <w:tcW w:w="642" w:type="pct"/>
                  <w:tcBorders>
                    <w:tl2br w:val="nil"/>
                    <w:tr2bl w:val="nil"/>
                  </w:tcBorders>
                  <w:shd w:val="clear" w:color="auto" w:fill="auto"/>
                  <w:noWrap w:val="0"/>
                  <w:vAlign w:val="center"/>
                </w:tcPr>
                <w:p w14:paraId="54F9F82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100g/瓶</w:t>
                  </w:r>
                </w:p>
              </w:tc>
              <w:tc>
                <w:tcPr>
                  <w:tcW w:w="570" w:type="pct"/>
                  <w:tcBorders>
                    <w:tl2br w:val="nil"/>
                    <w:tr2bl w:val="nil"/>
                  </w:tcBorders>
                  <w:shd w:val="clear" w:color="auto" w:fill="auto"/>
                  <w:noWrap w:val="0"/>
                  <w:vAlign w:val="center"/>
                </w:tcPr>
                <w:p w14:paraId="2A471293">
                  <w:pPr>
                    <w:widowControl/>
                    <w:spacing w:line="0" w:lineRule="atLeast"/>
                    <w:jc w:val="center"/>
                    <w:rPr>
                      <w:rFonts w:hint="default"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99.5</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0D25F3E6">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E4E7839">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0.4kg</w:t>
                  </w:r>
                </w:p>
              </w:tc>
              <w:tc>
                <w:tcPr>
                  <w:tcW w:w="623" w:type="pct"/>
                  <w:tcBorders>
                    <w:tl2br w:val="nil"/>
                    <w:tr2bl w:val="nil"/>
                  </w:tcBorders>
                  <w:shd w:val="clear" w:color="auto" w:fill="auto"/>
                  <w:noWrap w:val="0"/>
                  <w:vAlign w:val="center"/>
                </w:tcPr>
                <w:p w14:paraId="38D57B1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16837A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3D79E18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89</w:t>
                  </w:r>
                </w:p>
              </w:tc>
              <w:tc>
                <w:tcPr>
                  <w:tcW w:w="1101" w:type="pct"/>
                  <w:tcBorders>
                    <w:tl2br w:val="nil"/>
                    <w:tr2bl w:val="nil"/>
                  </w:tcBorders>
                  <w:noWrap w:val="0"/>
                  <w:vAlign w:val="center"/>
                </w:tcPr>
                <w:p w14:paraId="1274EC6C">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过硫酸钾</w:t>
                  </w:r>
                </w:p>
              </w:tc>
              <w:tc>
                <w:tcPr>
                  <w:tcW w:w="556" w:type="pct"/>
                  <w:tcBorders>
                    <w:tl2br w:val="nil"/>
                    <w:tr2bl w:val="nil"/>
                  </w:tcBorders>
                  <w:noWrap w:val="0"/>
                  <w:vAlign w:val="center"/>
                </w:tcPr>
                <w:p w14:paraId="795000B4">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5kg</w:t>
                  </w:r>
                </w:p>
              </w:tc>
              <w:tc>
                <w:tcPr>
                  <w:tcW w:w="642" w:type="pct"/>
                  <w:tcBorders>
                    <w:tl2br w:val="nil"/>
                    <w:tr2bl w:val="nil"/>
                  </w:tcBorders>
                  <w:shd w:val="clear" w:color="auto" w:fill="auto"/>
                  <w:noWrap w:val="0"/>
                  <w:vAlign w:val="center"/>
                </w:tcPr>
                <w:p w14:paraId="534BFE4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0" w:type="pct"/>
                  <w:tcBorders>
                    <w:tl2br w:val="nil"/>
                    <w:tr2bl w:val="nil"/>
                  </w:tcBorders>
                  <w:shd w:val="clear" w:color="auto" w:fill="auto"/>
                  <w:noWrap w:val="0"/>
                  <w:vAlign w:val="center"/>
                </w:tcPr>
                <w:p w14:paraId="0FA68E01">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98</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081179EE">
                  <w:pPr>
                    <w:widowControl/>
                    <w:spacing w:line="0" w:lineRule="atLeast"/>
                    <w:jc w:val="center"/>
                    <w:rPr>
                      <w:rFonts w:hint="eastAsia"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DF3829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5kg</w:t>
                  </w:r>
                </w:p>
              </w:tc>
              <w:tc>
                <w:tcPr>
                  <w:tcW w:w="623" w:type="pct"/>
                  <w:tcBorders>
                    <w:tl2br w:val="nil"/>
                    <w:tr2bl w:val="nil"/>
                  </w:tcBorders>
                  <w:shd w:val="clear" w:color="auto" w:fill="auto"/>
                  <w:noWrap w:val="0"/>
                  <w:vAlign w:val="center"/>
                </w:tcPr>
                <w:p w14:paraId="51757983">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31EB6D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476F2A9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90</w:t>
                  </w:r>
                </w:p>
              </w:tc>
              <w:tc>
                <w:tcPr>
                  <w:tcW w:w="1101" w:type="pct"/>
                  <w:tcBorders>
                    <w:tl2br w:val="nil"/>
                    <w:tr2bl w:val="nil"/>
                  </w:tcBorders>
                  <w:noWrap w:val="0"/>
                  <w:vAlign w:val="center"/>
                </w:tcPr>
                <w:p w14:paraId="2DB701FA">
                  <w:pPr>
                    <w:widowControl/>
                    <w:spacing w:line="0" w:lineRule="atLeast"/>
                    <w:jc w:val="center"/>
                    <w:rPr>
                      <w:rFonts w:hint="eastAsia" w:ascii="Times New Roman" w:hAnsi="Times New Roman" w:eastAsia="宋体" w:cs="Times New Roman"/>
                      <w:color w:val="auto"/>
                      <w:spacing w:val="0"/>
                      <w:sz w:val="18"/>
                      <w:szCs w:val="18"/>
                      <w:highlight w:val="none"/>
                      <w:lang w:val="en-US" w:eastAsia="zh-CN"/>
                    </w:rPr>
                  </w:pPr>
                  <w:r>
                    <w:rPr>
                      <w:rFonts w:hint="eastAsia" w:ascii="Times New Roman" w:hAnsi="Times New Roman" w:eastAsia="宋体" w:cs="Times New Roman"/>
                      <w:color w:val="auto"/>
                      <w:spacing w:val="0"/>
                      <w:sz w:val="18"/>
                      <w:szCs w:val="18"/>
                      <w:highlight w:val="none"/>
                      <w:lang w:val="en-US" w:eastAsia="zh-CN"/>
                    </w:rPr>
                    <w:t>过硫酸铵</w:t>
                  </w:r>
                </w:p>
              </w:tc>
              <w:tc>
                <w:tcPr>
                  <w:tcW w:w="556" w:type="pct"/>
                  <w:tcBorders>
                    <w:tl2br w:val="nil"/>
                    <w:tr2bl w:val="nil"/>
                  </w:tcBorders>
                  <w:noWrap w:val="0"/>
                  <w:vAlign w:val="center"/>
                </w:tcPr>
                <w:p w14:paraId="653CEEE7">
                  <w:pPr>
                    <w:widowControl/>
                    <w:spacing w:line="0" w:lineRule="atLeast"/>
                    <w:jc w:val="center"/>
                    <w:rPr>
                      <w:rFonts w:hint="default" w:ascii="Times New Roman" w:hAnsi="Times New Roman" w:eastAsia="宋体" w:cs="Times New Roman"/>
                      <w:color w:val="auto"/>
                      <w:spacing w:val="0"/>
                      <w:sz w:val="18"/>
                      <w:szCs w:val="18"/>
                      <w:highlight w:val="none"/>
                      <w:lang w:val="en-US" w:eastAsia="zh-CN"/>
                    </w:rPr>
                  </w:pPr>
                  <w:r>
                    <w:rPr>
                      <w:rFonts w:hint="eastAsia" w:cs="Times New Roman"/>
                      <w:color w:val="auto"/>
                      <w:spacing w:val="0"/>
                      <w:sz w:val="18"/>
                      <w:szCs w:val="18"/>
                      <w:highlight w:val="none"/>
                      <w:lang w:val="en-US" w:eastAsia="zh-CN"/>
                    </w:rPr>
                    <w:t>2.5kg</w:t>
                  </w:r>
                </w:p>
              </w:tc>
              <w:tc>
                <w:tcPr>
                  <w:tcW w:w="642" w:type="pct"/>
                  <w:tcBorders>
                    <w:tl2br w:val="nil"/>
                    <w:tr2bl w:val="nil"/>
                  </w:tcBorders>
                  <w:shd w:val="clear" w:color="auto" w:fill="auto"/>
                  <w:noWrap w:val="0"/>
                  <w:vAlign w:val="center"/>
                </w:tcPr>
                <w:p w14:paraId="0650701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0" w:type="pct"/>
                  <w:tcBorders>
                    <w:tl2br w:val="nil"/>
                    <w:tr2bl w:val="nil"/>
                  </w:tcBorders>
                  <w:shd w:val="clear" w:color="auto" w:fill="auto"/>
                  <w:noWrap w:val="0"/>
                  <w:vAlign w:val="center"/>
                </w:tcPr>
                <w:p w14:paraId="1755F19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98</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57E33D72">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287883C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2.5kg</w:t>
                  </w:r>
                </w:p>
              </w:tc>
              <w:tc>
                <w:tcPr>
                  <w:tcW w:w="623" w:type="pct"/>
                  <w:tcBorders>
                    <w:tl2br w:val="nil"/>
                    <w:tr2bl w:val="nil"/>
                  </w:tcBorders>
                  <w:shd w:val="clear" w:color="auto" w:fill="auto"/>
                  <w:noWrap w:val="0"/>
                  <w:vAlign w:val="center"/>
                </w:tcPr>
                <w:p w14:paraId="272EA80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1E341F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27FC65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91</w:t>
                  </w:r>
                </w:p>
              </w:tc>
              <w:tc>
                <w:tcPr>
                  <w:tcW w:w="1101" w:type="pct"/>
                  <w:tcBorders>
                    <w:tl2br w:val="nil"/>
                    <w:tr2bl w:val="nil"/>
                  </w:tcBorders>
                  <w:shd w:val="clear" w:color="auto" w:fill="auto"/>
                  <w:noWrap w:val="0"/>
                  <w:vAlign w:val="center"/>
                </w:tcPr>
                <w:p w14:paraId="4897C9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邻菲罗啉</w:t>
                  </w:r>
                </w:p>
              </w:tc>
              <w:tc>
                <w:tcPr>
                  <w:tcW w:w="556" w:type="pct"/>
                  <w:tcBorders>
                    <w:tl2br w:val="nil"/>
                    <w:tr2bl w:val="nil"/>
                  </w:tcBorders>
                  <w:shd w:val="clear" w:color="auto" w:fill="auto"/>
                  <w:noWrap w:val="0"/>
                  <w:vAlign w:val="center"/>
                </w:tcPr>
                <w:p w14:paraId="4D3F8A0B">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0.015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3A7B0EF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5g/瓶</w:t>
                  </w:r>
                </w:p>
              </w:tc>
              <w:tc>
                <w:tcPr>
                  <w:tcW w:w="570" w:type="pct"/>
                  <w:tcBorders>
                    <w:tl2br w:val="nil"/>
                    <w:tr2bl w:val="nil"/>
                  </w:tcBorders>
                  <w:shd w:val="clear" w:color="auto" w:fill="auto"/>
                  <w:noWrap w:val="0"/>
                  <w:vAlign w:val="center"/>
                </w:tcPr>
                <w:p w14:paraId="72132BC4">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97</w:t>
                  </w:r>
                  <w:r>
                    <w:rPr>
                      <w:rFonts w:hint="eastAsia" w:ascii="Times New Roman" w:hAnsi="Times New Roman" w:eastAsia="宋体" w:cs="Times New Roman"/>
                      <w:color w:val="auto"/>
                      <w:spacing w:val="0"/>
                      <w:sz w:val="18"/>
                      <w:szCs w:val="18"/>
                      <w:highlight w:val="none"/>
                      <w:lang w:val="en-US" w:eastAsia="zh-CN"/>
                    </w:rPr>
                    <w:t>%</w:t>
                  </w:r>
                </w:p>
              </w:tc>
              <w:tc>
                <w:tcPr>
                  <w:tcW w:w="399" w:type="pct"/>
                  <w:tcBorders>
                    <w:tl2br w:val="nil"/>
                    <w:tr2bl w:val="nil"/>
                  </w:tcBorders>
                  <w:shd w:val="clear" w:color="auto" w:fill="auto"/>
                  <w:noWrap w:val="0"/>
                  <w:vAlign w:val="center"/>
                </w:tcPr>
                <w:p w14:paraId="25D22BEB">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E6216D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0.015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195C80B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0F45CB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063B103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92</w:t>
                  </w:r>
                </w:p>
              </w:tc>
              <w:tc>
                <w:tcPr>
                  <w:tcW w:w="1101" w:type="pct"/>
                  <w:tcBorders>
                    <w:tl2br w:val="nil"/>
                    <w:tr2bl w:val="nil"/>
                  </w:tcBorders>
                  <w:shd w:val="clear" w:color="auto" w:fill="auto"/>
                  <w:noWrap w:val="0"/>
                  <w:vAlign w:val="center"/>
                </w:tcPr>
                <w:p w14:paraId="6C3FC7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草酸钠</w:t>
                  </w:r>
                </w:p>
              </w:tc>
              <w:tc>
                <w:tcPr>
                  <w:tcW w:w="556" w:type="pct"/>
                  <w:tcBorders>
                    <w:tl2br w:val="nil"/>
                    <w:tr2bl w:val="nil"/>
                  </w:tcBorders>
                  <w:shd w:val="clear" w:color="auto" w:fill="auto"/>
                  <w:noWrap w:val="0"/>
                  <w:vAlign w:val="center"/>
                </w:tcPr>
                <w:p w14:paraId="369E6BF5">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1</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22B5CC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500g/瓶</w:t>
                  </w:r>
                </w:p>
              </w:tc>
              <w:tc>
                <w:tcPr>
                  <w:tcW w:w="570" w:type="pct"/>
                  <w:tcBorders>
                    <w:tl2br w:val="nil"/>
                    <w:tr2bl w:val="nil"/>
                  </w:tcBorders>
                  <w:shd w:val="clear" w:color="auto" w:fill="auto"/>
                  <w:noWrap w:val="0"/>
                  <w:vAlign w:val="center"/>
                </w:tcPr>
                <w:p w14:paraId="6F156B7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99.5%</w:t>
                  </w:r>
                </w:p>
              </w:tc>
              <w:tc>
                <w:tcPr>
                  <w:tcW w:w="399" w:type="pct"/>
                  <w:tcBorders>
                    <w:tl2br w:val="nil"/>
                    <w:tr2bl w:val="nil"/>
                  </w:tcBorders>
                  <w:shd w:val="clear" w:color="auto" w:fill="auto"/>
                  <w:noWrap w:val="0"/>
                  <w:vAlign w:val="center"/>
                </w:tcPr>
                <w:p w14:paraId="0F4BA03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31E742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1</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6A47A8D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7DA391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2EE6A08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93</w:t>
                  </w:r>
                </w:p>
              </w:tc>
              <w:tc>
                <w:tcPr>
                  <w:tcW w:w="1101" w:type="pct"/>
                  <w:tcBorders>
                    <w:tl2br w:val="nil"/>
                    <w:tr2bl w:val="nil"/>
                  </w:tcBorders>
                  <w:shd w:val="clear" w:color="auto" w:fill="auto"/>
                  <w:noWrap w:val="0"/>
                  <w:vAlign w:val="center"/>
                </w:tcPr>
                <w:p w14:paraId="2A38A8E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铬黑T</w:t>
                  </w:r>
                </w:p>
              </w:tc>
              <w:tc>
                <w:tcPr>
                  <w:tcW w:w="556" w:type="pct"/>
                  <w:tcBorders>
                    <w:tl2br w:val="nil"/>
                    <w:tr2bl w:val="nil"/>
                  </w:tcBorders>
                  <w:shd w:val="clear" w:color="auto" w:fill="auto"/>
                  <w:noWrap w:val="0"/>
                  <w:vAlign w:val="center"/>
                </w:tcPr>
                <w:p w14:paraId="172C036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0.125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166C578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44E1DC8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99%</w:t>
                  </w:r>
                </w:p>
              </w:tc>
              <w:tc>
                <w:tcPr>
                  <w:tcW w:w="399" w:type="pct"/>
                  <w:tcBorders>
                    <w:tl2br w:val="nil"/>
                    <w:tr2bl w:val="nil"/>
                  </w:tcBorders>
                  <w:shd w:val="clear" w:color="auto" w:fill="auto"/>
                  <w:noWrap w:val="0"/>
                  <w:vAlign w:val="center"/>
                </w:tcPr>
                <w:p w14:paraId="3ABE705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697663F7">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0.125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752F6A7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17BDE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3581870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94</w:t>
                  </w:r>
                </w:p>
              </w:tc>
              <w:tc>
                <w:tcPr>
                  <w:tcW w:w="1101" w:type="pct"/>
                  <w:tcBorders>
                    <w:tl2br w:val="nil"/>
                    <w:tr2bl w:val="nil"/>
                  </w:tcBorders>
                  <w:shd w:val="clear" w:color="auto" w:fill="auto"/>
                  <w:noWrap w:val="0"/>
                  <w:vAlign w:val="center"/>
                </w:tcPr>
                <w:p w14:paraId="2675CCB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溴百里酚蓝</w:t>
                  </w:r>
                </w:p>
              </w:tc>
              <w:tc>
                <w:tcPr>
                  <w:tcW w:w="556" w:type="pct"/>
                  <w:tcBorders>
                    <w:tl2br w:val="nil"/>
                    <w:tr2bl w:val="nil"/>
                  </w:tcBorders>
                  <w:shd w:val="clear" w:color="auto" w:fill="auto"/>
                  <w:noWrap w:val="0"/>
                  <w:vAlign w:val="center"/>
                </w:tcPr>
                <w:p w14:paraId="61DA7DEF">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0.075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5FF094D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16526BD5">
                  <w:pPr>
                    <w:widowControl/>
                    <w:spacing w:line="0" w:lineRule="atLeast"/>
                    <w:jc w:val="center"/>
                    <w:rPr>
                      <w:rFonts w:hint="default"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w:t>
                  </w:r>
                </w:p>
              </w:tc>
              <w:tc>
                <w:tcPr>
                  <w:tcW w:w="399" w:type="pct"/>
                  <w:tcBorders>
                    <w:tl2br w:val="nil"/>
                    <w:tr2bl w:val="nil"/>
                  </w:tcBorders>
                  <w:shd w:val="clear" w:color="auto" w:fill="auto"/>
                  <w:noWrap w:val="0"/>
                  <w:vAlign w:val="center"/>
                </w:tcPr>
                <w:p w14:paraId="1021BE27">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5B76EDC8">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0.075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1D3D976D">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42E04F1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379443E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95</w:t>
                  </w:r>
                </w:p>
              </w:tc>
              <w:tc>
                <w:tcPr>
                  <w:tcW w:w="1101" w:type="pct"/>
                  <w:tcBorders>
                    <w:tl2br w:val="nil"/>
                    <w:tr2bl w:val="nil"/>
                  </w:tcBorders>
                  <w:shd w:val="clear" w:color="auto" w:fill="auto"/>
                  <w:noWrap w:val="0"/>
                  <w:vAlign w:val="center"/>
                </w:tcPr>
                <w:p w14:paraId="1208AC61">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酚酞</w:t>
                  </w:r>
                </w:p>
              </w:tc>
              <w:tc>
                <w:tcPr>
                  <w:tcW w:w="556" w:type="pct"/>
                  <w:tcBorders>
                    <w:tl2br w:val="nil"/>
                    <w:tr2bl w:val="nil"/>
                  </w:tcBorders>
                  <w:shd w:val="clear" w:color="auto" w:fill="auto"/>
                  <w:noWrap w:val="0"/>
                  <w:vAlign w:val="center"/>
                </w:tcPr>
                <w:p w14:paraId="745C27F0">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0.75</w:t>
                  </w:r>
                  <w:r>
                    <w:rPr>
                      <w:rFonts w:hint="eastAsia" w:cs="Times New Roman"/>
                      <w:color w:val="auto"/>
                      <w:spacing w:val="0"/>
                      <w:sz w:val="18"/>
                      <w:szCs w:val="18"/>
                      <w:highlight w:val="none"/>
                      <w:lang w:val="en-US" w:eastAsia="zh-CN"/>
                    </w:rPr>
                    <w:t>kg</w:t>
                  </w:r>
                </w:p>
              </w:tc>
              <w:tc>
                <w:tcPr>
                  <w:tcW w:w="642" w:type="pct"/>
                  <w:tcBorders>
                    <w:tl2br w:val="nil"/>
                    <w:tr2bl w:val="nil"/>
                  </w:tcBorders>
                  <w:shd w:val="clear" w:color="auto" w:fill="auto"/>
                  <w:noWrap w:val="0"/>
                  <w:vAlign w:val="center"/>
                </w:tcPr>
                <w:p w14:paraId="433AF1A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239DAA52">
                  <w:pPr>
                    <w:widowControl/>
                    <w:spacing w:line="0" w:lineRule="atLeast"/>
                    <w:jc w:val="center"/>
                    <w:rPr>
                      <w:rFonts w:hint="default"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w:t>
                  </w:r>
                </w:p>
              </w:tc>
              <w:tc>
                <w:tcPr>
                  <w:tcW w:w="399" w:type="pct"/>
                  <w:tcBorders>
                    <w:tl2br w:val="nil"/>
                    <w:tr2bl w:val="nil"/>
                  </w:tcBorders>
                  <w:shd w:val="clear" w:color="auto" w:fill="auto"/>
                  <w:noWrap w:val="0"/>
                  <w:vAlign w:val="center"/>
                </w:tcPr>
                <w:p w14:paraId="14E80311">
                  <w:pPr>
                    <w:widowControl/>
                    <w:spacing w:line="0" w:lineRule="atLeast"/>
                    <w:jc w:val="center"/>
                    <w:rPr>
                      <w:rFonts w:hint="eastAsia"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71FCD8D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0.75</w:t>
                  </w:r>
                  <w:r>
                    <w:rPr>
                      <w:rFonts w:hint="eastAsia" w:cs="Times New Roman"/>
                      <w:color w:val="auto"/>
                      <w:spacing w:val="0"/>
                      <w:sz w:val="18"/>
                      <w:szCs w:val="18"/>
                      <w:highlight w:val="none"/>
                      <w:lang w:val="en-US" w:eastAsia="zh-CN"/>
                    </w:rPr>
                    <w:t>kg</w:t>
                  </w:r>
                </w:p>
              </w:tc>
              <w:tc>
                <w:tcPr>
                  <w:tcW w:w="623" w:type="pct"/>
                  <w:tcBorders>
                    <w:tl2br w:val="nil"/>
                    <w:tr2bl w:val="nil"/>
                  </w:tcBorders>
                  <w:shd w:val="clear" w:color="auto" w:fill="auto"/>
                  <w:noWrap w:val="0"/>
                  <w:vAlign w:val="center"/>
                </w:tcPr>
                <w:p w14:paraId="6741D9D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r w14:paraId="6F6272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9" w:type="pct"/>
                  <w:tcBorders>
                    <w:tl2br w:val="nil"/>
                    <w:tr2bl w:val="nil"/>
                  </w:tcBorders>
                  <w:shd w:val="clear" w:color="auto" w:fill="auto"/>
                  <w:noWrap w:val="0"/>
                  <w:vAlign w:val="center"/>
                </w:tcPr>
                <w:p w14:paraId="649CA8B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9</w:t>
                  </w:r>
                  <w:r>
                    <w:rPr>
                      <w:rFonts w:hint="eastAsia" w:cs="Times New Roman"/>
                      <w:color w:val="auto"/>
                      <w:spacing w:val="0"/>
                      <w:sz w:val="18"/>
                      <w:szCs w:val="18"/>
                      <w:highlight w:val="none"/>
                      <w:lang w:val="en-US" w:eastAsia="zh-CN"/>
                    </w:rPr>
                    <w:t>6</w:t>
                  </w:r>
                </w:p>
              </w:tc>
              <w:tc>
                <w:tcPr>
                  <w:tcW w:w="1101" w:type="pct"/>
                  <w:tcBorders>
                    <w:tl2br w:val="nil"/>
                    <w:tr2bl w:val="nil"/>
                  </w:tcBorders>
                  <w:shd w:val="clear" w:color="auto" w:fill="auto"/>
                  <w:noWrap w:val="0"/>
                  <w:vAlign w:val="center"/>
                </w:tcPr>
                <w:p w14:paraId="78679906">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甲基橙（指示剂）</w:t>
                  </w:r>
                </w:p>
              </w:tc>
              <w:tc>
                <w:tcPr>
                  <w:tcW w:w="556" w:type="pct"/>
                  <w:tcBorders>
                    <w:tl2br w:val="nil"/>
                    <w:tr2bl w:val="nil"/>
                  </w:tcBorders>
                  <w:shd w:val="clear" w:color="auto" w:fill="auto"/>
                  <w:noWrap w:val="0"/>
                  <w:vAlign w:val="center"/>
                </w:tcPr>
                <w:p w14:paraId="389CDBCF">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0.25kg</w:t>
                  </w:r>
                </w:p>
              </w:tc>
              <w:tc>
                <w:tcPr>
                  <w:tcW w:w="642" w:type="pct"/>
                  <w:tcBorders>
                    <w:tl2br w:val="nil"/>
                    <w:tr2bl w:val="nil"/>
                  </w:tcBorders>
                  <w:shd w:val="clear" w:color="auto" w:fill="auto"/>
                  <w:noWrap w:val="0"/>
                  <w:vAlign w:val="center"/>
                </w:tcPr>
                <w:p w14:paraId="0C92E7D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sz w:val="18"/>
                      <w:szCs w:val="18"/>
                      <w:highlight w:val="none"/>
                      <w:lang w:val="en-US" w:eastAsia="zh-CN"/>
                    </w:rPr>
                    <w:t>25g/瓶</w:t>
                  </w:r>
                </w:p>
              </w:tc>
              <w:tc>
                <w:tcPr>
                  <w:tcW w:w="570" w:type="pct"/>
                  <w:tcBorders>
                    <w:tl2br w:val="nil"/>
                    <w:tr2bl w:val="nil"/>
                  </w:tcBorders>
                  <w:shd w:val="clear" w:color="auto" w:fill="auto"/>
                  <w:noWrap w:val="0"/>
                  <w:vAlign w:val="center"/>
                </w:tcPr>
                <w:p w14:paraId="0CCB49B9">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w:t>
                  </w:r>
                </w:p>
              </w:tc>
              <w:tc>
                <w:tcPr>
                  <w:tcW w:w="399" w:type="pct"/>
                  <w:tcBorders>
                    <w:tl2br w:val="nil"/>
                    <w:tr2bl w:val="nil"/>
                  </w:tcBorders>
                  <w:shd w:val="clear" w:color="auto" w:fill="auto"/>
                  <w:noWrap w:val="0"/>
                  <w:vAlign w:val="center"/>
                </w:tcPr>
                <w:p w14:paraId="36D4160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外购</w:t>
                  </w:r>
                </w:p>
              </w:tc>
              <w:tc>
                <w:tcPr>
                  <w:tcW w:w="727" w:type="pct"/>
                  <w:tcBorders>
                    <w:tl2br w:val="nil"/>
                    <w:tr2bl w:val="nil"/>
                  </w:tcBorders>
                  <w:shd w:val="clear" w:color="auto" w:fill="auto"/>
                  <w:noWrap w:val="0"/>
                  <w:vAlign w:val="center"/>
                </w:tcPr>
                <w:p w14:paraId="38CAF9E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sz w:val="18"/>
                      <w:szCs w:val="18"/>
                      <w:highlight w:val="none"/>
                      <w:lang w:val="en-US" w:eastAsia="zh-CN"/>
                    </w:rPr>
                    <w:t>0.25kg</w:t>
                  </w:r>
                </w:p>
              </w:tc>
              <w:tc>
                <w:tcPr>
                  <w:tcW w:w="623" w:type="pct"/>
                  <w:tcBorders>
                    <w:tl2br w:val="nil"/>
                    <w:tr2bl w:val="nil"/>
                  </w:tcBorders>
                  <w:shd w:val="clear" w:color="auto" w:fill="auto"/>
                  <w:noWrap w:val="0"/>
                  <w:vAlign w:val="center"/>
                </w:tcPr>
                <w:p w14:paraId="7C12EED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cs="Times New Roman"/>
                      <w:color w:val="auto"/>
                      <w:spacing w:val="-10"/>
                      <w:sz w:val="18"/>
                      <w:szCs w:val="18"/>
                      <w:highlight w:val="none"/>
                    </w:rPr>
                    <w:t>药品室</w:t>
                  </w:r>
                </w:p>
              </w:tc>
            </w:tr>
          </w:tbl>
          <w:p w14:paraId="7D77C124">
            <w:pPr>
              <w:pStyle w:val="22"/>
              <w:adjustRightInd w:val="0"/>
              <w:snapToGrid w:val="0"/>
              <w:spacing w:before="0" w:beforeAutospacing="0" w:after="0" w:afterAutospacing="0" w:line="440" w:lineRule="exact"/>
              <w:ind w:firstLine="422" w:firstLineChars="200"/>
              <w:rPr>
                <w:rFonts w:hint="default" w:ascii="Times New Roman" w:hAnsi="Times New Roman" w:eastAsia="宋体"/>
                <w:b/>
                <w:color w:val="auto"/>
                <w:sz w:val="21"/>
                <w:szCs w:val="21"/>
                <w:highlight w:val="none"/>
                <w:lang w:val="en-US" w:eastAsia="zh-CN"/>
              </w:rPr>
            </w:pPr>
            <w:r>
              <w:rPr>
                <w:rFonts w:hint="eastAsia" w:ascii="Times New Roman" w:hAnsi="Times New Roman"/>
                <w:b/>
                <w:color w:val="auto"/>
                <w:sz w:val="21"/>
                <w:szCs w:val="21"/>
                <w:highlight w:val="none"/>
                <w:lang w:val="en-US" w:eastAsia="zh-CN"/>
              </w:rPr>
              <w:t>6</w:t>
            </w:r>
            <w:r>
              <w:rPr>
                <w:rFonts w:hint="eastAsia" w:ascii="Times New Roman" w:hAnsi="Times New Roman"/>
                <w:b/>
                <w:color w:val="auto"/>
                <w:sz w:val="21"/>
                <w:szCs w:val="21"/>
                <w:highlight w:val="none"/>
              </w:rPr>
              <w:t>.</w:t>
            </w:r>
            <w:r>
              <w:rPr>
                <w:rFonts w:hint="eastAsia" w:ascii="Times New Roman" w:hAnsi="Times New Roman"/>
                <w:b/>
                <w:color w:val="auto"/>
                <w:sz w:val="21"/>
                <w:szCs w:val="21"/>
                <w:highlight w:val="none"/>
                <w:lang w:val="en-US" w:eastAsia="zh-CN"/>
              </w:rPr>
              <w:t>能源及其他消耗</w:t>
            </w:r>
          </w:p>
          <w:p w14:paraId="41DD128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项目主要能源及其他消耗如下表所示：</w:t>
            </w:r>
          </w:p>
          <w:p w14:paraId="5EE1BA3B">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jc w:val="center"/>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10</w:t>
            </w:r>
            <w:r>
              <w:rPr>
                <w:rFonts w:hint="eastAsia" w:ascii="Times New Roman" w:hAnsi="Times New Roman"/>
                <w:b/>
                <w:color w:val="auto"/>
                <w:sz w:val="21"/>
                <w:szCs w:val="21"/>
                <w:highlight w:val="none"/>
              </w:rPr>
              <w:t xml:space="preserve"> </w:t>
            </w:r>
            <w:r>
              <w:rPr>
                <w:rFonts w:hint="eastAsia" w:ascii="Times New Roman" w:hAnsi="Times New Roman"/>
                <w:b/>
                <w:color w:val="auto"/>
                <w:sz w:val="21"/>
                <w:szCs w:val="21"/>
                <w:highlight w:val="none"/>
                <w:lang w:val="en-US" w:eastAsia="zh-CN"/>
              </w:rPr>
              <w:t>项目能源</w:t>
            </w:r>
            <w:r>
              <w:rPr>
                <w:rFonts w:hint="eastAsia" w:ascii="Times New Roman" w:hAnsi="Times New Roman"/>
                <w:b/>
                <w:color w:val="auto"/>
                <w:sz w:val="21"/>
                <w:szCs w:val="21"/>
                <w:highlight w:val="none"/>
              </w:rPr>
              <w:t>消耗一览表</w:t>
            </w:r>
          </w:p>
          <w:tbl>
            <w:tblPr>
              <w:tblStyle w:val="26"/>
              <w:tblW w:w="7961"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9"/>
              <w:gridCol w:w="1293"/>
              <w:gridCol w:w="1156"/>
              <w:gridCol w:w="1133"/>
              <w:gridCol w:w="3840"/>
            </w:tblGrid>
            <w:tr w14:paraId="083570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290D6FC3">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序号</w:t>
                  </w:r>
                </w:p>
              </w:tc>
              <w:tc>
                <w:tcPr>
                  <w:tcW w:w="812" w:type="pct"/>
                  <w:tcBorders>
                    <w:tl2br w:val="nil"/>
                    <w:tr2bl w:val="nil"/>
                  </w:tcBorders>
                  <w:noWrap w:val="0"/>
                  <w:vAlign w:val="center"/>
                </w:tcPr>
                <w:p w14:paraId="0CF6D304">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名称</w:t>
                  </w:r>
                </w:p>
              </w:tc>
              <w:tc>
                <w:tcPr>
                  <w:tcW w:w="726" w:type="pct"/>
                  <w:tcBorders>
                    <w:tl2br w:val="nil"/>
                    <w:tr2bl w:val="nil"/>
                  </w:tcBorders>
                  <w:noWrap w:val="0"/>
                  <w:vAlign w:val="center"/>
                </w:tcPr>
                <w:p w14:paraId="2F38155B">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单位</w:t>
                  </w:r>
                </w:p>
              </w:tc>
              <w:tc>
                <w:tcPr>
                  <w:tcW w:w="711" w:type="pct"/>
                  <w:tcBorders>
                    <w:tl2br w:val="nil"/>
                    <w:tr2bl w:val="nil"/>
                  </w:tcBorders>
                  <w:noWrap w:val="0"/>
                  <w:vAlign w:val="center"/>
                </w:tcPr>
                <w:p w14:paraId="289E178A">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消耗量</w:t>
                  </w:r>
                </w:p>
              </w:tc>
              <w:tc>
                <w:tcPr>
                  <w:tcW w:w="2411" w:type="pct"/>
                  <w:tcBorders>
                    <w:tl2br w:val="nil"/>
                    <w:tr2bl w:val="nil"/>
                  </w:tcBorders>
                  <w:noWrap w:val="0"/>
                  <w:vAlign w:val="center"/>
                </w:tcPr>
                <w:p w14:paraId="2C43CE50">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备注</w:t>
                  </w:r>
                </w:p>
              </w:tc>
            </w:tr>
            <w:tr w14:paraId="403F64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1A18441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1</w:t>
                  </w:r>
                </w:p>
              </w:tc>
              <w:tc>
                <w:tcPr>
                  <w:tcW w:w="812" w:type="pct"/>
                  <w:tcBorders>
                    <w:tl2br w:val="nil"/>
                    <w:tr2bl w:val="nil"/>
                  </w:tcBorders>
                  <w:noWrap w:val="0"/>
                  <w:vAlign w:val="center"/>
                </w:tcPr>
                <w:p w14:paraId="0992A10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电</w:t>
                  </w:r>
                </w:p>
              </w:tc>
              <w:tc>
                <w:tcPr>
                  <w:tcW w:w="726" w:type="pct"/>
                  <w:tcBorders>
                    <w:tl2br w:val="nil"/>
                    <w:tr2bl w:val="nil"/>
                  </w:tcBorders>
                  <w:noWrap w:val="0"/>
                  <w:vAlign w:val="center"/>
                </w:tcPr>
                <w:p w14:paraId="269AEC9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万kWh/a</w:t>
                  </w:r>
                </w:p>
              </w:tc>
              <w:tc>
                <w:tcPr>
                  <w:tcW w:w="711" w:type="pct"/>
                  <w:tcBorders>
                    <w:tl2br w:val="nil"/>
                    <w:tr2bl w:val="nil"/>
                  </w:tcBorders>
                  <w:noWrap w:val="0"/>
                  <w:vAlign w:val="center"/>
                </w:tcPr>
                <w:p w14:paraId="0364CBB6">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12</w:t>
                  </w:r>
                </w:p>
              </w:tc>
              <w:tc>
                <w:tcPr>
                  <w:tcW w:w="2411" w:type="pct"/>
                  <w:tcBorders>
                    <w:tl2br w:val="nil"/>
                    <w:tr2bl w:val="nil"/>
                  </w:tcBorders>
                  <w:noWrap w:val="0"/>
                  <w:vAlign w:val="center"/>
                </w:tcPr>
                <w:p w14:paraId="047ADD1C">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迁安市供电局电网统一供给</w:t>
                  </w:r>
                </w:p>
              </w:tc>
            </w:tr>
            <w:tr w14:paraId="2C0CA9D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309C59CC">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2</w:t>
                  </w:r>
                </w:p>
              </w:tc>
              <w:tc>
                <w:tcPr>
                  <w:tcW w:w="812" w:type="pct"/>
                  <w:tcBorders>
                    <w:tl2br w:val="nil"/>
                    <w:tr2bl w:val="nil"/>
                  </w:tcBorders>
                  <w:noWrap w:val="0"/>
                  <w:vAlign w:val="center"/>
                </w:tcPr>
                <w:p w14:paraId="2361F518">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新水</w:t>
                  </w:r>
                </w:p>
              </w:tc>
              <w:tc>
                <w:tcPr>
                  <w:tcW w:w="726" w:type="pct"/>
                  <w:tcBorders>
                    <w:tl2br w:val="nil"/>
                    <w:tr2bl w:val="nil"/>
                  </w:tcBorders>
                  <w:noWrap w:val="0"/>
                  <w:vAlign w:val="center"/>
                </w:tcPr>
                <w:p w14:paraId="1D5EAF2E">
                  <w:pPr>
                    <w:widowControl/>
                    <w:spacing w:line="0" w:lineRule="atLeast"/>
                    <w:jc w:val="center"/>
                    <w:rPr>
                      <w:rFonts w:hint="eastAsia"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t/a</w:t>
                  </w:r>
                </w:p>
              </w:tc>
              <w:tc>
                <w:tcPr>
                  <w:tcW w:w="711" w:type="pct"/>
                  <w:tcBorders>
                    <w:tl2br w:val="nil"/>
                    <w:tr2bl w:val="nil"/>
                  </w:tcBorders>
                  <w:noWrap w:val="0"/>
                  <w:vAlign w:val="center"/>
                </w:tcPr>
                <w:p w14:paraId="3A781155">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1806</w:t>
                  </w:r>
                </w:p>
              </w:tc>
              <w:tc>
                <w:tcPr>
                  <w:tcW w:w="2411" w:type="pct"/>
                  <w:tcBorders>
                    <w:tl2br w:val="nil"/>
                    <w:tr2bl w:val="nil"/>
                  </w:tcBorders>
                  <w:noWrap w:val="0"/>
                  <w:vAlign w:val="center"/>
                </w:tcPr>
                <w:p w14:paraId="735630D4">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迁安市自来水公司统一供给</w:t>
                  </w:r>
                </w:p>
              </w:tc>
            </w:tr>
            <w:tr w14:paraId="475865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38" w:type="pct"/>
                  <w:tcBorders>
                    <w:tl2br w:val="nil"/>
                    <w:tr2bl w:val="nil"/>
                  </w:tcBorders>
                  <w:noWrap w:val="0"/>
                  <w:vAlign w:val="center"/>
                </w:tcPr>
                <w:p w14:paraId="1DDB33AC">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3</w:t>
                  </w:r>
                </w:p>
              </w:tc>
              <w:tc>
                <w:tcPr>
                  <w:tcW w:w="812" w:type="pct"/>
                  <w:tcBorders>
                    <w:tl2br w:val="nil"/>
                    <w:tr2bl w:val="nil"/>
                  </w:tcBorders>
                  <w:noWrap w:val="0"/>
                  <w:vAlign w:val="center"/>
                </w:tcPr>
                <w:p w14:paraId="3274FD69">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蜂窝活性炭</w:t>
                  </w:r>
                </w:p>
              </w:tc>
              <w:tc>
                <w:tcPr>
                  <w:tcW w:w="726" w:type="pct"/>
                  <w:tcBorders>
                    <w:tl2br w:val="nil"/>
                    <w:tr2bl w:val="nil"/>
                  </w:tcBorders>
                  <w:noWrap w:val="0"/>
                  <w:vAlign w:val="center"/>
                </w:tcPr>
                <w:p w14:paraId="57806AD1">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m</w:t>
                  </w:r>
                  <w:r>
                    <w:rPr>
                      <w:rFonts w:hint="eastAsia" w:cs="Times New Roman"/>
                      <w:color w:val="auto"/>
                      <w:spacing w:val="0"/>
                      <w:kern w:val="2"/>
                      <w:sz w:val="18"/>
                      <w:szCs w:val="18"/>
                      <w:highlight w:val="none"/>
                      <w:vertAlign w:val="superscript"/>
                      <w:lang w:val="en-US" w:eastAsia="zh-CN" w:bidi="ar-SA"/>
                    </w:rPr>
                    <w:t>3</w:t>
                  </w:r>
                  <w:r>
                    <w:rPr>
                      <w:rFonts w:hint="eastAsia" w:cs="Times New Roman"/>
                      <w:color w:val="auto"/>
                      <w:spacing w:val="0"/>
                      <w:kern w:val="2"/>
                      <w:sz w:val="18"/>
                      <w:szCs w:val="18"/>
                      <w:highlight w:val="none"/>
                      <w:lang w:val="en-US" w:eastAsia="zh-CN" w:bidi="ar-SA"/>
                    </w:rPr>
                    <w:t>/a</w:t>
                  </w:r>
                </w:p>
              </w:tc>
              <w:tc>
                <w:tcPr>
                  <w:tcW w:w="711" w:type="pct"/>
                  <w:tcBorders>
                    <w:tl2br w:val="nil"/>
                    <w:tr2bl w:val="nil"/>
                  </w:tcBorders>
                  <w:noWrap w:val="0"/>
                  <w:vAlign w:val="center"/>
                </w:tcPr>
                <w:p w14:paraId="2A7445C2">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cs="Times New Roman"/>
                      <w:color w:val="auto"/>
                      <w:spacing w:val="0"/>
                      <w:kern w:val="2"/>
                      <w:sz w:val="18"/>
                      <w:szCs w:val="18"/>
                      <w:highlight w:val="none"/>
                      <w:lang w:val="en-US" w:eastAsia="zh-CN" w:bidi="ar-SA"/>
                    </w:rPr>
                    <w:t>2</w:t>
                  </w:r>
                </w:p>
              </w:tc>
              <w:tc>
                <w:tcPr>
                  <w:tcW w:w="2411" w:type="pct"/>
                  <w:tcBorders>
                    <w:tl2br w:val="nil"/>
                    <w:tr2bl w:val="nil"/>
                  </w:tcBorders>
                  <w:noWrap w:val="0"/>
                  <w:vAlign w:val="center"/>
                </w:tcPr>
                <w:p w14:paraId="6B3AAB29">
                  <w:pPr>
                    <w:widowControl/>
                    <w:spacing w:line="0" w:lineRule="atLeast"/>
                    <w:jc w:val="center"/>
                    <w:rPr>
                      <w:rFonts w:hint="default" w:ascii="Times New Roman" w:hAnsi="Times New Roman" w:eastAsia="宋体" w:cs="Times New Roman"/>
                      <w:color w:val="auto"/>
                      <w:spacing w:val="0"/>
                      <w:kern w:val="2"/>
                      <w:sz w:val="18"/>
                      <w:szCs w:val="18"/>
                      <w:highlight w:val="none"/>
                      <w:lang w:val="en-US" w:eastAsia="zh-CN" w:bidi="ar-SA"/>
                    </w:rPr>
                  </w:pPr>
                  <w:r>
                    <w:rPr>
                      <w:rFonts w:hint="eastAsia" w:ascii="Times New Roman" w:hAnsi="Times New Roman" w:eastAsia="宋体" w:cs="Times New Roman"/>
                      <w:color w:val="auto"/>
                      <w:spacing w:val="0"/>
                      <w:kern w:val="2"/>
                      <w:sz w:val="18"/>
                      <w:szCs w:val="18"/>
                      <w:highlight w:val="none"/>
                      <w:lang w:val="en-US" w:eastAsia="zh-CN" w:bidi="ar-SA"/>
                    </w:rPr>
                    <w:t>外购，碘值800mg/g，比表面积1200m</w:t>
                  </w:r>
                  <w:r>
                    <w:rPr>
                      <w:rFonts w:hint="eastAsia" w:ascii="Times New Roman" w:hAnsi="Times New Roman" w:eastAsia="宋体" w:cs="Times New Roman"/>
                      <w:color w:val="auto"/>
                      <w:spacing w:val="0"/>
                      <w:kern w:val="2"/>
                      <w:sz w:val="18"/>
                      <w:szCs w:val="18"/>
                      <w:highlight w:val="none"/>
                      <w:vertAlign w:val="superscript"/>
                      <w:lang w:val="en-US" w:eastAsia="zh-CN" w:bidi="ar-SA"/>
                    </w:rPr>
                    <w:t>2</w:t>
                  </w:r>
                  <w:r>
                    <w:rPr>
                      <w:rFonts w:hint="eastAsia" w:ascii="Times New Roman" w:hAnsi="Times New Roman" w:eastAsia="宋体" w:cs="Times New Roman"/>
                      <w:color w:val="auto"/>
                      <w:spacing w:val="0"/>
                      <w:kern w:val="2"/>
                      <w:sz w:val="18"/>
                      <w:szCs w:val="18"/>
                      <w:highlight w:val="none"/>
                      <w:lang w:val="en-US" w:eastAsia="zh-CN" w:bidi="ar-SA"/>
                    </w:rPr>
                    <w:t>/g</w:t>
                  </w:r>
                </w:p>
              </w:tc>
            </w:tr>
          </w:tbl>
          <w:p w14:paraId="4B634613">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lang w:val="en-US" w:eastAsia="zh-CN"/>
              </w:rPr>
            </w:pPr>
            <w:r>
              <w:rPr>
                <w:rFonts w:hint="eastAsia" w:ascii="Times New Roman" w:hAnsi="Times New Roman"/>
                <w:b/>
                <w:color w:val="auto"/>
                <w:sz w:val="21"/>
                <w:szCs w:val="21"/>
                <w:lang w:val="en-US" w:eastAsia="zh-CN"/>
              </w:rPr>
              <w:t>7</w:t>
            </w:r>
            <w:r>
              <w:rPr>
                <w:rFonts w:hint="eastAsia" w:ascii="Times New Roman" w:hAnsi="Times New Roman"/>
                <w:b/>
                <w:color w:val="auto"/>
                <w:sz w:val="21"/>
                <w:szCs w:val="21"/>
              </w:rPr>
              <w:t>.</w:t>
            </w:r>
            <w:r>
              <w:rPr>
                <w:rFonts w:hint="eastAsia" w:ascii="Times New Roman" w:hAnsi="Times New Roman"/>
                <w:b/>
                <w:color w:val="auto"/>
                <w:sz w:val="21"/>
                <w:szCs w:val="21"/>
                <w:lang w:val="en-US" w:eastAsia="zh-CN"/>
              </w:rPr>
              <w:t>给排水</w:t>
            </w:r>
          </w:p>
          <w:p w14:paraId="618E45A9">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lang w:val="en-US" w:eastAsia="zh-CN"/>
              </w:rPr>
            </w:pPr>
            <w:r>
              <w:rPr>
                <w:rFonts w:hint="eastAsia" w:ascii="Times New Roman" w:hAnsi="Times New Roman"/>
                <w:b/>
                <w:color w:val="auto"/>
                <w:sz w:val="21"/>
                <w:szCs w:val="21"/>
                <w:lang w:val="en-US" w:eastAsia="zh-CN"/>
              </w:rPr>
              <w:t>7.1给水</w:t>
            </w:r>
          </w:p>
          <w:p w14:paraId="496D5A0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项目用水由迁安市自来水公司统一供给，可以满足用水要求。项目新鲜水用水量为1806m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/a，包括实验用水、生活用水。</w:t>
            </w:r>
          </w:p>
          <w:p w14:paraId="0924D2B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（1）实验用水</w:t>
            </w:r>
          </w:p>
          <w:p w14:paraId="0BB070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①自来水</w:t>
            </w:r>
          </w:p>
          <w:p w14:paraId="2D47E0A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a.器皿初次清洗用水：本项目器皿初次清洗，用自来水清洗，清洗用水量约为0.2L/次（实验）。每天使用器皿的实验频次约为100次，清洗1次，则器皿初次清洗用水量为0.02t/d（6t/a）。</w:t>
            </w:r>
          </w:p>
          <w:p w14:paraId="03CD805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b.器皿后续清洗用水：本项目器皿后续清洗，用自来水清洗，清洗用水量约为1L/次（实验）。每天使用器皿的实验频次约为100次，清洗3次，则器皿后续清洗用水量为0.3t/d（90t/a）。</w:t>
            </w:r>
          </w:p>
          <w:p w14:paraId="2A9536E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c.</w:t>
            </w:r>
            <w:r>
              <w:rPr>
                <w:rFonts w:hint="eastAsia" w:ascii="Times New Roman" w:hAnsi="Times New Roman" w:eastAsia="宋体" w:cs="Times New Roman"/>
                <w:color w:val="auto"/>
                <w:sz w:val="21"/>
                <w:szCs w:val="21"/>
                <w:highlight w:val="none"/>
                <w:lang w:val="en-US" w:eastAsia="zh-CN"/>
              </w:rPr>
              <w:t>地面清洗用水：</w:t>
            </w:r>
            <w:r>
              <w:rPr>
                <w:rFonts w:hint="default" w:ascii="Times New Roman" w:hAnsi="Times New Roman" w:eastAsia="宋体" w:cs="Times New Roman"/>
                <w:color w:val="auto"/>
                <w:sz w:val="21"/>
                <w:szCs w:val="21"/>
                <w:highlight w:val="none"/>
                <w:lang w:val="en-US" w:eastAsia="zh-CN"/>
              </w:rPr>
              <w:t>本项目实验室地面设计每天清扫一次，采用拖布拖洗方式，用水量</w:t>
            </w:r>
            <w:r>
              <w:rPr>
                <w:rFonts w:hint="eastAsia" w:ascii="Times New Roman" w:hAnsi="Times New Roman" w:eastAsia="宋体" w:cs="Times New Roman"/>
                <w:color w:val="auto"/>
                <w:sz w:val="21"/>
                <w:szCs w:val="21"/>
                <w:highlight w:val="none"/>
                <w:lang w:val="en-US" w:eastAsia="zh-CN"/>
              </w:rPr>
              <w:t>按 0.2L/m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·次计，本项目实验室总面积约为3500m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，则地面清洗用水量为0.7t/d（210t/a）。</w:t>
            </w:r>
          </w:p>
          <w:p w14:paraId="29DE8BF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w:t>
            </w:r>
            <w:r>
              <w:rPr>
                <w:rFonts w:hint="eastAsia" w:ascii="Times New Roman" w:hAnsi="Times New Roman" w:cs="Times New Roman"/>
                <w:color w:val="auto"/>
                <w:sz w:val="21"/>
                <w:szCs w:val="21"/>
                <w:highlight w:val="none"/>
                <w:lang w:val="en-US" w:eastAsia="zh-CN"/>
              </w:rPr>
              <w:t>纯水制备用水</w:t>
            </w:r>
          </w:p>
          <w:p w14:paraId="299C156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项目设置超纯水机1台，制备工艺为反渗透+过滤，纯水产水率为60%。项目纯水制备用水量为0.25m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/d（75t/a），制备的纯水0.15m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/d（45t/a）用于试剂配制、纯水稀释、器皿后续清洗、水浴锅用水、压力蒸汽灭菌器用水及恒温恒湿室用水等。</w:t>
            </w:r>
          </w:p>
          <w:p w14:paraId="57C2921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a.试剂配制用水</w:t>
            </w:r>
          </w:p>
          <w:p w14:paraId="2F475A2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根据实验需要，需要对试剂进行配制后，才用于实验检测操作，项目化学试剂年用量约0.409t/a。</w:t>
            </w:r>
            <w:r>
              <w:rPr>
                <w:rFonts w:hint="default" w:ascii="Times New Roman" w:hAnsi="Times New Roman" w:cs="Times New Roman"/>
                <w:color w:val="auto"/>
                <w:sz w:val="21"/>
                <w:szCs w:val="21"/>
                <w:highlight w:val="none"/>
                <w:lang w:val="en-US" w:eastAsia="zh-CN"/>
              </w:rPr>
              <w:t>本项目配制试剂用水为纯水，根据企业提供资料，实验试剂配制用水量单次平均约</w:t>
            </w:r>
            <w:r>
              <w:rPr>
                <w:rFonts w:hint="eastAsia" w:ascii="Times New Roman" w:hAnsi="Times New Roman" w:cs="Times New Roman"/>
                <w:color w:val="auto"/>
                <w:sz w:val="21"/>
                <w:szCs w:val="21"/>
                <w:highlight w:val="none"/>
                <w:lang w:val="en-US" w:eastAsia="zh-CN"/>
              </w:rPr>
              <w:t>0.4</w:t>
            </w:r>
            <w:r>
              <w:rPr>
                <w:rFonts w:hint="default" w:ascii="Times New Roman" w:hAnsi="Times New Roman" w:cs="Times New Roman"/>
                <w:color w:val="auto"/>
                <w:sz w:val="21"/>
                <w:szCs w:val="21"/>
                <w:highlight w:val="none"/>
                <w:lang w:val="en-US" w:eastAsia="zh-CN"/>
              </w:rPr>
              <w:t>L，本项目每天配制试验用试剂约</w:t>
            </w:r>
            <w:r>
              <w:rPr>
                <w:rFonts w:hint="eastAsia" w:ascii="Times New Roman" w:hAnsi="Times New Roman" w:cs="Times New Roman"/>
                <w:color w:val="auto"/>
                <w:sz w:val="21"/>
                <w:szCs w:val="21"/>
                <w:highlight w:val="none"/>
                <w:lang w:val="en-US" w:eastAsia="zh-CN"/>
              </w:rPr>
              <w:t>100</w:t>
            </w:r>
            <w:r>
              <w:rPr>
                <w:rFonts w:hint="default" w:ascii="Times New Roman" w:hAnsi="Times New Roman" w:cs="Times New Roman"/>
                <w:color w:val="auto"/>
                <w:sz w:val="21"/>
                <w:szCs w:val="21"/>
                <w:highlight w:val="none"/>
                <w:lang w:val="en-US" w:eastAsia="zh-CN"/>
              </w:rPr>
              <w:t>次，则实验试剂配制用纯水水量为0.</w:t>
            </w:r>
            <w:r>
              <w:rPr>
                <w:rFonts w:hint="eastAsia" w:ascii="Times New Roman" w:hAnsi="Times New Roman" w:cs="Times New Roman"/>
                <w:color w:val="auto"/>
                <w:sz w:val="21"/>
                <w:szCs w:val="21"/>
                <w:highlight w:val="none"/>
                <w:lang w:val="en-US" w:eastAsia="zh-CN"/>
              </w:rPr>
              <w:t>04</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（12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053022F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b.纯水稀释用水</w:t>
            </w:r>
          </w:p>
          <w:p w14:paraId="52D4AA6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实验过程中，有部分检测指标检测过程中需取水样进行稀释，本项目每天实验频次约为100次，</w:t>
            </w:r>
            <w:r>
              <w:rPr>
                <w:rFonts w:hint="default" w:ascii="Times New Roman" w:hAnsi="Times New Roman" w:cs="Times New Roman"/>
                <w:color w:val="auto"/>
                <w:sz w:val="21"/>
                <w:szCs w:val="21"/>
                <w:highlight w:val="none"/>
                <w:lang w:val="en-US" w:eastAsia="zh-CN"/>
              </w:rPr>
              <w:t>根据企业提供资料，</w:t>
            </w:r>
            <w:r>
              <w:rPr>
                <w:rFonts w:hint="eastAsia" w:ascii="Times New Roman" w:hAnsi="Times New Roman" w:cs="Times New Roman"/>
                <w:color w:val="auto"/>
                <w:sz w:val="21"/>
                <w:szCs w:val="21"/>
                <w:highlight w:val="none"/>
                <w:lang w:val="en-US" w:eastAsia="zh-CN"/>
              </w:rPr>
              <w:t>稀释用水量约为0.1L/次（实验）</w:t>
            </w:r>
            <w:r>
              <w:rPr>
                <w:rFonts w:hint="default" w:ascii="Times New Roman" w:hAnsi="Times New Roman" w:cs="Times New Roman"/>
                <w:color w:val="auto"/>
                <w:sz w:val="21"/>
                <w:szCs w:val="21"/>
                <w:highlight w:val="none"/>
                <w:lang w:val="en-US" w:eastAsia="zh-CN"/>
              </w:rPr>
              <w:t>，则</w:t>
            </w:r>
            <w:r>
              <w:rPr>
                <w:rFonts w:hint="eastAsia" w:ascii="Times New Roman" w:hAnsi="Times New Roman" w:cs="Times New Roman"/>
                <w:color w:val="auto"/>
                <w:sz w:val="21"/>
                <w:szCs w:val="21"/>
                <w:highlight w:val="none"/>
                <w:lang w:val="en-US" w:eastAsia="zh-CN"/>
              </w:rPr>
              <w:t>纯水稀释用水</w:t>
            </w:r>
            <w:r>
              <w:rPr>
                <w:rFonts w:hint="default" w:ascii="Times New Roman" w:hAnsi="Times New Roman" w:cs="Times New Roman"/>
                <w:color w:val="auto"/>
                <w:sz w:val="21"/>
                <w:szCs w:val="21"/>
                <w:highlight w:val="none"/>
                <w:lang w:val="en-US" w:eastAsia="zh-CN"/>
              </w:rPr>
              <w:t>量为</w:t>
            </w:r>
            <w:r>
              <w:rPr>
                <w:rFonts w:hint="eastAsia" w:ascii="Times New Roman" w:hAnsi="Times New Roman" w:cs="Times New Roman"/>
                <w:color w:val="auto"/>
                <w:sz w:val="21"/>
                <w:szCs w:val="21"/>
                <w:highlight w:val="none"/>
                <w:lang w:val="en-US" w:eastAsia="zh-CN"/>
              </w:rPr>
              <w:t>0.01</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70574EA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c.器皿纯水清洗用水</w:t>
            </w:r>
          </w:p>
          <w:p w14:paraId="66E0DC8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本项目器皿后续清洗后，用纯水再次清洗，</w:t>
            </w:r>
            <w:r>
              <w:rPr>
                <w:rFonts w:hint="eastAsia" w:ascii="Times New Roman" w:hAnsi="Times New Roman" w:eastAsia="宋体" w:cs="Times New Roman"/>
                <w:color w:val="auto"/>
                <w:sz w:val="21"/>
                <w:szCs w:val="21"/>
                <w:highlight w:val="none"/>
                <w:lang w:val="en-US" w:eastAsia="zh-CN"/>
              </w:rPr>
              <w:t>根据企业介绍，纯水</w:t>
            </w:r>
            <w:r>
              <w:rPr>
                <w:rFonts w:hint="eastAsia" w:ascii="Times New Roman" w:hAnsi="Times New Roman" w:cs="Times New Roman"/>
                <w:color w:val="auto"/>
                <w:sz w:val="21"/>
                <w:szCs w:val="21"/>
                <w:highlight w:val="none"/>
                <w:lang w:val="en-US" w:eastAsia="zh-CN"/>
              </w:rPr>
              <w:t>清洗用水量约为0.4L/次（实验），清洗2次。每天使用器皿的实验频次约为100次，则器皿后续清洗用纯水量为0.08t/d（24t/a）。</w:t>
            </w:r>
          </w:p>
          <w:p w14:paraId="1932CF8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d.</w:t>
            </w:r>
            <w:r>
              <w:rPr>
                <w:rFonts w:hint="default" w:ascii="Times New Roman" w:hAnsi="Times New Roman" w:cs="Times New Roman"/>
                <w:color w:val="auto"/>
                <w:sz w:val="21"/>
                <w:szCs w:val="21"/>
                <w:highlight w:val="none"/>
                <w:lang w:val="en-US" w:eastAsia="zh-CN"/>
              </w:rPr>
              <w:t>水浴锅用水</w:t>
            </w:r>
          </w:p>
          <w:p w14:paraId="4B073F6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本项目水浴锅用水为纯水，单次用水量为</w:t>
            </w:r>
            <w:r>
              <w:rPr>
                <w:rFonts w:hint="eastAsia" w:ascii="Times New Roman" w:hAnsi="Times New Roman" w:cs="Times New Roman"/>
                <w:color w:val="auto"/>
                <w:sz w:val="21"/>
                <w:szCs w:val="21"/>
                <w:highlight w:val="none"/>
                <w:lang w:val="en-US" w:eastAsia="zh-CN"/>
              </w:rPr>
              <w:t>2L</w:t>
            </w:r>
            <w:r>
              <w:rPr>
                <w:rFonts w:hint="default" w:ascii="Times New Roman" w:hAnsi="Times New Roman" w:cs="Times New Roman"/>
                <w:color w:val="auto"/>
                <w:sz w:val="21"/>
                <w:szCs w:val="21"/>
                <w:highlight w:val="none"/>
                <w:lang w:val="en-US" w:eastAsia="zh-CN"/>
              </w:rPr>
              <w:t>，使用频次约为</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次/天，则水浴锅用纯水水量为0.00</w:t>
            </w:r>
            <w:r>
              <w:rPr>
                <w:rFonts w:hint="eastAsia"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（1.2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71D9A25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e.</w:t>
            </w:r>
            <w:r>
              <w:rPr>
                <w:rFonts w:hint="default" w:ascii="Times New Roman" w:hAnsi="Times New Roman" w:cs="Times New Roman"/>
                <w:color w:val="auto"/>
                <w:sz w:val="21"/>
                <w:szCs w:val="21"/>
                <w:highlight w:val="none"/>
                <w:lang w:val="en-US" w:eastAsia="zh-CN"/>
              </w:rPr>
              <w:t>压力蒸汽灭菌器用水</w:t>
            </w:r>
          </w:p>
          <w:p w14:paraId="50D5F88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本项目压力蒸汽灭菌器用水为纯水，单次用水量为3</w:t>
            </w:r>
            <w:r>
              <w:rPr>
                <w:rFonts w:hint="eastAsia" w:ascii="Times New Roman" w:hAnsi="Times New Roman" w:cs="Times New Roman"/>
                <w:color w:val="auto"/>
                <w:sz w:val="21"/>
                <w:szCs w:val="21"/>
                <w:highlight w:val="none"/>
                <w:lang w:val="en-US" w:eastAsia="zh-CN"/>
              </w:rPr>
              <w:t>L</w:t>
            </w:r>
            <w:r>
              <w:rPr>
                <w:rFonts w:hint="default" w:ascii="Times New Roman" w:hAnsi="Times New Roman" w:cs="Times New Roman"/>
                <w:color w:val="auto"/>
                <w:sz w:val="21"/>
                <w:szCs w:val="21"/>
                <w:highlight w:val="none"/>
                <w:lang w:val="en-US" w:eastAsia="zh-CN"/>
              </w:rPr>
              <w:t>，使用频次约为</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次/天，则压力蒸汽灭菌器用纯水水量为0.00</w:t>
            </w:r>
            <w:r>
              <w:rPr>
                <w:rFonts w:hint="eastAsia"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t/d</w:t>
            </w:r>
            <w:r>
              <w:rPr>
                <w:rFonts w:hint="eastAsia"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p>
          <w:p w14:paraId="5AF41FE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f.恒温恒湿室用水</w:t>
            </w:r>
          </w:p>
          <w:p w14:paraId="5E79D43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根据企业介绍，</w:t>
            </w:r>
            <w:r>
              <w:rPr>
                <w:rFonts w:hint="default" w:ascii="Times New Roman" w:hAnsi="Times New Roman" w:eastAsia="宋体" w:cs="Times New Roman"/>
                <w:color w:val="auto"/>
                <w:sz w:val="21"/>
                <w:szCs w:val="21"/>
                <w:highlight w:val="none"/>
                <w:lang w:val="en-US" w:eastAsia="zh-CN"/>
              </w:rPr>
              <w:t>本项目恒温恒湿室用水量为</w:t>
            </w:r>
            <w:r>
              <w:rPr>
                <w:rFonts w:hint="eastAsia" w:ascii="Times New Roman" w:hAnsi="Times New Roman" w:eastAsia="宋体" w:cs="Times New Roman"/>
                <w:color w:val="auto"/>
                <w:sz w:val="21"/>
                <w:szCs w:val="21"/>
                <w:highlight w:val="none"/>
                <w:lang w:val="en-US" w:eastAsia="zh-CN"/>
              </w:rPr>
              <w:t>0.01t</w:t>
            </w:r>
            <w:r>
              <w:rPr>
                <w:rFonts w:hint="default" w:ascii="Times New Roman" w:hAnsi="Times New Roman" w:eastAsia="宋体" w:cs="Times New Roman"/>
                <w:color w:val="auto"/>
                <w:sz w:val="21"/>
                <w:szCs w:val="21"/>
                <w:highlight w:val="none"/>
                <w:lang w:val="en-US" w:eastAsia="zh-CN"/>
              </w:rPr>
              <w:t>/d（</w:t>
            </w:r>
            <w:r>
              <w:rPr>
                <w:rFonts w:hint="eastAsia" w:ascii="Times New Roman" w:hAnsi="Times New Roman" w:eastAsia="宋体"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lang w:val="en-US" w:eastAsia="zh-CN"/>
              </w:rPr>
              <w:t>/a）。</w:t>
            </w:r>
          </w:p>
          <w:p w14:paraId="25DE679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（2）生活用水</w:t>
            </w:r>
          </w:p>
          <w:p w14:paraId="3B6B03D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项目劳动定员95人，生活用水量标准按50L/（人·d）计，生活用水量为4.75m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/d（1425</w:t>
            </w:r>
            <w:r>
              <w:rPr>
                <w:rFonts w:hint="default" w:ascii="Times New Roman" w:hAnsi="Times New Roman"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w:t>
            </w:r>
          </w:p>
          <w:p w14:paraId="25A1ACE6">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highlight w:val="none"/>
                <w:lang w:val="en-US" w:eastAsia="zh-CN"/>
              </w:rPr>
            </w:pPr>
            <w:r>
              <w:rPr>
                <w:rFonts w:hint="eastAsia" w:ascii="Times New Roman" w:hAnsi="Times New Roman"/>
                <w:b/>
                <w:color w:val="auto"/>
                <w:sz w:val="21"/>
                <w:szCs w:val="21"/>
                <w:highlight w:val="none"/>
                <w:lang w:val="en-US" w:eastAsia="zh-CN"/>
              </w:rPr>
              <w:t>7.2排水</w:t>
            </w:r>
          </w:p>
          <w:p w14:paraId="5E355715">
            <w:pPr>
              <w:pStyle w:val="22"/>
              <w:keepNext w:val="0"/>
              <w:keepLines w:val="0"/>
              <w:pageBreakBefore w:val="0"/>
              <w:widowControl/>
              <w:numPr>
                <w:ilvl w:val="0"/>
                <w:numId w:val="2"/>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器皿初次清洗废水</w:t>
            </w:r>
          </w:p>
          <w:p w14:paraId="0BFB9109">
            <w:pPr>
              <w:pStyle w:val="22"/>
              <w:keepNext w:val="0"/>
              <w:keepLines w:val="0"/>
              <w:pageBreakBefore w:val="0"/>
              <w:widowControl/>
              <w:numPr>
                <w:ilvl w:val="0"/>
                <w:numId w:val="0"/>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初次清洗废水量按用水量的80%计，则初次清洗废水量为0.016t/d（4.8t/a），初次清洗废水属于危险废物，用实验专用废液桶收集后放入危险废物暂存间内暂存，定期交有资质单位处理。</w:t>
            </w:r>
          </w:p>
          <w:p w14:paraId="31746C8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（2）器皿后续清洗废水</w:t>
            </w:r>
          </w:p>
          <w:p w14:paraId="05ACC30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后续清洗废水量按用水量的80%计，则后续清洗废水量为0.24t/d（72t/a），经酸碱中和后，在经化粪池处理后排入迁安市污水处理厂进行处理。</w:t>
            </w:r>
          </w:p>
          <w:p w14:paraId="18A1AC4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（3）器皿纯水清洗废水</w:t>
            </w:r>
          </w:p>
          <w:p w14:paraId="4250DE8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纯水清洗废水量按用水量的80%计，则后续清洗废水量为0.064t/d（19.2t/a），经酸碱中和后，在经化粪池处理后排入迁安市污水处理厂进行处理。</w:t>
            </w:r>
          </w:p>
          <w:p w14:paraId="70B1439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（4）纯水制备废水</w:t>
            </w:r>
          </w:p>
          <w:p w14:paraId="1DE04FD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项目超纯水机制备工艺为反渗透+过滤，纯水产水率为60%，项目纯水制备用水量为0.25m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/d（75t/a），则超纯水机产生的浓排水为0.1m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cs="Times New Roman"/>
                <w:color w:val="auto"/>
                <w:sz w:val="21"/>
                <w:szCs w:val="21"/>
                <w:highlight w:val="none"/>
                <w:lang w:val="en-US" w:eastAsia="zh-CN"/>
              </w:rPr>
              <w:t>/d（30t/a），经化粪池处理后排入迁安市污水处理厂进行处理。</w:t>
            </w:r>
          </w:p>
          <w:p w14:paraId="3EC30F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（5）实验检测废水</w:t>
            </w:r>
          </w:p>
          <w:p w14:paraId="3001DFD5">
            <w:pPr>
              <w:pStyle w:val="22"/>
              <w:keepNext w:val="0"/>
              <w:keepLines w:val="0"/>
              <w:pageBreakBefore w:val="0"/>
              <w:widowControl/>
              <w:numPr>
                <w:ilvl w:val="0"/>
                <w:numId w:val="0"/>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项目试剂配制好后，与外来水样进行配样监测，同时还有部分检测指标检测过程中需取水样进行稀释，本项目实验过程中实验用水量为12</w:t>
            </w:r>
            <w:r>
              <w:rPr>
                <w:rFonts w:hint="default" w:ascii="Times New Roman" w:hAnsi="Times New Roman" w:cs="Times New Roman"/>
                <w:color w:val="auto"/>
                <w:sz w:val="21"/>
                <w:szCs w:val="21"/>
                <w:highlight w:val="none"/>
                <w:lang w:val="en-US" w:eastAsia="zh-CN"/>
              </w:rPr>
              <w:t>t/</w:t>
            </w:r>
            <w:r>
              <w:rPr>
                <w:rFonts w:hint="eastAsia" w:ascii="Times New Roman" w:hAnsi="Times New Roman" w:cs="Times New Roman"/>
                <w:color w:val="auto"/>
                <w:sz w:val="21"/>
                <w:szCs w:val="21"/>
                <w:highlight w:val="none"/>
                <w:lang w:val="en-US" w:eastAsia="zh-CN"/>
              </w:rPr>
              <w:t>a（试剂配制用水）+3</w:t>
            </w:r>
            <w:r>
              <w:rPr>
                <w:rFonts w:hint="default" w:ascii="Times New Roman" w:hAnsi="Times New Roman" w:cs="Times New Roman"/>
                <w:color w:val="auto"/>
                <w:sz w:val="21"/>
                <w:szCs w:val="21"/>
                <w:highlight w:val="none"/>
                <w:lang w:val="en-US" w:eastAsia="zh-CN"/>
              </w:rPr>
              <w:t>t/</w:t>
            </w:r>
            <w:r>
              <w:rPr>
                <w:rFonts w:hint="eastAsia" w:ascii="Times New Roman" w:hAnsi="Times New Roman" w:cs="Times New Roman"/>
                <w:color w:val="auto"/>
                <w:sz w:val="21"/>
                <w:szCs w:val="21"/>
                <w:highlight w:val="none"/>
                <w:lang w:val="en-US" w:eastAsia="zh-CN"/>
              </w:rPr>
              <w:t>a（纯水稀释用水）+0.2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（外来水样）=15.2t/a。在实验过程中约50</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的水份在加热消解过程中会被消耗，剩余5</w:t>
            </w:r>
            <w:r>
              <w:rPr>
                <w:rFonts w:hint="default" w:ascii="Times New Roman" w:hAnsi="Times New Roman" w:cs="Times New Roman"/>
                <w:color w:val="auto"/>
                <w:sz w:val="21"/>
                <w:szCs w:val="21"/>
                <w:highlight w:val="none"/>
                <w:lang w:val="en-US" w:eastAsia="zh-CN"/>
              </w:rPr>
              <w:t>0%</w:t>
            </w:r>
            <w:r>
              <w:rPr>
                <w:rFonts w:hint="eastAsia" w:ascii="Times New Roman" w:hAnsi="Times New Roman" w:cs="Times New Roman"/>
                <w:color w:val="auto"/>
                <w:sz w:val="21"/>
                <w:szCs w:val="21"/>
                <w:highlight w:val="none"/>
                <w:lang w:val="en-US" w:eastAsia="zh-CN"/>
              </w:rPr>
              <w:t>的水与样品或各种化学试剂混合，形成实验检测水样，则实验检测水样产生量为7.6t/a（实验过程中剩余水）+0.409t/a（化学试剂）=8.009t/a。即实验检测废液的产生量约为8.009</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，实验检测废液属于危险废物，用实验专用废液桶收集后放入危险废物暂存间内暂存，定期交有资质单位处理。</w:t>
            </w:r>
          </w:p>
          <w:p w14:paraId="39F4638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（6）水浴锅排污水</w:t>
            </w:r>
          </w:p>
          <w:p w14:paraId="77B0618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本项目水浴锅排污水的产生量约为水浴锅用水量的80%，则产生量为0.0032t/d（0.96t/a），水浴锅排污水经化粪池处理后排入迁安市污水处理厂进行处理。</w:t>
            </w:r>
          </w:p>
          <w:p w14:paraId="6D01446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（7）压力蒸汽灭菌器排污水</w:t>
            </w:r>
          </w:p>
          <w:p w14:paraId="4594E37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压力蒸汽灭菌器排污水产生量约为灭菌器用水量的70%，产生量约为0.0042t/d（1.26t/a）。压力蒸汽灭菌器排污水经化粪池处理后排入迁安市污水处理厂进行处理。</w:t>
            </w:r>
          </w:p>
          <w:p w14:paraId="1C344A6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（8）恒温恒湿室排水</w:t>
            </w:r>
          </w:p>
          <w:p w14:paraId="1DC1AAE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根据建设单位提供资料，恒温恒湿室不定时换水，平均换水量为0.005t/d（1.5t/a），</w:t>
            </w:r>
            <w:r>
              <w:rPr>
                <w:rFonts w:hint="eastAsia" w:ascii="Times New Roman" w:hAnsi="Times New Roman" w:cs="Times New Roman"/>
                <w:color w:val="auto"/>
                <w:sz w:val="21"/>
                <w:szCs w:val="21"/>
                <w:highlight w:val="none"/>
                <w:lang w:val="en-US" w:eastAsia="zh-CN"/>
              </w:rPr>
              <w:t>经化粪池处理后排入迁安市污水处理厂进行处理。</w:t>
            </w:r>
          </w:p>
          <w:p w14:paraId="7F50441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（9）外来水样</w:t>
            </w:r>
          </w:p>
          <w:p w14:paraId="44C10D8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本项目外来水样约0.5t/a，根据建设单位提供资料，其中外来水样中含有第一类污染物及重金属的水样约占总水样的2</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，即0.01t/a。实际过程中外来水样均取适量水样进行配样检测，约占外来水样的</w:t>
            </w:r>
            <w:r>
              <w:rPr>
                <w:rFonts w:hint="default" w:ascii="Times New Roman" w:hAnsi="Times New Roman" w:cs="Times New Roman"/>
                <w:color w:val="auto"/>
                <w:sz w:val="21"/>
                <w:szCs w:val="21"/>
                <w:highlight w:val="none"/>
                <w:lang w:val="en-US" w:eastAsia="zh-CN"/>
              </w:rPr>
              <w:t>40%</w:t>
            </w:r>
            <w:r>
              <w:rPr>
                <w:rFonts w:hint="eastAsia" w:ascii="Times New Roman" w:hAnsi="Times New Roman" w:cs="Times New Roman"/>
                <w:color w:val="auto"/>
                <w:sz w:val="21"/>
                <w:szCs w:val="21"/>
                <w:highlight w:val="none"/>
                <w:lang w:val="en-US" w:eastAsia="zh-CN"/>
              </w:rPr>
              <w:t>，则实验分析水样使用量为0.2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剩余水样为0.3t/a。由上可知，剩余水样中含有第一类污染物及重金属的水样为0.006t/a，作为检测废液收集后放入危险废物暂存间暂存，定期交有资质单位处理；剩余水样中剩余部分是采集的剩余废水，产生量为0.294</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，经酸碱中和后，在经化粪池处理后排入迁安市污水处理厂进行处理。</w:t>
            </w:r>
          </w:p>
          <w:p w14:paraId="660E589E">
            <w:pPr>
              <w:pStyle w:val="22"/>
              <w:keepNext w:val="0"/>
              <w:keepLines w:val="0"/>
              <w:pageBreakBefore w:val="0"/>
              <w:widowControl/>
              <w:numPr>
                <w:ilvl w:val="0"/>
                <w:numId w:val="3"/>
              </w:numPr>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地面清洗废水</w:t>
            </w:r>
          </w:p>
          <w:p w14:paraId="05F4780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地面清洗废水量按用水量的80%计，则地面清洗废水量为0.56t/d（168t/a），经化粪池处理后排入迁安市污水处理厂进行处理。</w:t>
            </w:r>
          </w:p>
          <w:p w14:paraId="3C45F1C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（11）生活污水</w:t>
            </w:r>
          </w:p>
          <w:p w14:paraId="58098F3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生活污水按用水量的80%计算，则本项目生活污水量为3.8t/d（1140t/a），生活污水经化粪池处理后排入迁安市污水处理厂进行处理。</w:t>
            </w:r>
          </w:p>
          <w:p w14:paraId="5EBD4B1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项目水平衡图见图1。</w:t>
            </w:r>
          </w:p>
          <w:p w14:paraId="470351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67BE668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3D90D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3068D5E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528D120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5D2F145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1FB0FE3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45E13F0D">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807744" behindDoc="0" locked="0" layoutInCell="1" allowOverlap="1">
                      <wp:simplePos x="0" y="0"/>
                      <wp:positionH relativeFrom="column">
                        <wp:posOffset>2449830</wp:posOffset>
                      </wp:positionH>
                      <wp:positionV relativeFrom="paragraph">
                        <wp:posOffset>220345</wp:posOffset>
                      </wp:positionV>
                      <wp:extent cx="146685" cy="128270"/>
                      <wp:effectExtent l="3810" t="0" r="1905" b="5080"/>
                      <wp:wrapNone/>
                      <wp:docPr id="190" name="任意多边形 13070"/>
                      <wp:cNvGraphicFramePr/>
                      <a:graphic xmlns:a="http://schemas.openxmlformats.org/drawingml/2006/main">
                        <a:graphicData uri="http://schemas.microsoft.com/office/word/2010/wordprocessingShape">
                          <wps:wsp>
                            <wps:cNvSpPr/>
                            <wps:spPr bwMode="auto">
                              <a:xfrm>
                                <a:off x="0" y="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26C2254D">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2.9pt;margin-top:17.35pt;height:10.1pt;width:11.55pt;z-index:251807744;mso-width-relative:page;mso-height-relative:page;" filled="f" stroked="t" coordsize="254,256" o:gfxdata="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O+LOHHX&#10;AAAACQEAAA8AAAAAAAAAAQAgAAAAIgAAAGRycy9kb3ducmV2LnhtbFBLAQIUABQAAAAIAIdO4kA1&#10;j+avPgMAAH8HAAAOAAAAAAAAAAEAIAAAACYBAABkcnMvZTJvRG9jLnhtbFBLBQYAAAAABgAGAFkB&#10;AADW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26C2254D">
                            <w:pPr>
                              <w:jc w:val="center"/>
                              <w:rPr>
                                <w:rFonts w:hint="default" w:ascii="Times New Roman" w:hAnsi="Times New Roman" w:eastAsia="宋体" w:cs="Times New Roman"/>
                              </w:rPr>
                            </w:pPr>
                          </w:p>
                        </w:txbxContent>
                      </v:textbox>
                    </v:shape>
                  </w:pict>
                </mc:Fallback>
              </mc:AlternateContent>
            </w:r>
            <w:r>
              <w:rPr>
                <w:rFonts w:hint="eastAsia" w:ascii="Times New Roman" w:hAnsi="Times New Roman" w:cs="Times New Roman"/>
                <w:b/>
                <w:color w:val="auto"/>
                <w:sz w:val="21"/>
                <w:szCs w:val="21"/>
                <w:highlight w:val="none"/>
                <w:lang w:val="en-US" w:eastAsia="zh-CN"/>
              </w:rPr>
              <w:t xml:space="preserve">    </w:t>
            </w:r>
            <w:r>
              <w:rPr>
                <w:color w:val="auto"/>
                <w:sz w:val="21"/>
              </w:rPr>
              <mc:AlternateContent>
                <mc:Choice Requires="wps">
                  <w:drawing>
                    <wp:anchor distT="0" distB="0" distL="114300" distR="114300" simplePos="0" relativeHeight="251806720" behindDoc="0" locked="0" layoutInCell="1" allowOverlap="1">
                      <wp:simplePos x="0" y="0"/>
                      <wp:positionH relativeFrom="column">
                        <wp:posOffset>2501900</wp:posOffset>
                      </wp:positionH>
                      <wp:positionV relativeFrom="paragraph">
                        <wp:posOffset>81915</wp:posOffset>
                      </wp:positionV>
                      <wp:extent cx="385445" cy="259080"/>
                      <wp:effectExtent l="0" t="0" r="0" b="0"/>
                      <wp:wrapNone/>
                      <wp:docPr id="189" name="文本框 13073"/>
                      <wp:cNvGraphicFramePr/>
                      <a:graphic xmlns:a="http://schemas.openxmlformats.org/drawingml/2006/main">
                        <a:graphicData uri="http://schemas.microsoft.com/office/word/2010/wordprocessingShape">
                          <wps:wsp>
                            <wps:cNvSpPr txBox="1">
                              <a:spLocks noChangeArrowheads="1"/>
                            </wps:cNvSpPr>
                            <wps:spPr bwMode="auto">
                              <a:xfrm>
                                <a:off x="0" y="0"/>
                                <a:ext cx="385445" cy="259080"/>
                              </a:xfrm>
                              <a:prstGeom prst="rect">
                                <a:avLst/>
                              </a:prstGeom>
                              <a:noFill/>
                              <a:ln>
                                <a:noFill/>
                              </a:ln>
                            </wps:spPr>
                            <wps:txbx>
                              <w:txbxContent>
                                <w:p w14:paraId="7BEB579F">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7pt;margin-top:6.45pt;height:20.4pt;width:30.35pt;z-index:251806720;mso-width-relative:page;mso-height-relative:page;" filled="f" stroked="f" coordsize="21600,21600" o:gfxdata="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AIFK0E1wAAAAkB&#10;AAAPAAAAAAAAAAEAIAAAACIAAABkcnMvZG93bnJldi54bWxQSwECFAAUAAAACACHTuJADyPswRwC&#10;AAAaBAAADgAAAAAAAAABACAAAAAmAQAAZHJzL2Uyb0RvYy54bWxQSwUGAAAAAAYABgBZAQAAtAUA&#10;AAAA&#10;">
                      <v:fill on="f" focussize="0,0"/>
                      <v:stroke on="f"/>
                      <v:imagedata o:title=""/>
                      <o:lock v:ext="edit" aspectratio="f"/>
                      <v:textbox>
                        <w:txbxContent>
                          <w:p w14:paraId="7BEB579F">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v:textbox>
                    </v:shape>
                  </w:pict>
                </mc:Fallback>
              </mc:AlternateContent>
            </w:r>
            <w:r>
              <w:rPr>
                <w:color w:val="auto"/>
                <w:sz w:val="21"/>
              </w:rPr>
              <mc:AlternateContent>
                <mc:Choice Requires="wps">
                  <w:drawing>
                    <wp:anchor distT="0" distB="0" distL="114300" distR="114300" simplePos="0" relativeHeight="251805696" behindDoc="0" locked="0" layoutInCell="1" allowOverlap="1">
                      <wp:simplePos x="0" y="0"/>
                      <wp:positionH relativeFrom="column">
                        <wp:posOffset>3284855</wp:posOffset>
                      </wp:positionH>
                      <wp:positionV relativeFrom="paragraph">
                        <wp:posOffset>273685</wp:posOffset>
                      </wp:positionV>
                      <wp:extent cx="416560" cy="259080"/>
                      <wp:effectExtent l="0" t="0" r="0" b="0"/>
                      <wp:wrapNone/>
                      <wp:docPr id="188" name="文本框 13067"/>
                      <wp:cNvGraphicFramePr/>
                      <a:graphic xmlns:a="http://schemas.openxmlformats.org/drawingml/2006/main">
                        <a:graphicData uri="http://schemas.microsoft.com/office/word/2010/wordprocessingShape">
                          <wps:wsp>
                            <wps:cNvSpPr txBox="1">
                              <a:spLocks noChangeArrowheads="1"/>
                            </wps:cNvSpPr>
                            <wps:spPr bwMode="auto">
                              <a:xfrm>
                                <a:off x="0" y="0"/>
                                <a:ext cx="416560" cy="259080"/>
                              </a:xfrm>
                              <a:prstGeom prst="rect">
                                <a:avLst/>
                              </a:prstGeom>
                              <a:noFill/>
                              <a:ln>
                                <a:noFill/>
                              </a:ln>
                            </wps:spPr>
                            <wps:txbx>
                              <w:txbxContent>
                                <w:p w14:paraId="7E601B7D">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8.65pt;margin-top:21.55pt;height:20.4pt;width:32.8pt;z-index:251805696;mso-width-relative:page;mso-height-relative:page;" filled="f" stroked="f" coordsize="21600,21600" o:gfxdata="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A/6aFm1wAAAAkB&#10;AAAPAAAAAAAAAAEAIAAAACIAAABkcnMvZG93bnJldi54bWxQSwECFAAUAAAACACHTuJAOC0OmRwC&#10;AAAaBAAADgAAAAAAAAABACAAAAAmAQAAZHJzL2Uyb0RvYy54bWxQSwUGAAAAAAYABgBZAQAAtAUA&#10;AAAA&#10;">
                      <v:fill on="f" focussize="0,0"/>
                      <v:stroke on="f"/>
                      <v:imagedata o:title=""/>
                      <o:lock v:ext="edit" aspectratio="f"/>
                      <v:textbox>
                        <w:txbxContent>
                          <w:p w14:paraId="7E601B7D">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v:textbox>
                    </v:shape>
                  </w:pict>
                </mc:Fallback>
              </mc:AlternateContent>
            </w:r>
            <w:r>
              <w:rPr>
                <w:color w:val="auto"/>
                <w:sz w:val="21"/>
              </w:rPr>
              <mc:AlternateContent>
                <mc:Choice Requires="wps">
                  <w:drawing>
                    <wp:anchor distT="0" distB="0" distL="114300" distR="114300" simplePos="0" relativeHeight="251804672" behindDoc="0" locked="0" layoutInCell="1" allowOverlap="1">
                      <wp:simplePos x="0" y="0"/>
                      <wp:positionH relativeFrom="column">
                        <wp:posOffset>1823085</wp:posOffset>
                      </wp:positionH>
                      <wp:positionV relativeFrom="paragraph">
                        <wp:posOffset>260985</wp:posOffset>
                      </wp:positionV>
                      <wp:extent cx="315595" cy="265430"/>
                      <wp:effectExtent l="0" t="0" r="0" b="0"/>
                      <wp:wrapNone/>
                      <wp:docPr id="348" name="文本框 13067"/>
                      <wp:cNvGraphicFramePr/>
                      <a:graphic xmlns:a="http://schemas.openxmlformats.org/drawingml/2006/main">
                        <a:graphicData uri="http://schemas.microsoft.com/office/word/2010/wordprocessingShape">
                          <wps:wsp>
                            <wps:cNvSpPr txBox="1">
                              <a:spLocks noChangeArrowheads="1"/>
                            </wps:cNvSpPr>
                            <wps:spPr bwMode="auto">
                              <a:xfrm>
                                <a:off x="0" y="0"/>
                                <a:ext cx="315595" cy="265430"/>
                              </a:xfrm>
                              <a:prstGeom prst="rect">
                                <a:avLst/>
                              </a:prstGeom>
                              <a:noFill/>
                              <a:ln>
                                <a:noFill/>
                              </a:ln>
                            </wps:spPr>
                            <wps:txbx>
                              <w:txbxContent>
                                <w:p w14:paraId="4DC2B501">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3.55pt;margin-top:20.55pt;height:20.9pt;width:24.85pt;z-index:251804672;mso-width-relative:page;mso-height-relative:page;" filled="f" stroked="f" coordsize="21600,21600" o:gfxdata="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vyzldcAAAAJ&#10;AQAADwAAAAAAAAABACAAAAAiAAAAZHJzL2Rvd25yZXYueG1sUEsBAhQAFAAAAAgAh07iQKRSNYgd&#10;AgAAGgQAAA4AAAAAAAAAAQAgAAAAJgEAAGRycy9lMm9Eb2MueG1sUEsFBgAAAAAGAAYAWQEAALUF&#10;AAAAAA==&#10;">
                      <v:fill on="f" focussize="0,0"/>
                      <v:stroke on="f"/>
                      <v:imagedata o:title=""/>
                      <o:lock v:ext="edit" aspectratio="f"/>
                      <v:textbox>
                        <w:txbxContent>
                          <w:p w14:paraId="4DC2B501">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6</w:t>
                            </w:r>
                          </w:p>
                        </w:txbxContent>
                      </v:textbox>
                    </v:shape>
                  </w:pict>
                </mc:Fallback>
              </mc:AlternateContent>
            </w:r>
          </w:p>
          <w:p w14:paraId="638EBC08">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803648" behindDoc="0" locked="0" layoutInCell="1" allowOverlap="1">
                      <wp:simplePos x="0" y="0"/>
                      <wp:positionH relativeFrom="column">
                        <wp:posOffset>4210050</wp:posOffset>
                      </wp:positionH>
                      <wp:positionV relativeFrom="paragraph">
                        <wp:posOffset>-210185</wp:posOffset>
                      </wp:positionV>
                      <wp:extent cx="816610" cy="633095"/>
                      <wp:effectExtent l="4445" t="4445" r="17145" b="10160"/>
                      <wp:wrapNone/>
                      <wp:docPr id="187" name="文本框 13052"/>
                      <wp:cNvGraphicFramePr/>
                      <a:graphic xmlns:a="http://schemas.openxmlformats.org/drawingml/2006/main">
                        <a:graphicData uri="http://schemas.microsoft.com/office/word/2010/wordprocessingShape">
                          <wps:wsp>
                            <wps:cNvSpPr txBox="1">
                              <a:spLocks noChangeArrowheads="1"/>
                            </wps:cNvSpPr>
                            <wps:spPr bwMode="auto">
                              <a:xfrm>
                                <a:off x="0" y="0"/>
                                <a:ext cx="816610" cy="633095"/>
                              </a:xfrm>
                              <a:prstGeom prst="rect">
                                <a:avLst/>
                              </a:prstGeom>
                              <a:noFill/>
                              <a:ln w="9525">
                                <a:solidFill>
                                  <a:srgbClr val="000000"/>
                                </a:solidFill>
                                <a:prstDash val="dash"/>
                                <a:miter lim="800000"/>
                              </a:ln>
                            </wps:spPr>
                            <wps:txbx>
                              <w:txbxContent>
                                <w:p w14:paraId="114A4BD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危险废物暂存间暂存，定期交有资质单位进行处置</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331.5pt;margin-top:-16.55pt;height:49.85pt;width:64.3pt;z-index:251803648;mso-width-relative:page;mso-height-relative:page;" filled="f" stroked="t" coordsize="21600,21600" o:gfxdata="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NQLF6fWAAAACgEAAA8AAAAAAAAAAQAgAAAAIgAA&#10;AGRycy9kb3ducmV2LnhtbFBLAQIUABQAAAAIAIdO4kBEcx6mQwIAAGsEAAAOAAAAAAAAAAEAIAAA&#10;ACUBAABkcnMvZTJvRG9jLnhtbFBLBQYAAAAABgAGAFkBAADaBQAAAAA=&#10;">
                      <v:fill on="f" focussize="0,0"/>
                      <v:stroke color="#000000" miterlimit="8" joinstyle="miter" dashstyle="dash"/>
                      <v:imagedata o:title=""/>
                      <o:lock v:ext="edit" aspectratio="f"/>
                      <v:textbox inset="0mm,0mm,0mm,0mm">
                        <w:txbxContent>
                          <w:p w14:paraId="114A4BD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危险废物暂存间暂存，定期交有资质单位进行处置</w:t>
                            </w:r>
                          </w:p>
                        </w:txbxContent>
                      </v:textbox>
                    </v:shape>
                  </w:pict>
                </mc:Fallback>
              </mc:AlternateContent>
            </w:r>
            <w:r>
              <w:rPr>
                <w:color w:val="auto"/>
                <w:sz w:val="21"/>
              </w:rPr>
              <mc:AlternateContent>
                <mc:Choice Requires="wps">
                  <w:drawing>
                    <wp:anchor distT="0" distB="0" distL="114300" distR="114300" simplePos="0" relativeHeight="251701248" behindDoc="0" locked="0" layoutInCell="1" allowOverlap="1">
                      <wp:simplePos x="0" y="0"/>
                      <wp:positionH relativeFrom="column">
                        <wp:posOffset>2898140</wp:posOffset>
                      </wp:positionH>
                      <wp:positionV relativeFrom="paragraph">
                        <wp:posOffset>186690</wp:posOffset>
                      </wp:positionV>
                      <wp:extent cx="1296035" cy="635"/>
                      <wp:effectExtent l="0" t="25400" r="18415" b="31115"/>
                      <wp:wrapNone/>
                      <wp:docPr id="8" name="直线 13051"/>
                      <wp:cNvGraphicFramePr/>
                      <a:graphic xmlns:a="http://schemas.openxmlformats.org/drawingml/2006/main">
                        <a:graphicData uri="http://schemas.microsoft.com/office/word/2010/wordprocessingShape">
                          <wps:wsp>
                            <wps:cNvCnPr/>
                            <wps:spPr bwMode="auto">
                              <a:xfrm flipV="1">
                                <a:off x="4416425" y="1558925"/>
                                <a:ext cx="129603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28.2pt;margin-top:14.7pt;height:0.05pt;width:102.05pt;z-index:251701248;mso-width-relative:page;mso-height-relative:page;" filled="f" stroked="t" coordsize="21600,21600" o:gfxdata="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0gUOuNgAAAAJAQAADwAAAAAAAAABACAAAAAiAAAAZHJzL2Rvd25yZXYueG1sUEsBAhQAFAAAAAgA&#10;h07iQNGUzeTsAQAAtgMAAA4AAAAAAAAAAQAgAAAAJwEAAGRycy9lMm9Eb2MueG1sUEsFBgAAAAAG&#10;AAYAWQEAAIU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00224" behindDoc="0" locked="0" layoutInCell="1" allowOverlap="1">
                      <wp:simplePos x="0" y="0"/>
                      <wp:positionH relativeFrom="column">
                        <wp:posOffset>2169160</wp:posOffset>
                      </wp:positionH>
                      <wp:positionV relativeFrom="paragraph">
                        <wp:posOffset>61595</wp:posOffset>
                      </wp:positionV>
                      <wp:extent cx="720090" cy="259080"/>
                      <wp:effectExtent l="4445" t="4445" r="18415" b="22225"/>
                      <wp:wrapNone/>
                      <wp:docPr id="350"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1433830"/>
                                <a:ext cx="720090" cy="259080"/>
                              </a:xfrm>
                              <a:prstGeom prst="rect">
                                <a:avLst/>
                              </a:prstGeom>
                              <a:noFill/>
                              <a:ln w="9525">
                                <a:solidFill>
                                  <a:srgbClr val="000000"/>
                                </a:solidFill>
                                <a:miter lim="800000"/>
                              </a:ln>
                            </wps:spPr>
                            <wps:txbx>
                              <w:txbxContent>
                                <w:p w14:paraId="3CDAFE23">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器皿初次清洗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4.85pt;height:20.4pt;width:56.7pt;z-index:251700224;mso-width-relative:page;mso-height-relative:page;" filled="f" stroked="t" coordsize="21600,21600" o:gfxdata="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7NE3R2QAAAAgBAAAPAAAAAAAAAAEAIAAA&#10;ACIAAABkcnMvZG93bnJldi54bWxQSwECFAAUAAAACACHTuJAH/gVSUQCAABfBAAADgAAAAAAAAAB&#10;ACAAAAAoAQAAZHJzL2Uyb0RvYy54bWxQSwUGAAAAAAYABgBZAQAA3gUAAAAA&#10;">
                      <v:fill on="f" focussize="0,0"/>
                      <v:stroke color="#000000" miterlimit="8" joinstyle="miter"/>
                      <v:imagedata o:title=""/>
                      <o:lock v:ext="edit" aspectratio="f"/>
                      <v:textbox inset="0mm,0mm,0mm,0mm">
                        <w:txbxContent>
                          <w:p w14:paraId="3CDAFE23">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器皿初次清洗</w:t>
                            </w:r>
                          </w:p>
                        </w:txbxContent>
                      </v:textbox>
                    </v:shape>
                  </w:pict>
                </mc:Fallback>
              </mc:AlternateContent>
            </w:r>
            <w:r>
              <w:rPr>
                <w:color w:val="auto"/>
                <w:sz w:val="21"/>
              </w:rPr>
              <mc:AlternateContent>
                <mc:Choice Requires="wps">
                  <w:drawing>
                    <wp:anchor distT="0" distB="0" distL="114300" distR="114300" simplePos="0" relativeHeight="251699200" behindDoc="0" locked="0" layoutInCell="1" allowOverlap="1">
                      <wp:simplePos x="0" y="0"/>
                      <wp:positionH relativeFrom="column">
                        <wp:posOffset>511175</wp:posOffset>
                      </wp:positionH>
                      <wp:positionV relativeFrom="paragraph">
                        <wp:posOffset>179705</wp:posOffset>
                      </wp:positionV>
                      <wp:extent cx="1656080" cy="635"/>
                      <wp:effectExtent l="0" t="24765" r="1270" b="31750"/>
                      <wp:wrapNone/>
                      <wp:docPr id="15" name="直线 13051"/>
                      <wp:cNvGraphicFramePr/>
                      <a:graphic xmlns:a="http://schemas.openxmlformats.org/drawingml/2006/main">
                        <a:graphicData uri="http://schemas.microsoft.com/office/word/2010/wordprocessingShape">
                          <wps:wsp>
                            <wps:cNvCnPr/>
                            <wps:spPr bwMode="auto">
                              <a:xfrm>
                                <a:off x="2029460" y="155194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40.25pt;margin-top:14.15pt;height:0.05pt;width:130.4pt;z-index:251699200;mso-width-relative:page;mso-height-relative:page;" filled="f" stroked="t" coordsize="21600,21600" o:gfxdata="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PJ+Pl&#10;2QAAAAgBAAAPAAAAAAAAAAEAIAAAACIAAABkcnMvZG93bnJldi54bWxQSwECFAAUAAAACACHTuJA&#10;0dE1O+cBAACtAwAADgAAAAAAAAABACAAAAAoAQAAZHJzL2Uyb0RvYy54bWxQSwUGAAAAAAYABgBZ&#10;AQAAgQUAAAAA&#10;">
                      <v:fill on="f" focussize="0,0"/>
                      <v:stroke color="#000000" joinstyle="round" endarrow="classic" endarrowwidth="narrow" endarrowlength="short"/>
                      <v:imagedata o:title=""/>
                      <o:lock v:ext="edit" aspectratio="f"/>
                    </v:line>
                  </w:pict>
                </mc:Fallback>
              </mc:AlternateContent>
            </w:r>
          </w:p>
          <w:p w14:paraId="3EEE25A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36064" behindDoc="0" locked="0" layoutInCell="1" allowOverlap="1">
                      <wp:simplePos x="0" y="0"/>
                      <wp:positionH relativeFrom="column">
                        <wp:posOffset>3141345</wp:posOffset>
                      </wp:positionH>
                      <wp:positionV relativeFrom="paragraph">
                        <wp:posOffset>146050</wp:posOffset>
                      </wp:positionV>
                      <wp:extent cx="584200" cy="259080"/>
                      <wp:effectExtent l="0" t="0" r="0" b="0"/>
                      <wp:wrapNone/>
                      <wp:docPr id="16" name="文本框 13067"/>
                      <wp:cNvGraphicFramePr/>
                      <a:graphic xmlns:a="http://schemas.openxmlformats.org/drawingml/2006/main">
                        <a:graphicData uri="http://schemas.microsoft.com/office/word/2010/wordprocessingShape">
                          <wps:wsp>
                            <wps:cNvSpPr txBox="1">
                              <a:spLocks noChangeArrowheads="1"/>
                            </wps:cNvSpPr>
                            <wps:spPr bwMode="auto">
                              <a:xfrm>
                                <a:off x="4659630" y="1797685"/>
                                <a:ext cx="584200" cy="259080"/>
                              </a:xfrm>
                              <a:prstGeom prst="rect">
                                <a:avLst/>
                              </a:prstGeom>
                              <a:noFill/>
                              <a:ln>
                                <a:noFill/>
                              </a:ln>
                            </wps:spPr>
                            <wps:txbx>
                              <w:txbxContent>
                                <w:p w14:paraId="19A378AB">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0.006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7.35pt;margin-top:11.5pt;height:20.4pt;width:46pt;z-index:251736064;mso-width-relative:page;mso-height-relative:page;" filled="f" stroked="f" coordsize="21600,21600" o:gfxdata="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14qcotcAAAAJAQAADwAAAAAAAAABACAAAAAiAAAAZHJzL2Rvd25yZXYueG1sUEsBAhQAFAAAAAgA&#10;h07iQIBGYmAmAgAAJQQAAA4AAAAAAAAAAQAgAAAAJgEAAGRycy9lMm9Eb2MueG1sUEsFBgAAAAAG&#10;AAYAWQEAAL4FAAAAAA==&#10;">
                      <v:fill on="f" focussize="0,0"/>
                      <v:stroke on="f"/>
                      <v:imagedata o:title=""/>
                      <o:lock v:ext="edit" aspectratio="f"/>
                      <v:textbox>
                        <w:txbxContent>
                          <w:p w14:paraId="19A378AB">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0.006</w:t>
                            </w:r>
                          </w:p>
                        </w:txbxContent>
                      </v:textbox>
                    </v:shape>
                  </w:pict>
                </mc:Fallback>
              </mc:AlternateContent>
            </w:r>
            <w:r>
              <w:rPr>
                <w:color w:val="auto"/>
                <w:sz w:val="21"/>
              </w:rPr>
              <mc:AlternateContent>
                <mc:Choice Requires="wps">
                  <w:drawing>
                    <wp:anchor distT="0" distB="0" distL="114300" distR="114300" simplePos="0" relativeHeight="251706368" behindDoc="0" locked="0" layoutInCell="1" allowOverlap="1">
                      <wp:simplePos x="0" y="0"/>
                      <wp:positionH relativeFrom="column">
                        <wp:posOffset>2169160</wp:posOffset>
                      </wp:positionH>
                      <wp:positionV relativeFrom="paragraph">
                        <wp:posOffset>255905</wp:posOffset>
                      </wp:positionV>
                      <wp:extent cx="641985" cy="419735"/>
                      <wp:effectExtent l="5080" t="5080" r="19685" b="13335"/>
                      <wp:wrapNone/>
                      <wp:docPr id="343"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1907540"/>
                                <a:ext cx="641985" cy="419735"/>
                              </a:xfrm>
                              <a:prstGeom prst="rect">
                                <a:avLst/>
                              </a:prstGeom>
                              <a:noFill/>
                              <a:ln w="9525">
                                <a:solidFill>
                                  <a:srgbClr val="000000"/>
                                </a:solidFill>
                                <a:miter lim="800000"/>
                              </a:ln>
                            </wps:spPr>
                            <wps:txbx>
                              <w:txbxContent>
                                <w:p w14:paraId="1C1B4456">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外来水样</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170.8pt;margin-top:20.15pt;height:33.05pt;width:50.55pt;z-index:251706368;v-text-anchor:middle;mso-width-relative:page;mso-height-relative:page;" filled="f" stroked="t" coordsize="21600,21600" o:gfxdata="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8eTpfdcAAAAKAQAADwAAAAAAAAABACAAAAAi&#10;AAAAZHJzL2Rvd25yZXYueG1sUEsBAhQAFAAAAAgAh07iQE8/tllEAgAAYQQAAA4AAAAAAAAAAQAg&#10;AAAAJgEAAGRycy9lMm9Eb2MueG1sUEsFBgAAAAAGAAYAWQEAANwFAAAAAA==&#10;">
                      <v:fill on="f" focussize="0,0"/>
                      <v:stroke color="#000000" miterlimit="8" joinstyle="miter"/>
                      <v:imagedata o:title=""/>
                      <o:lock v:ext="edit" aspectratio="f"/>
                      <v:textbox inset="0mm,0mm,0mm,0mm">
                        <w:txbxContent>
                          <w:p w14:paraId="1C1B4456">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外来水样</w:t>
                            </w:r>
                          </w:p>
                        </w:txbxContent>
                      </v:textbox>
                    </v:shape>
                  </w:pict>
                </mc:Fallback>
              </mc:AlternateContent>
            </w:r>
          </w:p>
          <w:p w14:paraId="25CE4EE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08416" behindDoc="0" locked="0" layoutInCell="1" allowOverlap="1">
                      <wp:simplePos x="0" y="0"/>
                      <wp:positionH relativeFrom="column">
                        <wp:posOffset>1673860</wp:posOffset>
                      </wp:positionH>
                      <wp:positionV relativeFrom="paragraph">
                        <wp:posOffset>1270</wp:posOffset>
                      </wp:positionV>
                      <wp:extent cx="571500" cy="245110"/>
                      <wp:effectExtent l="0" t="0" r="0" b="0"/>
                      <wp:wrapNone/>
                      <wp:docPr id="17" name="文本框 13067"/>
                      <wp:cNvGraphicFramePr/>
                      <a:graphic xmlns:a="http://schemas.openxmlformats.org/drawingml/2006/main">
                        <a:graphicData uri="http://schemas.microsoft.com/office/word/2010/wordprocessingShape">
                          <wps:wsp>
                            <wps:cNvSpPr txBox="1">
                              <a:spLocks noChangeArrowheads="1"/>
                            </wps:cNvSpPr>
                            <wps:spPr bwMode="auto">
                              <a:xfrm>
                                <a:off x="3218815" y="1905635"/>
                                <a:ext cx="571500" cy="245110"/>
                              </a:xfrm>
                              <a:prstGeom prst="rect">
                                <a:avLst/>
                              </a:prstGeom>
                              <a:noFill/>
                              <a:ln>
                                <a:noFill/>
                              </a:ln>
                            </wps:spPr>
                            <wps:txbx>
                              <w:txbxContent>
                                <w:p w14:paraId="5DB7B59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1.8pt;margin-top:0.1pt;height:19.3pt;width:45pt;z-index:251708416;mso-width-relative:page;mso-height-relative:page;" filled="f" stroked="f" coordsize="21600,21600" o:gfxdata="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l6hh&#10;VtMAAAAHAQAADwAAAAAAAAABACAAAAAiAAAAZHJzL2Rvd25yZXYueG1sUEsBAhQAFAAAAAgAh07i&#10;QI+ImAMnAgAAJQQAAA4AAAAAAAAAAQAgAAAAIgEAAGRycy9lMm9Eb2MueG1sUEsFBgAAAAAGAAYA&#10;WQEAALsFAAAAAA==&#10;">
                      <v:fill on="f" focussize="0,0"/>
                      <v:stroke on="f"/>
                      <v:imagedata o:title=""/>
                      <o:lock v:ext="edit" aspectratio="f"/>
                      <v:textbox>
                        <w:txbxContent>
                          <w:p w14:paraId="5DB7B59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0.5</w:t>
                            </w:r>
                          </w:p>
                        </w:txbxContent>
                      </v:textbox>
                    </v:shape>
                  </w:pict>
                </mc:Fallback>
              </mc:AlternateContent>
            </w:r>
            <w:r>
              <w:rPr>
                <w:color w:val="auto"/>
                <w:sz w:val="21"/>
              </w:rPr>
              <mc:AlternateContent>
                <mc:Choice Requires="wps">
                  <w:drawing>
                    <wp:anchor distT="0" distB="0" distL="114300" distR="114300" simplePos="0" relativeHeight="251737088" behindDoc="0" locked="0" layoutInCell="1" allowOverlap="1">
                      <wp:simplePos x="0" y="0"/>
                      <wp:positionH relativeFrom="column">
                        <wp:posOffset>3174365</wp:posOffset>
                      </wp:positionH>
                      <wp:positionV relativeFrom="paragraph">
                        <wp:posOffset>45085</wp:posOffset>
                      </wp:positionV>
                      <wp:extent cx="505460" cy="232410"/>
                      <wp:effectExtent l="0" t="0" r="0" b="0"/>
                      <wp:wrapNone/>
                      <wp:docPr id="18" name="文本框 13067"/>
                      <wp:cNvGraphicFramePr/>
                      <a:graphic xmlns:a="http://schemas.openxmlformats.org/drawingml/2006/main">
                        <a:graphicData uri="http://schemas.microsoft.com/office/word/2010/wordprocessingShape">
                          <wps:wsp>
                            <wps:cNvSpPr txBox="1">
                              <a:spLocks noChangeArrowheads="1"/>
                            </wps:cNvSpPr>
                            <wps:spPr bwMode="auto">
                              <a:xfrm>
                                <a:off x="4692650" y="1976120"/>
                                <a:ext cx="505460" cy="232410"/>
                              </a:xfrm>
                              <a:prstGeom prst="rect">
                                <a:avLst/>
                              </a:prstGeom>
                              <a:noFill/>
                              <a:ln>
                                <a:noFill/>
                              </a:ln>
                            </wps:spPr>
                            <wps:txbx>
                              <w:txbxContent>
                                <w:p w14:paraId="66E7738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0.294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9.95pt;margin-top:3.55pt;height:18.3pt;width:39.8pt;z-index:251737088;mso-width-relative:page;mso-height-relative:page;" filled="f" stroked="f" coordsize="21600,21600" o:gfxdata="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vKU&#10;dtUAAAAIAQAADwAAAAAAAAABACAAAAAiAAAAZHJzL2Rvd25yZXYueG1sUEsBAhQAFAAAAAgAh07i&#10;QBlBDeYlAgAAJQQAAA4AAAAAAAAAAQAgAAAAJAEAAGRycy9lMm9Eb2MueG1sUEsFBgAAAAAGAAYA&#10;WQEAALsFAAAAAA==&#10;">
                      <v:fill on="f" focussize="0,0"/>
                      <v:stroke on="f"/>
                      <v:imagedata o:title=""/>
                      <o:lock v:ext="edit" aspectratio="f"/>
                      <v:textbox>
                        <w:txbxContent>
                          <w:p w14:paraId="66E7738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0.294</w:t>
                            </w:r>
                          </w:p>
                        </w:txbxContent>
                      </v:textbox>
                    </v:shape>
                  </w:pict>
                </mc:Fallback>
              </mc:AlternateContent>
            </w:r>
            <w:r>
              <w:rPr>
                <w:color w:val="auto"/>
                <w:sz w:val="21"/>
              </w:rPr>
              <mc:AlternateContent>
                <mc:Choice Requires="wps">
                  <w:drawing>
                    <wp:anchor distT="0" distB="0" distL="114300" distR="114300" simplePos="0" relativeHeight="251724800" behindDoc="0" locked="0" layoutInCell="1" allowOverlap="1">
                      <wp:simplePos x="0" y="0"/>
                      <wp:positionH relativeFrom="column">
                        <wp:posOffset>2820035</wp:posOffset>
                      </wp:positionH>
                      <wp:positionV relativeFrom="paragraph">
                        <wp:posOffset>202565</wp:posOffset>
                      </wp:positionV>
                      <wp:extent cx="1511935" cy="635"/>
                      <wp:effectExtent l="0" t="0" r="0" b="0"/>
                      <wp:wrapNone/>
                      <wp:docPr id="19" name="直线 13051"/>
                      <wp:cNvGraphicFramePr/>
                      <a:graphic xmlns:a="http://schemas.openxmlformats.org/drawingml/2006/main">
                        <a:graphicData uri="http://schemas.microsoft.com/office/word/2010/wordprocessingShape">
                          <wps:wsp>
                            <wps:cNvCnPr/>
                            <wps:spPr bwMode="auto">
                              <a:xfrm rot="10800000">
                                <a:off x="4338320" y="2133600"/>
                                <a:ext cx="1511935"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222.05pt;margin-top:15.95pt;height:0.05pt;width:119.05pt;rotation:11796480f;z-index:251724800;mso-width-relative:page;mso-height-relative:page;" filled="f" stroked="t" coordsize="21600,21600" o:gfxdata="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PzOemDZAAAACQEAAA8AAAAAAAAAAQAgAAAAIgAAAGRycy9kb3ducmV2LnhtbFBLAQIUABQA&#10;AAAIAIdO4kCtGElZ7wEAALkDAAAOAAAAAAAAAAEAIAAAACgBAABkcnMvZTJvRG9jLnhtbFBLBQYA&#10;AAAABgAGAFkBAACJBQAAAAA=&#10;">
                      <v:fill on="f" focussize="0,0"/>
                      <v:stroke color="#000000" joinstyle="round"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23776" behindDoc="0" locked="0" layoutInCell="1" allowOverlap="1">
                      <wp:simplePos x="0" y="0"/>
                      <wp:positionH relativeFrom="column">
                        <wp:posOffset>2821305</wp:posOffset>
                      </wp:positionH>
                      <wp:positionV relativeFrom="paragraph">
                        <wp:posOffset>46355</wp:posOffset>
                      </wp:positionV>
                      <wp:extent cx="1943735" cy="635"/>
                      <wp:effectExtent l="0" t="25400" r="18415" b="31115"/>
                      <wp:wrapNone/>
                      <wp:docPr id="326" name="直线 13051"/>
                      <wp:cNvGraphicFramePr/>
                      <a:graphic xmlns:a="http://schemas.openxmlformats.org/drawingml/2006/main">
                        <a:graphicData uri="http://schemas.microsoft.com/office/word/2010/wordprocessingShape">
                          <wps:wsp>
                            <wps:cNvCnPr/>
                            <wps:spPr bwMode="auto">
                              <a:xfrm flipV="1">
                                <a:off x="4339590" y="1977390"/>
                                <a:ext cx="194373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22.15pt;margin-top:3.65pt;height:0.05pt;width:153.05pt;z-index:251723776;mso-width-relative:page;mso-height-relative:page;" filled="f" stroked="t" coordsize="21600,21600" o:gfxdata="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fbah41gAAAAcBAAAPAAAAAAAAAAEAIAAAACIAAABkcnMvZG93bnJldi54bWxQSwECFAAUAAAA&#10;CACHTuJAotcihfABAAC4AwAADgAAAAAAAAABACAAAAAl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09440" behindDoc="0" locked="0" layoutInCell="1" allowOverlap="1">
                      <wp:simplePos x="0" y="0"/>
                      <wp:positionH relativeFrom="column">
                        <wp:posOffset>2745740</wp:posOffset>
                      </wp:positionH>
                      <wp:positionV relativeFrom="paragraph">
                        <wp:posOffset>180975</wp:posOffset>
                      </wp:positionV>
                      <wp:extent cx="379095" cy="245110"/>
                      <wp:effectExtent l="0" t="0" r="0" b="0"/>
                      <wp:wrapNone/>
                      <wp:docPr id="340" name="文本框 13067"/>
                      <wp:cNvGraphicFramePr/>
                      <a:graphic xmlns:a="http://schemas.openxmlformats.org/drawingml/2006/main">
                        <a:graphicData uri="http://schemas.microsoft.com/office/word/2010/wordprocessingShape">
                          <wps:wsp>
                            <wps:cNvSpPr txBox="1">
                              <a:spLocks noChangeArrowheads="1"/>
                            </wps:cNvSpPr>
                            <wps:spPr bwMode="auto">
                              <a:xfrm>
                                <a:off x="4264025" y="2112010"/>
                                <a:ext cx="379095" cy="245110"/>
                              </a:xfrm>
                              <a:prstGeom prst="rect">
                                <a:avLst/>
                              </a:prstGeom>
                              <a:noFill/>
                              <a:ln>
                                <a:noFill/>
                              </a:ln>
                            </wps:spPr>
                            <wps:txbx>
                              <w:txbxContent>
                                <w:p w14:paraId="1D5129D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16.2pt;margin-top:14.25pt;height:19.3pt;width:29.85pt;z-index:251709440;mso-width-relative:page;mso-height-relative:page;" filled="f" stroked="f" coordsize="21600,21600" o:gfxdata="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GAj&#10;70rYAAAACQEAAA8AAAAAAAAAAQAgAAAAIgAAAGRycy9kb3ducmV2LnhtbFBLAQIUABQAAAAIAIdO&#10;4kDow3mzIwIAACYEAAAOAAAAAAAAAAEAIAAAACcBAABkcnMvZTJvRG9jLnhtbFBLBQYAAAAABgAG&#10;AFkBAAC8BQAAAAA=&#10;">
                      <v:fill on="f" focussize="0,0"/>
                      <v:stroke on="f"/>
                      <v:imagedata o:title=""/>
                      <o:lock v:ext="edit" aspectratio="f"/>
                      <v:textbox>
                        <w:txbxContent>
                          <w:p w14:paraId="1D5129DC">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0.2</w:t>
                            </w:r>
                          </w:p>
                        </w:txbxContent>
                      </v:textbox>
                    </v:shape>
                  </w:pict>
                </mc:Fallback>
              </mc:AlternateContent>
            </w:r>
            <w:r>
              <w:rPr>
                <w:color w:val="auto"/>
                <w:sz w:val="21"/>
              </w:rPr>
              <mc:AlternateContent>
                <mc:Choice Requires="wps">
                  <w:drawing>
                    <wp:anchor distT="0" distB="0" distL="114300" distR="114300" simplePos="0" relativeHeight="251707392" behindDoc="0" locked="0" layoutInCell="1" allowOverlap="1">
                      <wp:simplePos x="0" y="0"/>
                      <wp:positionH relativeFrom="column">
                        <wp:posOffset>1814830</wp:posOffset>
                      </wp:positionH>
                      <wp:positionV relativeFrom="paragraph">
                        <wp:posOffset>194945</wp:posOffset>
                      </wp:positionV>
                      <wp:extent cx="360045" cy="3175"/>
                      <wp:effectExtent l="0" t="24765" r="1905" b="29210"/>
                      <wp:wrapNone/>
                      <wp:docPr id="342" name="直线 13051"/>
                      <wp:cNvGraphicFramePr/>
                      <a:graphic xmlns:a="http://schemas.openxmlformats.org/drawingml/2006/main">
                        <a:graphicData uri="http://schemas.microsoft.com/office/word/2010/wordprocessingShape">
                          <wps:wsp>
                            <wps:cNvCnPr/>
                            <wps:spPr bwMode="auto">
                              <a:xfrm flipV="1">
                                <a:off x="3333115" y="2125980"/>
                                <a:ext cx="360045" cy="317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42.9pt;margin-top:15.35pt;height:0.25pt;width:28.35pt;z-index:251707392;mso-width-relative:page;mso-height-relative:page;" filled="f" stroked="t" coordsize="21600,21600" o:gfxdata="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RYSE79kAAAAJAQAADwAAAAAAAAABACAAAAAiAAAAZHJzL2Rvd25yZXYueG1sUEsBAhQAFAAA&#10;AAgAh07iQHqDgaHuAQAAuAMAAA4AAAAAAAAAAQAgAAAAKAEAAGRycy9lMm9Eb2MueG1sUEsFBgAA&#10;AAAGAAYAWQEAAIgFAAAAAA==&#10;">
                      <v:fill on="f" focussize="0,0"/>
                      <v:stroke color="#000000" joinstyle="round" endarrow="classic" endarrowwidth="narrow" endarrowlength="short"/>
                      <v:imagedata o:title=""/>
                      <o:lock v:ext="edit" aspectratio="f"/>
                    </v:line>
                  </w:pict>
                </mc:Fallback>
              </mc:AlternateContent>
            </w:r>
          </w:p>
          <w:p w14:paraId="63462BC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28896" behindDoc="0" locked="0" layoutInCell="1" allowOverlap="1">
                      <wp:simplePos x="0" y="0"/>
                      <wp:positionH relativeFrom="column">
                        <wp:posOffset>3773170</wp:posOffset>
                      </wp:positionH>
                      <wp:positionV relativeFrom="paragraph">
                        <wp:posOffset>4445</wp:posOffset>
                      </wp:positionV>
                      <wp:extent cx="385445" cy="252730"/>
                      <wp:effectExtent l="0" t="0" r="0" b="0"/>
                      <wp:wrapNone/>
                      <wp:docPr id="29" name="文本框 13073"/>
                      <wp:cNvGraphicFramePr/>
                      <a:graphic xmlns:a="http://schemas.openxmlformats.org/drawingml/2006/main">
                        <a:graphicData uri="http://schemas.microsoft.com/office/word/2010/wordprocessingShape">
                          <wps:wsp>
                            <wps:cNvSpPr txBox="1">
                              <a:spLocks noChangeArrowheads="1"/>
                            </wps:cNvSpPr>
                            <wps:spPr bwMode="auto">
                              <a:xfrm>
                                <a:off x="5238115" y="2168525"/>
                                <a:ext cx="385445" cy="252730"/>
                              </a:xfrm>
                              <a:prstGeom prst="rect">
                                <a:avLst/>
                              </a:prstGeom>
                              <a:noFill/>
                              <a:ln>
                                <a:noFill/>
                              </a:ln>
                            </wps:spPr>
                            <wps:txbx>
                              <w:txbxContent>
                                <w:p w14:paraId="750844BB">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7.6</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297.1pt;margin-top:0.35pt;height:19.9pt;width:30.35pt;z-index:251728896;mso-width-relative:page;mso-height-relative:page;" filled="f" stroked="f" coordsize="21600,21600" o:gfxdata="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1&#10;jnyG1QAAAAcBAAAPAAAAAAAAAAEAIAAAACIAAABkcnMvZG93bnJldi54bWxQSwECFAAUAAAACACH&#10;TuJAIVAZjCcCAAAlBAAADgAAAAAAAAABACAAAAAkAQAAZHJzL2Uyb0RvYy54bWxQSwUGAAAAAAYA&#10;BgBZAQAAvQUAAAAA&#10;">
                      <v:fill on="f" focussize="0,0"/>
                      <v:stroke on="f"/>
                      <v:imagedata o:title=""/>
                      <o:lock v:ext="edit" aspectratio="f"/>
                      <v:textbox>
                        <w:txbxContent>
                          <w:p w14:paraId="750844BB">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7.6</w:t>
                            </w:r>
                          </w:p>
                        </w:txbxContent>
                      </v:textbox>
                    </v:shape>
                  </w:pict>
                </mc:Fallback>
              </mc:AlternateContent>
            </w:r>
            <w:r>
              <w:rPr>
                <w:color w:val="auto"/>
                <w:sz w:val="21"/>
              </w:rPr>
              <mc:AlternateContent>
                <mc:Choice Requires="wps">
                  <w:drawing>
                    <wp:anchor distT="0" distB="0" distL="114300" distR="114300" simplePos="0" relativeHeight="251729920" behindDoc="0" locked="0" layoutInCell="1" allowOverlap="1">
                      <wp:simplePos x="0" y="0"/>
                      <wp:positionH relativeFrom="column">
                        <wp:posOffset>3763010</wp:posOffset>
                      </wp:positionH>
                      <wp:positionV relativeFrom="paragraph">
                        <wp:posOffset>196215</wp:posOffset>
                      </wp:positionV>
                      <wp:extent cx="146685" cy="128270"/>
                      <wp:effectExtent l="3810" t="0" r="1905" b="5080"/>
                      <wp:wrapNone/>
                      <wp:docPr id="320" name="任意多边形 13070"/>
                      <wp:cNvGraphicFramePr/>
                      <a:graphic xmlns:a="http://schemas.openxmlformats.org/drawingml/2006/main">
                        <a:graphicData uri="http://schemas.microsoft.com/office/word/2010/wordprocessingShape">
                          <wps:wsp>
                            <wps:cNvSpPr/>
                            <wps:spPr bwMode="auto">
                              <a:xfrm>
                                <a:off x="5221605" y="237299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0460FFB6">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296.3pt;margin-top:15.45pt;height:10.1pt;width:11.55pt;z-index:251729920;mso-width-relative:page;mso-height-relative:page;" filled="f" stroked="t" coordsize="254,256" o:gfxdata="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AXBJ6S1gAAAAkBAAAPAAAAAAAAAAEAIAAAACIAAABkcnMvZG93bnJldi54&#10;bWxQSwECFAAUAAAACACHTuJAeyf6oFIDAACLBwAADgAAAAAAAAABACAAAAAlAQAAZHJzL2Uyb0Rv&#10;Yy54bWxQSwUGAAAAAAYABgBZAQAA6QY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0460FFB6">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27872" behindDoc="0" locked="0" layoutInCell="1" allowOverlap="1">
                      <wp:simplePos x="0" y="0"/>
                      <wp:positionH relativeFrom="column">
                        <wp:posOffset>2289175</wp:posOffset>
                      </wp:positionH>
                      <wp:positionV relativeFrom="paragraph">
                        <wp:posOffset>-109220</wp:posOffset>
                      </wp:positionV>
                      <wp:extent cx="337185" cy="663575"/>
                      <wp:effectExtent l="0" t="163195" r="0" b="0"/>
                      <wp:wrapNone/>
                      <wp:docPr id="323" name="文本框 13067"/>
                      <wp:cNvGraphicFramePr/>
                      <a:graphic xmlns:a="http://schemas.openxmlformats.org/drawingml/2006/main">
                        <a:graphicData uri="http://schemas.microsoft.com/office/word/2010/wordprocessingShape">
                          <wps:wsp>
                            <wps:cNvSpPr txBox="1">
                              <a:spLocks noChangeArrowheads="1"/>
                            </wps:cNvSpPr>
                            <wps:spPr bwMode="auto">
                              <a:xfrm rot="5400000">
                                <a:off x="2625090" y="2062480"/>
                                <a:ext cx="337185" cy="663575"/>
                              </a:xfrm>
                              <a:prstGeom prst="rect">
                                <a:avLst/>
                              </a:prstGeom>
                              <a:noFill/>
                              <a:ln>
                                <a:noFill/>
                              </a:ln>
                            </wps:spPr>
                            <wps:txbx>
                              <w:txbxContent>
                                <w:p w14:paraId="27C6D051">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lang w:val="en-US" w:eastAsia="zh-CN"/>
                                      <w14:textFill>
                                        <w14:solidFill>
                                          <w14:schemeClr w14:val="tx1"/>
                                        </w14:solidFill>
                                      </w14:textFill>
                                    </w:rPr>
                                    <w:t>试剂</w:t>
                                  </w:r>
                                  <w:r>
                                    <w:rPr>
                                      <w:rFonts w:hint="default" w:ascii="Times New Roman" w:hAnsi="Times New Roman" w:eastAsia="宋体" w:cs="Times New Roman"/>
                                      <w:color w:val="000000" w:themeColor="text1"/>
                                      <w:sz w:val="18"/>
                                      <w:szCs w:val="18"/>
                                      <w:lang w:val="en-US" w:eastAsia="zh-CN"/>
                                      <w14:textFill>
                                        <w14:solidFill>
                                          <w14:schemeClr w14:val="tx1"/>
                                        </w14:solidFill>
                                      </w14:textFill>
                                    </w:rPr>
                                    <w:t>0.409</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80.25pt;margin-top:-8.6pt;height:52.25pt;width:26.55pt;rotation:5898240f;z-index:251727872;mso-width-relative:page;mso-height-relative:page;" filled="f" stroked="f" coordsize="21600,21600" o:gfxdata="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JtaxUNkAAAAKAQAADwAAAAAAAAABACAAAAAiAAAAZHJzL2Rvd25yZXYueG1s&#10;UEsBAhQAFAAAAAgAh07iQHU4sI4wAgAANAQAAA4AAAAAAAAAAQAgAAAAKAEAAGRycy9lMm9Eb2Mu&#10;eG1sUEsFBgAAAAAGAAYAWQEAAMoFAAAAAA==&#10;">
                      <v:fill on="f" focussize="0,0"/>
                      <v:stroke on="f"/>
                      <v:imagedata o:title=""/>
                      <o:lock v:ext="edit" aspectratio="f"/>
                      <v:textbox>
                        <w:txbxContent>
                          <w:p w14:paraId="27C6D051">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lang w:val="en-US" w:eastAsia="zh-CN"/>
                                <w14:textFill>
                                  <w14:solidFill>
                                    <w14:schemeClr w14:val="tx1"/>
                                  </w14:solidFill>
                                </w14:textFill>
                              </w:rPr>
                              <w:t>试剂</w:t>
                            </w:r>
                            <w:r>
                              <w:rPr>
                                <w:rFonts w:hint="default" w:ascii="Times New Roman" w:hAnsi="Times New Roman" w:eastAsia="宋体" w:cs="Times New Roman"/>
                                <w:color w:val="000000" w:themeColor="text1"/>
                                <w:sz w:val="18"/>
                                <w:szCs w:val="18"/>
                                <w:lang w:val="en-US" w:eastAsia="zh-CN"/>
                                <w14:textFill>
                                  <w14:solidFill>
                                    <w14:schemeClr w14:val="tx1"/>
                                  </w14:solidFill>
                                </w14:textFill>
                              </w:rPr>
                              <w:t>0.409</w:t>
                            </w:r>
                          </w:p>
                        </w:txbxContent>
                      </v:textbox>
                    </v:shape>
                  </w:pict>
                </mc:Fallback>
              </mc:AlternateContent>
            </w:r>
            <w:r>
              <w:rPr>
                <w:color w:val="auto"/>
                <w:sz w:val="21"/>
              </w:rPr>
              <mc:AlternateContent>
                <mc:Choice Requires="wps">
                  <w:drawing>
                    <wp:anchor distT="0" distB="0" distL="114300" distR="114300" simplePos="0" relativeHeight="251717632" behindDoc="0" locked="0" layoutInCell="1" allowOverlap="1">
                      <wp:simplePos x="0" y="0"/>
                      <wp:positionH relativeFrom="column">
                        <wp:posOffset>2821940</wp:posOffset>
                      </wp:positionH>
                      <wp:positionV relativeFrom="paragraph">
                        <wp:posOffset>93345</wp:posOffset>
                      </wp:positionV>
                      <wp:extent cx="323850" cy="1905"/>
                      <wp:effectExtent l="0" t="25400" r="0" b="29845"/>
                      <wp:wrapNone/>
                      <wp:docPr id="34" name="直线 13051"/>
                      <wp:cNvGraphicFramePr/>
                      <a:graphic xmlns:a="http://schemas.openxmlformats.org/drawingml/2006/main">
                        <a:graphicData uri="http://schemas.microsoft.com/office/word/2010/wordprocessingShape">
                          <wps:wsp>
                            <wps:cNvCnPr/>
                            <wps:spPr bwMode="auto">
                              <a:xfrm flipV="1">
                                <a:off x="4340225" y="2303780"/>
                                <a:ext cx="323850" cy="190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22.2pt;margin-top:7.35pt;height:0.15pt;width:25.5pt;z-index:251717632;mso-width-relative:page;mso-height-relative:page;" filled="f" stroked="t" coordsize="21600,21600" o:gfxdata="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KdaCb1gAAAAkBAAAPAAAAAAAAAAEAIAAAACIAAABkcnMvZG93bnJldi54bWxQSwECFAAUAAAA&#10;CACHTuJA77QTrPABAAC3AwAADgAAAAAAAAABACAAAAAl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05344" behindDoc="0" locked="0" layoutInCell="1" allowOverlap="1">
                      <wp:simplePos x="0" y="0"/>
                      <wp:positionH relativeFrom="column">
                        <wp:posOffset>4318635</wp:posOffset>
                      </wp:positionH>
                      <wp:positionV relativeFrom="paragraph">
                        <wp:posOffset>68580</wp:posOffset>
                      </wp:positionV>
                      <wp:extent cx="935990" cy="1905"/>
                      <wp:effectExtent l="25400" t="0" r="29845" b="16510"/>
                      <wp:wrapNone/>
                      <wp:docPr id="39" name="直线 13051"/>
                      <wp:cNvGraphicFramePr/>
                      <a:graphic xmlns:a="http://schemas.openxmlformats.org/drawingml/2006/main">
                        <a:graphicData uri="http://schemas.microsoft.com/office/word/2010/wordprocessingShape">
                          <wps:wsp>
                            <wps:cNvCnPr/>
                            <wps:spPr bwMode="auto">
                              <a:xfrm rot="16200000" flipV="1">
                                <a:off x="5836920" y="2279015"/>
                                <a:ext cx="935990" cy="190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340.05pt;margin-top:5.4pt;height:0.15pt;width:73.7pt;rotation:5898240f;z-index:251705344;mso-width-relative:page;mso-height-relative:page;" filled="f" stroked="t" coordsize="21600,21600" o:gfxdata="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qfFt79gAAAAJAQAADwAAAAAAAAABACAAAAAiAAAAZHJzL2Rvd25yZXYueG1s&#10;UEsBAhQAFAAAAAgAh07iQGUDI0H4AQAAxgMAAA4AAAAAAAAAAQAgAAAAJwEAAGRycy9lMm9Eb2Mu&#10;eG1sUEsFBgAAAAAGAAYAWQEAAJEFAAAAAA==&#10;">
                      <v:fill on="f" focussize="0,0"/>
                      <v:stroke color="#000000" joinstyle="round" endarrow="classic" endarrowwidth="narrow" endarrowlength="short"/>
                      <v:imagedata o:title=""/>
                      <o:lock v:ext="edit" aspectratio="f"/>
                    </v:line>
                  </w:pict>
                </mc:Fallback>
              </mc:AlternateContent>
            </w:r>
          </w:p>
          <w:p w14:paraId="2AEFDC3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22752" behindDoc="0" locked="0" layoutInCell="1" allowOverlap="1">
                      <wp:simplePos x="0" y="0"/>
                      <wp:positionH relativeFrom="column">
                        <wp:posOffset>2656205</wp:posOffset>
                      </wp:positionH>
                      <wp:positionV relativeFrom="paragraph">
                        <wp:posOffset>68580</wp:posOffset>
                      </wp:positionV>
                      <wp:extent cx="545465" cy="214630"/>
                      <wp:effectExtent l="0" t="0" r="0" b="0"/>
                      <wp:wrapNone/>
                      <wp:docPr id="328" name="文本框 13067"/>
                      <wp:cNvGraphicFramePr/>
                      <a:graphic xmlns:a="http://schemas.openxmlformats.org/drawingml/2006/main">
                        <a:graphicData uri="http://schemas.microsoft.com/office/word/2010/wordprocessingShape">
                          <wps:wsp>
                            <wps:cNvSpPr txBox="1">
                              <a:spLocks noChangeArrowheads="1"/>
                            </wps:cNvSpPr>
                            <wps:spPr bwMode="auto">
                              <a:xfrm>
                                <a:off x="4291965" y="2558415"/>
                                <a:ext cx="545465" cy="214630"/>
                              </a:xfrm>
                              <a:prstGeom prst="rect">
                                <a:avLst/>
                              </a:prstGeom>
                              <a:noFill/>
                              <a:ln>
                                <a:noFill/>
                              </a:ln>
                            </wps:spPr>
                            <wps:txbx>
                              <w:txbxContent>
                                <w:p w14:paraId="7AA1C19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12</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.409</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09.15pt;margin-top:5.4pt;height:16.9pt;width:42.95pt;z-index:251722752;mso-width-relative:page;mso-height-relative:page;" filled="f" stroked="f" coordsize="21600,21600" o:gfxdata="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c&#10;MRHp1QAAAAkBAAAPAAAAAAAAAAEAIAAAACIAAABkcnMvZG93bnJldi54bWxQSwECFAAUAAAACACH&#10;TuJA0Pj/QCcCAAAmBAAADgAAAAAAAAABACAAAAAkAQAAZHJzL2Uyb0RvYy54bWxQSwUGAAAAAAYA&#10;BgBZAQAAvQUAAAAA&#10;">
                      <v:fill on="f" focussize="0,0"/>
                      <v:stroke on="f"/>
                      <v:imagedata o:title=""/>
                      <o:lock v:ext="edit" aspectratio="f"/>
                      <v:textbox>
                        <w:txbxContent>
                          <w:p w14:paraId="7AA1C19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12</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.409</w:t>
                            </w:r>
                          </w:p>
                        </w:txbxContent>
                      </v:textbox>
                    </v:shape>
                  </w:pict>
                </mc:Fallback>
              </mc:AlternateContent>
            </w:r>
            <w:r>
              <w:rPr>
                <w:color w:val="auto"/>
                <w:sz w:val="21"/>
              </w:rPr>
              <mc:AlternateContent>
                <mc:Choice Requires="wpg">
                  <w:drawing>
                    <wp:anchor distT="0" distB="0" distL="114300" distR="114300" simplePos="0" relativeHeight="251720704" behindDoc="0" locked="0" layoutInCell="1" allowOverlap="1">
                      <wp:simplePos x="0" y="0"/>
                      <wp:positionH relativeFrom="column">
                        <wp:posOffset>4283710</wp:posOffset>
                      </wp:positionH>
                      <wp:positionV relativeFrom="paragraph">
                        <wp:posOffset>194310</wp:posOffset>
                      </wp:positionV>
                      <wp:extent cx="110490" cy="79375"/>
                      <wp:effectExtent l="4445" t="4445" r="18415" b="11430"/>
                      <wp:wrapNone/>
                      <wp:docPr id="329" name="组合 329"/>
                      <wp:cNvGraphicFramePr/>
                      <a:graphic xmlns:a="http://schemas.openxmlformats.org/drawingml/2006/main">
                        <a:graphicData uri="http://schemas.microsoft.com/office/word/2010/wordprocessingGroup">
                          <wpg:wgp>
                            <wpg:cNvGrpSpPr/>
                            <wpg:grpSpPr>
                              <a:xfrm rot="0">
                                <a:off x="5808345" y="2696845"/>
                                <a:ext cx="110490" cy="79375"/>
                                <a:chOff x="11872" y="554945"/>
                                <a:chExt cx="174" cy="125"/>
                              </a:xfrm>
                            </wpg:grpSpPr>
                            <wps:wsp>
                              <wps:cNvPr id="40" name="椭圆 5"/>
                              <wps:cNvSpPr/>
                              <wps:spPr>
                                <a:xfrm>
                                  <a:off x="11872" y="554945"/>
                                  <a:ext cx="125" cy="125"/>
                                </a:xfrm>
                                <a:prstGeom prst="ellipse">
                                  <a:avLst/>
                                </a:prstGeom>
                                <a:noFill/>
                                <a:ln w="9525">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1" name="矩形 9"/>
                              <wps:cNvSpPr/>
                              <wps:spPr>
                                <a:xfrm>
                                  <a:off x="11933" y="554948"/>
                                  <a:ext cx="113" cy="113"/>
                                </a:xfrm>
                                <a:prstGeom prst="rect">
                                  <a:avLst/>
                                </a:prstGeom>
                                <a:solidFill>
                                  <a:schemeClr val="bg1"/>
                                </a:solidFill>
                                <a:ln w="12700" cmpd="sng">
                                  <a:solidFill>
                                    <a:schemeClr val="bg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337.3pt;margin-top:15.3pt;height:6.25pt;width:8.7pt;z-index:251720704;mso-width-relative:page;mso-height-relative:page;" coordorigin="11872,554945" coordsize="174,125" o:gfxdata="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jGKc&#10;kdoAAAAJAQAADwAAAAAAAAABACAAAAAiAAAAZHJzL2Rvd25yZXYueG1sUEsBAhQAFAAAAAgAh07i&#10;QDMh3pc9AwAAAwkAAA4AAAAAAAAAAQAgAAAAKQEAAGRycy9lMm9Eb2MueG1sUEsFBgAAAAAGAAYA&#10;WQEAANgGAAAAAA==&#10;">
                      <o:lock v:ext="edit" aspectratio="f"/>
                      <v:shape id="椭圆 5" o:spid="_x0000_s1026" o:spt="3" type="#_x0000_t3" style="position:absolute;left:11872;top:554945;height:125;width:125;v-text-anchor:middle;" filled="f" stroked="t" coordsize="21600,21600" o:gfxdata="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RKPULsAAADb&#10;AAAADwAAAAAAAAABACAAAAAiAAAAZHJzL2Rvd25yZXYueG1sUEsBAhQAFAAAAAgAh07iQDMvBZ47&#10;AAAAOQAAABAAAAAAAAAAAQAgAAAACgEAAGRycy9zaGFwZXhtbC54bWxQSwUGAAAAAAYABgBbAQAA&#10;tAMAAAAA&#10;">
                        <v:fill on="f" focussize="0,0"/>
                        <v:stroke color="#000000 [3213]" joinstyle="round"/>
                        <v:imagedata o:title=""/>
                        <o:lock v:ext="edit" aspectratio="f"/>
                      </v:shape>
                      <v:rect id="矩形 9" o:spid="_x0000_s1026" o:spt="1" style="position:absolute;left:11933;top:554948;height:113;width:113;v-text-anchor:middle;" fillcolor="#FFFFFF [3212]" filled="t" stroked="t" coordsize="21600,21600" o:gfxdata="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4ptVL4A&#10;AADcAAAADwAAAAAAAAABACAAAAAiAAAAZHJzL2Rvd25yZXYueG1sUEsBAhQAFAAAAAgAh07iQDMv&#10;BZ47AAAAOQAAABAAAAAAAAAAAQAgAAAADQEAAGRycy9zaGFwZXhtbC54bWxQSwUGAAAAAAYABgBb&#10;AQAAtwMAAAAA&#10;">
                        <v:fill on="t" focussize="0,0"/>
                        <v:stroke weight="1pt" color="#FFFFFF [3212]" joinstyle="round"/>
                        <v:imagedata o:title=""/>
                        <o:lock v:ext="edit" aspectratio="f"/>
                      </v:rect>
                    </v:group>
                  </w:pict>
                </mc:Fallback>
              </mc:AlternateContent>
            </w:r>
            <w:r>
              <w:rPr>
                <w:color w:val="auto"/>
                <w:sz w:val="21"/>
              </w:rPr>
              <mc:AlternateContent>
                <mc:Choice Requires="wps">
                  <w:drawing>
                    <wp:anchor distT="0" distB="0" distL="114300" distR="114300" simplePos="0" relativeHeight="251726848" behindDoc="0" locked="0" layoutInCell="1" allowOverlap="1">
                      <wp:simplePos x="0" y="0"/>
                      <wp:positionH relativeFrom="column">
                        <wp:posOffset>2466340</wp:posOffset>
                      </wp:positionH>
                      <wp:positionV relativeFrom="paragraph">
                        <wp:posOffset>12700</wp:posOffset>
                      </wp:positionV>
                      <wp:extent cx="635" cy="144145"/>
                      <wp:effectExtent l="25400" t="0" r="31115" b="8255"/>
                      <wp:wrapNone/>
                      <wp:docPr id="322" name="直线 13051"/>
                      <wp:cNvGraphicFramePr/>
                      <a:graphic xmlns:a="http://schemas.openxmlformats.org/drawingml/2006/main">
                        <a:graphicData uri="http://schemas.microsoft.com/office/word/2010/wordprocessingShape">
                          <wps:wsp>
                            <wps:cNvCnPr/>
                            <wps:spPr bwMode="auto">
                              <a:xfrm flipH="1">
                                <a:off x="2536190" y="2251710"/>
                                <a:ext cx="635" cy="14414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x;margin-left:194.2pt;margin-top:1pt;height:11.35pt;width:0.05pt;z-index:251726848;mso-width-relative:page;mso-height-relative:page;" filled="f" stroked="t" coordsize="21600,21600" o:gfxdata="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x/QLR1gAAAAgBAAAPAAAAAAAAAAEAIAAAACIAAABkcnMvZG93bnJldi54bWxQSwECFAAUAAAA&#10;CACHTuJAsROPxPABAAC3AwAADgAAAAAAAAABACAAAAAl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72928" behindDoc="0" locked="0" layoutInCell="1" allowOverlap="1">
                      <wp:simplePos x="0" y="0"/>
                      <wp:positionH relativeFrom="column">
                        <wp:posOffset>1635125</wp:posOffset>
                      </wp:positionH>
                      <wp:positionV relativeFrom="paragraph">
                        <wp:posOffset>246380</wp:posOffset>
                      </wp:positionV>
                      <wp:extent cx="539750" cy="635"/>
                      <wp:effectExtent l="0" t="25400" r="12700" b="31115"/>
                      <wp:wrapNone/>
                      <wp:docPr id="41" name="直线 13051"/>
                      <wp:cNvGraphicFramePr/>
                      <a:graphic xmlns:a="http://schemas.openxmlformats.org/drawingml/2006/main">
                        <a:graphicData uri="http://schemas.microsoft.com/office/word/2010/wordprocessingShape">
                          <wps:wsp>
                            <wps:cNvCnPr/>
                            <wps:spPr bwMode="auto">
                              <a:xfrm flipV="1">
                                <a:off x="3153410" y="2736215"/>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19.4pt;height:0.05pt;width:42.5pt;z-index:251772928;mso-width-relative:page;mso-height-relative:page;" filled="f" stroked="t" coordsize="21600,21600" o:gfxdata="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QqSsytcAAAAJAQAADwAAAAAAAAABACAAAAAiAAAAZHJzL2Rvd25yZXYueG1sUEsBAhQAFAAA&#10;AAgAh07iQB8B8srwAQAAtgMAAA4AAAAAAAAAAQAgAAAAJgEAAGRycy9lMm9Eb2MueG1sUEsFBgAA&#10;AAAGAAYAWQEAAIg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0944" behindDoc="0" locked="0" layoutInCell="1" allowOverlap="1">
                      <wp:simplePos x="0" y="0"/>
                      <wp:positionH relativeFrom="column">
                        <wp:posOffset>4344035</wp:posOffset>
                      </wp:positionH>
                      <wp:positionV relativeFrom="paragraph">
                        <wp:posOffset>35560</wp:posOffset>
                      </wp:positionV>
                      <wp:extent cx="497840" cy="252730"/>
                      <wp:effectExtent l="0" t="0" r="0" b="0"/>
                      <wp:wrapNone/>
                      <wp:docPr id="42" name="文本框 13073"/>
                      <wp:cNvGraphicFramePr/>
                      <a:graphic xmlns:a="http://schemas.openxmlformats.org/drawingml/2006/main">
                        <a:graphicData uri="http://schemas.microsoft.com/office/word/2010/wordprocessingShape">
                          <wps:wsp>
                            <wps:cNvSpPr txBox="1">
                              <a:spLocks noChangeArrowheads="1"/>
                            </wps:cNvSpPr>
                            <wps:spPr bwMode="auto">
                              <a:xfrm>
                                <a:off x="5862320" y="2525395"/>
                                <a:ext cx="497840" cy="252730"/>
                              </a:xfrm>
                              <a:prstGeom prst="rect">
                                <a:avLst/>
                              </a:prstGeom>
                              <a:noFill/>
                              <a:ln>
                                <a:noFill/>
                              </a:ln>
                            </wps:spPr>
                            <wps:txbx>
                              <w:txbxContent>
                                <w:p w14:paraId="3F092446">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8.009</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342.05pt;margin-top:2.8pt;height:19.9pt;width:39.2pt;z-index:251730944;mso-width-relative:page;mso-height-relative:page;" filled="f" stroked="f" coordsize="21600,21600" o:gfxdata="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Oms&#10;xsLWAAAACAEAAA8AAAAAAAAAAQAgAAAAIgAAAGRycy9kb3ducmV2LnhtbFBLAQIUABQAAAAIAIdO&#10;4kDem8l1JQIAACUEAAAOAAAAAAAAAAEAIAAAACUBAABkcnMvZTJvRG9jLnhtbFBLBQYAAAAABgAG&#10;AFkBAAC8BQAAAAA=&#10;">
                      <v:fill on="f" focussize="0,0"/>
                      <v:stroke on="f"/>
                      <v:imagedata o:title=""/>
                      <o:lock v:ext="edit" aspectratio="f"/>
                      <v:textbox>
                        <w:txbxContent>
                          <w:p w14:paraId="3F092446">
                            <w:pP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8.009</w:t>
                            </w:r>
                          </w:p>
                        </w:txbxContent>
                      </v:textbox>
                    </v:shape>
                  </w:pict>
                </mc:Fallback>
              </mc:AlternateContent>
            </w:r>
            <w:r>
              <w:rPr>
                <w:color w:val="auto"/>
                <w:sz w:val="21"/>
              </w:rPr>
              <mc:AlternateContent>
                <mc:Choice Requires="wps">
                  <w:drawing>
                    <wp:anchor distT="0" distB="0" distL="114300" distR="114300" simplePos="0" relativeHeight="251725824" behindDoc="0" locked="0" layoutInCell="1" allowOverlap="1">
                      <wp:simplePos x="0" y="0"/>
                      <wp:positionH relativeFrom="column">
                        <wp:posOffset>4060190</wp:posOffset>
                      </wp:positionH>
                      <wp:positionV relativeFrom="paragraph">
                        <wp:posOffset>238125</wp:posOffset>
                      </wp:positionV>
                      <wp:extent cx="736600" cy="635"/>
                      <wp:effectExtent l="0" t="24765" r="6350" b="31750"/>
                      <wp:wrapNone/>
                      <wp:docPr id="43" name="直线 13051"/>
                      <wp:cNvGraphicFramePr/>
                      <a:graphic xmlns:a="http://schemas.openxmlformats.org/drawingml/2006/main">
                        <a:graphicData uri="http://schemas.microsoft.com/office/word/2010/wordprocessingShape">
                          <wps:wsp>
                            <wps:cNvCnPr/>
                            <wps:spPr bwMode="auto">
                              <a:xfrm>
                                <a:off x="5415280" y="2736215"/>
                                <a:ext cx="73660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19.7pt;margin-top:18.75pt;height:0.05pt;width:58pt;z-index:251725824;mso-width-relative:page;mso-height-relative:page;" filled="f" stroked="t" coordsize="21600,21600" o:gfxdata="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S7&#10;mcraAAAACQEAAA8AAAAAAAAAAQAgAAAAIgAAAGRycy9kb3ducmV2LnhtbFBLAQIUABQAAAAIAIdO&#10;4kAPzGTC6AEAAKwDAAAOAAAAAAAAAAEAIAAAACkBAABkcnMvZTJvRG9jLnhtbFBLBQYAAAAABgAG&#10;AFkBAACD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19680" behindDoc="0" locked="0" layoutInCell="1" allowOverlap="1">
                      <wp:simplePos x="0" y="0"/>
                      <wp:positionH relativeFrom="column">
                        <wp:posOffset>1764665</wp:posOffset>
                      </wp:positionH>
                      <wp:positionV relativeFrom="paragraph">
                        <wp:posOffset>53975</wp:posOffset>
                      </wp:positionV>
                      <wp:extent cx="332740" cy="259080"/>
                      <wp:effectExtent l="0" t="0" r="0" b="0"/>
                      <wp:wrapNone/>
                      <wp:docPr id="332" name="文本框 13067"/>
                      <wp:cNvGraphicFramePr/>
                      <a:graphic xmlns:a="http://schemas.openxmlformats.org/drawingml/2006/main">
                        <a:graphicData uri="http://schemas.microsoft.com/office/word/2010/wordprocessingShape">
                          <wps:wsp>
                            <wps:cNvSpPr txBox="1">
                              <a:spLocks noChangeArrowheads="1"/>
                            </wps:cNvSpPr>
                            <wps:spPr bwMode="auto">
                              <a:xfrm>
                                <a:off x="3282950" y="2543810"/>
                                <a:ext cx="332740" cy="259080"/>
                              </a:xfrm>
                              <a:prstGeom prst="rect">
                                <a:avLst/>
                              </a:prstGeom>
                              <a:noFill/>
                              <a:ln>
                                <a:noFill/>
                              </a:ln>
                            </wps:spPr>
                            <wps:txbx>
                              <w:txbxContent>
                                <w:p w14:paraId="4F2DB3D2">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8.95pt;margin-top:4.25pt;height:20.4pt;width:26.2pt;z-index:251719680;mso-width-relative:page;mso-height-relative:page;" filled="f" stroked="f" coordsize="21600,21600" o:gfxdata="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AE&#10;NrjXAAAACAEAAA8AAAAAAAAAAQAgAAAAIgAAAGRycy9kb3ducmV2LnhtbFBLAQIUABQAAAAIAIdO&#10;4kD+WtLrJAIAACYEAAAOAAAAAAAAAAEAIAAAACYBAABkcnMvZTJvRG9jLnhtbFBLBQYAAAAABgAG&#10;AFkBAAC8BQAAAAA=&#10;">
                      <v:fill on="f" focussize="0,0"/>
                      <v:stroke on="f"/>
                      <v:imagedata o:title=""/>
                      <o:lock v:ext="edit" aspectratio="f"/>
                      <v:textbox>
                        <w:txbxContent>
                          <w:p w14:paraId="4F2DB3D2">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v:textbox>
                    </v:shape>
                  </w:pict>
                </mc:Fallback>
              </mc:AlternateContent>
            </w:r>
            <w:r>
              <w:rPr>
                <w:color w:val="auto"/>
                <w:sz w:val="21"/>
              </w:rPr>
              <mc:AlternateContent>
                <mc:Choice Requires="wps">
                  <w:drawing>
                    <wp:anchor distT="0" distB="0" distL="114300" distR="114300" simplePos="0" relativeHeight="251718656" behindDoc="0" locked="0" layoutInCell="1" allowOverlap="1">
                      <wp:simplePos x="0" y="0"/>
                      <wp:positionH relativeFrom="column">
                        <wp:posOffset>2169160</wp:posOffset>
                      </wp:positionH>
                      <wp:positionV relativeFrom="paragraph">
                        <wp:posOffset>137795</wp:posOffset>
                      </wp:positionV>
                      <wp:extent cx="539750" cy="218440"/>
                      <wp:effectExtent l="4445" t="4445" r="8255" b="5715"/>
                      <wp:wrapNone/>
                      <wp:docPr id="44"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2627630"/>
                                <a:ext cx="539750" cy="218440"/>
                              </a:xfrm>
                              <a:prstGeom prst="rect">
                                <a:avLst/>
                              </a:prstGeom>
                              <a:noFill/>
                              <a:ln w="9525">
                                <a:solidFill>
                                  <a:srgbClr val="000000"/>
                                </a:solidFill>
                                <a:miter lim="800000"/>
                              </a:ln>
                            </wps:spPr>
                            <wps:txbx>
                              <w:txbxContent>
                                <w:p w14:paraId="796A4AE4">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试剂配制</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170.8pt;margin-top:10.85pt;height:17.2pt;width:42.5pt;z-index:251718656;v-text-anchor:middle;mso-width-relative:page;mso-height-relative:page;" filled="f" stroked="t" coordsize="21600,21600" o:gfxdata="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JEAyQvXAAAACQEAAA8AAAAAAAAAAQAgAAAA&#10;IgAAAGRycy9kb3ducmV2LnhtbFBLAQIUABQAAAAIAIdO4kCsqLZZRQIAAGAEAAAOAAAAAAAAAAEA&#10;IAAAACYBAABkcnMvZTJvRG9jLnhtbFBLBQYAAAAABgAGAFkBAADdBQAAAAA=&#10;">
                      <v:fill on="f" focussize="0,0"/>
                      <v:stroke color="#000000" miterlimit="8" joinstyle="miter"/>
                      <v:imagedata o:title=""/>
                      <o:lock v:ext="edit" aspectratio="f"/>
                      <v:textbox inset="0mm,0mm,0mm,0mm">
                        <w:txbxContent>
                          <w:p w14:paraId="796A4AE4">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试剂配制</w:t>
                            </w:r>
                          </w:p>
                        </w:txbxContent>
                      </v:textbox>
                    </v:shape>
                  </w:pict>
                </mc:Fallback>
              </mc:AlternateContent>
            </w:r>
            <w:r>
              <w:rPr>
                <w:color w:val="auto"/>
                <w:sz w:val="21"/>
              </w:rPr>
              <mc:AlternateContent>
                <mc:Choice Requires="wps">
                  <w:drawing>
                    <wp:anchor distT="0" distB="0" distL="114300" distR="114300" simplePos="0" relativeHeight="251716608" behindDoc="0" locked="0" layoutInCell="1" allowOverlap="1">
                      <wp:simplePos x="0" y="0"/>
                      <wp:positionH relativeFrom="column">
                        <wp:posOffset>3620135</wp:posOffset>
                      </wp:positionH>
                      <wp:positionV relativeFrom="paragraph">
                        <wp:posOffset>45085</wp:posOffset>
                      </wp:positionV>
                      <wp:extent cx="450215" cy="505460"/>
                      <wp:effectExtent l="5080" t="4445" r="20955" b="23495"/>
                      <wp:wrapNone/>
                      <wp:docPr id="52" name="文本框 13052"/>
                      <wp:cNvGraphicFramePr/>
                      <a:graphic xmlns:a="http://schemas.openxmlformats.org/drawingml/2006/main">
                        <a:graphicData uri="http://schemas.microsoft.com/office/word/2010/wordprocessingShape">
                          <wps:wsp>
                            <wps:cNvSpPr txBox="1">
                              <a:spLocks noChangeArrowheads="1"/>
                            </wps:cNvSpPr>
                            <wps:spPr bwMode="auto">
                              <a:xfrm>
                                <a:off x="5138420" y="2534920"/>
                                <a:ext cx="450215" cy="505460"/>
                              </a:xfrm>
                              <a:prstGeom prst="rect">
                                <a:avLst/>
                              </a:prstGeom>
                              <a:noFill/>
                              <a:ln w="9525">
                                <a:solidFill>
                                  <a:srgbClr val="000000"/>
                                </a:solidFill>
                                <a:miter lim="800000"/>
                              </a:ln>
                            </wps:spPr>
                            <wps:txbx>
                              <w:txbxContent>
                                <w:p w14:paraId="4757E20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实验</w:t>
                                  </w:r>
                                </w:p>
                                <w:p w14:paraId="5A9893F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过程</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285.05pt;margin-top:3.55pt;height:39.8pt;width:35.45pt;z-index:251716608;v-text-anchor:middle;mso-width-relative:page;mso-height-relative:page;" filled="f" stroked="t" coordsize="21600,21600" o:gfxdata="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L/VXaXXAAAACAEAAA8AAAAAAAAAAQAgAAAA&#10;IgAAAGRycy9kb3ducmV2LnhtbFBLAQIUABQAAAAIAIdO4kCyrAJfRQIAAGAEAAAOAAAAAAAAAAEA&#10;IAAAACYBAABkcnMvZTJvRG9jLnhtbFBLBQYAAAAABgAGAFkBAADdBQAAAAA=&#10;">
                      <v:fill on="f" focussize="0,0"/>
                      <v:stroke color="#000000" miterlimit="8" joinstyle="miter"/>
                      <v:imagedata o:title=""/>
                      <o:lock v:ext="edit" aspectratio="f"/>
                      <v:textbox inset="0mm,0mm,0mm,0mm">
                        <w:txbxContent>
                          <w:p w14:paraId="4757E20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实验</w:t>
                            </w:r>
                          </w:p>
                          <w:p w14:paraId="5A9893F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过程</w:t>
                            </w:r>
                          </w:p>
                        </w:txbxContent>
                      </v:textbox>
                    </v:shape>
                  </w:pict>
                </mc:Fallback>
              </mc:AlternateContent>
            </w:r>
            <w:r>
              <w:rPr>
                <w:color w:val="auto"/>
                <w:sz w:val="21"/>
              </w:rPr>
              <mc:AlternateContent>
                <mc:Choice Requires="wps">
                  <w:drawing>
                    <wp:anchor distT="0" distB="0" distL="114300" distR="114300" simplePos="0" relativeHeight="251715584" behindDoc="0" locked="0" layoutInCell="1" allowOverlap="1">
                      <wp:simplePos x="0" y="0"/>
                      <wp:positionH relativeFrom="column">
                        <wp:posOffset>2720340</wp:posOffset>
                      </wp:positionH>
                      <wp:positionV relativeFrom="paragraph">
                        <wp:posOffset>245110</wp:posOffset>
                      </wp:positionV>
                      <wp:extent cx="899795" cy="3175"/>
                      <wp:effectExtent l="0" t="25400" r="14605" b="28575"/>
                      <wp:wrapNone/>
                      <wp:docPr id="53" name="直线 13051"/>
                      <wp:cNvGraphicFramePr/>
                      <a:graphic xmlns:a="http://schemas.openxmlformats.org/drawingml/2006/main">
                        <a:graphicData uri="http://schemas.microsoft.com/office/word/2010/wordprocessingShape">
                          <wps:wsp>
                            <wps:cNvCnPr/>
                            <wps:spPr bwMode="auto">
                              <a:xfrm flipV="1">
                                <a:off x="4238625" y="2734945"/>
                                <a:ext cx="899795" cy="317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14.2pt;margin-top:19.3pt;height:0.25pt;width:70.85pt;z-index:251715584;mso-width-relative:page;mso-height-relative:page;" filled="f" stroked="t" coordsize="21600,21600" o:gfxdata="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dDHOs9kAAAAJAQAADwAAAAAAAAABACAAAAAiAAAAZHJzL2Rvd25yZXYueG1sUEsBAhQA&#10;FAAAAAgAh07iQLl848bxAQAAtwMAAA4AAAAAAAAAAQAgAAAAKAEAAGRycy9lMm9Eb2MueG1sUEsF&#10;BgAAAAAGAAYAWQEAAIs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14560" behindDoc="0" locked="0" layoutInCell="1" allowOverlap="1">
                      <wp:simplePos x="0" y="0"/>
                      <wp:positionH relativeFrom="column">
                        <wp:posOffset>2731135</wp:posOffset>
                      </wp:positionH>
                      <wp:positionV relativeFrom="paragraph">
                        <wp:posOffset>220345</wp:posOffset>
                      </wp:positionV>
                      <wp:extent cx="810260" cy="635"/>
                      <wp:effectExtent l="5080" t="635" r="13335" b="8255"/>
                      <wp:wrapNone/>
                      <wp:docPr id="54" name="直线 13051"/>
                      <wp:cNvGraphicFramePr/>
                      <a:graphic xmlns:a="http://schemas.openxmlformats.org/drawingml/2006/main">
                        <a:graphicData uri="http://schemas.microsoft.com/office/word/2010/wordprocessingShape">
                          <wps:wsp>
                            <wps:cNvCnPr/>
                            <wps:spPr bwMode="auto">
                              <a:xfrm rot="16200000">
                                <a:off x="4249420" y="2710180"/>
                                <a:ext cx="810260"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215.05pt;margin-top:17.35pt;height:0.05pt;width:63.8pt;rotation:-5898240f;z-index:251714560;mso-width-relative:page;mso-height-relative:page;" filled="f" stroked="t" coordsize="21600,21600" o:gfxdata="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JtrbxjVAAAACQEAAA8AAAAAAAAAAQAgAAAAIgAAAGRycy9kb3ducmV2LnhtbFBLAQIUABQAAAAI&#10;AIdO4kBJwYeA8AEAALgDAAAOAAAAAAAAAAEAIAAAACQBAABkcnMvZTJvRG9jLnhtbFBLBQYAAAAA&#10;BgAGAFkBAACGBQAAAAA=&#10;">
                      <v:fill on="f" focussize="0,0"/>
                      <v:stroke color="#000000" joinstyle="round" endarrowwidth="narrow" endarrowlength="short"/>
                      <v:imagedata o:title=""/>
                      <o:lock v:ext="edit" aspectratio="f"/>
                    </v:line>
                  </w:pict>
                </mc:Fallback>
              </mc:AlternateContent>
            </w:r>
          </w:p>
          <w:p w14:paraId="48B5E41C">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13536" behindDoc="0" locked="0" layoutInCell="1" allowOverlap="1">
                      <wp:simplePos x="0" y="0"/>
                      <wp:positionH relativeFrom="column">
                        <wp:posOffset>2825750</wp:posOffset>
                      </wp:positionH>
                      <wp:positionV relativeFrom="paragraph">
                        <wp:posOffset>174625</wp:posOffset>
                      </wp:positionV>
                      <wp:extent cx="220345" cy="195580"/>
                      <wp:effectExtent l="0" t="0" r="0" b="0"/>
                      <wp:wrapNone/>
                      <wp:docPr id="336" name="文本框 13067"/>
                      <wp:cNvGraphicFramePr/>
                      <a:graphic xmlns:a="http://schemas.openxmlformats.org/drawingml/2006/main">
                        <a:graphicData uri="http://schemas.microsoft.com/office/word/2010/wordprocessingShape">
                          <wps:wsp>
                            <wps:cNvSpPr txBox="1">
                              <a:spLocks noChangeArrowheads="1"/>
                            </wps:cNvSpPr>
                            <wps:spPr bwMode="auto">
                              <a:xfrm>
                                <a:off x="4350385" y="2950210"/>
                                <a:ext cx="220345" cy="195580"/>
                              </a:xfrm>
                              <a:prstGeom prst="rect">
                                <a:avLst/>
                              </a:prstGeom>
                              <a:noFill/>
                              <a:ln>
                                <a:noFill/>
                              </a:ln>
                            </wps:spPr>
                            <wps:txbx>
                              <w:txbxContent>
                                <w:p w14:paraId="01B861D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22.5pt;margin-top:13.75pt;height:15.4pt;width:17.35pt;z-index:251713536;mso-width-relative:page;mso-height-relative:page;" filled="f" stroked="f" coordsize="21600,21600" o:gfxdata="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XRHaN2AAAAAkBAAAPAAAAAAAAAAEAIAAAACIAAABkcnMvZG93bnJldi54bWxQSwECFAAUAAAA&#10;CACHTuJAI0w2dycCAAAmBAAADgAAAAAAAAABACAAAAAnAQAAZHJzL2Uyb0RvYy54bWxQSwUGAAAA&#10;AAYABgBZAQAAwAUAAAAA&#10;">
                      <v:fill on="f" focussize="0,0"/>
                      <v:stroke on="f"/>
                      <v:imagedata o:title=""/>
                      <o:lock v:ext="edit" aspectratio="f"/>
                      <v:textbox>
                        <w:txbxContent>
                          <w:p w14:paraId="01B861DE">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w:t>
                            </w:r>
                          </w:p>
                        </w:txbxContent>
                      </v:textbox>
                    </v:shape>
                  </w:pict>
                </mc:Fallback>
              </mc:AlternateContent>
            </w:r>
            <w:r>
              <w:rPr>
                <w:color w:val="auto"/>
                <w:sz w:val="21"/>
              </w:rPr>
              <mc:AlternateContent>
                <mc:Choice Requires="wps">
                  <w:drawing>
                    <wp:anchor distT="0" distB="0" distL="114300" distR="114300" simplePos="0" relativeHeight="251712512" behindDoc="0" locked="0" layoutInCell="1" allowOverlap="1">
                      <wp:simplePos x="0" y="0"/>
                      <wp:positionH relativeFrom="column">
                        <wp:posOffset>1809115</wp:posOffset>
                      </wp:positionH>
                      <wp:positionV relativeFrom="paragraph">
                        <wp:posOffset>167005</wp:posOffset>
                      </wp:positionV>
                      <wp:extent cx="256540" cy="252095"/>
                      <wp:effectExtent l="0" t="0" r="0" b="0"/>
                      <wp:wrapNone/>
                      <wp:docPr id="57" name="文本框 13067"/>
                      <wp:cNvGraphicFramePr/>
                      <a:graphic xmlns:a="http://schemas.openxmlformats.org/drawingml/2006/main">
                        <a:graphicData uri="http://schemas.microsoft.com/office/word/2010/wordprocessingShape">
                          <wps:wsp>
                            <wps:cNvSpPr txBox="1">
                              <a:spLocks noChangeArrowheads="1"/>
                            </wps:cNvSpPr>
                            <wps:spPr bwMode="auto">
                              <a:xfrm>
                                <a:off x="3321050" y="2923540"/>
                                <a:ext cx="256540" cy="252095"/>
                              </a:xfrm>
                              <a:prstGeom prst="rect">
                                <a:avLst/>
                              </a:prstGeom>
                              <a:noFill/>
                              <a:ln>
                                <a:noFill/>
                              </a:ln>
                            </wps:spPr>
                            <wps:txbx>
                              <w:txbxContent>
                                <w:p w14:paraId="7E4CC6A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2.45pt;margin-top:13.15pt;height:19.85pt;width:20.2pt;z-index:251712512;mso-width-relative:page;mso-height-relative:page;" filled="f" stroked="f" coordsize="21600,21600" o:gfxdata="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Ot6U&#10;LdYAAAAJAQAADwAAAAAAAAABACAAAAAiAAAAZHJzL2Rvd25yZXYueG1sUEsBAhQAFAAAAAgAh07i&#10;QNg/348kAgAAJQQAAA4AAAAAAAAAAQAgAAAAJQEAAGRycy9lMm9Eb2MueG1sUEsFBgAAAAAGAAYA&#10;WQEAALsFAAAAAA==&#10;">
                      <v:fill on="f" focussize="0,0"/>
                      <v:stroke on="f"/>
                      <v:imagedata o:title=""/>
                      <o:lock v:ext="edit" aspectratio="f"/>
                      <v:textbox>
                        <w:txbxContent>
                          <w:p w14:paraId="7E4CC6A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v:textbox>
                    </v:shape>
                  </w:pict>
                </mc:Fallback>
              </mc:AlternateContent>
            </w:r>
            <w:r>
              <w:rPr>
                <w:color w:val="auto"/>
                <w:sz w:val="21"/>
              </w:rPr>
              <mc:AlternateContent>
                <mc:Choice Requires="wps">
                  <w:drawing>
                    <wp:anchor distT="0" distB="0" distL="114300" distR="114300" simplePos="0" relativeHeight="251710464" behindDoc="0" locked="0" layoutInCell="1" allowOverlap="1">
                      <wp:simplePos x="0" y="0"/>
                      <wp:positionH relativeFrom="column">
                        <wp:posOffset>2169160</wp:posOffset>
                      </wp:positionH>
                      <wp:positionV relativeFrom="paragraph">
                        <wp:posOffset>233045</wp:posOffset>
                      </wp:positionV>
                      <wp:extent cx="535940" cy="234315"/>
                      <wp:effectExtent l="5080" t="4445" r="11430" b="8890"/>
                      <wp:wrapNone/>
                      <wp:docPr id="339"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3002280"/>
                                <a:ext cx="535940" cy="234315"/>
                              </a:xfrm>
                              <a:prstGeom prst="rect">
                                <a:avLst/>
                              </a:prstGeom>
                              <a:solidFill>
                                <a:schemeClr val="bg1"/>
                              </a:solidFill>
                              <a:ln w="9525">
                                <a:solidFill>
                                  <a:srgbClr val="000000"/>
                                </a:solidFill>
                                <a:miter lim="800000"/>
                              </a:ln>
                            </wps:spPr>
                            <wps:txbx>
                              <w:txbxContent>
                                <w:p w14:paraId="4B059A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稀释用水</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170.8pt;margin-top:18.35pt;height:18.45pt;width:42.2pt;z-index:251710464;v-text-anchor:middle;mso-width-relative:page;mso-height-relative:page;" fillcolor="#FFFFFF [3212]" filled="t" stroked="t" coordsize="21600,21600" o:gfxdata="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yZMM4NcAAAAJAQAADwAAAAAAAAAB&#10;ACAAAAAiAAAAZHJzL2Rvd25yZXYueG1sUEsBAhQAFAAAAAgAh07iQLUMvzZKAgAAigQAAA4AAAAA&#10;AAAAAQAgAAAAJgEAAGRycy9lMm9Eb2MueG1sUEsFBgAAAAAGAAYAWQEAAOIFAAAAAA==&#10;">
                      <v:fill on="t" focussize="0,0"/>
                      <v:stroke color="#000000" miterlimit="8" joinstyle="miter"/>
                      <v:imagedata o:title=""/>
                      <o:lock v:ext="edit" aspectratio="f"/>
                      <v:textbox inset="0mm,0mm,0mm,0mm">
                        <w:txbxContent>
                          <w:p w14:paraId="4B059A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稀释用水</w:t>
                            </w:r>
                          </w:p>
                        </w:txbxContent>
                      </v:textbox>
                    </v:shape>
                  </w:pict>
                </mc:Fallback>
              </mc:AlternateContent>
            </w:r>
          </w:p>
          <w:p w14:paraId="1218060A">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11488" behindDoc="0" locked="0" layoutInCell="1" allowOverlap="1">
                      <wp:simplePos x="0" y="0"/>
                      <wp:positionH relativeFrom="column">
                        <wp:posOffset>2710180</wp:posOffset>
                      </wp:positionH>
                      <wp:positionV relativeFrom="paragraph">
                        <wp:posOffset>81915</wp:posOffset>
                      </wp:positionV>
                      <wp:extent cx="431800" cy="3175"/>
                      <wp:effectExtent l="0" t="24765" r="6350" b="29210"/>
                      <wp:wrapNone/>
                      <wp:docPr id="338" name="直线 13051"/>
                      <wp:cNvGraphicFramePr/>
                      <a:graphic xmlns:a="http://schemas.openxmlformats.org/drawingml/2006/main">
                        <a:graphicData uri="http://schemas.microsoft.com/office/word/2010/wordprocessingShape">
                          <wps:wsp>
                            <wps:cNvCnPr/>
                            <wps:spPr bwMode="auto">
                              <a:xfrm flipV="1">
                                <a:off x="4228465" y="3117850"/>
                                <a:ext cx="431800" cy="317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213.4pt;margin-top:6.45pt;height:0.25pt;width:34pt;z-index:251711488;mso-width-relative:page;mso-height-relative:page;" filled="f" stroked="t" coordsize="21600,21600" o:gfxdata="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WsDY81wAAAAkBAAAPAAAAAAAAAAEAIAAAACIAAABkcnMvZG93bnJldi54bWxQSwECFAAUAAAA&#10;CACHTuJAT0ooeO8BAAC4AwAADgAAAAAAAAABACAAAAAm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71904" behindDoc="0" locked="0" layoutInCell="1" allowOverlap="1">
                      <wp:simplePos x="0" y="0"/>
                      <wp:positionH relativeFrom="column">
                        <wp:posOffset>1635125</wp:posOffset>
                      </wp:positionH>
                      <wp:positionV relativeFrom="paragraph">
                        <wp:posOffset>78105</wp:posOffset>
                      </wp:positionV>
                      <wp:extent cx="539750" cy="635"/>
                      <wp:effectExtent l="0" t="25400" r="12700" b="31115"/>
                      <wp:wrapNone/>
                      <wp:docPr id="59" name="直线 13051"/>
                      <wp:cNvGraphicFramePr/>
                      <a:graphic xmlns:a="http://schemas.openxmlformats.org/drawingml/2006/main">
                        <a:graphicData uri="http://schemas.microsoft.com/office/word/2010/wordprocessingShape">
                          <wps:wsp>
                            <wps:cNvCnPr/>
                            <wps:spPr bwMode="auto">
                              <a:xfrm flipV="1">
                                <a:off x="3153410" y="312674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6.15pt;height:0.05pt;width:42.5pt;z-index:251771904;mso-width-relative:page;mso-height-relative:page;" filled="f" stroked="t" coordsize="21600,21600" o:gfxdata="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GonQZzXAAAACQEAAA8AAAAAAAAAAQAgAAAAIgAAAGRycy9kb3ducmV2LnhtbFBLAQIUABQAAAAI&#10;AIdO4kBPhQ8s7gEAALYDAAAOAAAAAAAAAAEAIAAAACY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2992" behindDoc="0" locked="0" layoutInCell="1" allowOverlap="1">
                      <wp:simplePos x="0" y="0"/>
                      <wp:positionH relativeFrom="column">
                        <wp:posOffset>2493645</wp:posOffset>
                      </wp:positionH>
                      <wp:positionV relativeFrom="paragraph">
                        <wp:posOffset>234315</wp:posOffset>
                      </wp:positionV>
                      <wp:extent cx="353060" cy="212090"/>
                      <wp:effectExtent l="0" t="0" r="0" b="0"/>
                      <wp:wrapNone/>
                      <wp:docPr id="61" name="文本框 13073"/>
                      <wp:cNvGraphicFramePr/>
                      <a:graphic xmlns:a="http://schemas.openxmlformats.org/drawingml/2006/main">
                        <a:graphicData uri="http://schemas.microsoft.com/office/word/2010/wordprocessingShape">
                          <wps:wsp>
                            <wps:cNvSpPr txBox="1">
                              <a:spLocks noChangeArrowheads="1"/>
                            </wps:cNvSpPr>
                            <wps:spPr bwMode="auto">
                              <a:xfrm>
                                <a:off x="4011930" y="3282950"/>
                                <a:ext cx="353060" cy="212090"/>
                              </a:xfrm>
                              <a:prstGeom prst="rect">
                                <a:avLst/>
                              </a:prstGeom>
                              <a:noFill/>
                              <a:ln>
                                <a:noFill/>
                              </a:ln>
                            </wps:spPr>
                            <wps:txbx>
                              <w:txbxContent>
                                <w:p w14:paraId="0487D42B">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6.35pt;margin-top:18.45pt;height:16.7pt;width:27.8pt;z-index:251732992;mso-width-relative:page;mso-height-relative:page;" filled="f" stroked="f" coordsize="21600,21600" o:gfxdata="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4E66jYAAAACQEAAA8AAAAAAAAAAQAgAAAAIgAAAGRycy9kb3ducmV2LnhtbFBLAQIUABQAAAAI&#10;AIdO4kD4hOqjJgIAACUEAAAOAAAAAAAAAAEAIAAAACcBAABkcnMvZTJvRG9jLnhtbFBLBQYAAAAA&#10;BgAGAFkBAAC/BQAAAAA=&#10;">
                      <v:fill on="f" focussize="0,0"/>
                      <v:stroke on="f"/>
                      <v:imagedata o:title=""/>
                      <o:lock v:ext="edit" aspectratio="f"/>
                      <v:textbox>
                        <w:txbxContent>
                          <w:p w14:paraId="0487D42B">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4.8</w:t>
                            </w:r>
                          </w:p>
                        </w:txbxContent>
                      </v:textbox>
                    </v:shape>
                  </w:pict>
                </mc:Fallback>
              </mc:AlternateContent>
            </w:r>
            <w:r>
              <w:rPr>
                <w:color w:val="auto"/>
                <w:sz w:val="21"/>
              </w:rPr>
              <mc:AlternateContent>
                <mc:Choice Requires="wps">
                  <w:drawing>
                    <wp:anchor distT="0" distB="0" distL="114300" distR="114300" simplePos="0" relativeHeight="251704320" behindDoc="0" locked="0" layoutInCell="1" allowOverlap="1">
                      <wp:simplePos x="0" y="0"/>
                      <wp:positionH relativeFrom="column">
                        <wp:posOffset>4327525</wp:posOffset>
                      </wp:positionH>
                      <wp:positionV relativeFrom="paragraph">
                        <wp:posOffset>-914400</wp:posOffset>
                      </wp:positionV>
                      <wp:extent cx="635" cy="2179320"/>
                      <wp:effectExtent l="25400" t="0" r="31115" b="11430"/>
                      <wp:wrapNone/>
                      <wp:docPr id="64" name="直线 13051"/>
                      <wp:cNvGraphicFramePr/>
                      <a:graphic xmlns:a="http://schemas.openxmlformats.org/drawingml/2006/main">
                        <a:graphicData uri="http://schemas.microsoft.com/office/word/2010/wordprocessingShape">
                          <wps:wsp>
                            <wps:cNvCnPr/>
                            <wps:spPr bwMode="auto">
                              <a:xfrm flipH="1">
                                <a:off x="4666615" y="3320415"/>
                                <a:ext cx="635" cy="217932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x;margin-left:340.75pt;margin-top:-72pt;height:171.6pt;width:0.05pt;z-index:251704320;mso-width-relative:page;mso-height-relative:page;" filled="f" stroked="t" coordsize="21600,21600" o:gfxdata="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w0lVtoAAAAMAQAADwAAAAAAAAABACAAAAAiAAAAZHJzL2Rvd25yZXYueG1sUEsBAhQAFAAA&#10;AAgAh07iQFi413XtAQAAtwMAAA4AAAAAAAAAAQAgAAAAKQEAAGRycy9lMm9Eb2MueG1sUEsFBgAA&#10;AAAGAAYAWQEAAIgFAAAAAA==&#10;">
                      <v:fill on="f" focussize="0,0"/>
                      <v:stroke color="#000000" joinstyle="round" endarrow="classic" endarrowwidth="narrow" endarrowlength="short"/>
                      <v:imagedata o:title=""/>
                      <o:lock v:ext="edit" aspectratio="f"/>
                    </v:line>
                  </w:pict>
                </mc:Fallback>
              </mc:AlternateContent>
            </w:r>
          </w:p>
          <w:p w14:paraId="75F9B2C7">
            <w:pPr>
              <w:pStyle w:val="22"/>
              <w:tabs>
                <w:tab w:val="right" w:pos="7525"/>
              </w:tabs>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76000" behindDoc="0" locked="0" layoutInCell="1" allowOverlap="1">
                      <wp:simplePos x="0" y="0"/>
                      <wp:positionH relativeFrom="column">
                        <wp:posOffset>1786890</wp:posOffset>
                      </wp:positionH>
                      <wp:positionV relativeFrom="paragraph">
                        <wp:posOffset>151130</wp:posOffset>
                      </wp:positionV>
                      <wp:extent cx="311785" cy="252095"/>
                      <wp:effectExtent l="0" t="0" r="0" b="0"/>
                      <wp:wrapNone/>
                      <wp:docPr id="68" name="文本框 13067"/>
                      <wp:cNvGraphicFramePr/>
                      <a:graphic xmlns:a="http://schemas.openxmlformats.org/drawingml/2006/main">
                        <a:graphicData uri="http://schemas.microsoft.com/office/word/2010/wordprocessingShape">
                          <wps:wsp>
                            <wps:cNvSpPr txBox="1">
                              <a:spLocks noChangeArrowheads="1"/>
                            </wps:cNvSpPr>
                            <wps:spPr bwMode="auto">
                              <a:xfrm>
                                <a:off x="3305175" y="3479165"/>
                                <a:ext cx="311785" cy="252095"/>
                              </a:xfrm>
                              <a:prstGeom prst="rect">
                                <a:avLst/>
                              </a:prstGeom>
                              <a:noFill/>
                              <a:ln>
                                <a:noFill/>
                              </a:ln>
                            </wps:spPr>
                            <wps:txbx>
                              <w:txbxContent>
                                <w:p w14:paraId="437D462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0.7pt;margin-top:11.9pt;height:19.85pt;width:24.55pt;z-index:251776000;mso-width-relative:page;mso-height-relative:page;" filled="f" stroked="f" coordsize="21600,21600" o:gfxdata="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h&#10;Gq5S1wAAAAkBAAAPAAAAAAAAAAEAIAAAACIAAABkcnMvZG93bnJldi54bWxQSwECFAAUAAAACACH&#10;TuJAghLTGyUCAAAlBAAADgAAAAAAAAABACAAAAAmAQAAZHJzL2Uyb0RvYy54bWxQSwUGAAAAAAYA&#10;BgBZAQAAvQUAAAAA&#10;">
                      <v:fill on="f" focussize="0,0"/>
                      <v:stroke on="f"/>
                      <v:imagedata o:title=""/>
                      <o:lock v:ext="edit" aspectratio="f"/>
                      <v:textbox>
                        <w:txbxContent>
                          <w:p w14:paraId="437D462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24</w:t>
                            </w:r>
                          </w:p>
                        </w:txbxContent>
                      </v:textbox>
                    </v:shape>
                  </w:pict>
                </mc:Fallback>
              </mc:AlternateContent>
            </w:r>
            <w:r>
              <w:rPr>
                <w:color w:val="auto"/>
                <w:sz w:val="21"/>
              </w:rPr>
              <mc:AlternateContent>
                <mc:Choice Requires="wps">
                  <w:drawing>
                    <wp:anchor distT="0" distB="0" distL="114300" distR="114300" simplePos="0" relativeHeight="251738112" behindDoc="0" locked="0" layoutInCell="1" allowOverlap="1">
                      <wp:simplePos x="0" y="0"/>
                      <wp:positionH relativeFrom="column">
                        <wp:posOffset>3232150</wp:posOffset>
                      </wp:positionH>
                      <wp:positionV relativeFrom="paragraph">
                        <wp:posOffset>132715</wp:posOffset>
                      </wp:positionV>
                      <wp:extent cx="390525" cy="259080"/>
                      <wp:effectExtent l="0" t="0" r="0" b="0"/>
                      <wp:wrapNone/>
                      <wp:docPr id="310" name="文本框 13067"/>
                      <wp:cNvGraphicFramePr/>
                      <a:graphic xmlns:a="http://schemas.openxmlformats.org/drawingml/2006/main">
                        <a:graphicData uri="http://schemas.microsoft.com/office/word/2010/wordprocessingShape">
                          <wps:wsp>
                            <wps:cNvSpPr txBox="1">
                              <a:spLocks noChangeArrowheads="1"/>
                            </wps:cNvSpPr>
                            <wps:spPr bwMode="auto">
                              <a:xfrm>
                                <a:off x="4750435" y="3460750"/>
                                <a:ext cx="390525" cy="259080"/>
                              </a:xfrm>
                              <a:prstGeom prst="rect">
                                <a:avLst/>
                              </a:prstGeom>
                              <a:noFill/>
                              <a:ln>
                                <a:noFill/>
                              </a:ln>
                            </wps:spPr>
                            <wps:txbx>
                              <w:txbxContent>
                                <w:p w14:paraId="3374B83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19.2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4.5pt;margin-top:10.45pt;height:20.4pt;width:30.75pt;z-index:251738112;mso-width-relative:page;mso-height-relative:page;" filled="f" stroked="f" coordsize="21600,21600" o:gfxdata="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R/8fxNcAAAAJAQAADwAAAAAAAAABACAAAAAiAAAAZHJzL2Rvd25yZXYueG1sUEsBAhQAFAAAAAgA&#10;h07iQO7BXKomAgAAJgQAAA4AAAAAAAAAAQAgAAAAJgEAAGRycy9lMm9Eb2MueG1sUEsFBgAAAAAG&#10;AAYAWQEAAL4FAAAAAA==&#10;">
                      <v:fill on="f" focussize="0,0"/>
                      <v:stroke on="f"/>
                      <v:imagedata o:title=""/>
                      <o:lock v:ext="edit" aspectratio="f"/>
                      <v:textbox>
                        <w:txbxContent>
                          <w:p w14:paraId="3374B83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19.2</w:t>
                            </w:r>
                          </w:p>
                        </w:txbxContent>
                      </v:textbox>
                    </v:shape>
                  </w:pict>
                </mc:Fallback>
              </mc:AlternateContent>
            </w:r>
            <w:r>
              <w:rPr>
                <w:color w:val="auto"/>
                <w:sz w:val="21"/>
              </w:rPr>
              <mc:AlternateContent>
                <mc:Choice Requires="wps">
                  <w:drawing>
                    <wp:anchor distT="0" distB="0" distL="114300" distR="114300" simplePos="0" relativeHeight="251734016" behindDoc="0" locked="0" layoutInCell="1" allowOverlap="1">
                      <wp:simplePos x="0" y="0"/>
                      <wp:positionH relativeFrom="column">
                        <wp:posOffset>2435860</wp:posOffset>
                      </wp:positionH>
                      <wp:positionV relativeFrom="paragraph">
                        <wp:posOffset>85090</wp:posOffset>
                      </wp:positionV>
                      <wp:extent cx="146685" cy="128270"/>
                      <wp:effectExtent l="3810" t="0" r="1905" b="5080"/>
                      <wp:wrapNone/>
                      <wp:docPr id="73" name="任意多边形 13070"/>
                      <wp:cNvGraphicFramePr/>
                      <a:graphic xmlns:a="http://schemas.openxmlformats.org/drawingml/2006/main">
                        <a:graphicData uri="http://schemas.microsoft.com/office/word/2010/wordprocessingShape">
                          <wps:wsp>
                            <wps:cNvSpPr/>
                            <wps:spPr bwMode="auto">
                              <a:xfrm>
                                <a:off x="3954145" y="341312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8D36834">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6.7pt;height:10.1pt;width:11.55pt;z-index:251734016;mso-width-relative:page;mso-height-relative:page;" filled="f" stroked="t" coordsize="254,256" o:gfxdata="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AMlfLK1AAAAAkBAAAPAAAAAAAAAAEAIAAAACIAAABkcnMvZG93bnJldi54bWxQ&#10;SwECFAAUAAAACACHTuJAEn3xAVEDAACKBwAADgAAAAAAAAABACAAAAAjAQAAZHJzL2Uyb0RvYy54&#10;bWxQSwUGAAAAAAYABgBZAQAA5gY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8D36834">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31968" behindDoc="0" locked="0" layoutInCell="1" allowOverlap="1">
                      <wp:simplePos x="0" y="0"/>
                      <wp:positionH relativeFrom="column">
                        <wp:posOffset>2169160</wp:posOffset>
                      </wp:positionH>
                      <wp:positionV relativeFrom="paragraph">
                        <wp:posOffset>212725</wp:posOffset>
                      </wp:positionV>
                      <wp:extent cx="720090" cy="259080"/>
                      <wp:effectExtent l="4445" t="4445" r="18415" b="22225"/>
                      <wp:wrapNone/>
                      <wp:docPr id="74"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3540760"/>
                                <a:ext cx="720090" cy="259080"/>
                              </a:xfrm>
                              <a:prstGeom prst="rect">
                                <a:avLst/>
                              </a:prstGeom>
                              <a:noFill/>
                              <a:ln w="9525">
                                <a:solidFill>
                                  <a:srgbClr val="000000"/>
                                </a:solidFill>
                                <a:miter lim="800000"/>
                              </a:ln>
                            </wps:spPr>
                            <wps:txbx>
                              <w:txbxContent>
                                <w:p w14:paraId="4A6FB748">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器皿纯水清洗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16.75pt;height:20.4pt;width:56.7pt;z-index:251731968;mso-width-relative:page;mso-height-relative:page;" filled="f" stroked="t" coordsize="21600,21600" o:gfxdata="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DaUYo2gAAAAkBAAAPAAAAAAAAAAEAIAAA&#10;ACIAAABkcnMvZG93bnJldi54bWxQSwECFAAUAAAACACHTuJASYpMaEMCAABeBAAADgAAAAAAAAAB&#10;ACAAAAApAQAAZHJzL2Uyb0RvYy54bWxQSwUGAAAAAAYABgBZAQAA3gUAAAAA&#10;">
                      <v:fill on="f" focussize="0,0"/>
                      <v:stroke color="#000000" miterlimit="8" joinstyle="miter"/>
                      <v:imagedata o:title=""/>
                      <o:lock v:ext="edit" aspectratio="f"/>
                      <v:textbox inset="0mm,0mm,0mm,0mm">
                        <w:txbxContent>
                          <w:p w14:paraId="4A6FB748">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器皿纯水清洗</w:t>
                            </w:r>
                          </w:p>
                        </w:txbxContent>
                      </v:textbox>
                    </v:shape>
                  </w:pict>
                </mc:Fallback>
              </mc:AlternateContent>
            </w:r>
            <w:r>
              <w:rPr>
                <w:rFonts w:hint="eastAsia" w:ascii="Times New Roman" w:hAnsi="Times New Roman" w:cs="Times New Roman"/>
                <w:b/>
                <w:color w:val="auto"/>
                <w:sz w:val="21"/>
                <w:szCs w:val="21"/>
                <w:highlight w:val="none"/>
                <w:lang w:val="en-US" w:eastAsia="zh-CN"/>
              </w:rPr>
              <w:tab/>
            </w:r>
          </w:p>
          <w:p w14:paraId="0BC871F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83168" behindDoc="0" locked="0" layoutInCell="1" allowOverlap="1">
                      <wp:simplePos x="0" y="0"/>
                      <wp:positionH relativeFrom="column">
                        <wp:posOffset>2470785</wp:posOffset>
                      </wp:positionH>
                      <wp:positionV relativeFrom="paragraph">
                        <wp:posOffset>170815</wp:posOffset>
                      </wp:positionV>
                      <wp:extent cx="349250" cy="203200"/>
                      <wp:effectExtent l="0" t="0" r="0" b="0"/>
                      <wp:wrapNone/>
                      <wp:docPr id="76" name="文本框 13067"/>
                      <wp:cNvGraphicFramePr/>
                      <a:graphic xmlns:a="http://schemas.openxmlformats.org/drawingml/2006/main">
                        <a:graphicData uri="http://schemas.microsoft.com/office/word/2010/wordprocessingShape">
                          <wps:wsp>
                            <wps:cNvSpPr txBox="1">
                              <a:spLocks noChangeArrowheads="1"/>
                            </wps:cNvSpPr>
                            <wps:spPr bwMode="auto">
                              <a:xfrm>
                                <a:off x="3989070" y="3778250"/>
                                <a:ext cx="349250" cy="203200"/>
                              </a:xfrm>
                              <a:prstGeom prst="rect">
                                <a:avLst/>
                              </a:prstGeom>
                              <a:noFill/>
                              <a:ln>
                                <a:noFill/>
                              </a:ln>
                            </wps:spPr>
                            <wps:txbx>
                              <w:txbxContent>
                                <w:p w14:paraId="16B8991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18</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94.55pt;margin-top:13.45pt;height:16pt;width:27.5pt;z-index:251783168;mso-width-relative:page;mso-height-relative:page;" filled="f" stroked="f" coordsize="21600,21600" o:gfxdata="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Q6&#10;HVfXAAAACQEAAA8AAAAAAAAAAQAgAAAAIgAAAGRycy9kb3ducmV2LnhtbFBLAQIUABQAAAAIAIdO&#10;4kCaVZmCJAIAACUEAAAOAAAAAAAAAAEAIAAAACYBAABkcnMvZTJvRG9jLnhtbFBLBQYAAAAABgAG&#10;AFkBAAC8BQAAAAA=&#10;">
                      <v:fill on="f" focussize="0,0"/>
                      <v:stroke on="f"/>
                      <v:imagedata o:title=""/>
                      <o:lock v:ext="edit" aspectratio="f"/>
                      <v:textbox>
                        <w:txbxContent>
                          <w:p w14:paraId="16B8991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18</w:t>
                            </w:r>
                          </w:p>
                        </w:txbxContent>
                      </v:textbox>
                    </v:shape>
                  </w:pict>
                </mc:Fallback>
              </mc:AlternateContent>
            </w:r>
            <w:r>
              <w:rPr>
                <w:color w:val="auto"/>
                <w:sz w:val="21"/>
              </w:rPr>
              <mc:AlternateContent>
                <mc:Choice Requires="wps">
                  <w:drawing>
                    <wp:anchor distT="0" distB="0" distL="114300" distR="114300" simplePos="0" relativeHeight="251781120" behindDoc="0" locked="0" layoutInCell="1" allowOverlap="1">
                      <wp:simplePos x="0" y="0"/>
                      <wp:positionH relativeFrom="column">
                        <wp:posOffset>2435860</wp:posOffset>
                      </wp:positionH>
                      <wp:positionV relativeFrom="paragraph">
                        <wp:posOffset>271780</wp:posOffset>
                      </wp:positionV>
                      <wp:extent cx="146685" cy="128270"/>
                      <wp:effectExtent l="3810" t="0" r="1905" b="5080"/>
                      <wp:wrapNone/>
                      <wp:docPr id="77" name="任意多边形 13070"/>
                      <wp:cNvGraphicFramePr/>
                      <a:graphic xmlns:a="http://schemas.openxmlformats.org/drawingml/2006/main">
                        <a:graphicData uri="http://schemas.microsoft.com/office/word/2010/wordprocessingShape">
                          <wps:wsp>
                            <wps:cNvSpPr/>
                            <wps:spPr bwMode="auto">
                              <a:xfrm>
                                <a:off x="3954145" y="387921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5214E1A">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21.4pt;height:10.1pt;width:11.55pt;z-index:251781120;mso-width-relative:page;mso-height-relative:page;" filled="f" stroked="t" coordsize="254,256" o:gfxdata="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DXnNcTWAAAACQEAAA8AAAAAAAAAAQAgAAAAIgAAAGRycy9kb3ducmV2Lnht&#10;bFBLAQIUABQAAAAIAIdO4kAPPA4zUQMAAIoHAAAOAAAAAAAAAAEAIAAAACUBAABkcnMvZTJvRG9j&#10;LnhtbFBLBQYAAAAABgAGAFkBAADo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5214E1A">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73952" behindDoc="0" locked="0" layoutInCell="1" allowOverlap="1">
                      <wp:simplePos x="0" y="0"/>
                      <wp:positionH relativeFrom="column">
                        <wp:posOffset>1635125</wp:posOffset>
                      </wp:positionH>
                      <wp:positionV relativeFrom="paragraph">
                        <wp:posOffset>62865</wp:posOffset>
                      </wp:positionV>
                      <wp:extent cx="539750" cy="635"/>
                      <wp:effectExtent l="0" t="25400" r="12700" b="31115"/>
                      <wp:wrapNone/>
                      <wp:docPr id="161" name="直线 13051"/>
                      <wp:cNvGraphicFramePr/>
                      <a:graphic xmlns:a="http://schemas.openxmlformats.org/drawingml/2006/main">
                        <a:graphicData uri="http://schemas.microsoft.com/office/word/2010/wordprocessingShape">
                          <wps:wsp>
                            <wps:cNvCnPr/>
                            <wps:spPr bwMode="auto">
                              <a:xfrm flipV="1">
                                <a:off x="3153410" y="367030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4.95pt;height:0.05pt;width:42.5pt;z-index:251773952;mso-width-relative:page;mso-height-relative:page;" filled="f" stroked="t" coordsize="21600,21600" o:gfxdata="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uOJwLWAAAACAEAAA8AAAAAAAAAAQAgAAAAIgAAAGRycy9kb3ducmV2LnhtbFBLAQIUABQAAAAI&#10;AIdO4kDu++ta7wEAALcDAAAOAAAAAAAAAAEAIAAAACU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5040" behindDoc="0" locked="0" layoutInCell="1" allowOverlap="1">
                      <wp:simplePos x="0" y="0"/>
                      <wp:positionH relativeFrom="column">
                        <wp:posOffset>2897505</wp:posOffset>
                      </wp:positionH>
                      <wp:positionV relativeFrom="paragraph">
                        <wp:posOffset>61595</wp:posOffset>
                      </wp:positionV>
                      <wp:extent cx="1440180" cy="2540"/>
                      <wp:effectExtent l="0" t="22860" r="7620" b="31750"/>
                      <wp:wrapNone/>
                      <wp:docPr id="80" name="直线 13051"/>
                      <wp:cNvGraphicFramePr/>
                      <a:graphic xmlns:a="http://schemas.openxmlformats.org/drawingml/2006/main">
                        <a:graphicData uri="http://schemas.microsoft.com/office/word/2010/wordprocessingShape">
                          <wps:wsp>
                            <wps:cNvCnPr/>
                            <wps:spPr bwMode="auto">
                              <a:xfrm>
                                <a:off x="4415790" y="3669030"/>
                                <a:ext cx="1440180"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28.15pt;margin-top:4.85pt;height:0.2pt;width:113.4pt;z-index:251735040;mso-width-relative:page;mso-height-relative:page;" filled="f" stroked="t" coordsize="21600,21600" o:gfxdata="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AvpaqNoAAAAIAQAADwAAAAAAAAABACAAAAAiAAAAZHJzL2Rvd25yZXYueG1sUEsBAhQAFAAAAAgA&#10;h07iQJ3YjMDqAQAArgMAAA4AAAAAAAAAAQAgAAAAKQEAAGRycy9lMm9Eb2MueG1sUEsFBgAAAAAG&#10;AAYAWQEAAIUFAAAAAA==&#10;">
                      <v:fill on="f" focussize="0,0"/>
                      <v:stroke color="#000000" joinstyle="round" endarrow="classic" endarrowwidth="narrow" endarrowlength="short"/>
                      <v:imagedata o:title=""/>
                      <o:lock v:ext="edit" aspectratio="f"/>
                    </v:line>
                  </w:pict>
                </mc:Fallback>
              </mc:AlternateContent>
            </w:r>
          </w:p>
          <w:p w14:paraId="74AF79EE">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697152" behindDoc="0" locked="0" layoutInCell="1" allowOverlap="1">
                      <wp:simplePos x="0" y="0"/>
                      <wp:positionH relativeFrom="column">
                        <wp:posOffset>18415</wp:posOffset>
                      </wp:positionH>
                      <wp:positionV relativeFrom="paragraph">
                        <wp:posOffset>142240</wp:posOffset>
                      </wp:positionV>
                      <wp:extent cx="440690" cy="259080"/>
                      <wp:effectExtent l="0" t="0" r="0" b="0"/>
                      <wp:wrapNone/>
                      <wp:docPr id="88" name="文本框 13067"/>
                      <wp:cNvGraphicFramePr/>
                      <a:graphic xmlns:a="http://schemas.openxmlformats.org/drawingml/2006/main">
                        <a:graphicData uri="http://schemas.microsoft.com/office/word/2010/wordprocessingShape">
                          <wps:wsp>
                            <wps:cNvSpPr txBox="1">
                              <a:spLocks noChangeArrowheads="1"/>
                            </wps:cNvSpPr>
                            <wps:spPr bwMode="auto">
                              <a:xfrm>
                                <a:off x="1529715" y="3949700"/>
                                <a:ext cx="440690" cy="259080"/>
                              </a:xfrm>
                              <a:prstGeom prst="rect">
                                <a:avLst/>
                              </a:prstGeom>
                              <a:noFill/>
                              <a:ln>
                                <a:noFill/>
                              </a:ln>
                            </wps:spPr>
                            <wps:txbx>
                              <w:txbxContent>
                                <w:p w14:paraId="69DAE038">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806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5pt;margin-top:11.2pt;height:20.4pt;width:34.7pt;z-index:251697152;mso-width-relative:page;mso-height-relative:page;" filled="f" stroked="f" coordsize="21600,21600" o:gfxdata="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wi0G&#10;DdQAAAAGAQAADwAAAAAAAAABACAAAAAiAAAAZHJzL2Rvd25yZXYueG1sUEsBAhQAFAAAAAgAh07i&#10;QGA5jLAmAgAAJQQAAA4AAAAAAAAAAQAgAAAAIwEAAGRycy9lMm9Eb2MueG1sUEsFBgAAAAAGAAYA&#10;WQEAALsFAAAAAA==&#10;">
                      <v:fill on="f" focussize="0,0"/>
                      <v:stroke on="f"/>
                      <v:imagedata o:title=""/>
                      <o:lock v:ext="edit" aspectratio="f"/>
                      <v:textbox>
                        <w:txbxContent>
                          <w:p w14:paraId="69DAE038">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806</w:t>
                            </w:r>
                          </w:p>
                        </w:txbxContent>
                      </v:textbox>
                    </v:shape>
                  </w:pict>
                </mc:Fallback>
              </mc:AlternateContent>
            </w:r>
            <w:r>
              <w:rPr>
                <w:color w:val="auto"/>
                <w:sz w:val="21"/>
              </w:rPr>
              <mc:AlternateContent>
                <mc:Choice Requires="wpg">
                  <w:drawing>
                    <wp:anchor distT="0" distB="0" distL="114300" distR="114300" simplePos="0" relativeHeight="251801600" behindDoc="0" locked="0" layoutInCell="1" allowOverlap="1">
                      <wp:simplePos x="0" y="0"/>
                      <wp:positionH relativeFrom="column">
                        <wp:posOffset>1586865</wp:posOffset>
                      </wp:positionH>
                      <wp:positionV relativeFrom="paragraph">
                        <wp:posOffset>222250</wp:posOffset>
                      </wp:positionV>
                      <wp:extent cx="108585" cy="79375"/>
                      <wp:effectExtent l="4445" t="4445" r="11430" b="20320"/>
                      <wp:wrapNone/>
                      <wp:docPr id="81" name="组合 81"/>
                      <wp:cNvGraphicFramePr/>
                      <a:graphic xmlns:a="http://schemas.openxmlformats.org/drawingml/2006/main">
                        <a:graphicData uri="http://schemas.microsoft.com/office/word/2010/wordprocessingGroup">
                          <wpg:wgp>
                            <wpg:cNvGrpSpPr/>
                            <wpg:grpSpPr>
                              <a:xfrm rot="5400000">
                                <a:off x="3092450" y="4109085"/>
                                <a:ext cx="108585" cy="79375"/>
                                <a:chOff x="11872" y="554945"/>
                                <a:chExt cx="171" cy="125"/>
                              </a:xfrm>
                            </wpg:grpSpPr>
                            <wps:wsp>
                              <wps:cNvPr id="82" name="椭圆 5"/>
                              <wps:cNvSpPr/>
                              <wps:spPr>
                                <a:xfrm>
                                  <a:off x="11872" y="554945"/>
                                  <a:ext cx="125" cy="125"/>
                                </a:xfrm>
                                <a:prstGeom prst="ellipse">
                                  <a:avLst/>
                                </a:prstGeom>
                                <a:noFill/>
                                <a:ln w="9525">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3" name="矩形 9"/>
                              <wps:cNvSpPr/>
                              <wps:spPr>
                                <a:xfrm>
                                  <a:off x="11930" y="554952"/>
                                  <a:ext cx="113" cy="113"/>
                                </a:xfrm>
                                <a:prstGeom prst="rect">
                                  <a:avLst/>
                                </a:prstGeom>
                                <a:solidFill>
                                  <a:schemeClr val="bg1"/>
                                </a:solidFill>
                                <a:ln w="12700" cmpd="sng">
                                  <a:solidFill>
                                    <a:schemeClr val="bg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24.95pt;margin-top:17.5pt;height:6.25pt;width:8.55pt;rotation:5898240f;z-index:251801600;mso-width-relative:page;mso-height-relative:page;" coordorigin="11872,554945" coordsize="171,125" o:gfxdata="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">
                      <o:lock v:ext="edit" aspectratio="f"/>
                      <v:shape id="椭圆 5" o:spid="_x0000_s1026" o:spt="3" type="#_x0000_t3" style="position:absolute;left:11872;top:554945;height:125;width:125;v-text-anchor:middle;" filled="f" stroked="t" coordsize="21600,21600" o:gfxdata="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NQ4mvQAA&#10;ANsAAAAPAAAAAAAAAAEAIAAAACIAAABkcnMvZG93bnJldi54bWxQSwECFAAUAAAACACHTuJAMy8F&#10;njsAAAA5AAAAEAAAAAAAAAABACAAAAAMAQAAZHJzL3NoYXBleG1sLnhtbFBLBQYAAAAABgAGAFsB&#10;AAC2AwAAAAA=&#10;">
                        <v:fill on="f" focussize="0,0"/>
                        <v:stroke color="#000000 [3213]" joinstyle="round"/>
                        <v:imagedata o:title=""/>
                        <o:lock v:ext="edit" aspectratio="f"/>
                      </v:shape>
                      <v:rect id="矩形 9" o:spid="_x0000_s1026" o:spt="1" style="position:absolute;left:11930;top:554952;height:113;width:113;v-text-anchor:middle;" fillcolor="#FFFFFF [3212]" filled="t" stroked="t" coordsize="21600,21600" o:gfxdata="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GPamvQAA&#10;ANsAAAAPAAAAAAAAAAEAIAAAACIAAABkcnMvZG93bnJldi54bWxQSwECFAAUAAAACACHTuJAMy8F&#10;njsAAAA5AAAAEAAAAAAAAAABACAAAAAMAQAAZHJzL3NoYXBleG1sLnhtbFBLBQYAAAAABgAGAFsB&#10;AAC2AwAAAAA=&#10;">
                        <v:fill on="t" focussize="0,0"/>
                        <v:stroke weight="1pt" color="#FFFFFF [3212]" joinstyle="round"/>
                        <v:imagedata o:title=""/>
                        <o:lock v:ext="edit" aspectratio="f"/>
                      </v:rect>
                    </v:group>
                  </w:pict>
                </mc:Fallback>
              </mc:AlternateContent>
            </w:r>
            <w:r>
              <w:rPr>
                <w:color w:val="auto"/>
                <w:sz w:val="21"/>
              </w:rPr>
              <mc:AlternateContent>
                <mc:Choice Requires="wps">
                  <w:drawing>
                    <wp:anchor distT="0" distB="0" distL="114300" distR="114300" simplePos="0" relativeHeight="251792384" behindDoc="0" locked="0" layoutInCell="1" allowOverlap="1">
                      <wp:simplePos x="0" y="0"/>
                      <wp:positionH relativeFrom="column">
                        <wp:posOffset>4294505</wp:posOffset>
                      </wp:positionH>
                      <wp:positionV relativeFrom="paragraph">
                        <wp:posOffset>187960</wp:posOffset>
                      </wp:positionV>
                      <wp:extent cx="514985" cy="212090"/>
                      <wp:effectExtent l="0" t="0" r="0" b="0"/>
                      <wp:wrapNone/>
                      <wp:docPr id="85" name="文本框 13067"/>
                      <wp:cNvGraphicFramePr/>
                      <a:graphic xmlns:a="http://schemas.openxmlformats.org/drawingml/2006/main">
                        <a:graphicData uri="http://schemas.microsoft.com/office/word/2010/wordprocessingShape">
                          <wps:wsp>
                            <wps:cNvSpPr txBox="1">
                              <a:spLocks noChangeArrowheads="1"/>
                            </wps:cNvSpPr>
                            <wps:spPr bwMode="auto">
                              <a:xfrm>
                                <a:off x="5779770" y="4334510"/>
                                <a:ext cx="514985" cy="212090"/>
                              </a:xfrm>
                              <a:prstGeom prst="rect">
                                <a:avLst/>
                              </a:prstGeom>
                              <a:noFill/>
                              <a:ln>
                                <a:noFill/>
                              </a:ln>
                            </wps:spPr>
                            <wps:txbx>
                              <w:txbxContent>
                                <w:p w14:paraId="35F21BE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1.494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338.15pt;margin-top:14.8pt;height:16.7pt;width:40.55pt;z-index:251792384;mso-width-relative:page;mso-height-relative:page;" filled="f" stroked="f" coordsize="21600,21600" o:gfxdata="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c&#10;o/pB1wAAAAkBAAAPAAAAAAAAAAEAIAAAACIAAABkcnMvZG93bnJldi54bWxQSwECFAAUAAAACACH&#10;TuJAnhenCSUCAAAlBAAADgAAAAAAAAABACAAAAAmAQAAZHJzL2Uyb0RvYy54bWxQSwUGAAAAAAYA&#10;BgBZAQAAvQUAAAAA&#10;">
                      <v:fill on="f" focussize="0,0"/>
                      <v:stroke on="f"/>
                      <v:imagedata o:title=""/>
                      <o:lock v:ext="edit" aspectratio="f"/>
                      <v:textbox>
                        <w:txbxContent>
                          <w:p w14:paraId="35F21BE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1.494</w:t>
                            </w:r>
                          </w:p>
                        </w:txbxContent>
                      </v:textbox>
                    </v:shape>
                  </w:pict>
                </mc:Fallback>
              </mc:AlternateContent>
            </w:r>
            <w:r>
              <w:rPr>
                <w:color w:val="auto"/>
                <w:sz w:val="21"/>
              </w:rPr>
              <mc:AlternateContent>
                <mc:Choice Requires="wps">
                  <w:drawing>
                    <wp:anchor distT="0" distB="0" distL="114300" distR="114300" simplePos="0" relativeHeight="251782144" behindDoc="0" locked="0" layoutInCell="1" allowOverlap="1">
                      <wp:simplePos x="0" y="0"/>
                      <wp:positionH relativeFrom="column">
                        <wp:posOffset>1043305</wp:posOffset>
                      </wp:positionH>
                      <wp:positionV relativeFrom="paragraph">
                        <wp:posOffset>53975</wp:posOffset>
                      </wp:positionV>
                      <wp:extent cx="451485" cy="259080"/>
                      <wp:effectExtent l="0" t="0" r="0" b="0"/>
                      <wp:wrapNone/>
                      <wp:docPr id="86" name="文本框 13067"/>
                      <wp:cNvGraphicFramePr/>
                      <a:graphic xmlns:a="http://schemas.openxmlformats.org/drawingml/2006/main">
                        <a:graphicData uri="http://schemas.microsoft.com/office/word/2010/wordprocessingShape">
                          <wps:wsp>
                            <wps:cNvSpPr txBox="1">
                              <a:spLocks noChangeArrowheads="1"/>
                            </wps:cNvSpPr>
                            <wps:spPr bwMode="auto">
                              <a:xfrm>
                                <a:off x="2708275" y="3939540"/>
                                <a:ext cx="451485" cy="259080"/>
                              </a:xfrm>
                              <a:prstGeom prst="rect">
                                <a:avLst/>
                              </a:prstGeom>
                              <a:noFill/>
                              <a:ln>
                                <a:noFill/>
                              </a:ln>
                            </wps:spPr>
                            <wps:txbx>
                              <w:txbxContent>
                                <w:p w14:paraId="268DC47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90</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82.15pt;margin-top:4.25pt;height:20.4pt;width:35.55pt;z-index:251782144;mso-width-relative:page;mso-height-relative:page;" filled="f" stroked="f" coordsize="21600,21600" o:gfxdata="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l&#10;NH7X1gAAAAgBAAAPAAAAAAAAAAEAIAAAACIAAABkcnMvZG93bnJldi54bWxQSwECFAAUAAAACACH&#10;TuJAuSPQCyYCAAAlBAAADgAAAAAAAAABACAAAAAlAQAAZHJzL2Uyb0RvYy54bWxQSwUGAAAAAAYA&#10;BgBZAQAAvQUAAAAA&#10;">
                      <v:fill on="f" focussize="0,0"/>
                      <v:stroke on="f"/>
                      <v:imagedata o:title=""/>
                      <o:lock v:ext="edit" aspectratio="f"/>
                      <v:textbox>
                        <w:txbxContent>
                          <w:p w14:paraId="268DC473">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90</w:t>
                            </w:r>
                          </w:p>
                        </w:txbxContent>
                      </v:textbox>
                    </v:shape>
                  </w:pict>
                </mc:Fallback>
              </mc:AlternateContent>
            </w:r>
            <w:r>
              <w:rPr>
                <w:color w:val="auto"/>
                <w:sz w:val="21"/>
              </w:rPr>
              <mc:AlternateContent>
                <mc:Choice Requires="wps">
                  <w:drawing>
                    <wp:anchor distT="0" distB="0" distL="114300" distR="114300" simplePos="0" relativeHeight="251794432" behindDoc="0" locked="0" layoutInCell="1" allowOverlap="1">
                      <wp:simplePos x="0" y="0"/>
                      <wp:positionH relativeFrom="column">
                        <wp:posOffset>507365</wp:posOffset>
                      </wp:positionH>
                      <wp:positionV relativeFrom="paragraph">
                        <wp:posOffset>248285</wp:posOffset>
                      </wp:positionV>
                      <wp:extent cx="1656080" cy="635"/>
                      <wp:effectExtent l="0" t="24765" r="1270" b="31750"/>
                      <wp:wrapNone/>
                      <wp:docPr id="90" name="直线 13051"/>
                      <wp:cNvGraphicFramePr/>
                      <a:graphic xmlns:a="http://schemas.openxmlformats.org/drawingml/2006/main">
                        <a:graphicData uri="http://schemas.microsoft.com/office/word/2010/wordprocessingShape">
                          <wps:wsp>
                            <wps:cNvCnPr/>
                            <wps:spPr bwMode="auto">
                              <a:xfrm>
                                <a:off x="2025650" y="413512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9.95pt;margin-top:19.55pt;height:0.05pt;width:130.4pt;z-index:251794432;mso-width-relative:page;mso-height-relative:page;" filled="f" stroked="t" coordsize="21600,21600" o:gfxdata="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FoO3W/Z&#10;AAAACAEAAA8AAAAAAAAAAQAgAAAAIgAAAGRycy9kb3ducmV2LnhtbFBLAQIUABQAAAAIAIdO4kCO&#10;oMjW5gEAAK0DAAAOAAAAAAAAAAEAIAAAACgBAABkcnMvZTJvRG9jLnhtbFBLBQYAAAAABgAGAFkB&#10;AACA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85216" behindDoc="0" locked="0" layoutInCell="1" allowOverlap="1">
                      <wp:simplePos x="0" y="0"/>
                      <wp:positionH relativeFrom="column">
                        <wp:posOffset>3241040</wp:posOffset>
                      </wp:positionH>
                      <wp:positionV relativeFrom="paragraph">
                        <wp:posOffset>62865</wp:posOffset>
                      </wp:positionV>
                      <wp:extent cx="372745" cy="259080"/>
                      <wp:effectExtent l="0" t="0" r="0" b="0"/>
                      <wp:wrapNone/>
                      <wp:docPr id="300" name="文本框 13067"/>
                      <wp:cNvGraphicFramePr/>
                      <a:graphic xmlns:a="http://schemas.openxmlformats.org/drawingml/2006/main">
                        <a:graphicData uri="http://schemas.microsoft.com/office/word/2010/wordprocessingShape">
                          <wps:wsp>
                            <wps:cNvSpPr txBox="1">
                              <a:spLocks noChangeArrowheads="1"/>
                            </wps:cNvSpPr>
                            <wps:spPr bwMode="auto">
                              <a:xfrm>
                                <a:off x="4759325" y="3949700"/>
                                <a:ext cx="372745" cy="259080"/>
                              </a:xfrm>
                              <a:prstGeom prst="rect">
                                <a:avLst/>
                              </a:prstGeom>
                              <a:noFill/>
                              <a:ln>
                                <a:noFill/>
                              </a:ln>
                            </wps:spPr>
                            <wps:txbx>
                              <w:txbxContent>
                                <w:p w14:paraId="21BB1F67">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5.2pt;margin-top:4.95pt;height:20.4pt;width:29.35pt;z-index:251785216;mso-width-relative:page;mso-height-relative:page;" filled="f" stroked="f" coordsize="21600,21600" o:gfxdata="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d&#10;TXNK1QAAAAgBAAAPAAAAAAAAAAEAIAAAACIAAABkcnMvZG93bnJldi54bWxQSwECFAAUAAAACACH&#10;TuJA0yYNlicCAAAmBAAADgAAAAAAAAABACAAAAAkAQAAZHJzL2Uyb0RvYy54bWxQSwUGAAAAAAYA&#10;BgBZAQAAvQUAAAAA&#10;">
                      <v:fill on="f" focussize="0,0"/>
                      <v:stroke on="f"/>
                      <v:imagedata o:title=""/>
                      <o:lock v:ext="edit" aspectratio="f"/>
                      <v:textbox>
                        <w:txbxContent>
                          <w:p w14:paraId="21BB1F67">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72</w:t>
                            </w:r>
                          </w:p>
                        </w:txbxContent>
                      </v:textbox>
                    </v:shape>
                  </w:pict>
                </mc:Fallback>
              </mc:AlternateContent>
            </w:r>
            <w:r>
              <w:rPr>
                <w:color w:val="auto"/>
                <w:sz w:val="21"/>
              </w:rPr>
              <mc:AlternateContent>
                <mc:Choice Requires="wps">
                  <w:drawing>
                    <wp:anchor distT="0" distB="0" distL="114300" distR="114300" simplePos="0" relativeHeight="251784192" behindDoc="0" locked="0" layoutInCell="1" allowOverlap="1">
                      <wp:simplePos x="0" y="0"/>
                      <wp:positionH relativeFrom="column">
                        <wp:posOffset>3029585</wp:posOffset>
                      </wp:positionH>
                      <wp:positionV relativeFrom="paragraph">
                        <wp:posOffset>247015</wp:posOffset>
                      </wp:positionV>
                      <wp:extent cx="1296035" cy="2540"/>
                      <wp:effectExtent l="0" t="22860" r="18415" b="31750"/>
                      <wp:wrapNone/>
                      <wp:docPr id="91" name="直线 13051"/>
                      <wp:cNvGraphicFramePr/>
                      <a:graphic xmlns:a="http://schemas.openxmlformats.org/drawingml/2006/main">
                        <a:graphicData uri="http://schemas.microsoft.com/office/word/2010/wordprocessingShape">
                          <wps:wsp>
                            <wps:cNvCnPr/>
                            <wps:spPr bwMode="auto">
                              <a:xfrm>
                                <a:off x="4547870" y="4133850"/>
                                <a:ext cx="129603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38.55pt;margin-top:19.45pt;height:0.2pt;width:102.05pt;z-index:251784192;mso-width-relative:page;mso-height-relative:page;" filled="f" stroked="t" coordsize="21600,21600" o:gfxdata="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H1viUbbAAAACQEAAA8AAAAAAAAAAQAgAAAAIgAAAGRycy9kb3ducmV2LnhtbFBLAQIUABQAAAAI&#10;AIdO4kBLk2196gEAAK4DAAAOAAAAAAAAAAEAIAAAACo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80096" behindDoc="0" locked="0" layoutInCell="1" allowOverlap="1">
                      <wp:simplePos x="0" y="0"/>
                      <wp:positionH relativeFrom="column">
                        <wp:posOffset>2169160</wp:posOffset>
                      </wp:positionH>
                      <wp:positionV relativeFrom="paragraph">
                        <wp:posOffset>126365</wp:posOffset>
                      </wp:positionV>
                      <wp:extent cx="850265" cy="259080"/>
                      <wp:effectExtent l="4445" t="4445" r="21590" b="22225"/>
                      <wp:wrapNone/>
                      <wp:docPr id="105"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4013200"/>
                                <a:ext cx="850265" cy="259080"/>
                              </a:xfrm>
                              <a:prstGeom prst="rect">
                                <a:avLst/>
                              </a:prstGeom>
                              <a:noFill/>
                              <a:ln w="9525">
                                <a:solidFill>
                                  <a:srgbClr val="000000"/>
                                </a:solidFill>
                                <a:miter lim="800000"/>
                              </a:ln>
                            </wps:spPr>
                            <wps:txbx>
                              <w:txbxContent>
                                <w:p w14:paraId="1C4B1FB5">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器皿后续清洗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9.95pt;height:20.4pt;width:66.95pt;z-index:251780096;mso-width-relative:page;mso-height-relative:page;" filled="f" stroked="t" coordsize="21600,21600" o:gfxdata="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F198V9oAAAAJAQAADwAAAAAAAAABACAA&#10;AAAiAAAAZHJzL2Rvd25yZXYueG1sUEsBAhQAFAAAAAgAh07iQNqAIBJEAgAAXwQAAA4AAAAAAAAA&#10;AQAgAAAAKQEAAGRycy9lMm9Eb2MueG1sUEsFBgAAAAAGAAYAWQEAAN8FAAAAAA==&#10;">
                      <v:fill on="f" focussize="0,0"/>
                      <v:stroke color="#000000" miterlimit="8" joinstyle="miter"/>
                      <v:imagedata o:title=""/>
                      <o:lock v:ext="edit" aspectratio="f"/>
                      <v:textbox inset="0mm,0mm,0mm,0mm">
                        <w:txbxContent>
                          <w:p w14:paraId="1C4B1FB5">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器皿后续清洗</w:t>
                            </w:r>
                          </w:p>
                        </w:txbxContent>
                      </v:textbox>
                    </v:shape>
                  </w:pict>
                </mc:Fallback>
              </mc:AlternateContent>
            </w:r>
          </w:p>
          <w:p w14:paraId="50CBFD47">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03296" behindDoc="0" locked="0" layoutInCell="1" allowOverlap="1">
                      <wp:simplePos x="0" y="0"/>
                      <wp:positionH relativeFrom="column">
                        <wp:posOffset>-1270</wp:posOffset>
                      </wp:positionH>
                      <wp:positionV relativeFrom="paragraph">
                        <wp:posOffset>57785</wp:posOffset>
                      </wp:positionV>
                      <wp:extent cx="532765" cy="259080"/>
                      <wp:effectExtent l="0" t="0" r="0" b="0"/>
                      <wp:wrapNone/>
                      <wp:docPr id="345" name="文本框 13067"/>
                      <wp:cNvGraphicFramePr/>
                      <a:graphic xmlns:a="http://schemas.openxmlformats.org/drawingml/2006/main">
                        <a:graphicData uri="http://schemas.microsoft.com/office/word/2010/wordprocessingShape">
                          <wps:wsp>
                            <wps:cNvSpPr txBox="1">
                              <a:spLocks noChangeArrowheads="1"/>
                            </wps:cNvSpPr>
                            <wps:spPr bwMode="auto">
                              <a:xfrm>
                                <a:off x="1523365" y="4217035"/>
                                <a:ext cx="532765" cy="259080"/>
                              </a:xfrm>
                              <a:prstGeom prst="rect">
                                <a:avLst/>
                              </a:prstGeom>
                              <a:noFill/>
                              <a:ln>
                                <a:noFill/>
                              </a:ln>
                            </wps:spPr>
                            <wps:txbx>
                              <w:txbxContent>
                                <w:p w14:paraId="3635A0A1">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新鲜水</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0.1pt;margin-top:4.55pt;height:20.4pt;width:41.95pt;z-index:251703296;mso-width-relative:page;mso-height-relative:page;" filled="f" stroked="f" coordsize="21600,21600" o:gfxdata="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rLjM&#10;ydMAAAAFAQAADwAAAAAAAAABACAAAAAiAAAAZHJzL2Rvd25yZXYueG1sUEsBAhQAFAAAAAgAh07i&#10;QIpA+S4nAgAAJgQAAA4AAAAAAAAAAQAgAAAAIgEAAGRycy9lMm9Eb2MueG1sUEsFBgAAAAAGAAYA&#10;WQEAALsFAAAAAA==&#10;">
                      <v:fill on="f" focussize="0,0"/>
                      <v:stroke on="f"/>
                      <v:imagedata o:title=""/>
                      <o:lock v:ext="edit" aspectratio="f"/>
                      <v:textbox>
                        <w:txbxContent>
                          <w:p w14:paraId="3635A0A1">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新鲜水</w:t>
                            </w:r>
                          </w:p>
                        </w:txbxContent>
                      </v:textbox>
                    </v:shape>
                  </w:pict>
                </mc:Fallback>
              </mc:AlternateContent>
            </w:r>
            <w:r>
              <w:rPr>
                <w:color w:val="auto"/>
                <w:sz w:val="21"/>
              </w:rPr>
              <mc:AlternateContent>
                <mc:Choice Requires="wps">
                  <w:drawing>
                    <wp:anchor distT="0" distB="0" distL="114300" distR="114300" simplePos="0" relativeHeight="251779072" behindDoc="0" locked="0" layoutInCell="1" allowOverlap="1">
                      <wp:simplePos x="0" y="0"/>
                      <wp:positionH relativeFrom="column">
                        <wp:posOffset>3950970</wp:posOffset>
                      </wp:positionH>
                      <wp:positionV relativeFrom="paragraph">
                        <wp:posOffset>142875</wp:posOffset>
                      </wp:positionV>
                      <wp:extent cx="695325" cy="236220"/>
                      <wp:effectExtent l="4445" t="5080" r="5080" b="6350"/>
                      <wp:wrapNone/>
                      <wp:docPr id="106" name="文本框 13052"/>
                      <wp:cNvGraphicFramePr/>
                      <a:graphic xmlns:a="http://schemas.openxmlformats.org/drawingml/2006/main">
                        <a:graphicData uri="http://schemas.microsoft.com/office/word/2010/wordprocessingShape">
                          <wps:wsp>
                            <wps:cNvSpPr txBox="1">
                              <a:spLocks noChangeArrowheads="1"/>
                            </wps:cNvSpPr>
                            <wps:spPr bwMode="auto">
                              <a:xfrm>
                                <a:off x="5495925" y="4522470"/>
                                <a:ext cx="695325" cy="236220"/>
                              </a:xfrm>
                              <a:prstGeom prst="rect">
                                <a:avLst/>
                              </a:prstGeom>
                              <a:noFill/>
                              <a:ln w="9525">
                                <a:solidFill>
                                  <a:srgbClr val="000000"/>
                                </a:solidFill>
                                <a:miter lim="800000"/>
                              </a:ln>
                            </wps:spPr>
                            <wps:txbx>
                              <w:txbxContent>
                                <w:p w14:paraId="0D7E055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中和处理</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311.1pt;margin-top:11.25pt;height:18.6pt;width:54.75pt;z-index:251779072;v-text-anchor:middle;mso-width-relative:page;mso-height-relative:page;" filled="f" stroked="t" coordsize="21600,21600" o:gfxdata="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AAfG1fZAAAACQEAAA8AAAAAAAAAAQAgAAAA&#10;IgAAAGRycy9kb3ducmV2LnhtbFBLAQIUABQAAAAIAIdO4kBmn+BLQwIAAGEEAAAOAAAAAAAAAAEA&#10;IAAAACgBAABkcnMvZTJvRG9jLnhtbFBLBQYAAAAABgAGAFkBAADdBQAAAAA=&#10;">
                      <v:fill on="f" focussize="0,0"/>
                      <v:stroke color="#000000" miterlimit="8" joinstyle="miter"/>
                      <v:imagedata o:title=""/>
                      <o:lock v:ext="edit" aspectratio="f"/>
                      <v:textbox inset="0mm,0mm,0mm,0mm">
                        <w:txbxContent>
                          <w:p w14:paraId="0D7E055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中和处理</w:t>
                            </w:r>
                          </w:p>
                        </w:txbxContent>
                      </v:textbox>
                    </v:shape>
                  </w:pict>
                </mc:Fallback>
              </mc:AlternateContent>
            </w:r>
            <w:r>
              <w:rPr>
                <w:color w:val="auto"/>
                <w:sz w:val="21"/>
              </w:rPr>
              <mc:AlternateContent>
                <mc:Choice Requires="wps">
                  <w:drawing>
                    <wp:anchor distT="0" distB="0" distL="114300" distR="114300" simplePos="0" relativeHeight="251789312" behindDoc="0" locked="0" layoutInCell="1" allowOverlap="1">
                      <wp:simplePos x="0" y="0"/>
                      <wp:positionH relativeFrom="column">
                        <wp:posOffset>549910</wp:posOffset>
                      </wp:positionH>
                      <wp:positionV relativeFrom="paragraph">
                        <wp:posOffset>203200</wp:posOffset>
                      </wp:positionV>
                      <wp:extent cx="340360" cy="259080"/>
                      <wp:effectExtent l="0" t="0" r="0" b="0"/>
                      <wp:wrapNone/>
                      <wp:docPr id="108" name="文本框 13067"/>
                      <wp:cNvGraphicFramePr/>
                      <a:graphic xmlns:a="http://schemas.openxmlformats.org/drawingml/2006/main">
                        <a:graphicData uri="http://schemas.microsoft.com/office/word/2010/wordprocessingShape">
                          <wps:wsp>
                            <wps:cNvSpPr txBox="1">
                              <a:spLocks noChangeArrowheads="1"/>
                            </wps:cNvSpPr>
                            <wps:spPr bwMode="auto">
                              <a:xfrm>
                                <a:off x="2176145" y="4367530"/>
                                <a:ext cx="340360" cy="259080"/>
                              </a:xfrm>
                              <a:prstGeom prst="rect">
                                <a:avLst/>
                              </a:prstGeom>
                              <a:noFill/>
                              <a:ln>
                                <a:noFill/>
                              </a:ln>
                            </wps:spPr>
                            <wps:txbx>
                              <w:txbxContent>
                                <w:p w14:paraId="7B407D39">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43.3pt;margin-top:16pt;height:20.4pt;width:26.8pt;z-index:251789312;mso-width-relative:page;mso-height-relative:page;" filled="f" stroked="f" coordsize="21600,21600" o:gfxdata="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Nj0Z6dYAAAAIAQAADwAAAAAAAAABACAAAAAiAAAAZHJzL2Rvd25yZXYueG1sUEsBAhQAFAAAAAgA&#10;h07iQLJ2vU4nAgAAJgQAAA4AAAAAAAAAAQAgAAAAJQEAAGRycy9lMm9Eb2MueG1sUEsFBgAAAAAG&#10;AAYAWQEAAL4FAAAAAA==&#10;">
                      <v:fill on="f" focussize="0,0"/>
                      <v:stroke on="f"/>
                      <v:imagedata o:title=""/>
                      <o:lock v:ext="edit" aspectratio="f"/>
                      <v:textbox>
                        <w:txbxContent>
                          <w:p w14:paraId="7B407D39">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75</w:t>
                            </w:r>
                          </w:p>
                        </w:txbxContent>
                      </v:textbox>
                    </v:shape>
                  </w:pict>
                </mc:Fallback>
              </mc:AlternateContent>
            </w:r>
            <w:r>
              <w:rPr>
                <w:color w:val="auto"/>
                <w:sz w:val="21"/>
              </w:rPr>
              <mc:AlternateContent>
                <mc:Choice Requires="wps">
                  <w:drawing>
                    <wp:anchor distT="0" distB="0" distL="114300" distR="114300" simplePos="0" relativeHeight="251802624" behindDoc="0" locked="0" layoutInCell="1" allowOverlap="1">
                      <wp:simplePos x="0" y="0"/>
                      <wp:positionH relativeFrom="column">
                        <wp:posOffset>48895</wp:posOffset>
                      </wp:positionH>
                      <wp:positionV relativeFrom="paragraph">
                        <wp:posOffset>144780</wp:posOffset>
                      </wp:positionV>
                      <wp:extent cx="3168015" cy="635"/>
                      <wp:effectExtent l="4445" t="0" r="13970" b="13335"/>
                      <wp:wrapNone/>
                      <wp:docPr id="109" name="直线 13051"/>
                      <wp:cNvGraphicFramePr/>
                      <a:graphic xmlns:a="http://schemas.openxmlformats.org/drawingml/2006/main">
                        <a:graphicData uri="http://schemas.microsoft.com/office/word/2010/wordprocessingShape">
                          <wps:wsp>
                            <wps:cNvCnPr/>
                            <wps:spPr bwMode="auto">
                              <a:xfrm rot="5400000">
                                <a:off x="1567180" y="4311015"/>
                                <a:ext cx="3168015"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3.85pt;margin-top:11.4pt;height:0.05pt;width:249.45pt;rotation:5898240f;z-index:251802624;mso-width-relative:page;mso-height-relative:page;" filled="f" stroked="t" coordsize="21600,21600" o:gfxdata="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MBf89QAAAAHAQAADwAAAAAAAAABACAAAAAiAAAAZHJzL2Rvd25yZXYueG1sUEsBAhQAFAAAAAgA&#10;h07iQF5i3ojwAQAAuQMAAA4AAAAAAAAAAQAgAAAAIwEAAGRycy9lMm9Eb2MueG1sUEsFBgAAAAAG&#10;AAYAWQEAAIUFAAAAAA==&#10;">
                      <v:fill on="f" focussize="0,0"/>
                      <v:stroke color="#000000" joinstyle="round"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90336" behindDoc="0" locked="0" layoutInCell="1" allowOverlap="1">
                      <wp:simplePos x="0" y="0"/>
                      <wp:positionH relativeFrom="column">
                        <wp:posOffset>3205480</wp:posOffset>
                      </wp:positionH>
                      <wp:positionV relativeFrom="paragraph">
                        <wp:posOffset>266065</wp:posOffset>
                      </wp:positionV>
                      <wp:extent cx="451485" cy="259080"/>
                      <wp:effectExtent l="0" t="0" r="0" b="0"/>
                      <wp:wrapNone/>
                      <wp:docPr id="110" name="文本框 13067"/>
                      <wp:cNvGraphicFramePr/>
                      <a:graphic xmlns:a="http://schemas.openxmlformats.org/drawingml/2006/main">
                        <a:graphicData uri="http://schemas.microsoft.com/office/word/2010/wordprocessingShape">
                          <wps:wsp>
                            <wps:cNvSpPr txBox="1">
                              <a:spLocks noChangeArrowheads="1"/>
                            </wps:cNvSpPr>
                            <wps:spPr bwMode="auto">
                              <a:xfrm>
                                <a:off x="4723765" y="4432300"/>
                                <a:ext cx="451485" cy="259080"/>
                              </a:xfrm>
                              <a:prstGeom prst="rect">
                                <a:avLst/>
                              </a:prstGeom>
                              <a:noFill/>
                              <a:ln>
                                <a:noFill/>
                              </a:ln>
                            </wps:spPr>
                            <wps:txbx>
                              <w:txbxContent>
                                <w:p w14:paraId="104378C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30</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2.4pt;margin-top:20.95pt;height:20.4pt;width:35.55pt;z-index:251790336;mso-width-relative:page;mso-height-relative:page;" filled="f" stroked="f" coordsize="21600,21600" o:gfxdata="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D&#10;CnPR1wAAAAkBAAAPAAAAAAAAAAEAIAAAACIAAABkcnMvZG93bnJldi54bWxQSwECFAAUAAAACACH&#10;TuJALAdUfiUCAAAmBAAADgAAAAAAAAABACAAAAAmAQAAZHJzL2Uyb0RvYy54bWxQSwUGAAAAAAYA&#10;BgBZAQAAvQUAAAAA&#10;">
                      <v:fill on="f" focussize="0,0"/>
                      <v:stroke on="f"/>
                      <v:imagedata o:title=""/>
                      <o:lock v:ext="edit" aspectratio="f"/>
                      <v:textbox>
                        <w:txbxContent>
                          <w:p w14:paraId="104378C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30</w:t>
                            </w:r>
                          </w:p>
                        </w:txbxContent>
                      </v:textbox>
                    </v:shape>
                  </w:pict>
                </mc:Fallback>
              </mc:AlternateContent>
            </w:r>
            <w:r>
              <w:rPr>
                <w:color w:val="auto"/>
                <w:sz w:val="21"/>
              </w:rPr>
              <mc:AlternateContent>
                <mc:Choice Requires="wps">
                  <w:drawing>
                    <wp:anchor distT="0" distB="0" distL="114300" distR="114300" simplePos="0" relativeHeight="251788288" behindDoc="0" locked="0" layoutInCell="1" allowOverlap="1">
                      <wp:simplePos x="0" y="0"/>
                      <wp:positionH relativeFrom="column">
                        <wp:posOffset>1229360</wp:posOffset>
                      </wp:positionH>
                      <wp:positionV relativeFrom="paragraph">
                        <wp:posOffset>88900</wp:posOffset>
                      </wp:positionV>
                      <wp:extent cx="451485" cy="259080"/>
                      <wp:effectExtent l="0" t="0" r="0" b="0"/>
                      <wp:wrapNone/>
                      <wp:docPr id="111" name="文本框 13067"/>
                      <wp:cNvGraphicFramePr/>
                      <a:graphic xmlns:a="http://schemas.openxmlformats.org/drawingml/2006/main">
                        <a:graphicData uri="http://schemas.microsoft.com/office/word/2010/wordprocessingShape">
                          <wps:wsp>
                            <wps:cNvSpPr txBox="1">
                              <a:spLocks noChangeArrowheads="1"/>
                            </wps:cNvSpPr>
                            <wps:spPr bwMode="auto">
                              <a:xfrm>
                                <a:off x="2747645" y="4255135"/>
                                <a:ext cx="451485" cy="259080"/>
                              </a:xfrm>
                              <a:prstGeom prst="rect">
                                <a:avLst/>
                              </a:prstGeom>
                              <a:noFill/>
                              <a:ln>
                                <a:noFill/>
                              </a:ln>
                            </wps:spPr>
                            <wps:txbx>
                              <w:txbxContent>
                                <w:p w14:paraId="7FB0245A">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45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96.8pt;margin-top:7pt;height:20.4pt;width:35.55pt;z-index:251788288;mso-width-relative:page;mso-height-relative:page;" filled="f" stroked="f" coordsize="21600,21600" o:gfxdata="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JMLCnWAAAACQEAAA8AAAAAAAAAAQAgAAAAIgAAAGRycy9kb3ducmV2LnhtbFBLAQIUABQAAAAI&#10;AIdO4kAmVAJLKAIAACYEAAAOAAAAAAAAAAEAIAAAACUBAABkcnMvZTJvRG9jLnhtbFBLBQYAAAAA&#10;BgAGAFkBAAC/BQAAAAA=&#10;">
                      <v:fill on="f" focussize="0,0"/>
                      <v:stroke on="f"/>
                      <v:imagedata o:title=""/>
                      <o:lock v:ext="edit" aspectratio="f"/>
                      <v:textbox>
                        <w:txbxContent>
                          <w:p w14:paraId="7FB0245A">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45</w:t>
                            </w:r>
                          </w:p>
                        </w:txbxContent>
                      </v:textbox>
                    </v:shape>
                  </w:pict>
                </mc:Fallback>
              </mc:AlternateContent>
            </w:r>
            <w:r>
              <w:rPr>
                <w:color w:val="auto"/>
                <w:sz w:val="21"/>
              </w:rPr>
              <mc:AlternateContent>
                <mc:Choice Requires="wps">
                  <w:drawing>
                    <wp:anchor distT="0" distB="0" distL="114300" distR="114300" simplePos="0" relativeHeight="251766784" behindDoc="0" locked="0" layoutInCell="1" allowOverlap="1">
                      <wp:simplePos x="0" y="0"/>
                      <wp:positionH relativeFrom="column">
                        <wp:posOffset>986790</wp:posOffset>
                      </wp:positionH>
                      <wp:positionV relativeFrom="paragraph">
                        <wp:posOffset>67310</wp:posOffset>
                      </wp:positionV>
                      <wp:extent cx="255270" cy="688975"/>
                      <wp:effectExtent l="5080" t="4445" r="6350" b="11430"/>
                      <wp:wrapNone/>
                      <wp:docPr id="113" name="文本框 13052"/>
                      <wp:cNvGraphicFramePr/>
                      <a:graphic xmlns:a="http://schemas.openxmlformats.org/drawingml/2006/main">
                        <a:graphicData uri="http://schemas.microsoft.com/office/word/2010/wordprocessingShape">
                          <wps:wsp>
                            <wps:cNvSpPr txBox="1">
                              <a:spLocks noChangeArrowheads="1"/>
                            </wps:cNvSpPr>
                            <wps:spPr bwMode="auto">
                              <a:xfrm>
                                <a:off x="2505075" y="4233545"/>
                                <a:ext cx="255270" cy="688975"/>
                              </a:xfrm>
                              <a:prstGeom prst="rect">
                                <a:avLst/>
                              </a:prstGeom>
                              <a:noFill/>
                              <a:ln w="9525">
                                <a:solidFill>
                                  <a:srgbClr val="000000"/>
                                </a:solidFill>
                                <a:miter lim="800000"/>
                              </a:ln>
                            </wps:spPr>
                            <wps:txbx>
                              <w:txbxContent>
                                <w:p w14:paraId="427F88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纯</w:t>
                                  </w:r>
                                </w:p>
                                <w:p w14:paraId="0200F5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w:t>
                                  </w:r>
                                </w:p>
                                <w:p w14:paraId="559B4E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制</w:t>
                                  </w:r>
                                </w:p>
                                <w:p w14:paraId="74FA50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备</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77.7pt;margin-top:5.3pt;height:54.25pt;width:20.1pt;z-index:251766784;mso-width-relative:page;mso-height-relative:page;" filled="f" stroked="t" coordsize="21600,21600" o:gfxdata="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kSj1R1wAAAAoBAAAPAAAAAAAAAAEAIAAAACIA&#10;AABkcnMvZG93bnJldi54bWxQSwECFAAUAAAACACHTuJAPCyytEMCAABfBAAADgAAAAAAAAABACAA&#10;AAAmAQAAZHJzL2Uyb0RvYy54bWxQSwUGAAAAAAYABgBZAQAA2wUAAAAA&#10;">
                      <v:fill on="f" focussize="0,0"/>
                      <v:stroke color="#000000" miterlimit="8" joinstyle="miter"/>
                      <v:imagedata o:title=""/>
                      <o:lock v:ext="edit" aspectratio="f"/>
                      <v:textbox inset="0mm,0mm,0mm,0mm">
                        <w:txbxContent>
                          <w:p w14:paraId="427F88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纯</w:t>
                            </w:r>
                          </w:p>
                          <w:p w14:paraId="0200F5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w:t>
                            </w:r>
                          </w:p>
                          <w:p w14:paraId="559B4E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制</w:t>
                            </w:r>
                          </w:p>
                          <w:p w14:paraId="74FA50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备</w:t>
                            </w:r>
                          </w:p>
                        </w:txbxContent>
                      </v:textbox>
                    </v:shape>
                  </w:pict>
                </mc:Fallback>
              </mc:AlternateContent>
            </w:r>
            <w:r>
              <w:rPr>
                <w:color w:val="auto"/>
                <w:sz w:val="21"/>
              </w:rPr>
              <mc:AlternateContent>
                <mc:Choice Requires="wps">
                  <w:drawing>
                    <wp:anchor distT="0" distB="0" distL="114300" distR="114300" simplePos="0" relativeHeight="251702272" behindDoc="0" locked="0" layoutInCell="1" allowOverlap="1">
                      <wp:simplePos x="0" y="0"/>
                      <wp:positionH relativeFrom="column">
                        <wp:posOffset>-2177415</wp:posOffset>
                      </wp:positionH>
                      <wp:positionV relativeFrom="paragraph">
                        <wp:posOffset>62865</wp:posOffset>
                      </wp:positionV>
                      <wp:extent cx="5363845" cy="635"/>
                      <wp:effectExtent l="4445" t="0" r="13970" b="8255"/>
                      <wp:wrapNone/>
                      <wp:docPr id="346" name="直线 13051"/>
                      <wp:cNvGraphicFramePr/>
                      <a:graphic xmlns:a="http://schemas.openxmlformats.org/drawingml/2006/main">
                        <a:graphicData uri="http://schemas.microsoft.com/office/word/2010/wordprocessingShape">
                          <wps:wsp>
                            <wps:cNvCnPr/>
                            <wps:spPr bwMode="auto">
                              <a:xfrm rot="5400000">
                                <a:off x="-659130" y="4229100"/>
                                <a:ext cx="5363845" cy="635"/>
                              </a:xfrm>
                              <a:prstGeom prst="line">
                                <a:avLst/>
                              </a:prstGeom>
                              <a:noFill/>
                              <a:ln w="9525">
                                <a:solidFill>
                                  <a:srgbClr val="000000"/>
                                </a:solidFill>
                                <a:round/>
                                <a:tailEnd type="none" w="sm" len="sm"/>
                              </a:ln>
                            </wps:spPr>
                            <wps:bodyPr/>
                          </wps:wsp>
                        </a:graphicData>
                      </a:graphic>
                    </wp:anchor>
                  </w:drawing>
                </mc:Choice>
                <mc:Fallback>
                  <w:pict>
                    <v:line id="直线 13051" o:spid="_x0000_s1026" o:spt="20" style="position:absolute;left:0pt;margin-left:-171.45pt;margin-top:4.95pt;height:0.05pt;width:422.35pt;rotation:5898240f;z-index:251702272;mso-width-relative:page;mso-height-relative:page;" filled="f" stroked="t" coordsize="21600,21600" o:gfxdata="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N6Pm9YAAAAJAQAADwAAAAAAAAABACAAAAAiAAAAZHJzL2Rvd25yZXYueG1sUEsBAhQAFAAA&#10;AAgAh07iQOA0qXbxAQAAuQMAAA4AAAAAAAAAAQAgAAAAJQEAAGRycy9lMm9Eb2MueG1sUEsFBgAA&#10;AAAGAAYAWQEAAIgFAAAAAA==&#10;">
                      <v:fill on="f" focussize="0,0"/>
                      <v:stroke color="#000000" joinstyle="round"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698176" behindDoc="0" locked="0" layoutInCell="1" allowOverlap="1">
                      <wp:simplePos x="0" y="0"/>
                      <wp:positionH relativeFrom="column">
                        <wp:posOffset>-22860</wp:posOffset>
                      </wp:positionH>
                      <wp:positionV relativeFrom="paragraph">
                        <wp:posOffset>62865</wp:posOffset>
                      </wp:positionV>
                      <wp:extent cx="539750" cy="635"/>
                      <wp:effectExtent l="0" t="25400" r="12700" b="31115"/>
                      <wp:wrapNone/>
                      <wp:docPr id="114" name="直线 13051"/>
                      <wp:cNvGraphicFramePr/>
                      <a:graphic xmlns:a="http://schemas.openxmlformats.org/drawingml/2006/main">
                        <a:graphicData uri="http://schemas.microsoft.com/office/word/2010/wordprocessingShape">
                          <wps:wsp>
                            <wps:cNvCnPr/>
                            <wps:spPr bwMode="auto">
                              <a:xfrm flipV="1">
                                <a:off x="1495425" y="422910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8pt;margin-top:4.95pt;height:0.05pt;width:42.5pt;z-index:251698176;mso-width-relative:page;mso-height-relative:page;" filled="f" stroked="t" coordsize="21600,21600" o:gfxdata="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z&#10;vcZO1QAAAAYBAAAPAAAAAAAAAAEAIAAAACIAAABkcnMvZG93bnJldi54bWxQSwECFAAUAAAACACH&#10;TuJAv9wuKO4BAAC3AwAADgAAAAAAAAABACAAAAAkAQAAZHJzL2Uyb0RvYy54bWxQSwUGAAAAAAYA&#10;BgBZAQAAhAUAAAAA&#10;">
                      <v:fill on="f" focussize="0,0"/>
                      <v:stroke color="#000000" joinstyle="round" endarrow="classic" endarrowwidth="narrow" endarrowlength="short"/>
                      <v:imagedata o:title=""/>
                      <o:lock v:ext="edit" aspectratio="f"/>
                    </v:line>
                  </w:pict>
                </mc:Fallback>
              </mc:AlternateContent>
            </w:r>
          </w:p>
          <w:p w14:paraId="068ABD79">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7808" behindDoc="0" locked="0" layoutInCell="1" allowOverlap="1">
                      <wp:simplePos x="0" y="0"/>
                      <wp:positionH relativeFrom="column">
                        <wp:posOffset>4330700</wp:posOffset>
                      </wp:positionH>
                      <wp:positionV relativeFrom="paragraph">
                        <wp:posOffset>99695</wp:posOffset>
                      </wp:positionV>
                      <wp:extent cx="635" cy="2665095"/>
                      <wp:effectExtent l="24765" t="0" r="31750" b="1905"/>
                      <wp:wrapNone/>
                      <wp:docPr id="116" name="直线 13051"/>
                      <wp:cNvGraphicFramePr/>
                      <a:graphic xmlns:a="http://schemas.openxmlformats.org/drawingml/2006/main">
                        <a:graphicData uri="http://schemas.microsoft.com/office/word/2010/wordprocessingShape">
                          <wps:wsp>
                            <wps:cNvCnPr/>
                            <wps:spPr bwMode="auto">
                              <a:xfrm>
                                <a:off x="4615180" y="5985510"/>
                                <a:ext cx="635" cy="266509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41pt;margin-top:7.85pt;height:209.85pt;width:0.05pt;z-index:251767808;mso-width-relative:page;mso-height-relative:page;" filled="f" stroked="t" coordsize="21600,21600" o:gfxdata="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y&#10;4a932gAAAAoBAAAPAAAAAAAAAAEAIAAAACIAAABkcnMvZG93bnJldi54bWxQSwECFAAUAAAACACH&#10;TuJAC7Mr6OkBAACuAwAADgAAAAAAAAABACAAAAApAQAAZHJzL2Uyb0RvYy54bWxQSwUGAAAAAAYA&#10;BgBZAQAAhA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93408" behindDoc="0" locked="0" layoutInCell="1" allowOverlap="1">
                      <wp:simplePos x="0" y="0"/>
                      <wp:positionH relativeFrom="column">
                        <wp:posOffset>2468880</wp:posOffset>
                      </wp:positionH>
                      <wp:positionV relativeFrom="paragraph">
                        <wp:posOffset>196215</wp:posOffset>
                      </wp:positionV>
                      <wp:extent cx="440690" cy="226695"/>
                      <wp:effectExtent l="0" t="0" r="0" b="0"/>
                      <wp:wrapNone/>
                      <wp:docPr id="119" name="文本框 13073"/>
                      <wp:cNvGraphicFramePr/>
                      <a:graphic xmlns:a="http://schemas.openxmlformats.org/drawingml/2006/main">
                        <a:graphicData uri="http://schemas.microsoft.com/office/word/2010/wordprocessingShape">
                          <wps:wsp>
                            <wps:cNvSpPr txBox="1">
                              <a:spLocks noChangeArrowheads="1"/>
                            </wps:cNvSpPr>
                            <wps:spPr bwMode="auto">
                              <a:xfrm>
                                <a:off x="3987165" y="4641850"/>
                                <a:ext cx="440690" cy="226695"/>
                              </a:xfrm>
                              <a:prstGeom prst="rect">
                                <a:avLst/>
                              </a:prstGeom>
                              <a:noFill/>
                              <a:ln>
                                <a:noFill/>
                              </a:ln>
                            </wps:spPr>
                            <wps:txbx>
                              <w:txbxContent>
                                <w:p w14:paraId="16D5C36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0.24</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4.4pt;margin-top:15.45pt;height:17.85pt;width:34.7pt;z-index:251793408;mso-width-relative:page;mso-height-relative:page;" filled="f" stroked="f" coordsize="21600,21600" o:gfxdata="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Y20uX1wAAAAkBAAAPAAAAAAAAAAEAIAAAACIAAABkcnMvZG93bnJldi54bWxQSwECFAAUAAAA&#10;CACHTuJA+E2FzigCAAAmBAAADgAAAAAAAAABACAAAAAmAQAAZHJzL2Uyb0RvYy54bWxQSwUGAAAA&#10;AAYABgBZAQAAwAUAAAAA&#10;">
                      <v:fill on="f" focussize="0,0"/>
                      <v:stroke on="f"/>
                      <v:imagedata o:title=""/>
                      <o:lock v:ext="edit" aspectratio="f"/>
                      <v:textbox>
                        <w:txbxContent>
                          <w:p w14:paraId="16D5C36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0.24</w:t>
                            </w:r>
                          </w:p>
                        </w:txbxContent>
                      </v:textbox>
                    </v:shape>
                  </w:pict>
                </mc:Fallback>
              </mc:AlternateContent>
            </w:r>
            <w:r>
              <w:rPr>
                <w:color w:val="auto"/>
                <w:sz w:val="21"/>
              </w:rPr>
              <mc:AlternateContent>
                <mc:Choice Requires="wpg">
                  <w:drawing>
                    <wp:anchor distT="0" distB="0" distL="114300" distR="114300" simplePos="0" relativeHeight="251791360" behindDoc="0" locked="0" layoutInCell="1" allowOverlap="1">
                      <wp:simplePos x="0" y="0"/>
                      <wp:positionH relativeFrom="column">
                        <wp:posOffset>1579245</wp:posOffset>
                      </wp:positionH>
                      <wp:positionV relativeFrom="paragraph">
                        <wp:posOffset>147320</wp:posOffset>
                      </wp:positionV>
                      <wp:extent cx="111760" cy="81280"/>
                      <wp:effectExtent l="6350" t="4445" r="7620" b="17145"/>
                      <wp:wrapNone/>
                      <wp:docPr id="120" name="组合 120"/>
                      <wp:cNvGraphicFramePr/>
                      <a:graphic xmlns:a="http://schemas.openxmlformats.org/drawingml/2006/main">
                        <a:graphicData uri="http://schemas.microsoft.com/office/word/2010/wordprocessingGroup">
                          <wpg:wgp>
                            <wpg:cNvGrpSpPr/>
                            <wpg:grpSpPr>
                              <a:xfrm rot="5400000">
                                <a:off x="3097530" y="4592955"/>
                                <a:ext cx="111760" cy="81280"/>
                                <a:chOff x="11872" y="554945"/>
                                <a:chExt cx="176" cy="128"/>
                              </a:xfrm>
                            </wpg:grpSpPr>
                            <wps:wsp>
                              <wps:cNvPr id="124" name="椭圆 5"/>
                              <wps:cNvSpPr/>
                              <wps:spPr>
                                <a:xfrm>
                                  <a:off x="11872" y="554945"/>
                                  <a:ext cx="125" cy="125"/>
                                </a:xfrm>
                                <a:prstGeom prst="ellipse">
                                  <a:avLst/>
                                </a:prstGeom>
                                <a:noFill/>
                                <a:ln w="9525">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5" name="矩形 9"/>
                              <wps:cNvSpPr/>
                              <wps:spPr>
                                <a:xfrm>
                                  <a:off x="11935" y="554960"/>
                                  <a:ext cx="113" cy="113"/>
                                </a:xfrm>
                                <a:prstGeom prst="rect">
                                  <a:avLst/>
                                </a:prstGeom>
                                <a:solidFill>
                                  <a:schemeClr val="bg1"/>
                                </a:solidFill>
                                <a:ln w="12700" cmpd="sng">
                                  <a:solidFill>
                                    <a:schemeClr val="bg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24.35pt;margin-top:11.6pt;height:6.4pt;width:8.8pt;rotation:5898240f;z-index:251791360;mso-width-relative:page;mso-height-relative:page;" coordorigin="11872,554945" coordsize="176,128" o:gfxdata="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qJ1ZA9gAAAAJAQAADwAAAAAAAAABACAAAAAiAAAAZHJzL2Rvd25yZXYueG1sUEsBAhQAFAAA&#10;AAgAh07iQIijyvFFAwAACgkAAA4AAAAAAAAAAQAgAAAAJwEAAGRycy9lMm9Eb2MueG1sUEsFBgAA&#10;AAAGAAYAWQEAAN4GAAAAAA==&#10;">
                      <o:lock v:ext="edit" aspectratio="f"/>
                      <v:shape id="椭圆 5" o:spid="_x0000_s1026" o:spt="3" type="#_x0000_t3" style="position:absolute;left:11872;top:554945;height:125;width:125;v-text-anchor:middle;" filled="f" stroked="t" coordsize="21600,21600" o:gfxdata="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3qkVa8AAAA&#10;3AAAAA8AAAAAAAAAAQAgAAAAIgAAAGRycy9kb3ducmV2LnhtbFBLAQIUABQAAAAIAIdO4kAzLwWe&#10;OwAAADkAAAAQAAAAAAAAAAEAIAAAAAsBAABkcnMvc2hhcGV4bWwueG1sUEsFBgAAAAAGAAYAWwEA&#10;ALUDAAAAAA==&#10;">
                        <v:fill on="f" focussize="0,0"/>
                        <v:stroke color="#000000 [3213]" joinstyle="round"/>
                        <v:imagedata o:title=""/>
                        <o:lock v:ext="edit" aspectratio="f"/>
                      </v:shape>
                      <v:rect id="矩形 9" o:spid="_x0000_s1026" o:spt="1" style="position:absolute;left:11935;top:554960;height:113;width:113;v-text-anchor:middle;" fillcolor="#FFFFFF [3212]" filled="t" stroked="t" coordsize="21600,21600" o:gfxdata="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sk2u8AAAA&#10;3AAAAA8AAAAAAAAAAQAgAAAAIgAAAGRycy9kb3ducmV2LnhtbFBLAQIUABQAAAAIAIdO4kAzLwWe&#10;OwAAADkAAAAQAAAAAAAAAAEAIAAAAAsBAABkcnMvc2hhcGV4bWwueG1sUEsFBgAAAAAGAAYAWwEA&#10;ALUDAAAAAA==&#10;">
                        <v:fill on="t" focussize="0,0"/>
                        <v:stroke weight="1pt" color="#FFFFFF [3212]" joinstyle="round"/>
                        <v:imagedata o:title=""/>
                        <o:lock v:ext="edit" aspectratio="f"/>
                      </v:rect>
                    </v:group>
                  </w:pict>
                </mc:Fallback>
              </mc:AlternateContent>
            </w:r>
            <w:r>
              <w:rPr>
                <w:color w:val="auto"/>
                <w:sz w:val="21"/>
              </w:rPr>
              <mc:AlternateContent>
                <mc:Choice Requires="wps">
                  <w:drawing>
                    <wp:anchor distT="0" distB="0" distL="114300" distR="114300" simplePos="0" relativeHeight="251787264" behindDoc="0" locked="0" layoutInCell="1" allowOverlap="1">
                      <wp:simplePos x="0" y="0"/>
                      <wp:positionH relativeFrom="column">
                        <wp:posOffset>509905</wp:posOffset>
                      </wp:positionH>
                      <wp:positionV relativeFrom="paragraph">
                        <wp:posOffset>114935</wp:posOffset>
                      </wp:positionV>
                      <wp:extent cx="467995" cy="0"/>
                      <wp:effectExtent l="0" t="25400" r="8255" b="31750"/>
                      <wp:wrapNone/>
                      <wp:docPr id="126" name="直线 13051"/>
                      <wp:cNvGraphicFramePr/>
                      <a:graphic xmlns:a="http://schemas.openxmlformats.org/drawingml/2006/main">
                        <a:graphicData uri="http://schemas.microsoft.com/office/word/2010/wordprocessingShape">
                          <wps:wsp>
                            <wps:cNvCnPr/>
                            <wps:spPr bwMode="auto">
                              <a:xfrm>
                                <a:off x="2028190" y="4560570"/>
                                <a:ext cx="467995" cy="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40.15pt;margin-top:9.05pt;height:0pt;width:36.85pt;z-index:251787264;mso-width-relative:page;mso-height-relative:page;" filled="f" stroked="t" coordsize="21600,21600" o:gfxdata="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gtz0/X&#10;AAAACAEAAA8AAAAAAAAAAQAgAAAAIgAAAGRycy9kb3ducmV2LnhtbFBLAQIUABQAAAAIAIdO4kCA&#10;/aqo6AEAAKsDAAAOAAAAAAAAAAEAIAAAACYBAABkcnMvZTJvRG9jLnhtbFBLBQYAAAAABgAGAFkB&#10;AACA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86240" behindDoc="0" locked="0" layoutInCell="1" allowOverlap="1">
                      <wp:simplePos x="0" y="0"/>
                      <wp:positionH relativeFrom="column">
                        <wp:posOffset>1252855</wp:posOffset>
                      </wp:positionH>
                      <wp:positionV relativeFrom="paragraph">
                        <wp:posOffset>635</wp:posOffset>
                      </wp:positionV>
                      <wp:extent cx="377825" cy="0"/>
                      <wp:effectExtent l="0" t="25400" r="3175" b="31750"/>
                      <wp:wrapNone/>
                      <wp:docPr id="169" name="直线 13051"/>
                      <wp:cNvGraphicFramePr/>
                      <a:graphic xmlns:a="http://schemas.openxmlformats.org/drawingml/2006/main">
                        <a:graphicData uri="http://schemas.microsoft.com/office/word/2010/wordprocessingShape">
                          <wps:wsp>
                            <wps:cNvCnPr/>
                            <wps:spPr bwMode="auto">
                              <a:xfrm>
                                <a:off x="2771140" y="4446270"/>
                                <a:ext cx="377825" cy="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98.65pt;margin-top:0.05pt;height:0pt;width:29.75pt;z-index:251786240;mso-width-relative:page;mso-height-relative:page;" filled="f" stroked="t" coordsize="21600,21600" o:gfxdata="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tgBaq1QAA&#10;AAUBAAAPAAAAAAAAAAEAIAAAACIAAABkcnMvZG93bnJldi54bWxQSwECFAAUAAAACACHTuJAuAGV&#10;LugBAACrAwAADgAAAAAAAAABACAAAAAkAQAAZHJzL2Uyb0RvYy54bWxQSwUGAAAAAAYABgBZAQAA&#10;fg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696128" behindDoc="0" locked="0" layoutInCell="1" allowOverlap="1">
                      <wp:simplePos x="0" y="0"/>
                      <wp:positionH relativeFrom="column">
                        <wp:posOffset>1250950</wp:posOffset>
                      </wp:positionH>
                      <wp:positionV relativeFrom="paragraph">
                        <wp:posOffset>176530</wp:posOffset>
                      </wp:positionV>
                      <wp:extent cx="3068955" cy="635"/>
                      <wp:effectExtent l="0" t="24765" r="17145" b="31750"/>
                      <wp:wrapNone/>
                      <wp:docPr id="127" name="直线 13051"/>
                      <wp:cNvGraphicFramePr/>
                      <a:graphic xmlns:a="http://schemas.openxmlformats.org/drawingml/2006/main">
                        <a:graphicData uri="http://schemas.microsoft.com/office/word/2010/wordprocessingShape">
                          <wps:wsp>
                            <wps:cNvCnPr/>
                            <wps:spPr bwMode="auto">
                              <a:xfrm>
                                <a:off x="2769235" y="4622165"/>
                                <a:ext cx="306895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98.5pt;margin-top:13.9pt;height:0.05pt;width:241.65pt;z-index:251696128;mso-width-relative:page;mso-height-relative:page;" filled="f" stroked="t" coordsize="21600,21600" o:gfxdata="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Z&#10;IEWM2QAAAAkBAAAPAAAAAAAAAAEAIAAAACIAAABkcnMvZG93bnJldi54bWxQSwECFAAUAAAACACH&#10;TuJAb6oeteoBAACuAwAADgAAAAAAAAABACAAAAAoAQAAZHJzL2Uyb0RvYy54bWxQSwUGAAAAAAYA&#10;BgBZAQAAhAUAAAAA&#10;">
                      <v:fill on="f" focussize="0,0"/>
                      <v:stroke color="#000000" joinstyle="round" endarrow="classic" endarrowwidth="narrow" endarrowlength="short"/>
                      <v:imagedata o:title=""/>
                      <o:lock v:ext="edit" aspectratio="f"/>
                    </v:line>
                  </w:pict>
                </mc:Fallback>
              </mc:AlternateContent>
            </w:r>
          </w:p>
          <w:p w14:paraId="2C097A10">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95456" behindDoc="0" locked="0" layoutInCell="1" allowOverlap="1">
                      <wp:simplePos x="0" y="0"/>
                      <wp:positionH relativeFrom="column">
                        <wp:posOffset>1737360</wp:posOffset>
                      </wp:positionH>
                      <wp:positionV relativeFrom="paragraph">
                        <wp:posOffset>90805</wp:posOffset>
                      </wp:positionV>
                      <wp:extent cx="396240" cy="259080"/>
                      <wp:effectExtent l="0" t="0" r="0" b="0"/>
                      <wp:wrapNone/>
                      <wp:docPr id="128" name="文本框 13067"/>
                      <wp:cNvGraphicFramePr/>
                      <a:graphic xmlns:a="http://schemas.openxmlformats.org/drawingml/2006/main">
                        <a:graphicData uri="http://schemas.microsoft.com/office/word/2010/wordprocessingShape">
                          <wps:wsp>
                            <wps:cNvSpPr txBox="1">
                              <a:spLocks noChangeArrowheads="1"/>
                            </wps:cNvSpPr>
                            <wps:spPr bwMode="auto">
                              <a:xfrm>
                                <a:off x="3242945" y="4790440"/>
                                <a:ext cx="396240" cy="259080"/>
                              </a:xfrm>
                              <a:prstGeom prst="rect">
                                <a:avLst/>
                              </a:prstGeom>
                              <a:noFill/>
                              <a:ln>
                                <a:noFill/>
                              </a:ln>
                            </wps:spPr>
                            <wps:txbx>
                              <w:txbxContent>
                                <w:p w14:paraId="55EF2A8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6.8pt;margin-top:7.15pt;height:20.4pt;width:31.2pt;z-index:251795456;mso-width-relative:page;mso-height-relative:page;" filled="f" stroked="f" coordsize="21600,21600" o:gfxdata="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o&#10;574H1wAAAAkBAAAPAAAAAAAAAAEAIAAAACIAAABkcnMvZG93bnJldi54bWxQSwECFAAUAAAACACH&#10;TuJAePKL/SUCAAAmBAAADgAAAAAAAAABACAAAAAmAQAAZHJzL2Uyb0RvYy54bWxQSwUGAAAAAAYA&#10;BgBZAQAAvQUAAAAA&#10;">
                      <v:fill on="f" focussize="0,0"/>
                      <v:stroke on="f"/>
                      <v:imagedata o:title=""/>
                      <o:lock v:ext="edit" aspectratio="f"/>
                      <v:textbox>
                        <w:txbxContent>
                          <w:p w14:paraId="55EF2A84">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w:t>
                            </w:r>
                          </w:p>
                        </w:txbxContent>
                      </v:textbox>
                    </v:shape>
                  </w:pict>
                </mc:Fallback>
              </mc:AlternateContent>
            </w:r>
            <w:r>
              <w:rPr>
                <w:color w:val="auto"/>
                <w:sz w:val="21"/>
              </w:rPr>
              <mc:AlternateContent>
                <mc:Choice Requires="wps">
                  <w:drawing>
                    <wp:anchor distT="0" distB="0" distL="114300" distR="114300" simplePos="0" relativeHeight="251799552" behindDoc="0" locked="0" layoutInCell="1" allowOverlap="1">
                      <wp:simplePos x="0" y="0"/>
                      <wp:positionH relativeFrom="column">
                        <wp:posOffset>3217545</wp:posOffset>
                      </wp:positionH>
                      <wp:positionV relativeFrom="paragraph">
                        <wp:posOffset>87630</wp:posOffset>
                      </wp:positionV>
                      <wp:extent cx="402590" cy="259080"/>
                      <wp:effectExtent l="0" t="0" r="0" b="0"/>
                      <wp:wrapNone/>
                      <wp:docPr id="299" name="文本框 13067"/>
                      <wp:cNvGraphicFramePr/>
                      <a:graphic xmlns:a="http://schemas.openxmlformats.org/drawingml/2006/main">
                        <a:graphicData uri="http://schemas.microsoft.com/office/word/2010/wordprocessingShape">
                          <wps:wsp>
                            <wps:cNvSpPr txBox="1">
                              <a:spLocks noChangeArrowheads="1"/>
                            </wps:cNvSpPr>
                            <wps:spPr bwMode="auto">
                              <a:xfrm>
                                <a:off x="4735830" y="4812665"/>
                                <a:ext cx="402590" cy="259080"/>
                              </a:xfrm>
                              <a:prstGeom prst="rect">
                                <a:avLst/>
                              </a:prstGeom>
                              <a:noFill/>
                              <a:ln>
                                <a:noFill/>
                              </a:ln>
                            </wps:spPr>
                            <wps:txbx>
                              <w:txbxContent>
                                <w:p w14:paraId="7AD5B0FA">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rPr>
                                    <w:t>0.</w:t>
                                  </w:r>
                                  <w:r>
                                    <w:rPr>
                                      <w:rFonts w:hint="default" w:ascii="Times New Roman" w:hAnsi="Times New Roman" w:eastAsia="宋体" w:cs="Times New Roman"/>
                                      <w:sz w:val="18"/>
                                      <w:szCs w:val="18"/>
                                      <w:lang w:val="en-US" w:eastAsia="zh-CN"/>
                                    </w:rPr>
                                    <w:t>96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53.35pt;margin-top:6.9pt;height:20.4pt;width:31.7pt;z-index:251799552;mso-width-relative:page;mso-height-relative:page;" filled="f" stroked="f" coordsize="21600,21600" o:gfxdata="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b&#10;gO+21wAAAAkBAAAPAAAAAAAAAAEAIAAAACIAAABkcnMvZG93bnJldi54bWxQSwECFAAUAAAACACH&#10;TuJA6GBSzCUCAAAmBAAADgAAAAAAAAABACAAAAAmAQAAZHJzL2Uyb0RvYy54bWxQSwUGAAAAAAYA&#10;BgBZAQAAvQUAAAAA&#10;">
                      <v:fill on="f" focussize="0,0"/>
                      <v:stroke on="f"/>
                      <v:imagedata o:title=""/>
                      <o:lock v:ext="edit" aspectratio="f"/>
                      <v:textbox>
                        <w:txbxContent>
                          <w:p w14:paraId="7AD5B0FA">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rPr>
                              <w:t>0.</w:t>
                            </w:r>
                            <w:r>
                              <w:rPr>
                                <w:rFonts w:hint="default" w:ascii="Times New Roman" w:hAnsi="Times New Roman" w:eastAsia="宋体" w:cs="Times New Roman"/>
                                <w:sz w:val="18"/>
                                <w:szCs w:val="18"/>
                                <w:lang w:val="en-US" w:eastAsia="zh-CN"/>
                              </w:rPr>
                              <w:t>96</w:t>
                            </w:r>
                          </w:p>
                        </w:txbxContent>
                      </v:textbox>
                    </v:shape>
                  </w:pict>
                </mc:Fallback>
              </mc:AlternateContent>
            </w:r>
            <w:r>
              <w:rPr>
                <w:color w:val="auto"/>
                <w:sz w:val="21"/>
              </w:rPr>
              <mc:AlternateContent>
                <mc:Choice Requires="wps">
                  <w:drawing>
                    <wp:anchor distT="0" distB="0" distL="114300" distR="114300" simplePos="0" relativeHeight="251798528" behindDoc="0" locked="0" layoutInCell="1" allowOverlap="1">
                      <wp:simplePos x="0" y="0"/>
                      <wp:positionH relativeFrom="column">
                        <wp:posOffset>2711450</wp:posOffset>
                      </wp:positionH>
                      <wp:positionV relativeFrom="paragraph">
                        <wp:posOffset>278765</wp:posOffset>
                      </wp:positionV>
                      <wp:extent cx="1619885" cy="2540"/>
                      <wp:effectExtent l="0" t="22860" r="18415" b="31750"/>
                      <wp:wrapNone/>
                      <wp:docPr id="301" name="直线 13051"/>
                      <wp:cNvGraphicFramePr/>
                      <a:graphic xmlns:a="http://schemas.openxmlformats.org/drawingml/2006/main">
                        <a:graphicData uri="http://schemas.microsoft.com/office/word/2010/wordprocessingShape">
                          <wps:wsp>
                            <wps:cNvCnPr/>
                            <wps:spPr bwMode="auto">
                              <a:xfrm>
                                <a:off x="4229735" y="5003800"/>
                                <a:ext cx="161988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13.5pt;margin-top:21.95pt;height:0.2pt;width:127.55pt;z-index:251798528;mso-width-relative:page;mso-height-relative:page;" filled="f" stroked="t" coordsize="21600,21600" o:gfxdata="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iYVzJ2wAAAAkBAAAPAAAAAAAAAAEAIAAAACIAAABkcnMvZG93bnJldi54bWxQSwECFAAUAAAA&#10;CACHTuJAcP24/usBAACvAwAADgAAAAAAAAABACAAAAAqAQAAZHJzL2Uyb0RvYy54bWxQSwUGAAAA&#10;AAYABgBZAQAAhw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97504" behindDoc="0" locked="0" layoutInCell="1" allowOverlap="1">
                      <wp:simplePos x="0" y="0"/>
                      <wp:positionH relativeFrom="column">
                        <wp:posOffset>2427605</wp:posOffset>
                      </wp:positionH>
                      <wp:positionV relativeFrom="paragraph">
                        <wp:posOffset>31115</wp:posOffset>
                      </wp:positionV>
                      <wp:extent cx="146685" cy="128270"/>
                      <wp:effectExtent l="3810" t="0" r="1905" b="5080"/>
                      <wp:wrapNone/>
                      <wp:docPr id="129" name="任意多边形 13070"/>
                      <wp:cNvGraphicFramePr/>
                      <a:graphic xmlns:a="http://schemas.openxmlformats.org/drawingml/2006/main">
                        <a:graphicData uri="http://schemas.microsoft.com/office/word/2010/wordprocessingShape">
                          <wps:wsp>
                            <wps:cNvSpPr/>
                            <wps:spPr bwMode="auto">
                              <a:xfrm>
                                <a:off x="3945890" y="475615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14CDF35">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15pt;margin-top:2.45pt;height:10.1pt;width:11.55pt;z-index:251797504;mso-width-relative:page;mso-height-relative:page;" filled="f" stroked="t" coordsize="254,256" o:gfxdata="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ARPJWb1gAAAAgBAAAPAAAAAAAAAAEAIAAAACIAAABkcnMvZG93bnJldi54bWxQ&#10;SwECFAAUAAAACACHTuJADWCa+E8DAACLBwAADgAAAAAAAAABACAAAAAlAQAAZHJzL2Uyb0RvYy54&#10;bWxQSwUGAAAAAAYABgBZAQAA5gY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14CDF35">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96480" behindDoc="0" locked="0" layoutInCell="1" allowOverlap="1">
                      <wp:simplePos x="0" y="0"/>
                      <wp:positionH relativeFrom="column">
                        <wp:posOffset>2160905</wp:posOffset>
                      </wp:positionH>
                      <wp:positionV relativeFrom="paragraph">
                        <wp:posOffset>150495</wp:posOffset>
                      </wp:positionV>
                      <wp:extent cx="539750" cy="259080"/>
                      <wp:effectExtent l="4445" t="4445" r="8255" b="22225"/>
                      <wp:wrapNone/>
                      <wp:docPr id="130" name="文本框 13052"/>
                      <wp:cNvGraphicFramePr/>
                      <a:graphic xmlns:a="http://schemas.openxmlformats.org/drawingml/2006/main">
                        <a:graphicData uri="http://schemas.microsoft.com/office/word/2010/wordprocessingShape">
                          <wps:wsp>
                            <wps:cNvSpPr txBox="1">
                              <a:spLocks noChangeArrowheads="1"/>
                            </wps:cNvSpPr>
                            <wps:spPr bwMode="auto">
                              <a:xfrm>
                                <a:off x="3679190" y="4875530"/>
                                <a:ext cx="539750" cy="259080"/>
                              </a:xfrm>
                              <a:prstGeom prst="rect">
                                <a:avLst/>
                              </a:prstGeom>
                              <a:noFill/>
                              <a:ln w="9525">
                                <a:solidFill>
                                  <a:srgbClr val="000000"/>
                                </a:solidFill>
                                <a:miter lim="800000"/>
                              </a:ln>
                            </wps:spPr>
                            <wps:txbx>
                              <w:txbxContent>
                                <w:p w14:paraId="195F6F6E">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水浴锅</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15pt;margin-top:11.85pt;height:20.4pt;width:42.5pt;z-index:251796480;mso-width-relative:page;mso-height-relative:page;" filled="f" stroked="t" coordsize="21600,21600" o:gfxdata="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J9mtDbZAAAACQEAAA8AAAAAAAAAAQAgAAAA&#10;IgAAAGRycy9kb3ducmV2LnhtbFBLAQIUABQAAAAIAIdO4kDBcgMmQwIAAF8EAAAOAAAAAAAAAAEA&#10;IAAAACgBAABkcnMvZTJvRG9jLnhtbFBLBQYAAAAABgAGAFkBAADdBQAAAAA=&#10;">
                      <v:fill on="f" focussize="0,0"/>
                      <v:stroke color="#000000" miterlimit="8" joinstyle="miter"/>
                      <v:imagedata o:title=""/>
                      <o:lock v:ext="edit" aspectratio="f"/>
                      <v:textbox inset="0mm,0mm,0mm,0mm">
                        <w:txbxContent>
                          <w:p w14:paraId="195F6F6E">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水浴锅</w:t>
                            </w:r>
                          </w:p>
                        </w:txbxContent>
                      </v:textbox>
                    </v:shape>
                  </w:pict>
                </mc:Fallback>
              </mc:AlternateContent>
            </w:r>
          </w:p>
          <w:p w14:paraId="75C63A9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800576" behindDoc="0" locked="0" layoutInCell="1" allowOverlap="1">
                      <wp:simplePos x="0" y="0"/>
                      <wp:positionH relativeFrom="column">
                        <wp:posOffset>1626870</wp:posOffset>
                      </wp:positionH>
                      <wp:positionV relativeFrom="paragraph">
                        <wp:posOffset>635</wp:posOffset>
                      </wp:positionV>
                      <wp:extent cx="539750" cy="635"/>
                      <wp:effectExtent l="0" t="25400" r="12700" b="31115"/>
                      <wp:wrapNone/>
                      <wp:docPr id="159" name="直线 13051"/>
                      <wp:cNvGraphicFramePr/>
                      <a:graphic xmlns:a="http://schemas.openxmlformats.org/drawingml/2006/main">
                        <a:graphicData uri="http://schemas.microsoft.com/office/word/2010/wordprocessingShape">
                          <wps:wsp>
                            <wps:cNvCnPr/>
                            <wps:spPr bwMode="auto">
                              <a:xfrm flipV="1">
                                <a:off x="3145155" y="5005070"/>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1pt;margin-top:0.05pt;height:0.05pt;width:42.5pt;z-index:251800576;mso-width-relative:page;mso-height-relative:page;" filled="f" stroked="t" coordsize="21600,21600" o:gfxdata="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q&#10;sIiD0wAAAAUBAAAPAAAAAAAAAAEAIAAAACIAAABkcnMvZG93bnJldi54bWxQSwECFAAUAAAACACH&#10;TuJA58IlNvABAAC3AwAADgAAAAAAAAABACAAAAAiAQAAZHJzL2Uyb0RvYy54bWxQSwUGAAAAAAYA&#10;BgBZAQAAhA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3472" behindDoc="0" locked="0" layoutInCell="1" allowOverlap="1">
                      <wp:simplePos x="0" y="0"/>
                      <wp:positionH relativeFrom="column">
                        <wp:posOffset>3141345</wp:posOffset>
                      </wp:positionH>
                      <wp:positionV relativeFrom="paragraph">
                        <wp:posOffset>262255</wp:posOffset>
                      </wp:positionV>
                      <wp:extent cx="571500" cy="259080"/>
                      <wp:effectExtent l="0" t="0" r="0" b="0"/>
                      <wp:wrapNone/>
                      <wp:docPr id="131" name="文本框 13067"/>
                      <wp:cNvGraphicFramePr/>
                      <a:graphic xmlns:a="http://schemas.openxmlformats.org/drawingml/2006/main">
                        <a:graphicData uri="http://schemas.microsoft.com/office/word/2010/wordprocessingShape">
                          <wps:wsp>
                            <wps:cNvSpPr txBox="1">
                              <a:spLocks noChangeArrowheads="1"/>
                            </wps:cNvSpPr>
                            <wps:spPr bwMode="auto">
                              <a:xfrm>
                                <a:off x="4659630" y="5266690"/>
                                <a:ext cx="571500" cy="259080"/>
                              </a:xfrm>
                              <a:prstGeom prst="rect">
                                <a:avLst/>
                              </a:prstGeom>
                              <a:noFill/>
                              <a:ln>
                                <a:noFill/>
                              </a:ln>
                            </wps:spPr>
                            <wps:txbx>
                              <w:txbxContent>
                                <w:p w14:paraId="392FF8B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1.26</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7.35pt;margin-top:20.65pt;height:20.4pt;width:45pt;z-index:251753472;mso-width-relative:page;mso-height-relative:page;" filled="f" stroked="f" coordsize="21600,21600" o:gfxdata="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iYm97NYAAAAJAQAADwAAAAAAAAABACAAAAAiAAAAZHJzL2Rvd25yZXYueG1sUEsBAhQAFAAAAAgA&#10;h07iQI1KkLQnAgAAJgQAAA4AAAAAAAAAAQAgAAAAJQEAAGRycy9lMm9Eb2MueG1sUEsFBgAAAAAG&#10;AAYAWQEAAL4FAAAAAA==&#10;">
                      <v:fill on="f" focussize="0,0"/>
                      <v:stroke on="f"/>
                      <v:imagedata o:title=""/>
                      <o:lock v:ext="edit" aspectratio="f"/>
                      <v:textbox>
                        <w:txbxContent>
                          <w:p w14:paraId="392FF8B3">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1.26</w:t>
                            </w:r>
                          </w:p>
                        </w:txbxContent>
                      </v:textbox>
                    </v:shape>
                  </w:pict>
                </mc:Fallback>
              </mc:AlternateContent>
            </w:r>
            <w:r>
              <w:rPr>
                <w:color w:val="auto"/>
                <w:sz w:val="21"/>
              </w:rPr>
              <mc:AlternateContent>
                <mc:Choice Requires="wps">
                  <w:drawing>
                    <wp:anchor distT="0" distB="0" distL="114300" distR="114300" simplePos="0" relativeHeight="251747328" behindDoc="0" locked="0" layoutInCell="1" allowOverlap="1">
                      <wp:simplePos x="0" y="0"/>
                      <wp:positionH relativeFrom="column">
                        <wp:posOffset>2435860</wp:posOffset>
                      </wp:positionH>
                      <wp:positionV relativeFrom="paragraph">
                        <wp:posOffset>201295</wp:posOffset>
                      </wp:positionV>
                      <wp:extent cx="146685" cy="128270"/>
                      <wp:effectExtent l="3810" t="0" r="1905" b="5080"/>
                      <wp:wrapNone/>
                      <wp:docPr id="276" name="任意多边形 13070"/>
                      <wp:cNvGraphicFramePr/>
                      <a:graphic xmlns:a="http://schemas.openxmlformats.org/drawingml/2006/main">
                        <a:graphicData uri="http://schemas.microsoft.com/office/word/2010/wordprocessingShape">
                          <wps:wsp>
                            <wps:cNvSpPr/>
                            <wps:spPr bwMode="auto">
                              <a:xfrm>
                                <a:off x="3954145" y="520573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081B1B15">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15.85pt;height:10.1pt;width:11.55pt;z-index:251747328;mso-width-relative:page;mso-height-relative:page;" filled="f" stroked="t" coordsize="254,256" o:gfxdata="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jN6Py9YAAAAJAQAADwAAAAAAAAABACAAAAAiAAAAZHJzL2Rvd25yZXYueG1sUEsB&#10;AhQAFAAAAAgAh07iQE8ivkdNAwAAiwcAAA4AAAAAAAAAAQAgAAAAJQEAAGRycy9lMm9Eb2MueG1s&#10;UEsFBgAAAAAGAAYAWQEAAOQGA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081B1B15">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46304" behindDoc="0" locked="0" layoutInCell="1" allowOverlap="1">
                      <wp:simplePos x="0" y="0"/>
                      <wp:positionH relativeFrom="column">
                        <wp:posOffset>2470785</wp:posOffset>
                      </wp:positionH>
                      <wp:positionV relativeFrom="paragraph">
                        <wp:posOffset>95250</wp:posOffset>
                      </wp:positionV>
                      <wp:extent cx="425450" cy="259080"/>
                      <wp:effectExtent l="0" t="0" r="0" b="0"/>
                      <wp:wrapNone/>
                      <wp:docPr id="133" name="文本框 13073"/>
                      <wp:cNvGraphicFramePr/>
                      <a:graphic xmlns:a="http://schemas.openxmlformats.org/drawingml/2006/main">
                        <a:graphicData uri="http://schemas.microsoft.com/office/word/2010/wordprocessingShape">
                          <wps:wsp>
                            <wps:cNvSpPr txBox="1">
                              <a:spLocks noChangeArrowheads="1"/>
                            </wps:cNvSpPr>
                            <wps:spPr bwMode="auto">
                              <a:xfrm>
                                <a:off x="3989070" y="5099685"/>
                                <a:ext cx="425450" cy="259080"/>
                              </a:xfrm>
                              <a:prstGeom prst="rect">
                                <a:avLst/>
                              </a:prstGeom>
                              <a:noFill/>
                              <a:ln>
                                <a:noFill/>
                              </a:ln>
                            </wps:spPr>
                            <wps:txbx>
                              <w:txbxContent>
                                <w:p w14:paraId="650658AA">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r>
                                    <w:rPr>
                                      <w:rFonts w:hint="default" w:ascii="Times New Roman" w:hAnsi="Times New Roman" w:eastAsia="宋体" w:cs="Times New Roman"/>
                                      <w:sz w:val="18"/>
                                      <w:szCs w:val="18"/>
                                      <w:lang w:val="en-US" w:eastAsia="zh-CN"/>
                                    </w:rPr>
                                    <w:t>.54</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4.55pt;margin-top:7.5pt;height:20.4pt;width:33.5pt;z-index:251746304;mso-width-relative:page;mso-height-relative:page;" filled="f" stroked="f" coordsize="21600,21600" o:gfxdata="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PFm6TWAAAACQEAAA8AAAAAAAAAAQAgAAAAIgAAAGRycy9kb3ducmV2LnhtbFBLAQIUABQAAAAI&#10;AIdO4kBvzocVKAIAACYEAAAOAAAAAAAAAAEAIAAAACUBAABkcnMvZTJvRG9jLnhtbFBLBQYAAAAA&#10;BgAGAFkBAAC/BQAAAAA=&#10;">
                      <v:fill on="f" focussize="0,0"/>
                      <v:stroke on="f"/>
                      <v:imagedata o:title=""/>
                      <o:lock v:ext="edit" aspectratio="f"/>
                      <v:textbox>
                        <w:txbxContent>
                          <w:p w14:paraId="650658AA">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r>
                              <w:rPr>
                                <w:rFonts w:hint="default" w:ascii="Times New Roman" w:hAnsi="Times New Roman" w:eastAsia="宋体" w:cs="Times New Roman"/>
                                <w:sz w:val="18"/>
                                <w:szCs w:val="18"/>
                                <w:lang w:val="en-US" w:eastAsia="zh-CN"/>
                              </w:rPr>
                              <w:t>.54</w:t>
                            </w:r>
                          </w:p>
                        </w:txbxContent>
                      </v:textbox>
                    </v:shape>
                  </w:pict>
                </mc:Fallback>
              </mc:AlternateContent>
            </w:r>
          </w:p>
          <w:p w14:paraId="3B64C409">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52448" behindDoc="0" locked="0" layoutInCell="1" allowOverlap="1">
                      <wp:simplePos x="0" y="0"/>
                      <wp:positionH relativeFrom="column">
                        <wp:posOffset>1764665</wp:posOffset>
                      </wp:positionH>
                      <wp:positionV relativeFrom="paragraph">
                        <wp:posOffset>3175</wp:posOffset>
                      </wp:positionV>
                      <wp:extent cx="333375" cy="259080"/>
                      <wp:effectExtent l="0" t="0" r="0" b="0"/>
                      <wp:wrapNone/>
                      <wp:docPr id="202" name="文本框 13067"/>
                      <wp:cNvGraphicFramePr/>
                      <a:graphic xmlns:a="http://schemas.openxmlformats.org/drawingml/2006/main">
                        <a:graphicData uri="http://schemas.microsoft.com/office/word/2010/wordprocessingShape">
                          <wps:wsp>
                            <wps:cNvSpPr txBox="1">
                              <a:spLocks noChangeArrowheads="1"/>
                            </wps:cNvSpPr>
                            <wps:spPr bwMode="auto">
                              <a:xfrm>
                                <a:off x="3282950" y="5206365"/>
                                <a:ext cx="333375" cy="259080"/>
                              </a:xfrm>
                              <a:prstGeom prst="rect">
                                <a:avLst/>
                              </a:prstGeom>
                              <a:noFill/>
                              <a:ln>
                                <a:noFill/>
                              </a:ln>
                            </wps:spPr>
                            <wps:txbx>
                              <w:txbxContent>
                                <w:p w14:paraId="78B8936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1.8</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8.95pt;margin-top:0.25pt;height:20.4pt;width:26.25pt;z-index:251752448;mso-width-relative:page;mso-height-relative:page;" filled="f" stroked="f" coordsize="21600,21600" o:gfxdata="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MtkZStUAAAAHAQAADwAAAAAAAAABACAAAAAiAAAAZHJzL2Rvd25yZXYueG1sUEsBAhQAFAAAAAgA&#10;h07iQM30Z4koAgAAJgQAAA4AAAAAAAAAAQAgAAAAJAEAAGRycy9lMm9Eb2MueG1sUEsFBgAAAAAG&#10;AAYAWQEAAL4FAAAAAA==&#10;">
                      <v:fill on="f" focussize="0,0"/>
                      <v:stroke on="f"/>
                      <v:imagedata o:title=""/>
                      <o:lock v:ext="edit" aspectratio="f"/>
                      <v:textbox>
                        <w:txbxContent>
                          <w:p w14:paraId="78B8936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1.8</w:t>
                            </w:r>
                          </w:p>
                        </w:txbxContent>
                      </v:textbox>
                    </v:shape>
                  </w:pict>
                </mc:Fallback>
              </mc:AlternateContent>
            </w:r>
            <w:r>
              <w:rPr>
                <w:color w:val="auto"/>
                <w:sz w:val="21"/>
              </w:rPr>
              <mc:AlternateContent>
                <mc:Choice Requires="wps">
                  <w:drawing>
                    <wp:anchor distT="0" distB="0" distL="114300" distR="114300" simplePos="0" relativeHeight="251770880" behindDoc="0" locked="0" layoutInCell="1" allowOverlap="1">
                      <wp:simplePos x="0" y="0"/>
                      <wp:positionH relativeFrom="column">
                        <wp:posOffset>1635125</wp:posOffset>
                      </wp:positionH>
                      <wp:positionV relativeFrom="paragraph">
                        <wp:posOffset>179070</wp:posOffset>
                      </wp:positionV>
                      <wp:extent cx="539750" cy="635"/>
                      <wp:effectExtent l="0" t="25400" r="12700" b="31115"/>
                      <wp:wrapNone/>
                      <wp:docPr id="134" name="直线 13051"/>
                      <wp:cNvGraphicFramePr/>
                      <a:graphic xmlns:a="http://schemas.openxmlformats.org/drawingml/2006/main">
                        <a:graphicData uri="http://schemas.microsoft.com/office/word/2010/wordprocessingShape">
                          <wps:wsp>
                            <wps:cNvCnPr/>
                            <wps:spPr bwMode="auto">
                              <a:xfrm flipV="1">
                                <a:off x="3153410" y="5462905"/>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14.1pt;height:0.05pt;width:42.5pt;z-index:251770880;mso-width-relative:page;mso-height-relative:page;" filled="f" stroked="t" coordsize="21600,21600" o:gfxdata="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P39sk2AAAAAkBAAAPAAAAAAAAAAEAIAAAACIAAABkcnMvZG93bnJldi54bWxQSwECFAAU&#10;AAAACACHTuJAQN5UkPEBAAC3AwAADgAAAAAAAAABACAAAAAnAQAAZHJzL2Uyb0RvYy54bWxQSwUG&#10;AAAAAAYABgBZAQAAig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4496" behindDoc="0" locked="0" layoutInCell="1" allowOverlap="1">
                      <wp:simplePos x="0" y="0"/>
                      <wp:positionH relativeFrom="column">
                        <wp:posOffset>2827655</wp:posOffset>
                      </wp:positionH>
                      <wp:positionV relativeFrom="paragraph">
                        <wp:posOffset>177800</wp:posOffset>
                      </wp:positionV>
                      <wp:extent cx="1494155" cy="2540"/>
                      <wp:effectExtent l="0" t="22860" r="10795" b="31750"/>
                      <wp:wrapNone/>
                      <wp:docPr id="197" name="直线 13051"/>
                      <wp:cNvGraphicFramePr/>
                      <a:graphic xmlns:a="http://schemas.openxmlformats.org/drawingml/2006/main">
                        <a:graphicData uri="http://schemas.microsoft.com/office/word/2010/wordprocessingShape">
                          <wps:wsp>
                            <wps:cNvCnPr/>
                            <wps:spPr bwMode="auto">
                              <a:xfrm>
                                <a:off x="4345940" y="5461635"/>
                                <a:ext cx="149415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22.65pt;margin-top:14pt;height:0.2pt;width:117.65pt;z-index:251754496;mso-width-relative:page;mso-height-relative:page;" filled="f" stroked="t" coordsize="21600,21600" o:gfxdata="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fY8bbaAAAACQEAAA8AAAAAAAAAAQAgAAAAIgAAAGRycy9kb3ducmV2LnhtbFBLAQIUABQAAAAI&#10;AIdO4kAcse536wEAAK8DAAAOAAAAAAAAAAEAIAAAACk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44256" behindDoc="0" locked="0" layoutInCell="1" allowOverlap="1">
                      <wp:simplePos x="0" y="0"/>
                      <wp:positionH relativeFrom="column">
                        <wp:posOffset>2517140</wp:posOffset>
                      </wp:positionH>
                      <wp:positionV relativeFrom="paragraph">
                        <wp:posOffset>268605</wp:posOffset>
                      </wp:positionV>
                      <wp:extent cx="329565" cy="259080"/>
                      <wp:effectExtent l="0" t="0" r="0" b="0"/>
                      <wp:wrapNone/>
                      <wp:docPr id="135" name="文本框 13073"/>
                      <wp:cNvGraphicFramePr/>
                      <a:graphic xmlns:a="http://schemas.openxmlformats.org/drawingml/2006/main">
                        <a:graphicData uri="http://schemas.microsoft.com/office/word/2010/wordprocessingShape">
                          <wps:wsp>
                            <wps:cNvSpPr txBox="1">
                              <a:spLocks noChangeArrowheads="1"/>
                            </wps:cNvSpPr>
                            <wps:spPr bwMode="auto">
                              <a:xfrm>
                                <a:off x="4035425" y="5552440"/>
                                <a:ext cx="329565" cy="259080"/>
                              </a:xfrm>
                              <a:prstGeom prst="rect">
                                <a:avLst/>
                              </a:prstGeom>
                              <a:noFill/>
                              <a:ln>
                                <a:noFill/>
                              </a:ln>
                            </wps:spPr>
                            <wps:txbx>
                              <w:txbxContent>
                                <w:p w14:paraId="282EFD8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8.2pt;margin-top:21.15pt;height:20.4pt;width:25.95pt;z-index:251744256;mso-width-relative:page;mso-height-relative:page;" filled="f" stroked="f" coordsize="21600,21600" o:gfxdata="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CJZrW9cAAAAJAQAADwAAAAAAAAABACAAAAAiAAAAZHJzL2Rvd25yZXYueG1sUEsBAhQAFAAAAAgA&#10;h07iQKfuMvMmAgAAJgQAAA4AAAAAAAAAAQAgAAAAJgEAAGRycy9lMm9Eb2MueG1sUEsFBgAAAAAG&#10;AAYAWQEAAL4FAAAAAA==&#10;">
                      <v:fill on="f" focussize="0,0"/>
                      <v:stroke on="f"/>
                      <v:imagedata o:title=""/>
                      <o:lock v:ext="edit" aspectratio="f"/>
                      <v:textbox>
                        <w:txbxContent>
                          <w:p w14:paraId="282EFD8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v:textbox>
                    </v:shape>
                  </w:pict>
                </mc:Fallback>
              </mc:AlternateContent>
            </w:r>
            <w:r>
              <w:rPr>
                <w:color w:val="auto"/>
                <w:sz w:val="21"/>
              </w:rPr>
              <mc:AlternateContent>
                <mc:Choice Requires="wps">
                  <w:drawing>
                    <wp:anchor distT="0" distB="0" distL="114300" distR="114300" simplePos="0" relativeHeight="251742208" behindDoc="0" locked="0" layoutInCell="1" allowOverlap="1">
                      <wp:simplePos x="0" y="0"/>
                      <wp:positionH relativeFrom="column">
                        <wp:posOffset>2169160</wp:posOffset>
                      </wp:positionH>
                      <wp:positionV relativeFrom="paragraph">
                        <wp:posOffset>49530</wp:posOffset>
                      </wp:positionV>
                      <wp:extent cx="655320" cy="259080"/>
                      <wp:effectExtent l="4445" t="4445" r="6985" b="22225"/>
                      <wp:wrapNone/>
                      <wp:docPr id="137"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5333365"/>
                                <a:ext cx="655320" cy="259080"/>
                              </a:xfrm>
                              <a:prstGeom prst="rect">
                                <a:avLst/>
                              </a:prstGeom>
                              <a:noFill/>
                              <a:ln w="9525">
                                <a:solidFill>
                                  <a:srgbClr val="000000"/>
                                </a:solidFill>
                                <a:miter lim="800000"/>
                              </a:ln>
                            </wps:spPr>
                            <wps:txbx>
                              <w:txbxContent>
                                <w:p w14:paraId="077C29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蒸汽灭菌器</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3.9pt;height:20.4pt;width:51.6pt;z-index:251742208;mso-width-relative:page;mso-height-relative:page;" filled="f" stroked="t" coordsize="21600,21600" o:gfxdata="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PRUXpTXAAAACAEAAA8AAAAAAAAAAQAgAAAA&#10;IgAAAGRycy9kb3ducmV2LnhtbFBLAQIUABQAAAAIAIdO4kCEcnrxRQIAAF8EAAAOAAAAAAAAAAEA&#10;IAAAACYBAABkcnMvZTJvRG9jLnhtbFBLBQYAAAAABgAGAFkBAADdBQAAAAA=&#10;">
                      <v:fill on="f" focussize="0,0"/>
                      <v:stroke color="#000000" miterlimit="8" joinstyle="miter"/>
                      <v:imagedata o:title=""/>
                      <o:lock v:ext="edit" aspectratio="f"/>
                      <v:textbox inset="0mm,0mm,0mm,0mm">
                        <w:txbxContent>
                          <w:p w14:paraId="077C2937">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蒸汽灭菌器</w:t>
                            </w:r>
                          </w:p>
                        </w:txbxContent>
                      </v:textbox>
                    </v:shape>
                  </w:pict>
                </mc:Fallback>
              </mc:AlternateContent>
            </w:r>
          </w:p>
          <w:p w14:paraId="788755BC">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49376" behindDoc="0" locked="0" layoutInCell="1" allowOverlap="1">
                      <wp:simplePos x="0" y="0"/>
                      <wp:positionH relativeFrom="column">
                        <wp:posOffset>1824355</wp:posOffset>
                      </wp:positionH>
                      <wp:positionV relativeFrom="paragraph">
                        <wp:posOffset>146050</wp:posOffset>
                      </wp:positionV>
                      <wp:extent cx="213995" cy="259080"/>
                      <wp:effectExtent l="0" t="0" r="0" b="0"/>
                      <wp:wrapNone/>
                      <wp:docPr id="142" name="文本框 13067"/>
                      <wp:cNvGraphicFramePr/>
                      <a:graphic xmlns:a="http://schemas.openxmlformats.org/drawingml/2006/main">
                        <a:graphicData uri="http://schemas.microsoft.com/office/word/2010/wordprocessingShape">
                          <wps:wsp>
                            <wps:cNvSpPr txBox="1">
                              <a:spLocks noChangeArrowheads="1"/>
                            </wps:cNvSpPr>
                            <wps:spPr bwMode="auto">
                              <a:xfrm>
                                <a:off x="3342640" y="5690235"/>
                                <a:ext cx="213995" cy="259080"/>
                              </a:xfrm>
                              <a:prstGeom prst="rect">
                                <a:avLst/>
                              </a:prstGeom>
                              <a:noFill/>
                              <a:ln>
                                <a:noFill/>
                              </a:ln>
                            </wps:spPr>
                            <wps:txbx>
                              <w:txbxContent>
                                <w:p w14:paraId="5CF6A6D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43.65pt;margin-top:11.5pt;height:20.4pt;width:16.85pt;z-index:251749376;mso-width-relative:page;mso-height-relative:page;" filled="f" stroked="f" coordsize="21600,21600" o:gfxdata="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k7FNHWAAAACQEAAA8AAAAAAAAAAQAgAAAAIgAAAGRycy9kb3ducmV2LnhtbFBLAQIUABQAAAAI&#10;AIdO4kDq0NQeKAIAACYEAAAOAAAAAAAAAAEAIAAAACUBAABkcnMvZTJvRG9jLnhtbFBLBQYAAAAA&#10;BgAGAFkBAAC/BQAAAAA=&#10;">
                      <v:fill on="f" focussize="0,0"/>
                      <v:stroke on="f"/>
                      <v:imagedata o:title=""/>
                      <o:lock v:ext="edit" aspectratio="f"/>
                      <v:textbox>
                        <w:txbxContent>
                          <w:p w14:paraId="5CF6A6D9">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w:t>
                            </w:r>
                          </w:p>
                        </w:txbxContent>
                      </v:textbox>
                    </v:shape>
                  </w:pict>
                </mc:Fallback>
              </mc:AlternateContent>
            </w:r>
            <w:r>
              <w:rPr>
                <w:color w:val="auto"/>
                <w:sz w:val="21"/>
              </w:rPr>
              <mc:AlternateContent>
                <mc:Choice Requires="wps">
                  <w:drawing>
                    <wp:anchor distT="0" distB="0" distL="114300" distR="114300" simplePos="0" relativeHeight="251750400" behindDoc="0" locked="0" layoutInCell="1" allowOverlap="1">
                      <wp:simplePos x="0" y="0"/>
                      <wp:positionH relativeFrom="column">
                        <wp:posOffset>3141345</wp:posOffset>
                      </wp:positionH>
                      <wp:positionV relativeFrom="paragraph">
                        <wp:posOffset>125730</wp:posOffset>
                      </wp:positionV>
                      <wp:extent cx="571500" cy="259080"/>
                      <wp:effectExtent l="0" t="0" r="0" b="0"/>
                      <wp:wrapNone/>
                      <wp:docPr id="249" name="文本框 13067"/>
                      <wp:cNvGraphicFramePr/>
                      <a:graphic xmlns:a="http://schemas.openxmlformats.org/drawingml/2006/main">
                        <a:graphicData uri="http://schemas.microsoft.com/office/word/2010/wordprocessingShape">
                          <wps:wsp>
                            <wps:cNvSpPr txBox="1">
                              <a:spLocks noChangeArrowheads="1"/>
                            </wps:cNvSpPr>
                            <wps:spPr bwMode="auto">
                              <a:xfrm>
                                <a:off x="4659630" y="5688965"/>
                                <a:ext cx="571500" cy="259080"/>
                              </a:xfrm>
                              <a:prstGeom prst="rect">
                                <a:avLst/>
                              </a:prstGeom>
                              <a:noFill/>
                              <a:ln>
                                <a:noFill/>
                              </a:ln>
                            </wps:spPr>
                            <wps:txbx>
                              <w:txbxContent>
                                <w:p w14:paraId="2C266165">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47.35pt;margin-top:9.9pt;height:20.4pt;width:45pt;z-index:251750400;mso-width-relative:page;mso-height-relative:page;" filled="f" stroked="f" coordsize="21600,21600" o:gfxdata="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5H1yh1gAAAAkBAAAPAAAAAAAAAAEAIAAAACIAAABkcnMvZG93bnJldi54bWxQSwECFAAUAAAA&#10;CACHTuJALPHwvSkCAAAmBAAADgAAAAAAAAABACAAAAAlAQAAZHJzL2Uyb0RvYy54bWxQSwUGAAAA&#10;AAYABgBZAQAAwAUAAAAA&#10;">
                      <v:fill on="f" focussize="0,0"/>
                      <v:stroke on="f"/>
                      <v:imagedata o:title=""/>
                      <o:lock v:ext="edit" aspectratio="f"/>
                      <v:textbox>
                        <w:txbxContent>
                          <w:p w14:paraId="2C266165">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1.5</w:t>
                            </w:r>
                          </w:p>
                        </w:txbxContent>
                      </v:textbox>
                    </v:shape>
                  </w:pict>
                </mc:Fallback>
              </mc:AlternateContent>
            </w:r>
            <w:r>
              <w:rPr>
                <w:color w:val="auto"/>
                <w:sz w:val="21"/>
              </w:rPr>
              <mc:AlternateContent>
                <mc:Choice Requires="wps">
                  <w:drawing>
                    <wp:anchor distT="0" distB="0" distL="114300" distR="114300" simplePos="0" relativeHeight="251745280" behindDoc="0" locked="0" layoutInCell="1" allowOverlap="1">
                      <wp:simplePos x="0" y="0"/>
                      <wp:positionH relativeFrom="column">
                        <wp:posOffset>2435860</wp:posOffset>
                      </wp:positionH>
                      <wp:positionV relativeFrom="paragraph">
                        <wp:posOffset>86995</wp:posOffset>
                      </wp:positionV>
                      <wp:extent cx="146685" cy="128270"/>
                      <wp:effectExtent l="3810" t="0" r="1905" b="5080"/>
                      <wp:wrapNone/>
                      <wp:docPr id="145" name="任意多边形 13070"/>
                      <wp:cNvGraphicFramePr/>
                      <a:graphic xmlns:a="http://schemas.openxmlformats.org/drawingml/2006/main">
                        <a:graphicData uri="http://schemas.microsoft.com/office/word/2010/wordprocessingShape">
                          <wps:wsp>
                            <wps:cNvSpPr/>
                            <wps:spPr bwMode="auto">
                              <a:xfrm>
                                <a:off x="3954145" y="565023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56A743DD">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1.8pt;margin-top:6.85pt;height:10.1pt;width:11.55pt;z-index:251745280;mso-width-relative:page;mso-height-relative:page;" filled="f" stroked="t" coordsize="254,256" o:gfxdata="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Dx4je3VAAAACQEAAA8AAAAAAAAAAQAgAAAAIgAAAGRycy9kb3ducmV2LnhtbFBLAQIU&#10;ABQAAAAIAIdO4kCmSbWkTAMAAIsHAAAOAAAAAAAAAAEAIAAAACQBAABkcnMvZTJvRG9jLnhtbFBL&#10;BQYAAAAABgAGAFkBAADi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56A743DD">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41184" behindDoc="0" locked="0" layoutInCell="1" allowOverlap="1">
                      <wp:simplePos x="0" y="0"/>
                      <wp:positionH relativeFrom="column">
                        <wp:posOffset>2169160</wp:posOffset>
                      </wp:positionH>
                      <wp:positionV relativeFrom="paragraph">
                        <wp:posOffset>203200</wp:posOffset>
                      </wp:positionV>
                      <wp:extent cx="655320" cy="259080"/>
                      <wp:effectExtent l="4445" t="4445" r="6985" b="22225"/>
                      <wp:wrapNone/>
                      <wp:docPr id="296"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5766435"/>
                                <a:ext cx="655320" cy="259080"/>
                              </a:xfrm>
                              <a:prstGeom prst="rect">
                                <a:avLst/>
                              </a:prstGeom>
                              <a:noFill/>
                              <a:ln w="9525">
                                <a:solidFill>
                                  <a:srgbClr val="000000"/>
                                </a:solidFill>
                                <a:miter lim="800000"/>
                              </a:ln>
                            </wps:spPr>
                            <wps:txbx>
                              <w:txbxContent>
                                <w:p w14:paraId="021A7A12">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恒温恒湿室</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16pt;height:20.4pt;width:51.6pt;z-index:251741184;mso-width-relative:page;mso-height-relative:page;" filled="f" stroked="t" coordsize="21600,21600" o:gfxdata="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UBnKL2QAAAAkBAAAPAAAAAAAAAAEA&#10;IAAAACIAAABkcnMvZG93bnJldi54bWxQSwECFAAUAAAACACHTuJACjFOLEcCAABfBAAADgAAAAAA&#10;AAABACAAAAAoAQAAZHJzL2Uyb0RvYy54bWxQSwUGAAAAAAYABgBZAQAA4QUAAAAA&#10;">
                      <v:fill on="f" focussize="0,0"/>
                      <v:stroke color="#000000" miterlimit="8" joinstyle="miter"/>
                      <v:imagedata o:title=""/>
                      <o:lock v:ext="edit" aspectratio="f"/>
                      <v:textbox inset="0mm,0mm,0mm,0mm">
                        <w:txbxContent>
                          <w:p w14:paraId="021A7A12">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恒温恒湿室</w:t>
                            </w:r>
                          </w:p>
                        </w:txbxContent>
                      </v:textbox>
                    </v:shape>
                  </w:pict>
                </mc:Fallback>
              </mc:AlternateContent>
            </w:r>
          </w:p>
          <w:p w14:paraId="32C2A61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2688" behindDoc="0" locked="0" layoutInCell="1" allowOverlap="1">
                      <wp:simplePos x="0" y="0"/>
                      <wp:positionH relativeFrom="column">
                        <wp:posOffset>2465705</wp:posOffset>
                      </wp:positionH>
                      <wp:positionV relativeFrom="paragraph">
                        <wp:posOffset>173990</wp:posOffset>
                      </wp:positionV>
                      <wp:extent cx="382270" cy="234950"/>
                      <wp:effectExtent l="0" t="0" r="0" b="0"/>
                      <wp:wrapNone/>
                      <wp:docPr id="146" name="文本框 13073"/>
                      <wp:cNvGraphicFramePr/>
                      <a:graphic xmlns:a="http://schemas.openxmlformats.org/drawingml/2006/main">
                        <a:graphicData uri="http://schemas.microsoft.com/office/word/2010/wordprocessingShape">
                          <wps:wsp>
                            <wps:cNvSpPr txBox="1">
                              <a:spLocks noChangeArrowheads="1"/>
                            </wps:cNvSpPr>
                            <wps:spPr bwMode="auto">
                              <a:xfrm>
                                <a:off x="3983990" y="6016625"/>
                                <a:ext cx="382270" cy="234950"/>
                              </a:xfrm>
                              <a:prstGeom prst="rect">
                                <a:avLst/>
                              </a:prstGeom>
                              <a:noFill/>
                              <a:ln>
                                <a:noFill/>
                              </a:ln>
                            </wps:spPr>
                            <wps:txbx>
                              <w:txbxContent>
                                <w:p w14:paraId="401785D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42</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4.15pt;margin-top:13.7pt;height:18.5pt;width:30.1pt;z-index:251762688;mso-width-relative:page;mso-height-relative:page;" filled="f" stroked="f" coordsize="21600,21600" o:gfxdata="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EQkQjXAAAACQEAAA8AAAAAAAAAAQAgAAAAIgAAAGRycy9kb3ducmV2LnhtbFBLAQIUABQAAAAI&#10;AIdO4kA1wW2/JwIAACYEAAAOAAAAAAAAAAEAIAAAACYBAABkcnMvZTJvRG9jLnhtbFBLBQYAAAAA&#10;BgAGAFkBAAC/BQAAAAA=&#10;">
                      <v:fill on="f" focussize="0,0"/>
                      <v:stroke on="f"/>
                      <v:imagedata o:title=""/>
                      <o:lock v:ext="edit" aspectratio="f"/>
                      <v:textbox>
                        <w:txbxContent>
                          <w:p w14:paraId="401785D0">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42</w:t>
                            </w:r>
                          </w:p>
                        </w:txbxContent>
                      </v:textbox>
                    </v:shape>
                  </w:pict>
                </mc:Fallback>
              </mc:AlternateContent>
            </w:r>
            <w:r>
              <w:rPr>
                <w:color w:val="auto"/>
                <w:sz w:val="21"/>
              </w:rPr>
              <mc:AlternateContent>
                <mc:Choice Requires="wps">
                  <w:drawing>
                    <wp:anchor distT="0" distB="0" distL="114300" distR="114300" simplePos="0" relativeHeight="251740160" behindDoc="0" locked="0" layoutInCell="1" allowOverlap="1">
                      <wp:simplePos x="0" y="0"/>
                      <wp:positionH relativeFrom="column">
                        <wp:posOffset>1635125</wp:posOffset>
                      </wp:positionH>
                      <wp:positionV relativeFrom="paragraph">
                        <wp:posOffset>53340</wp:posOffset>
                      </wp:positionV>
                      <wp:extent cx="539750" cy="635"/>
                      <wp:effectExtent l="0" t="25400" r="12700" b="31115"/>
                      <wp:wrapNone/>
                      <wp:docPr id="148" name="直线 13051"/>
                      <wp:cNvGraphicFramePr/>
                      <a:graphic xmlns:a="http://schemas.openxmlformats.org/drawingml/2006/main">
                        <a:graphicData uri="http://schemas.microsoft.com/office/word/2010/wordprocessingShape">
                          <wps:wsp>
                            <wps:cNvCnPr/>
                            <wps:spPr bwMode="auto">
                              <a:xfrm flipV="1">
                                <a:off x="3153410" y="5895975"/>
                                <a:ext cx="53975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y;margin-left:128.75pt;margin-top:4.2pt;height:0.05pt;width:42.5pt;z-index:251740160;mso-width-relative:page;mso-height-relative:page;" filled="f" stroked="t" coordsize="21600,21600" o:gfxdata="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KClr3zVAAAABwEAAA8AAAAAAAAAAQAgAAAAIgAAAGRycy9kb3ducmV2LnhtbFBLAQIUABQAAAAI&#10;AIdO4kB+oTe38AEAALcDAAAOAAAAAAAAAAEAIAAAACQBAABkcnMvZTJvRG9jLnhtbFBLBQYAAAAA&#10;BgAGAFkBAACGBQ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39136" behindDoc="0" locked="0" layoutInCell="1" allowOverlap="1">
                      <wp:simplePos x="0" y="0"/>
                      <wp:positionH relativeFrom="column">
                        <wp:posOffset>2827655</wp:posOffset>
                      </wp:positionH>
                      <wp:positionV relativeFrom="paragraph">
                        <wp:posOffset>51435</wp:posOffset>
                      </wp:positionV>
                      <wp:extent cx="1494155" cy="635"/>
                      <wp:effectExtent l="0" t="24765" r="10795" b="31750"/>
                      <wp:wrapNone/>
                      <wp:docPr id="298" name="直线 13051"/>
                      <wp:cNvGraphicFramePr/>
                      <a:graphic xmlns:a="http://schemas.openxmlformats.org/drawingml/2006/main">
                        <a:graphicData uri="http://schemas.microsoft.com/office/word/2010/wordprocessingShape">
                          <wps:wsp>
                            <wps:cNvCnPr/>
                            <wps:spPr bwMode="auto">
                              <a:xfrm>
                                <a:off x="4345940" y="5894070"/>
                                <a:ext cx="1494155"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22.65pt;margin-top:4.05pt;height:0.05pt;width:117.65pt;z-index:251739136;mso-width-relative:page;mso-height-relative:page;" filled="f" stroked="t" coordsize="21600,21600" o:gfxdata="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Ik&#10;JmfYAAAABwEAAA8AAAAAAAAAAQAgAAAAIgAAAGRycy9kb3ducmV2LnhtbFBLAQIUABQAAAAIAIdO&#10;4kCwxUCk6gEAAK4DAAAOAAAAAAAAAAEAIAAAACcBAABkcnMvZTJvRG9jLnhtbFBLBQYAAAAABgAG&#10;AFkBAACDBQAAAAA=&#10;">
                      <v:fill on="f" focussize="0,0"/>
                      <v:stroke color="#000000" joinstyle="round" endarrow="classic" endarrowwidth="narrow" endarrowlength="short"/>
                      <v:imagedata o:title=""/>
                      <o:lock v:ext="edit" aspectratio="f"/>
                    </v:line>
                  </w:pict>
                </mc:Fallback>
              </mc:AlternateContent>
            </w:r>
          </w:p>
          <w:p w14:paraId="63EE4B01">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51424" behindDoc="0" locked="0" layoutInCell="1" allowOverlap="1">
                      <wp:simplePos x="0" y="0"/>
                      <wp:positionH relativeFrom="column">
                        <wp:posOffset>3180715</wp:posOffset>
                      </wp:positionH>
                      <wp:positionV relativeFrom="paragraph">
                        <wp:posOffset>111125</wp:posOffset>
                      </wp:positionV>
                      <wp:extent cx="492125" cy="259080"/>
                      <wp:effectExtent l="0" t="0" r="0" b="0"/>
                      <wp:wrapNone/>
                      <wp:docPr id="203" name="文本框 13074"/>
                      <wp:cNvGraphicFramePr/>
                      <a:graphic xmlns:a="http://schemas.openxmlformats.org/drawingml/2006/main">
                        <a:graphicData uri="http://schemas.microsoft.com/office/word/2010/wordprocessingShape">
                          <wps:wsp>
                            <wps:cNvSpPr txBox="1">
                              <a:spLocks noChangeArrowheads="1"/>
                            </wps:cNvSpPr>
                            <wps:spPr bwMode="auto">
                              <a:xfrm>
                                <a:off x="4699000" y="6207760"/>
                                <a:ext cx="492125" cy="259080"/>
                              </a:xfrm>
                              <a:prstGeom prst="rect">
                                <a:avLst/>
                              </a:prstGeom>
                              <a:noFill/>
                              <a:ln>
                                <a:noFill/>
                              </a:ln>
                            </wps:spPr>
                            <wps:txbx>
                              <w:txbxContent>
                                <w:p w14:paraId="2C7DFA57">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168</w:t>
                                  </w:r>
                                </w:p>
                              </w:txbxContent>
                            </wps:txbx>
                            <wps:bodyPr rot="0" vert="horz" wrap="square" lIns="91440" tIns="45720" rIns="91440" bIns="45720" anchor="t" anchorCtr="0" upright="1">
                              <a:noAutofit/>
                            </wps:bodyPr>
                          </wps:wsp>
                        </a:graphicData>
                      </a:graphic>
                    </wp:anchor>
                  </w:drawing>
                </mc:Choice>
                <mc:Fallback>
                  <w:pict>
                    <v:shape id="文本框 13074" o:spid="_x0000_s1026" o:spt="202" type="#_x0000_t202" style="position:absolute;left:0pt;margin-left:250.45pt;margin-top:8.75pt;height:20.4pt;width:38.75pt;z-index:251751424;mso-width-relative:page;mso-height-relative:page;" filled="f" stroked="f" coordsize="21600,21600" o:gfxdata="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wmq049YAAAAJAQAADwAAAAAAAAABACAAAAAiAAAAZHJzL2Rvd25yZXYueG1sUEsBAhQAFAAAAAgA&#10;h07iQFIARVgnAgAAJgQAAA4AAAAAAAAAAQAgAAAAJQEAAGRycy9lMm9Eb2MueG1sUEsFBgAAAAAG&#10;AAYAWQEAAL4FAAAAAA==&#10;">
                      <v:fill on="f" focussize="0,0"/>
                      <v:stroke on="f"/>
                      <v:imagedata o:title=""/>
                      <o:lock v:ext="edit" aspectratio="f"/>
                      <v:textbox>
                        <w:txbxContent>
                          <w:p w14:paraId="2C7DFA57">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168</w:t>
                            </w:r>
                          </w:p>
                        </w:txbxContent>
                      </v:textbox>
                    </v:shape>
                  </w:pict>
                </mc:Fallback>
              </mc:AlternateContent>
            </w:r>
            <w:r>
              <w:rPr>
                <w:color w:val="auto"/>
                <w:sz w:val="21"/>
              </w:rPr>
              <mc:AlternateContent>
                <mc:Choice Requires="wps">
                  <w:drawing>
                    <wp:anchor distT="0" distB="0" distL="114300" distR="114300" simplePos="0" relativeHeight="251755520" behindDoc="0" locked="0" layoutInCell="1" allowOverlap="1">
                      <wp:simplePos x="0" y="0"/>
                      <wp:positionH relativeFrom="column">
                        <wp:posOffset>1746250</wp:posOffset>
                      </wp:positionH>
                      <wp:positionV relativeFrom="paragraph">
                        <wp:posOffset>113665</wp:posOffset>
                      </wp:positionV>
                      <wp:extent cx="356870" cy="259080"/>
                      <wp:effectExtent l="0" t="0" r="0" b="0"/>
                      <wp:wrapNone/>
                      <wp:docPr id="149" name="文本框 13067"/>
                      <wp:cNvGraphicFramePr/>
                      <a:graphic xmlns:a="http://schemas.openxmlformats.org/drawingml/2006/main">
                        <a:graphicData uri="http://schemas.microsoft.com/office/word/2010/wordprocessingShape">
                          <wps:wsp>
                            <wps:cNvSpPr txBox="1">
                              <a:spLocks noChangeArrowheads="1"/>
                            </wps:cNvSpPr>
                            <wps:spPr bwMode="auto">
                              <a:xfrm>
                                <a:off x="3270885" y="6209030"/>
                                <a:ext cx="356870" cy="259080"/>
                              </a:xfrm>
                              <a:prstGeom prst="rect">
                                <a:avLst/>
                              </a:prstGeom>
                              <a:noFill/>
                              <a:ln>
                                <a:noFill/>
                              </a:ln>
                            </wps:spPr>
                            <wps:txbx>
                              <w:txbxContent>
                                <w:p w14:paraId="444A1E5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210</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7.5pt;margin-top:8.95pt;height:20.4pt;width:28.1pt;z-index:251755520;mso-width-relative:page;mso-height-relative:page;" filled="f" stroked="f" coordsize="21600,21600" o:gfxdata="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BGIVrdcAAAAJAQAADwAAAAAAAAABACAAAAAiAAAAZHJzL2Rvd25yZXYueG1sUEsBAhQAFAAAAAgA&#10;h07iQGIWNm8mAgAAJgQAAA4AAAAAAAAAAQAgAAAAJgEAAGRycy9lMm9Eb2MueG1sUEsFBgAAAAAG&#10;AAYAWQEAAL4FAAAAAA==&#10;">
                      <v:fill on="f" focussize="0,0"/>
                      <v:stroke on="f"/>
                      <v:imagedata o:title=""/>
                      <o:lock v:ext="edit" aspectratio="f"/>
                      <v:textbox>
                        <w:txbxContent>
                          <w:p w14:paraId="444A1E56">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210</w:t>
                            </w:r>
                          </w:p>
                        </w:txbxContent>
                      </v:textbox>
                    </v:shape>
                  </w:pict>
                </mc:Fallback>
              </mc:AlternateContent>
            </w:r>
            <w:r>
              <w:rPr>
                <w:color w:val="auto"/>
                <w:sz w:val="21"/>
              </w:rPr>
              <mc:AlternateContent>
                <mc:Choice Requires="wps">
                  <w:drawing>
                    <wp:anchor distT="0" distB="0" distL="114300" distR="114300" simplePos="0" relativeHeight="251764736" behindDoc="0" locked="0" layoutInCell="1" allowOverlap="1">
                      <wp:simplePos x="0" y="0"/>
                      <wp:positionH relativeFrom="column">
                        <wp:posOffset>2425065</wp:posOffset>
                      </wp:positionH>
                      <wp:positionV relativeFrom="paragraph">
                        <wp:posOffset>40005</wp:posOffset>
                      </wp:positionV>
                      <wp:extent cx="146685" cy="128270"/>
                      <wp:effectExtent l="3810" t="0" r="1905" b="5080"/>
                      <wp:wrapNone/>
                      <wp:docPr id="150" name="任意多边形 13070"/>
                      <wp:cNvGraphicFramePr/>
                      <a:graphic xmlns:a="http://schemas.openxmlformats.org/drawingml/2006/main">
                        <a:graphicData uri="http://schemas.microsoft.com/office/word/2010/wordprocessingShape">
                          <wps:wsp>
                            <wps:cNvSpPr/>
                            <wps:spPr bwMode="auto">
                              <a:xfrm>
                                <a:off x="3943350" y="6162040"/>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73059358">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90.95pt;margin-top:3.15pt;height:10.1pt;width:11.55pt;z-index:251764736;mso-width-relative:page;mso-height-relative:page;" filled="f" stroked="t" coordsize="254,256" o:gfxdata="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A0550LWAAAACAEAAA8AAAAAAAAAAQAgAAAAIgAAAGRycy9kb3ducmV2LnhtbFBLAQIUABQA&#10;AAAIAIdO4kB1j6JmSAMAAIsHAAAOAAAAAAAAAAEAIAAAACUBAABkcnMvZTJvRG9jLnhtbFBLBQYA&#10;AAAABgAGAFkBAADfBg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73059358">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43232" behindDoc="0" locked="0" layoutInCell="1" allowOverlap="1">
                      <wp:simplePos x="0" y="0"/>
                      <wp:positionH relativeFrom="column">
                        <wp:posOffset>2169160</wp:posOffset>
                      </wp:positionH>
                      <wp:positionV relativeFrom="paragraph">
                        <wp:posOffset>163830</wp:posOffset>
                      </wp:positionV>
                      <wp:extent cx="826770" cy="259080"/>
                      <wp:effectExtent l="4445" t="4445" r="6985" b="22225"/>
                      <wp:wrapNone/>
                      <wp:docPr id="152"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6285865"/>
                                <a:ext cx="826770" cy="259080"/>
                              </a:xfrm>
                              <a:prstGeom prst="rect">
                                <a:avLst/>
                              </a:prstGeom>
                              <a:noFill/>
                              <a:ln w="9525">
                                <a:solidFill>
                                  <a:srgbClr val="000000"/>
                                </a:solidFill>
                                <a:miter lim="800000"/>
                              </a:ln>
                            </wps:spPr>
                            <wps:txbx>
                              <w:txbxContent>
                                <w:p w14:paraId="1127AB1C">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地面清洗</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12.9pt;height:20.4pt;width:65.1pt;z-index:251743232;mso-width-relative:page;mso-height-relative:page;" filled="f" stroked="t" coordsize="21600,21600" o:gfxdata="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FM/SKXZAAAACQEAAA8AAAAAAAAAAQAg&#10;AAAAIgAAAGRycy9kb3ducmV2LnhtbFBLAQIUABQAAAAIAIdO4kBKuxQgRgIAAF8EAAAOAAAAAAAA&#10;AAEAIAAAACgBAABkcnMvZTJvRG9jLnhtbFBLBQYAAAAABgAGAFkBAADgBQAAAAA=&#10;">
                      <v:fill on="f" focussize="0,0"/>
                      <v:stroke color="#000000" miterlimit="8" joinstyle="miter"/>
                      <v:imagedata o:title=""/>
                      <o:lock v:ext="edit" aspectratio="f"/>
                      <v:textbox inset="0mm,0mm,0mm,0mm">
                        <w:txbxContent>
                          <w:p w14:paraId="1127AB1C">
                            <w:pPr>
                              <w:spacing w:line="340" w:lineRule="exact"/>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地面清洗</w:t>
                            </w:r>
                          </w:p>
                        </w:txbxContent>
                      </v:textbox>
                    </v:shape>
                  </w:pict>
                </mc:Fallback>
              </mc:AlternateContent>
            </w:r>
          </w:p>
          <w:p w14:paraId="18F34F15">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5760" behindDoc="0" locked="0" layoutInCell="1" allowOverlap="1">
                      <wp:simplePos x="0" y="0"/>
                      <wp:positionH relativeFrom="column">
                        <wp:posOffset>3003550</wp:posOffset>
                      </wp:positionH>
                      <wp:positionV relativeFrom="paragraph">
                        <wp:posOffset>19050</wp:posOffset>
                      </wp:positionV>
                      <wp:extent cx="1313815" cy="2540"/>
                      <wp:effectExtent l="0" t="22860" r="635" b="31750"/>
                      <wp:wrapNone/>
                      <wp:docPr id="153" name="直线 13051"/>
                      <wp:cNvGraphicFramePr/>
                      <a:graphic xmlns:a="http://schemas.openxmlformats.org/drawingml/2006/main">
                        <a:graphicData uri="http://schemas.microsoft.com/office/word/2010/wordprocessingShape">
                          <wps:wsp>
                            <wps:cNvCnPr/>
                            <wps:spPr bwMode="auto">
                              <a:xfrm>
                                <a:off x="4521835" y="6420485"/>
                                <a:ext cx="131381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36.5pt;margin-top:1.5pt;height:0.2pt;width:103.45pt;z-index:251765760;mso-width-relative:page;mso-height-relative:page;" filled="f" stroked="t" coordsize="21600,21600" o:gfxdata="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5RpONNkAAAAHAQAADwAAAAAAAAABACAAAAAiAAAAZHJzL2Rvd25yZXYueG1sUEsBAhQAFAAAAAgA&#10;h07iQD9CPyLrAQAArwMAAA4AAAAAAAAAAQAgAAAAKAEAAGRycy9lMm9Eb2MueG1sUEsFBgAAAAAG&#10;AAYAWQEAAIU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63712" behindDoc="0" locked="0" layoutInCell="1" allowOverlap="1">
                      <wp:simplePos x="0" y="0"/>
                      <wp:positionH relativeFrom="column">
                        <wp:posOffset>2358390</wp:posOffset>
                      </wp:positionH>
                      <wp:positionV relativeFrom="paragraph">
                        <wp:posOffset>267970</wp:posOffset>
                      </wp:positionV>
                      <wp:extent cx="146685" cy="128270"/>
                      <wp:effectExtent l="3810" t="0" r="1905" b="5080"/>
                      <wp:wrapNone/>
                      <wp:docPr id="154" name="任意多边形 13070"/>
                      <wp:cNvGraphicFramePr/>
                      <a:graphic xmlns:a="http://schemas.openxmlformats.org/drawingml/2006/main">
                        <a:graphicData uri="http://schemas.microsoft.com/office/word/2010/wordprocessingShape">
                          <wps:wsp>
                            <wps:cNvSpPr/>
                            <wps:spPr bwMode="auto">
                              <a:xfrm>
                                <a:off x="3876675" y="6669405"/>
                                <a:ext cx="146685" cy="128270"/>
                              </a:xfrm>
                              <a:custGeom>
                                <a:avLst/>
                                <a:gdLst>
                                  <a:gd name="T0" fmla="*/ 0 w 254"/>
                                  <a:gd name="T1" fmla="*/ 256 h 256"/>
                                  <a:gd name="T2" fmla="*/ 135 w 254"/>
                                  <a:gd name="T3" fmla="*/ 51 h 256"/>
                                  <a:gd name="T4" fmla="*/ 134 w 254"/>
                                  <a:gd name="T5" fmla="*/ 180 h 256"/>
                                  <a:gd name="T6" fmla="*/ 254 w 254"/>
                                  <a:gd name="T7" fmla="*/ 0 h 256"/>
                                </a:gdLst>
                                <a:ahLst/>
                                <a:cxnLst>
                                  <a:cxn ang="0">
                                    <a:pos x="T0" y="T1"/>
                                  </a:cxn>
                                  <a:cxn ang="0">
                                    <a:pos x="T2" y="T3"/>
                                  </a:cxn>
                                  <a:cxn ang="0">
                                    <a:pos x="T4" y="T5"/>
                                  </a:cxn>
                                  <a:cxn ang="0">
                                    <a:pos x="T6" y="T7"/>
                                  </a:cxn>
                                </a:cxnLst>
                                <a:rect l="0" t="0" r="r" b="b"/>
                                <a:pathLst>
                                  <a:path w="254" h="256">
                                    <a:moveTo>
                                      <a:pt x="0" y="256"/>
                                    </a:moveTo>
                                    <a:lnTo>
                                      <a:pt x="135" y="51"/>
                                    </a:lnTo>
                                    <a:lnTo>
                                      <a:pt x="134" y="180"/>
                                    </a:lnTo>
                                    <a:lnTo>
                                      <a:pt x="254" y="0"/>
                                    </a:lnTo>
                                  </a:path>
                                </a:pathLst>
                              </a:custGeom>
                              <a:noFill/>
                              <a:ln w="6350" cap="flat" cmpd="sng">
                                <a:solidFill>
                                  <a:srgbClr val="000000"/>
                                </a:solidFill>
                                <a:prstDash val="solid"/>
                                <a:round/>
                                <a:tailEnd type="stealth" w="sm" len="sm"/>
                              </a:ln>
                              <a:effectLst/>
                            </wps:spPr>
                            <wps:txbx>
                              <w:txbxContent>
                                <w:p w14:paraId="722962CB">
                                  <w:pPr>
                                    <w:jc w:val="center"/>
                                    <w:rPr>
                                      <w:rFonts w:hint="default" w:ascii="Times New Roman" w:hAnsi="Times New Roman" w:eastAsia="宋体" w:cs="Times New Roman"/>
                                    </w:rPr>
                                  </w:pPr>
                                </w:p>
                              </w:txbxContent>
                            </wps:txbx>
                            <wps:bodyPr rot="0" vert="horz" wrap="square" lIns="91440" tIns="45720" rIns="91440" bIns="45720" anchor="t" anchorCtr="0" upright="1">
                              <a:noAutofit/>
                            </wps:bodyPr>
                          </wps:wsp>
                        </a:graphicData>
                      </a:graphic>
                    </wp:anchor>
                  </w:drawing>
                </mc:Choice>
                <mc:Fallback>
                  <w:pict>
                    <v:shape id="任意多边形 13070" o:spid="_x0000_s1026" o:spt="100" style="position:absolute;left:0pt;margin-left:185.7pt;margin-top:21.1pt;height:10.1pt;width:11.55pt;z-index:251763712;mso-width-relative:page;mso-height-relative:page;" filled="f" stroked="t" coordsize="254,256" o:gfxdata="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bYQuS9cAAAAJAQAADwAAAAAAAAABACAAAAAiAAAAZHJzL2Rvd25yZXYu&#10;eG1sUEsBAhQAFAAAAAgAh07iQOQOEeBSAwAAiwcAAA4AAAAAAAAAAQAgAAAAJgEAAGRycy9lMm9E&#10;b2MueG1sUEsFBgAAAAAGAAYAWQEAAOoGAAAAAA==&#10;" path="m0,256l135,51,134,180,254,0e">
                      <v:path textboxrect="0,0,254,256" o:connectlocs="0,128270;77962,25553;77385,90189;146685,0" o:connectangles="0,0,0,0"/>
                      <v:fill on="f" focussize="0,0"/>
                      <v:stroke weight="0.5pt" color="#000000" joinstyle="round" endarrow="classic" endarrowwidth="narrow" endarrowlength="short"/>
                      <v:imagedata o:title=""/>
                      <o:lock v:ext="edit" aspectratio="f"/>
                      <v:textbox>
                        <w:txbxContent>
                          <w:p w14:paraId="722962CB">
                            <w:pPr>
                              <w:jc w:val="center"/>
                              <w:rPr>
                                <w:rFonts w:hint="default" w:ascii="Times New Roman" w:hAnsi="Times New Roman" w:eastAsia="宋体" w:cs="Times New Roman"/>
                              </w:rPr>
                            </w:pPr>
                          </w:p>
                        </w:txbxContent>
                      </v:textbox>
                    </v:shape>
                  </w:pict>
                </mc:Fallback>
              </mc:AlternateContent>
            </w:r>
            <w:r>
              <w:rPr>
                <w:color w:val="auto"/>
                <w:sz w:val="21"/>
              </w:rPr>
              <mc:AlternateContent>
                <mc:Choice Requires="wps">
                  <w:drawing>
                    <wp:anchor distT="0" distB="0" distL="114300" distR="114300" simplePos="0" relativeHeight="251761664" behindDoc="0" locked="0" layoutInCell="1" allowOverlap="1">
                      <wp:simplePos x="0" y="0"/>
                      <wp:positionH relativeFrom="column">
                        <wp:posOffset>2425065</wp:posOffset>
                      </wp:positionH>
                      <wp:positionV relativeFrom="paragraph">
                        <wp:posOffset>150495</wp:posOffset>
                      </wp:positionV>
                      <wp:extent cx="377190" cy="259080"/>
                      <wp:effectExtent l="0" t="0" r="0" b="0"/>
                      <wp:wrapNone/>
                      <wp:docPr id="158" name="文本框 13073"/>
                      <wp:cNvGraphicFramePr/>
                      <a:graphic xmlns:a="http://schemas.openxmlformats.org/drawingml/2006/main">
                        <a:graphicData uri="http://schemas.microsoft.com/office/word/2010/wordprocessingShape">
                          <wps:wsp>
                            <wps:cNvSpPr txBox="1">
                              <a:spLocks noChangeArrowheads="1"/>
                            </wps:cNvSpPr>
                            <wps:spPr bwMode="auto">
                              <a:xfrm>
                                <a:off x="3943350" y="6551930"/>
                                <a:ext cx="377190" cy="259080"/>
                              </a:xfrm>
                              <a:prstGeom prst="rect">
                                <a:avLst/>
                              </a:prstGeom>
                              <a:noFill/>
                              <a:ln>
                                <a:noFill/>
                              </a:ln>
                            </wps:spPr>
                            <wps:txbx>
                              <w:txbxContent>
                                <w:p w14:paraId="6094E1A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w:t>
                                  </w:r>
                                  <w:r>
                                    <w:rPr>
                                      <w:rFonts w:hint="eastAsia" w:ascii="Times New Roman" w:hAnsi="Times New Roman" w:eastAsia="宋体" w:cs="Times New Roman"/>
                                      <w:sz w:val="18"/>
                                      <w:szCs w:val="18"/>
                                      <w:lang w:val="en-US" w:eastAsia="zh-CN"/>
                                    </w:rPr>
                                    <w:t>85</w:t>
                                  </w:r>
                                </w:p>
                              </w:txbxContent>
                            </wps:txbx>
                            <wps:bodyPr rot="0" vert="horz" wrap="square" lIns="91440" tIns="45720" rIns="91440" bIns="45720" anchor="t" anchorCtr="0" upright="1">
                              <a:noAutofit/>
                            </wps:bodyPr>
                          </wps:wsp>
                        </a:graphicData>
                      </a:graphic>
                    </wp:anchor>
                  </w:drawing>
                </mc:Choice>
                <mc:Fallback>
                  <w:pict>
                    <v:shape id="文本框 13073" o:spid="_x0000_s1026" o:spt="202" type="#_x0000_t202" style="position:absolute;left:0pt;margin-left:190.95pt;margin-top:11.85pt;height:20.4pt;width:29.7pt;z-index:251761664;mso-width-relative:page;mso-height-relative:page;" filled="f" stroked="f" coordsize="21600,21600" o:gfxdata="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DQ5kwTYAAAACQEAAA8AAAAAAAAAAQAgAAAAIgAAAGRycy9kb3ducmV2LnhtbFBLAQIUABQAAAAI&#10;AIdO4kDT3WxeJgIAACYEAAAOAAAAAAAAAAEAIAAAACcBAABkcnMvZTJvRG9jLnhtbFBLBQYAAAAA&#10;BgAGAFkBAAC/BQAAAAA=&#10;">
                      <v:fill on="f" focussize="0,0"/>
                      <v:stroke on="f"/>
                      <v:imagedata o:title=""/>
                      <o:lock v:ext="edit" aspectratio="f"/>
                      <v:textbox>
                        <w:txbxContent>
                          <w:p w14:paraId="6094E1AE">
                            <w:pPr>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w:t>
                            </w:r>
                            <w:r>
                              <w:rPr>
                                <w:rFonts w:hint="eastAsia" w:ascii="Times New Roman" w:hAnsi="Times New Roman" w:eastAsia="宋体" w:cs="Times New Roman"/>
                                <w:sz w:val="18"/>
                                <w:szCs w:val="18"/>
                                <w:lang w:val="en-US" w:eastAsia="zh-CN"/>
                              </w:rPr>
                              <w:t>85</w:t>
                            </w:r>
                          </w:p>
                        </w:txbxContent>
                      </v:textbox>
                    </v:shape>
                  </w:pict>
                </mc:Fallback>
              </mc:AlternateContent>
            </w:r>
            <w:r>
              <w:rPr>
                <w:color w:val="auto"/>
                <w:sz w:val="21"/>
              </w:rPr>
              <mc:AlternateContent>
                <mc:Choice Requires="wps">
                  <w:drawing>
                    <wp:anchor distT="0" distB="0" distL="114300" distR="114300" simplePos="0" relativeHeight="251748352" behindDoc="0" locked="0" layoutInCell="1" allowOverlap="1">
                      <wp:simplePos x="0" y="0"/>
                      <wp:positionH relativeFrom="column">
                        <wp:posOffset>507365</wp:posOffset>
                      </wp:positionH>
                      <wp:positionV relativeFrom="paragraph">
                        <wp:posOffset>14605</wp:posOffset>
                      </wp:positionV>
                      <wp:extent cx="1656080" cy="635"/>
                      <wp:effectExtent l="0" t="24765" r="1270" b="31750"/>
                      <wp:wrapNone/>
                      <wp:docPr id="176" name="直线 13051"/>
                      <wp:cNvGraphicFramePr/>
                      <a:graphic xmlns:a="http://schemas.openxmlformats.org/drawingml/2006/main">
                        <a:graphicData uri="http://schemas.microsoft.com/office/word/2010/wordprocessingShape">
                          <wps:wsp>
                            <wps:cNvCnPr/>
                            <wps:spPr bwMode="auto">
                              <a:xfrm>
                                <a:off x="2025650" y="641604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9.95pt;margin-top:1.15pt;height:0.05pt;width:130.4pt;z-index:251748352;mso-width-relative:page;mso-height-relative:page;" filled="f" stroked="t" coordsize="21600,21600" o:gfxdata="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kEoNPX&#10;AAAABgEAAA8AAAAAAAAAAQAgAAAAIgAAAGRycy9kb3ducmV2LnhtbFBLAQIUABQAAAAIAIdO4kCM&#10;XOVp6AEAAK4DAAAOAAAAAAAAAAEAIAAAACYBAABkcnMvZTJvRG9jLnhtbFBLBQYAAAAABgAGAFkB&#10;AACABQAAAAA=&#10;">
                      <v:fill on="f" focussize="0,0"/>
                      <v:stroke color="#000000" joinstyle="round" endarrow="classic" endarrowwidth="narrow" endarrowlength="short"/>
                      <v:imagedata o:title=""/>
                      <o:lock v:ext="edit" aspectratio="f"/>
                    </v:line>
                  </w:pict>
                </mc:Fallback>
              </mc:AlternateContent>
            </w:r>
          </w:p>
          <w:p w14:paraId="72699018">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58592" behindDoc="0" locked="0" layoutInCell="1" allowOverlap="1">
                      <wp:simplePos x="0" y="0"/>
                      <wp:positionH relativeFrom="column">
                        <wp:posOffset>3180715</wp:posOffset>
                      </wp:positionH>
                      <wp:positionV relativeFrom="paragraph">
                        <wp:posOffset>48895</wp:posOffset>
                      </wp:positionV>
                      <wp:extent cx="492125" cy="259080"/>
                      <wp:effectExtent l="0" t="0" r="0" b="0"/>
                      <wp:wrapNone/>
                      <wp:docPr id="178" name="文本框 13074"/>
                      <wp:cNvGraphicFramePr/>
                      <a:graphic xmlns:a="http://schemas.openxmlformats.org/drawingml/2006/main">
                        <a:graphicData uri="http://schemas.microsoft.com/office/word/2010/wordprocessingShape">
                          <wps:wsp>
                            <wps:cNvSpPr txBox="1">
                              <a:spLocks noChangeArrowheads="1"/>
                            </wps:cNvSpPr>
                            <wps:spPr bwMode="auto">
                              <a:xfrm>
                                <a:off x="4699000" y="6710680"/>
                                <a:ext cx="492125" cy="259080"/>
                              </a:xfrm>
                              <a:prstGeom prst="rect">
                                <a:avLst/>
                              </a:prstGeom>
                              <a:noFill/>
                              <a:ln>
                                <a:noFill/>
                              </a:ln>
                            </wps:spPr>
                            <wps:txbx>
                              <w:txbxContent>
                                <w:p w14:paraId="46F46DED">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1140</w:t>
                                  </w:r>
                                </w:p>
                              </w:txbxContent>
                            </wps:txbx>
                            <wps:bodyPr rot="0" vert="horz" wrap="square" lIns="91440" tIns="45720" rIns="91440" bIns="45720" anchor="t" anchorCtr="0" upright="1">
                              <a:noAutofit/>
                            </wps:bodyPr>
                          </wps:wsp>
                        </a:graphicData>
                      </a:graphic>
                    </wp:anchor>
                  </w:drawing>
                </mc:Choice>
                <mc:Fallback>
                  <w:pict>
                    <v:shape id="文本框 13074" o:spid="_x0000_s1026" o:spt="202" type="#_x0000_t202" style="position:absolute;left:0pt;margin-left:250.45pt;margin-top:3.85pt;height:20.4pt;width:38.75pt;z-index:251758592;mso-width-relative:page;mso-height-relative:page;" filled="f" stroked="f" coordsize="21600,21600" o:gfxdata="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NBh&#10;CvbWAAAACAEAAA8AAAAAAAAAAQAgAAAAIgAAAGRycy9kb3ducmV2LnhtbFBLAQIUABQAAAAIAIdO&#10;4kCSS+zyJQIAACYEAAAOAAAAAAAAAAEAIAAAACUBAABkcnMvZTJvRG9jLnhtbFBLBQYAAAAABgAG&#10;AFkBAAC8BQAAAAA=&#10;">
                      <v:fill on="f" focussize="0,0"/>
                      <v:stroke on="f"/>
                      <v:imagedata o:title=""/>
                      <o:lock v:ext="edit" aspectratio="f"/>
                      <v:textbox>
                        <w:txbxContent>
                          <w:p w14:paraId="46F46DED">
                            <w:pPr>
                              <w:jc w:val="center"/>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1140</w:t>
                            </w:r>
                          </w:p>
                        </w:txbxContent>
                      </v:textbox>
                    </v:shape>
                  </w:pict>
                </mc:Fallback>
              </mc:AlternateContent>
            </w:r>
            <w:r>
              <w:rPr>
                <w:color w:val="auto"/>
                <w:sz w:val="21"/>
              </w:rPr>
              <mc:AlternateContent>
                <mc:Choice Requires="wps">
                  <w:drawing>
                    <wp:anchor distT="0" distB="0" distL="114300" distR="114300" simplePos="0" relativeHeight="251759616" behindDoc="0" locked="0" layoutInCell="1" allowOverlap="1">
                      <wp:simplePos x="0" y="0"/>
                      <wp:positionH relativeFrom="column">
                        <wp:posOffset>1701165</wp:posOffset>
                      </wp:positionH>
                      <wp:positionV relativeFrom="paragraph">
                        <wp:posOffset>40005</wp:posOffset>
                      </wp:positionV>
                      <wp:extent cx="419100" cy="259080"/>
                      <wp:effectExtent l="0" t="0" r="0" b="0"/>
                      <wp:wrapNone/>
                      <wp:docPr id="177" name="文本框 13067"/>
                      <wp:cNvGraphicFramePr/>
                      <a:graphic xmlns:a="http://schemas.openxmlformats.org/drawingml/2006/main">
                        <a:graphicData uri="http://schemas.microsoft.com/office/word/2010/wordprocessingShape">
                          <wps:wsp>
                            <wps:cNvSpPr txBox="1">
                              <a:spLocks noChangeArrowheads="1"/>
                            </wps:cNvSpPr>
                            <wps:spPr bwMode="auto">
                              <a:xfrm>
                                <a:off x="3239770" y="6685915"/>
                                <a:ext cx="419100" cy="259080"/>
                              </a:xfrm>
                              <a:prstGeom prst="rect">
                                <a:avLst/>
                              </a:prstGeom>
                              <a:noFill/>
                              <a:ln>
                                <a:noFill/>
                              </a:ln>
                            </wps:spPr>
                            <wps:txbx>
                              <w:txbxContent>
                                <w:p w14:paraId="67F8174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425</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133.95pt;margin-top:3.15pt;height:20.4pt;width:33pt;z-index:251759616;mso-width-relative:page;mso-height-relative:page;" filled="f" stroked="f" coordsize="21600,21600" o:gfxdata="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IeiDMrWAAAACAEAAA8AAAAAAAAAAQAgAAAAIgAAAGRycy9kb3ducmV2LnhtbFBLAQIUABQAAAAI&#10;AIdO4kAORWLAKAIAACYEAAAOAAAAAAAAAAEAIAAAACUBAABkcnMvZTJvRG9jLnhtbFBLBQYAAAAA&#10;BgAGAFkBAAC/BQAAAAA=&#10;">
                      <v:fill on="f" focussize="0,0"/>
                      <v:stroke on="f"/>
                      <v:imagedata o:title=""/>
                      <o:lock v:ext="edit" aspectratio="f"/>
                      <v:textbox>
                        <w:txbxContent>
                          <w:p w14:paraId="67F8174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425</w:t>
                            </w:r>
                          </w:p>
                        </w:txbxContent>
                      </v:textbox>
                    </v:shape>
                  </w:pict>
                </mc:Fallback>
              </mc:AlternateContent>
            </w:r>
            <w:r>
              <w:rPr>
                <w:color w:val="auto"/>
                <w:sz w:val="21"/>
              </w:rPr>
              <mc:AlternateContent>
                <mc:Choice Requires="wps">
                  <w:drawing>
                    <wp:anchor distT="0" distB="0" distL="114300" distR="114300" simplePos="0" relativeHeight="251760640" behindDoc="0" locked="0" layoutInCell="1" allowOverlap="1">
                      <wp:simplePos x="0" y="0"/>
                      <wp:positionH relativeFrom="column">
                        <wp:posOffset>3003550</wp:posOffset>
                      </wp:positionH>
                      <wp:positionV relativeFrom="paragraph">
                        <wp:posOffset>231140</wp:posOffset>
                      </wp:positionV>
                      <wp:extent cx="1313815" cy="2540"/>
                      <wp:effectExtent l="0" t="22860" r="635" b="31750"/>
                      <wp:wrapNone/>
                      <wp:docPr id="179" name="直线 13051"/>
                      <wp:cNvGraphicFramePr/>
                      <a:graphic xmlns:a="http://schemas.openxmlformats.org/drawingml/2006/main">
                        <a:graphicData uri="http://schemas.microsoft.com/office/word/2010/wordprocessingShape">
                          <wps:wsp>
                            <wps:cNvCnPr/>
                            <wps:spPr bwMode="auto">
                              <a:xfrm>
                                <a:off x="4521835" y="6911975"/>
                                <a:ext cx="1313815" cy="2540"/>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236.5pt;margin-top:18.2pt;height:0.2pt;width:103.45pt;z-index:251760640;mso-width-relative:page;mso-height-relative:page;" filled="f" stroked="t" coordsize="21600,21600" o:gfxdata="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zSblzNsAAAAJAQAADwAAAAAAAAABACAAAAAiAAAAZHJzL2Rvd25yZXYueG1sUEsBAhQAFAAA&#10;AAgAh07iQGW3IxDsAQAArwMAAA4AAAAAAAAAAQAgAAAAKgEAAGRycy9lMm9Eb2MueG1sUEsFBgAA&#10;AAAGAAYAWQEAAIgFA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7568" behindDoc="0" locked="0" layoutInCell="1" allowOverlap="1">
                      <wp:simplePos x="0" y="0"/>
                      <wp:positionH relativeFrom="column">
                        <wp:posOffset>506730</wp:posOffset>
                      </wp:positionH>
                      <wp:positionV relativeFrom="paragraph">
                        <wp:posOffset>226695</wp:posOffset>
                      </wp:positionV>
                      <wp:extent cx="1656080" cy="635"/>
                      <wp:effectExtent l="0" t="24765" r="1270" b="31750"/>
                      <wp:wrapNone/>
                      <wp:docPr id="181" name="直线 13051"/>
                      <wp:cNvGraphicFramePr/>
                      <a:graphic xmlns:a="http://schemas.openxmlformats.org/drawingml/2006/main">
                        <a:graphicData uri="http://schemas.microsoft.com/office/word/2010/wordprocessingShape">
                          <wps:wsp>
                            <wps:cNvCnPr/>
                            <wps:spPr bwMode="auto">
                              <a:xfrm>
                                <a:off x="2025015" y="6907530"/>
                                <a:ext cx="165608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margin-left:39.9pt;margin-top:17.85pt;height:0.05pt;width:130.4pt;z-index:251757568;mso-width-relative:page;mso-height-relative:page;" filled="f" stroked="t" coordsize="21600,21600" o:gfxdata="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b&#10;B2/+2gAAAAgBAAAPAAAAAAAAAAEAIAAAACIAAABkcnMvZG93bnJldi54bWxQSwECFAAUAAAACACH&#10;TuJA26qxeekBAACuAwAADgAAAAAAAAABACAAAAApAQAAZHJzL2Uyb0RvYy54bWxQSwUGAAAAAAYA&#10;BgBZAQAAhAUAAAAA&#10;">
                      <v:fill on="f" focussize="0,0"/>
                      <v:stroke color="#000000" joinstyle="round" endarrow="classic" endarrowwidth="narrow" endarrowlength="short"/>
                      <v:imagedata o:title=""/>
                      <o:lock v:ext="edit" aspectratio="f"/>
                    </v:line>
                  </w:pict>
                </mc:Fallback>
              </mc:AlternateContent>
            </w:r>
            <w:r>
              <w:rPr>
                <w:color w:val="auto"/>
                <w:sz w:val="21"/>
              </w:rPr>
              <mc:AlternateContent>
                <mc:Choice Requires="wps">
                  <w:drawing>
                    <wp:anchor distT="0" distB="0" distL="114300" distR="114300" simplePos="0" relativeHeight="251756544" behindDoc="0" locked="0" layoutInCell="1" allowOverlap="1">
                      <wp:simplePos x="0" y="0"/>
                      <wp:positionH relativeFrom="column">
                        <wp:posOffset>2169160</wp:posOffset>
                      </wp:positionH>
                      <wp:positionV relativeFrom="paragraph">
                        <wp:posOffset>102870</wp:posOffset>
                      </wp:positionV>
                      <wp:extent cx="826770" cy="259080"/>
                      <wp:effectExtent l="4445" t="4445" r="6985" b="22225"/>
                      <wp:wrapNone/>
                      <wp:docPr id="183" name="文本框 13052"/>
                      <wp:cNvGraphicFramePr/>
                      <a:graphic xmlns:a="http://schemas.openxmlformats.org/drawingml/2006/main">
                        <a:graphicData uri="http://schemas.microsoft.com/office/word/2010/wordprocessingShape">
                          <wps:wsp>
                            <wps:cNvSpPr txBox="1">
                              <a:spLocks noChangeArrowheads="1"/>
                            </wps:cNvSpPr>
                            <wps:spPr bwMode="auto">
                              <a:xfrm>
                                <a:off x="3687445" y="6783705"/>
                                <a:ext cx="826770" cy="259080"/>
                              </a:xfrm>
                              <a:prstGeom prst="rect">
                                <a:avLst/>
                              </a:prstGeom>
                              <a:noFill/>
                              <a:ln w="9525">
                                <a:solidFill>
                                  <a:srgbClr val="000000"/>
                                </a:solidFill>
                                <a:miter lim="800000"/>
                              </a:ln>
                            </wps:spPr>
                            <wps:txbx>
                              <w:txbxContent>
                                <w:p w14:paraId="2B56DC4E">
                                  <w:pPr>
                                    <w:spacing w:line="340" w:lineRule="exact"/>
                                    <w:jc w:val="center"/>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职工生活</w:t>
                                  </w:r>
                                </w:p>
                              </w:txbxContent>
                            </wps:txbx>
                            <wps:bodyPr rot="0" vert="horz" wrap="square" lIns="0" tIns="0" rIns="0" bIns="0" anchor="t" anchorCtr="0" upright="1">
                              <a:noAutofit/>
                            </wps:bodyPr>
                          </wps:wsp>
                        </a:graphicData>
                      </a:graphic>
                    </wp:anchor>
                  </w:drawing>
                </mc:Choice>
                <mc:Fallback>
                  <w:pict>
                    <v:shape id="文本框 13052" o:spid="_x0000_s1026" o:spt="202" type="#_x0000_t202" style="position:absolute;left:0pt;margin-left:170.8pt;margin-top:8.1pt;height:20.4pt;width:65.1pt;z-index:251756544;mso-width-relative:page;mso-height-relative:page;" filled="f" stroked="t" coordsize="21600,21600" o:gfxdata="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KesVLDZAAAACQEAAA8AAAAAAAAAAQAg&#10;AAAAIgAAAGRycy9kb3ducmV2LnhtbFBLAQIUABQAAAAIAIdO4kAIJHnoRgIAAF8EAAAOAAAAAAAA&#10;AAEAIAAAACgBAABkcnMvZTJvRG9jLnhtbFBLBQYAAAAABgAGAFkBAADgBQAAAAA=&#10;">
                      <v:fill on="f" focussize="0,0"/>
                      <v:stroke color="#000000" miterlimit="8" joinstyle="miter"/>
                      <v:imagedata o:title=""/>
                      <o:lock v:ext="edit" aspectratio="f"/>
                      <v:textbox inset="0mm,0mm,0mm,0mm">
                        <w:txbxContent>
                          <w:p w14:paraId="2B56DC4E">
                            <w:pPr>
                              <w:spacing w:line="340" w:lineRule="exact"/>
                              <w:jc w:val="center"/>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职工生活</w:t>
                            </w:r>
                          </w:p>
                        </w:txbxContent>
                      </v:textbox>
                    </v:shape>
                  </w:pict>
                </mc:Fallback>
              </mc:AlternateContent>
            </w:r>
          </w:p>
          <w:p w14:paraId="04B4355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69856" behindDoc="0" locked="0" layoutInCell="1" allowOverlap="1">
                      <wp:simplePos x="0" y="0"/>
                      <wp:positionH relativeFrom="column">
                        <wp:posOffset>2750820</wp:posOffset>
                      </wp:positionH>
                      <wp:positionV relativeFrom="paragraph">
                        <wp:posOffset>182245</wp:posOffset>
                      </wp:positionV>
                      <wp:extent cx="939165" cy="372110"/>
                      <wp:effectExtent l="0" t="0" r="0" b="0"/>
                      <wp:wrapNone/>
                      <wp:docPr id="186" name="文本框 13067"/>
                      <wp:cNvGraphicFramePr/>
                      <a:graphic xmlns:a="http://schemas.openxmlformats.org/drawingml/2006/main">
                        <a:graphicData uri="http://schemas.microsoft.com/office/word/2010/wordprocessingShape">
                          <wps:wsp>
                            <wps:cNvSpPr txBox="1">
                              <a:spLocks noChangeArrowheads="1"/>
                            </wps:cNvSpPr>
                            <wps:spPr bwMode="auto">
                              <a:xfrm>
                                <a:off x="5374005" y="7701280"/>
                                <a:ext cx="939165" cy="372110"/>
                              </a:xfrm>
                              <a:prstGeom prst="rect">
                                <a:avLst/>
                              </a:prstGeom>
                              <a:noFill/>
                              <a:ln>
                                <a:noFill/>
                              </a:ln>
                            </wps:spPr>
                            <wps:txbx>
                              <w:txbxContent>
                                <w:p w14:paraId="4346F8FC">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迁安市</w:t>
                                  </w:r>
                                </w:p>
                                <w:p w14:paraId="0AA56A50">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污水处理厂</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16.6pt;margin-top:14.35pt;height:29.3pt;width:73.95pt;z-index:251769856;mso-width-relative:page;mso-height-relative:page;" filled="f" stroked="f" coordsize="21600,21600" o:gfxdata="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EC2x7XAAAACQEAAA8AAAAAAAAAAQAgAAAAIgAAAGRycy9kb3ducmV2LnhtbFBLAQIUABQAAAAI&#10;AIdO4kAb83m7JwIAACYEAAAOAAAAAAAAAAEAIAAAACYBAABkcnMvZTJvRG9jLnhtbFBLBQYAAAAA&#10;BgAGAFkBAAC/BQAAAAA=&#10;">
                      <v:fill on="f" focussize="0,0"/>
                      <v:stroke on="f"/>
                      <v:imagedata o:title=""/>
                      <o:lock v:ext="edit" aspectratio="f"/>
                      <v:textbox>
                        <w:txbxContent>
                          <w:p w14:paraId="4346F8FC">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迁安市</w:t>
                            </w:r>
                          </w:p>
                          <w:p w14:paraId="0AA56A50">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污水处理厂</w:t>
                            </w:r>
                          </w:p>
                        </w:txbxContent>
                      </v:textbox>
                    </v:shape>
                  </w:pict>
                </mc:Fallback>
              </mc:AlternateContent>
            </w:r>
            <w:r>
              <w:rPr>
                <w:color w:val="auto"/>
                <w:sz w:val="21"/>
              </w:rPr>
              <mc:AlternateContent>
                <mc:Choice Requires="wps">
                  <w:drawing>
                    <wp:anchor distT="0" distB="0" distL="114300" distR="114300" simplePos="0" relativeHeight="251778048" behindDoc="0" locked="0" layoutInCell="1" allowOverlap="1">
                      <wp:simplePos x="0" y="0"/>
                      <wp:positionH relativeFrom="column">
                        <wp:posOffset>3427095</wp:posOffset>
                      </wp:positionH>
                      <wp:positionV relativeFrom="paragraph">
                        <wp:posOffset>189230</wp:posOffset>
                      </wp:positionV>
                      <wp:extent cx="648970" cy="212090"/>
                      <wp:effectExtent l="0" t="0" r="0" b="0"/>
                      <wp:wrapNone/>
                      <wp:docPr id="184" name="文本框 13067"/>
                      <wp:cNvGraphicFramePr/>
                      <a:graphic xmlns:a="http://schemas.openxmlformats.org/drawingml/2006/main">
                        <a:graphicData uri="http://schemas.microsoft.com/office/word/2010/wordprocessingShape">
                          <wps:wsp>
                            <wps:cNvSpPr txBox="1">
                              <a:spLocks noChangeArrowheads="1"/>
                            </wps:cNvSpPr>
                            <wps:spPr bwMode="auto">
                              <a:xfrm>
                                <a:off x="5783580" y="7495540"/>
                                <a:ext cx="648970" cy="212090"/>
                              </a:xfrm>
                              <a:prstGeom prst="rect">
                                <a:avLst/>
                              </a:prstGeom>
                              <a:noFill/>
                              <a:ln>
                                <a:noFill/>
                              </a:ln>
                            </wps:spPr>
                            <wps:txbx>
                              <w:txbxContent>
                                <w:p w14:paraId="63ADA67F">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269.85pt;margin-top:14.9pt;height:16.7pt;width:51.1pt;z-index:251778048;mso-width-relative:page;mso-height-relative:page;" filled="f" stroked="f" coordsize="21600,21600" o:gfxdata="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hhIOzXAAAACQEAAA8AAAAAAAAAAQAgAAAAIgAAAGRycy9kb3ducmV2LnhtbFBLAQIUABQAAAAI&#10;AIdO4kDMnfT0JwIAACYEAAAOAAAAAAAAAAEAIAAAACYBAABkcnMvZTJvRG9jLnhtbFBLBQYAAAAA&#10;BgAGAFkBAAC/BQAAAAA=&#10;">
                      <v:fill on="f" focussize="0,0"/>
                      <v:stroke on="f"/>
                      <v:imagedata o:title=""/>
                      <o:lock v:ext="edit" aspectratio="f"/>
                      <v:textbox>
                        <w:txbxContent>
                          <w:p w14:paraId="63ADA67F">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v:textbox>
                    </v:shape>
                  </w:pict>
                </mc:Fallback>
              </mc:AlternateContent>
            </w:r>
            <w:r>
              <w:rPr>
                <w:color w:val="auto"/>
                <w:sz w:val="21"/>
              </w:rPr>
              <mc:AlternateContent>
                <mc:Choice Requires="wps">
                  <w:drawing>
                    <wp:anchor distT="0" distB="0" distL="114300" distR="114300" simplePos="0" relativeHeight="251777024" behindDoc="0" locked="0" layoutInCell="1" allowOverlap="1">
                      <wp:simplePos x="0" y="0"/>
                      <wp:positionH relativeFrom="column">
                        <wp:posOffset>4261485</wp:posOffset>
                      </wp:positionH>
                      <wp:positionV relativeFrom="paragraph">
                        <wp:posOffset>43815</wp:posOffset>
                      </wp:positionV>
                      <wp:extent cx="648970" cy="212090"/>
                      <wp:effectExtent l="0" t="0" r="0" b="0"/>
                      <wp:wrapNone/>
                      <wp:docPr id="366" name="文本框 13067"/>
                      <wp:cNvGraphicFramePr/>
                      <a:graphic xmlns:a="http://schemas.openxmlformats.org/drawingml/2006/main">
                        <a:graphicData uri="http://schemas.microsoft.com/office/word/2010/wordprocessingShape">
                          <wps:wsp>
                            <wps:cNvSpPr txBox="1">
                              <a:spLocks noChangeArrowheads="1"/>
                            </wps:cNvSpPr>
                            <wps:spPr bwMode="auto">
                              <a:xfrm>
                                <a:off x="5779770" y="7004050"/>
                                <a:ext cx="648970" cy="212090"/>
                              </a:xfrm>
                              <a:prstGeom prst="rect">
                                <a:avLst/>
                              </a:prstGeom>
                              <a:noFill/>
                              <a:ln>
                                <a:noFill/>
                              </a:ln>
                            </wps:spPr>
                            <wps:txbx>
                              <w:txbxContent>
                                <w:p w14:paraId="0DFE152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wps:txbx>
                            <wps:bodyPr rot="0" vert="horz" wrap="square" lIns="91440" tIns="45720" rIns="91440" bIns="45720" anchor="t" anchorCtr="0" upright="1">
                              <a:noAutofit/>
                            </wps:bodyPr>
                          </wps:wsp>
                        </a:graphicData>
                      </a:graphic>
                    </wp:anchor>
                  </w:drawing>
                </mc:Choice>
                <mc:Fallback>
                  <w:pict>
                    <v:shape id="文本框 13067" o:spid="_x0000_s1026" o:spt="202" type="#_x0000_t202" style="position:absolute;left:0pt;margin-left:335.55pt;margin-top:3.45pt;height:16.7pt;width:51.1pt;z-index:251777024;mso-width-relative:page;mso-height-relative:page;" filled="f" stroked="f" coordsize="21600,21600" o:gfxdata="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T36GSdYAAAAIAQAADwAAAAAAAAABACAAAAAiAAAAZHJzL2Rvd25yZXYueG1sUEsBAhQAFAAAAAgA&#10;h07iQE8D3KsnAgAAJgQAAA4AAAAAAAAAAQAgAAAAJQEAAGRycy9lMm9Eb2MueG1sUEsFBgAAAAAG&#10;AAYAWQEAAL4FAAAAAA==&#10;">
                      <v:fill on="f" focussize="0,0"/>
                      <v:stroke on="f"/>
                      <v:imagedata o:title=""/>
                      <o:lock v:ext="edit" aspectratio="f"/>
                      <v:textbox>
                        <w:txbxContent>
                          <w:p w14:paraId="0DFE1522">
                            <w:pPr>
                              <w:jc w:val="center"/>
                              <w:rPr>
                                <w:rFonts w:hint="default"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1</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433.214</w:t>
                            </w:r>
                          </w:p>
                        </w:txbxContent>
                      </v:textbox>
                    </v:shape>
                  </w:pict>
                </mc:Fallback>
              </mc:AlternateContent>
            </w:r>
            <w:r>
              <w:rPr>
                <w:color w:val="auto"/>
                <w:sz w:val="21"/>
              </w:rPr>
              <mc:AlternateContent>
                <mc:Choice Requires="wps">
                  <w:drawing>
                    <wp:anchor distT="0" distB="0" distL="114300" distR="114300" simplePos="0" relativeHeight="251768832" behindDoc="0" locked="0" layoutInCell="1" allowOverlap="1">
                      <wp:simplePos x="0" y="0"/>
                      <wp:positionH relativeFrom="column">
                        <wp:posOffset>3977640</wp:posOffset>
                      </wp:positionH>
                      <wp:positionV relativeFrom="paragraph">
                        <wp:posOffset>242570</wp:posOffset>
                      </wp:positionV>
                      <wp:extent cx="695325" cy="236220"/>
                      <wp:effectExtent l="4445" t="5080" r="5080" b="6350"/>
                      <wp:wrapNone/>
                      <wp:docPr id="182" name="文本框 13052"/>
                      <wp:cNvGraphicFramePr/>
                      <a:graphic xmlns:a="http://schemas.openxmlformats.org/drawingml/2006/main">
                        <a:graphicData uri="http://schemas.microsoft.com/office/word/2010/wordprocessingShape">
                          <wps:wsp>
                            <wps:cNvSpPr txBox="1">
                              <a:spLocks noChangeArrowheads="1"/>
                            </wps:cNvSpPr>
                            <wps:spPr bwMode="auto">
                              <a:xfrm>
                                <a:off x="5495925" y="7202805"/>
                                <a:ext cx="695325" cy="236220"/>
                              </a:xfrm>
                              <a:prstGeom prst="rect">
                                <a:avLst/>
                              </a:prstGeom>
                              <a:noFill/>
                              <a:ln w="9525">
                                <a:solidFill>
                                  <a:srgbClr val="000000"/>
                                </a:solidFill>
                                <a:miter lim="800000"/>
                              </a:ln>
                            </wps:spPr>
                            <wps:txbx>
                              <w:txbxContent>
                                <w:p w14:paraId="224F480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化粪池</w:t>
                                  </w:r>
                                </w:p>
                              </w:txbxContent>
                            </wps:txbx>
                            <wps:bodyPr rot="0" vert="horz" wrap="square" lIns="0" tIns="0" rIns="0" bIns="0" anchor="ctr" anchorCtr="0" upright="1">
                              <a:noAutofit/>
                            </wps:bodyPr>
                          </wps:wsp>
                        </a:graphicData>
                      </a:graphic>
                    </wp:anchor>
                  </w:drawing>
                </mc:Choice>
                <mc:Fallback>
                  <w:pict>
                    <v:shape id="文本框 13052" o:spid="_x0000_s1026" o:spt="202" type="#_x0000_t202" style="position:absolute;left:0pt;margin-left:313.2pt;margin-top:19.1pt;height:18.6pt;width:54.75pt;z-index:251768832;v-text-anchor:middle;mso-width-relative:page;mso-height-relative:page;" filled="f" stroked="t" coordsize="21600,21600" o:gfxdata="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zu4dz2QAAAAkBAAAPAAAAAAAAAAEAIAAA&#10;ACIAAABkcnMvZG93bnJldi54bWxQSwECFAAUAAAACACHTuJARgq3tkQCAABhBAAADgAAAAAAAAAB&#10;ACAAAAAoAQAAZHJzL2Uyb0RvYy54bWxQSwUGAAAAAAYABgBZAQAA3gUAAAAA&#10;">
                      <v:fill on="f" focussize="0,0"/>
                      <v:stroke color="#000000" miterlimit="8" joinstyle="miter"/>
                      <v:imagedata o:title=""/>
                      <o:lock v:ext="edit" aspectratio="f"/>
                      <v:textbox inset="0mm,0mm,0mm,0mm">
                        <w:txbxContent>
                          <w:p w14:paraId="224F480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化粪池</w:t>
                            </w:r>
                          </w:p>
                        </w:txbxContent>
                      </v:textbox>
                    </v:shape>
                  </w:pict>
                </mc:Fallback>
              </mc:AlternateContent>
            </w:r>
          </w:p>
          <w:p w14:paraId="452E1D67">
            <w:pPr>
              <w:pStyle w:val="22"/>
              <w:adjustRightInd w:val="0"/>
              <w:snapToGrid w:val="0"/>
              <w:spacing w:before="0" w:beforeAutospacing="0" w:after="0" w:afterAutospacing="0" w:line="440" w:lineRule="exact"/>
              <w:ind w:firstLine="420" w:firstLineChars="200"/>
              <w:rPr>
                <w:rFonts w:hint="eastAsia" w:ascii="Times New Roman" w:hAnsi="Times New Roman" w:cs="Times New Roman"/>
                <w:b/>
                <w:color w:val="auto"/>
                <w:sz w:val="21"/>
                <w:szCs w:val="21"/>
                <w:highlight w:val="none"/>
                <w:lang w:val="en-US" w:eastAsia="zh-CN"/>
              </w:rPr>
            </w:pPr>
            <w:r>
              <w:rPr>
                <w:color w:val="auto"/>
                <w:sz w:val="21"/>
              </w:rPr>
              <mc:AlternateContent>
                <mc:Choice Requires="wps">
                  <w:drawing>
                    <wp:anchor distT="0" distB="0" distL="114300" distR="114300" simplePos="0" relativeHeight="251774976" behindDoc="0" locked="0" layoutInCell="1" allowOverlap="1">
                      <wp:simplePos x="0" y="0"/>
                      <wp:positionH relativeFrom="column">
                        <wp:posOffset>3494405</wp:posOffset>
                      </wp:positionH>
                      <wp:positionV relativeFrom="paragraph">
                        <wp:posOffset>83185</wp:posOffset>
                      </wp:positionV>
                      <wp:extent cx="492760" cy="635"/>
                      <wp:effectExtent l="0" t="24765" r="2540" b="31750"/>
                      <wp:wrapNone/>
                      <wp:docPr id="185" name="直线 13051"/>
                      <wp:cNvGraphicFramePr/>
                      <a:graphic xmlns:a="http://schemas.openxmlformats.org/drawingml/2006/main">
                        <a:graphicData uri="http://schemas.microsoft.com/office/word/2010/wordprocessingShape">
                          <wps:wsp>
                            <wps:cNvCnPr/>
                            <wps:spPr bwMode="auto">
                              <a:xfrm flipH="1">
                                <a:off x="5705475" y="7595235"/>
                                <a:ext cx="492760" cy="635"/>
                              </a:xfrm>
                              <a:prstGeom prst="line">
                                <a:avLst/>
                              </a:prstGeom>
                              <a:noFill/>
                              <a:ln w="9525">
                                <a:solidFill>
                                  <a:srgbClr val="000000"/>
                                </a:solidFill>
                                <a:round/>
                                <a:tailEnd type="stealth" w="sm" len="sm"/>
                              </a:ln>
                            </wps:spPr>
                            <wps:bodyPr/>
                          </wps:wsp>
                        </a:graphicData>
                      </a:graphic>
                    </wp:anchor>
                  </w:drawing>
                </mc:Choice>
                <mc:Fallback>
                  <w:pict>
                    <v:line id="直线 13051" o:spid="_x0000_s1026" o:spt="20" style="position:absolute;left:0pt;flip:x;margin-left:275.15pt;margin-top:6.55pt;height:0.05pt;width:38.8pt;z-index:251774976;mso-width-relative:page;mso-height-relative:page;" filled="f" stroked="t" coordsize="21600,21600" o:gfxdata="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M1lcI2AAAAAkBAAAPAAAAAAAAAAEAIAAAACIAAABkcnMvZG93bnJldi54bWxQSwECFAAU&#10;AAAACACHTuJAv9cABfEBAAC3AwAADgAAAAAAAAABACAAAAAnAQAAZHJzL2Uyb0RvYy54bWxQSwUG&#10;AAAAAAYABgBZAQAAigUAAAAA&#10;">
                      <v:fill on="f" focussize="0,0"/>
                      <v:stroke color="#000000" joinstyle="round" endarrow="classic" endarrowwidth="narrow" endarrowlength="short"/>
                      <v:imagedata o:title=""/>
                      <o:lock v:ext="edit" aspectratio="f"/>
                    </v:line>
                  </w:pict>
                </mc:Fallback>
              </mc:AlternateContent>
            </w:r>
          </w:p>
          <w:p w14:paraId="092B02AA">
            <w:pPr>
              <w:tabs>
                <w:tab w:val="left" w:pos="4253"/>
              </w:tabs>
              <w:spacing w:line="480" w:lineRule="exact"/>
              <w:jc w:val="center"/>
              <w:rPr>
                <w:rFonts w:hint="eastAsia" w:eastAsia="宋体"/>
                <w:b/>
                <w:color w:val="auto"/>
                <w:szCs w:val="21"/>
                <w:highlight w:val="none"/>
                <w:lang w:val="en-US" w:eastAsia="zh-CN" w:bidi="ar"/>
              </w:rPr>
            </w:pPr>
            <w:r>
              <w:rPr>
                <w:rFonts w:hint="eastAsia"/>
                <w:b/>
                <w:color w:val="auto"/>
                <w:szCs w:val="21"/>
                <w:highlight w:val="none"/>
                <w:lang w:bidi="ar"/>
              </w:rPr>
              <w:t>图</w:t>
            </w:r>
            <w:r>
              <w:rPr>
                <w:rFonts w:hint="eastAsia"/>
                <w:b/>
                <w:color w:val="auto"/>
                <w:szCs w:val="21"/>
                <w:highlight w:val="none"/>
                <w:lang w:val="en-US" w:eastAsia="zh-CN" w:bidi="ar"/>
              </w:rPr>
              <w:t>1</w:t>
            </w:r>
            <w:r>
              <w:rPr>
                <w:rFonts w:hint="eastAsia"/>
                <w:b/>
                <w:color w:val="auto"/>
                <w:szCs w:val="21"/>
                <w:highlight w:val="none"/>
                <w:lang w:bidi="ar"/>
              </w:rPr>
              <w:t xml:space="preserve">  拟建项目水平衡图         单位：m</w:t>
            </w:r>
            <w:r>
              <w:rPr>
                <w:rFonts w:hint="eastAsia"/>
                <w:b/>
                <w:color w:val="auto"/>
                <w:szCs w:val="21"/>
                <w:highlight w:val="none"/>
                <w:vertAlign w:val="superscript"/>
                <w:lang w:bidi="ar"/>
              </w:rPr>
              <w:t>3</w:t>
            </w:r>
            <w:r>
              <w:rPr>
                <w:rFonts w:hint="eastAsia"/>
                <w:b/>
                <w:color w:val="auto"/>
                <w:szCs w:val="21"/>
                <w:highlight w:val="none"/>
                <w:lang w:bidi="ar"/>
              </w:rPr>
              <w:t>/</w:t>
            </w:r>
            <w:r>
              <w:rPr>
                <w:rFonts w:hint="eastAsia"/>
                <w:b/>
                <w:color w:val="auto"/>
                <w:szCs w:val="21"/>
                <w:highlight w:val="none"/>
                <w:lang w:val="en-US" w:eastAsia="zh-CN" w:bidi="ar"/>
              </w:rPr>
              <w:t>a</w:t>
            </w:r>
          </w:p>
          <w:p w14:paraId="5BC7B4A6">
            <w:pPr>
              <w:pStyle w:val="22"/>
              <w:numPr>
                <w:ilvl w:val="0"/>
                <w:numId w:val="2"/>
              </w:numPr>
              <w:adjustRightInd w:val="0"/>
              <w:snapToGrid w:val="0"/>
              <w:spacing w:before="0" w:beforeAutospacing="0" w:after="0" w:afterAutospacing="0" w:line="440" w:lineRule="exact"/>
              <w:ind w:left="0" w:leftChars="0"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供热</w:t>
            </w:r>
            <w:r>
              <w:rPr>
                <w:rFonts w:hint="eastAsia"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rPr>
              <w:t>项目实验过程中采用电加热，</w:t>
            </w:r>
            <w:r>
              <w:rPr>
                <w:rFonts w:hint="eastAsia" w:ascii="Times New Roman" w:hAnsi="Times New Roman" w:eastAsia="宋体" w:cs="Times New Roman"/>
                <w:color w:val="auto"/>
                <w:sz w:val="21"/>
                <w:szCs w:val="21"/>
                <w:highlight w:val="none"/>
                <w:lang w:val="en-US" w:eastAsia="zh-CN"/>
              </w:rPr>
              <w:t>办公室冬天采暖由迁安市热力公司提供</w:t>
            </w:r>
            <w:r>
              <w:rPr>
                <w:rFonts w:hint="eastAsia" w:ascii="Times New Roman" w:hAnsi="Times New Roman" w:eastAsia="宋体" w:cs="Times New Roman"/>
                <w:color w:val="auto"/>
                <w:sz w:val="21"/>
                <w:szCs w:val="21"/>
                <w:highlight w:val="none"/>
              </w:rPr>
              <w:t>。</w:t>
            </w:r>
          </w:p>
          <w:p w14:paraId="777B1FC8">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（3）</w:t>
            </w:r>
            <w:r>
              <w:rPr>
                <w:rFonts w:hint="default" w:ascii="Times New Roman" w:hAnsi="Times New Roman" w:eastAsia="宋体" w:cs="Times New Roman"/>
                <w:color w:val="auto"/>
                <w:sz w:val="21"/>
                <w:szCs w:val="21"/>
                <w:highlight w:val="none"/>
              </w:rPr>
              <w:t>供电</w:t>
            </w:r>
            <w:r>
              <w:rPr>
                <w:rFonts w:hint="eastAsia"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rPr>
              <w:t>项目用电由迁安市供电局电网统一供给，项目不设变压器，年用电量1</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万kWh。</w:t>
            </w:r>
          </w:p>
          <w:p w14:paraId="7915C755">
            <w:pPr>
              <w:pStyle w:val="22"/>
              <w:adjustRightInd w:val="0"/>
              <w:snapToGrid w:val="0"/>
              <w:spacing w:before="0" w:beforeAutospacing="0" w:after="0" w:afterAutospacing="0" w:line="440" w:lineRule="exact"/>
              <w:ind w:firstLine="422" w:firstLineChars="200"/>
              <w:rPr>
                <w:b/>
                <w:bCs/>
                <w:color w:val="auto"/>
                <w:sz w:val="21"/>
                <w:szCs w:val="21"/>
                <w:highlight w:val="none"/>
              </w:rPr>
            </w:pPr>
            <w:r>
              <w:rPr>
                <w:rFonts w:hint="eastAsia" w:ascii="Times New Roman" w:hAnsi="Times New Roman"/>
                <w:b/>
                <w:bCs/>
                <w:color w:val="auto"/>
                <w:sz w:val="21"/>
                <w:szCs w:val="21"/>
                <w:highlight w:val="none"/>
                <w:lang w:val="en-US" w:eastAsia="zh-CN"/>
              </w:rPr>
              <w:t>8.</w:t>
            </w:r>
            <w:r>
              <w:rPr>
                <w:rFonts w:hint="eastAsia"/>
                <w:b/>
                <w:bCs/>
                <w:color w:val="auto"/>
                <w:sz w:val="21"/>
                <w:szCs w:val="21"/>
                <w:highlight w:val="none"/>
              </w:rPr>
              <w:t>劳动定员</w:t>
            </w:r>
            <w:r>
              <w:rPr>
                <w:b/>
                <w:bCs/>
                <w:color w:val="auto"/>
                <w:sz w:val="21"/>
                <w:szCs w:val="21"/>
                <w:highlight w:val="none"/>
              </w:rPr>
              <w:t>及工作制度</w:t>
            </w:r>
          </w:p>
          <w:p w14:paraId="06E4D7B6">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项目劳动定员</w:t>
            </w:r>
            <w:r>
              <w:rPr>
                <w:rFonts w:hint="eastAsia" w:ascii="Times New Roman" w:hAnsi="Times New Roman" w:cs="Times New Roman"/>
                <w:color w:val="auto"/>
                <w:sz w:val="21"/>
                <w:szCs w:val="21"/>
                <w:highlight w:val="none"/>
                <w:lang w:val="en-US" w:eastAsia="zh-CN"/>
              </w:rPr>
              <w:t>95</w:t>
            </w:r>
            <w:r>
              <w:rPr>
                <w:rFonts w:hint="default" w:ascii="Times New Roman" w:hAnsi="Times New Roman" w:eastAsia="宋体" w:cs="Times New Roman"/>
                <w:color w:val="auto"/>
                <w:sz w:val="21"/>
                <w:szCs w:val="21"/>
                <w:highlight w:val="none"/>
              </w:rPr>
              <w:t>人。员工均不在厂内食宿，全年工作300天，每天一班，每班8小时，夜间不生产。</w:t>
            </w:r>
          </w:p>
          <w:p w14:paraId="585F238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bCs/>
                <w:color w:val="auto"/>
                <w:sz w:val="21"/>
                <w:szCs w:val="21"/>
                <w:highlight w:val="none"/>
              </w:rPr>
            </w:pPr>
            <w:r>
              <w:rPr>
                <w:rFonts w:hint="eastAsia" w:ascii="Times New Roman" w:hAnsi="Times New Roman"/>
                <w:b/>
                <w:bCs/>
                <w:color w:val="auto"/>
                <w:sz w:val="21"/>
                <w:szCs w:val="21"/>
                <w:highlight w:val="none"/>
                <w:lang w:val="en-US" w:eastAsia="zh-CN"/>
              </w:rPr>
              <w:t>9.</w:t>
            </w:r>
            <w:r>
              <w:rPr>
                <w:rFonts w:hint="eastAsia" w:ascii="Times New Roman" w:hAnsi="Times New Roman"/>
                <w:b/>
                <w:color w:val="auto"/>
                <w:sz w:val="21"/>
                <w:szCs w:val="21"/>
                <w:highlight w:val="none"/>
                <w:lang w:val="en-US" w:eastAsia="zh-CN"/>
              </w:rPr>
              <w:t>拟建</w:t>
            </w:r>
            <w:r>
              <w:rPr>
                <w:rFonts w:hint="eastAsia"/>
                <w:b/>
                <w:bCs/>
                <w:color w:val="auto"/>
                <w:sz w:val="21"/>
                <w:szCs w:val="21"/>
                <w:highlight w:val="none"/>
              </w:rPr>
              <w:t>项目平面布置及周边关系</w:t>
            </w:r>
          </w:p>
          <w:p w14:paraId="44847D1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项目位置</w:t>
            </w:r>
          </w:p>
          <w:p w14:paraId="1248479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项目位于迁安市永顺街道昌盛路与兴安大街交叉口620号，厂区地理中心坐标为</w:t>
            </w:r>
            <w:r>
              <w:rPr>
                <w:rFonts w:hint="eastAsia" w:ascii="Times New Roman" w:hAnsi="Times New Roman" w:cs="Times New Roman"/>
                <w:color w:val="auto"/>
                <w:sz w:val="21"/>
                <w:szCs w:val="21"/>
                <w:highlight w:val="none"/>
                <w:lang w:val="en-US" w:eastAsia="zh-CN"/>
              </w:rPr>
              <w:t>北纬40°0′48.911″，东经118°41′28.106″</w:t>
            </w:r>
            <w:r>
              <w:rPr>
                <w:rFonts w:hint="eastAsia" w:ascii="Times New Roman" w:hAnsi="Times New Roman" w:eastAsia="宋体" w:cs="Times New Roman"/>
                <w:color w:val="auto"/>
                <w:sz w:val="21"/>
                <w:szCs w:val="21"/>
                <w:highlight w:val="none"/>
                <w:lang w:val="en-US" w:eastAsia="zh-CN"/>
              </w:rPr>
              <w:t>。项目北侧为四通检测公司；东侧为昌盛路，隔路为空地；南侧为兴安大街，隔路为玛格定制；西侧为新华书店；距离项目最近的敏感点为</w:t>
            </w:r>
            <w:r>
              <w:rPr>
                <w:rFonts w:hint="eastAsia" w:ascii="Times New Roman" w:hAnsi="Times New Roman" w:cs="Times New Roman"/>
                <w:color w:val="auto"/>
                <w:sz w:val="21"/>
                <w:szCs w:val="21"/>
                <w:highlight w:val="none"/>
                <w:lang w:val="en-US" w:eastAsia="zh-CN"/>
              </w:rPr>
              <w:t>西南侧80</w:t>
            </w:r>
            <w:r>
              <w:rPr>
                <w:rFonts w:hint="eastAsia" w:ascii="Times New Roman" w:hAnsi="Times New Roman" w:eastAsia="宋体" w:cs="Times New Roman"/>
                <w:color w:val="auto"/>
                <w:sz w:val="21"/>
                <w:szCs w:val="21"/>
                <w:highlight w:val="none"/>
                <w:lang w:val="en-US" w:eastAsia="zh-CN"/>
              </w:rPr>
              <w:t>m处的</w:t>
            </w:r>
            <w:r>
              <w:rPr>
                <w:rFonts w:hint="eastAsia" w:ascii="Times New Roman" w:hAnsi="Times New Roman" w:cs="Times New Roman"/>
                <w:color w:val="auto"/>
                <w:sz w:val="21"/>
                <w:szCs w:val="21"/>
                <w:highlight w:val="none"/>
                <w:lang w:val="en-US" w:eastAsia="zh-CN"/>
              </w:rPr>
              <w:t>建设</w:t>
            </w:r>
            <w:r>
              <w:rPr>
                <w:rFonts w:hint="eastAsia" w:ascii="Times New Roman" w:hAnsi="Times New Roman" w:eastAsia="宋体" w:cs="Times New Roman"/>
                <w:color w:val="auto"/>
                <w:sz w:val="21"/>
                <w:szCs w:val="21"/>
                <w:highlight w:val="none"/>
                <w:lang w:val="en-US" w:eastAsia="zh-CN"/>
              </w:rPr>
              <w:t>村，项目地理位置见附图1，周边关系图见附图2。</w:t>
            </w:r>
          </w:p>
          <w:p w14:paraId="36A4CC0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平面布置</w:t>
            </w:r>
          </w:p>
          <w:p w14:paraId="229E681E">
            <w:pPr>
              <w:spacing w:line="440" w:lineRule="exact"/>
              <w:ind w:firstLine="420" w:firstLineChars="200"/>
              <w:rPr>
                <w:rFonts w:hint="eastAsia"/>
                <w:color w:val="auto"/>
                <w:sz w:val="21"/>
                <w:szCs w:val="21"/>
                <w:highlight w:val="yellow"/>
              </w:rPr>
            </w:pPr>
            <w:r>
              <w:rPr>
                <w:rFonts w:hint="eastAsia" w:ascii="Times New Roman" w:hAnsi="Times New Roman" w:eastAsia="宋体" w:cs="Times New Roman"/>
                <w:color w:val="auto"/>
                <w:kern w:val="0"/>
                <w:sz w:val="21"/>
                <w:szCs w:val="21"/>
                <w:highlight w:val="none"/>
                <w:lang w:val="en-US" w:eastAsia="zh-CN" w:bidi="ar-SA"/>
              </w:rPr>
              <w:t>项目租用迁安市昌盛路与兴安大街交叉口620号5层的商业服务楼，1层为现场设备室；2层为理化一室、理化二室、原子吸收室、原子荧光室、制水间、高温室、药品室、离子色谱室等；3层为风干室、破碎间、有机前处理室、天平室、危废间、气质室、气相室、挥发前处理室、样品配置室等；4层为预留设备室；5层为会议室、办公室、打印室等办公区；具体平面布置见附图3。</w:t>
            </w:r>
          </w:p>
        </w:tc>
      </w:tr>
      <w:tr w14:paraId="0F133B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1" w:hRule="atLeast"/>
          <w:jc w:val="center"/>
        </w:trPr>
        <w:tc>
          <w:tcPr>
            <w:tcW w:w="823" w:type="dxa"/>
            <w:vAlign w:val="center"/>
          </w:tcPr>
          <w:p w14:paraId="7C0DEEDD">
            <w:pPr>
              <w:pStyle w:val="22"/>
              <w:adjustRightInd w:val="0"/>
              <w:snapToGrid w:val="0"/>
              <w:spacing w:before="0" w:beforeAutospacing="0" w:after="0" w:afterAutospacing="0"/>
              <w:jc w:val="center"/>
              <w:rPr>
                <w:rFonts w:cs="宋体"/>
                <w:color w:val="auto"/>
                <w:sz w:val="21"/>
                <w:szCs w:val="21"/>
                <w:highlight w:val="none"/>
              </w:rPr>
            </w:pPr>
            <w:r>
              <w:rPr>
                <w:rFonts w:hint="eastAsia" w:cs="宋体"/>
                <w:color w:val="auto"/>
                <w:sz w:val="21"/>
                <w:szCs w:val="21"/>
                <w:highlight w:val="none"/>
              </w:rPr>
              <w:t>工艺流程和产排污环节</w:t>
            </w:r>
          </w:p>
        </w:tc>
        <w:tc>
          <w:tcPr>
            <w:tcW w:w="8161" w:type="dxa"/>
          </w:tcPr>
          <w:p w14:paraId="39AB8C5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cs="Times New Roman"/>
                <w:b/>
                <w:bCs/>
                <w:color w:val="auto"/>
                <w:sz w:val="21"/>
                <w:szCs w:val="21"/>
                <w:highlight w:val="none"/>
                <w:lang w:eastAsia="zh-CN"/>
              </w:rPr>
            </w:pPr>
            <w:r>
              <w:rPr>
                <w:rFonts w:hint="eastAsia" w:ascii="Times New Roman" w:hAnsi="Times New Roman" w:cs="Times New Roman"/>
                <w:b/>
                <w:bCs/>
                <w:color w:val="auto"/>
                <w:sz w:val="21"/>
                <w:szCs w:val="21"/>
                <w:highlight w:val="none"/>
                <w:lang w:eastAsia="zh-CN"/>
              </w:rPr>
              <w:t>1.工艺流程简介</w:t>
            </w:r>
          </w:p>
          <w:p w14:paraId="4F330F6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 xml:space="preserve">1.1实验室样品检测基本流程 </w:t>
            </w:r>
          </w:p>
          <w:p w14:paraId="412C3B8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首先拟定检测方案，按照方案组织实施，依据方案进行现场采样及现场检测，样品交接后对样品进行处理，根据各类实验结果进行样品分析，接着进行质量控制，最后计算、编制报告、发送报告。项目检测工艺及产污节点流程图详见图2。</w:t>
            </w:r>
          </w:p>
          <w:p w14:paraId="5F53C71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80" w:firstLineChars="200"/>
              <w:textAlignment w:val="auto"/>
              <w:rPr>
                <w:rFonts w:hint="eastAsia" w:ascii="Times New Roman" w:hAnsi="Times New Roman" w:cs="Times New Roman"/>
                <w:color w:val="auto"/>
                <w:sz w:val="21"/>
                <w:szCs w:val="21"/>
                <w:highlight w:val="none"/>
                <w:lang w:val="en-US" w:eastAsia="zh-CN"/>
              </w:rPr>
            </w:pPr>
            <w:r>
              <w:rPr>
                <w:color w:val="auto"/>
                <w:sz w:val="24"/>
              </w:rPr>
              <mc:AlternateContent>
                <mc:Choice Requires="wps">
                  <w:drawing>
                    <wp:anchor distT="0" distB="0" distL="114300" distR="114300" simplePos="0" relativeHeight="251663360" behindDoc="0" locked="0" layoutInCell="1" allowOverlap="1">
                      <wp:simplePos x="0" y="0"/>
                      <wp:positionH relativeFrom="column">
                        <wp:posOffset>3689350</wp:posOffset>
                      </wp:positionH>
                      <wp:positionV relativeFrom="paragraph">
                        <wp:posOffset>40640</wp:posOffset>
                      </wp:positionV>
                      <wp:extent cx="1114425" cy="337185"/>
                      <wp:effectExtent l="0" t="0" r="0" b="0"/>
                      <wp:wrapNone/>
                      <wp:docPr id="37" name="矩形 37"/>
                      <wp:cNvGraphicFramePr/>
                      <a:graphic xmlns:a="http://schemas.openxmlformats.org/drawingml/2006/main">
                        <a:graphicData uri="http://schemas.microsoft.com/office/word/2010/wordprocessingShape">
                          <wps:wsp>
                            <wps:cNvSpPr/>
                            <wps:spPr>
                              <a:xfrm>
                                <a:off x="2779395" y="1431290"/>
                                <a:ext cx="1114425" cy="337185"/>
                              </a:xfrm>
                              <a:prstGeom prst="rect">
                                <a:avLst/>
                              </a:prstGeom>
                              <a:noFill/>
                              <a:ln>
                                <a:noFill/>
                              </a:ln>
                            </wps:spPr>
                            <wps:txbx>
                              <w:txbxContent>
                                <w:p w14:paraId="1ED80A91">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r>
                                    <w:rPr>
                                      <w:rFonts w:hint="eastAsia"/>
                                      <w:spacing w:val="-20"/>
                                      <w:sz w:val="18"/>
                                      <w:szCs w:val="18"/>
                                    </w:rPr>
                                    <w:t>、</w:t>
                                  </w:r>
                                  <w:r>
                                    <w:rPr>
                                      <w:spacing w:val="-20"/>
                                      <w:sz w:val="18"/>
                                      <w:szCs w:val="18"/>
                                    </w:rPr>
                                    <w:t xml:space="preserve"> S</w:t>
                                  </w:r>
                                  <w:r>
                                    <w:rPr>
                                      <w:rFonts w:hint="eastAsia"/>
                                      <w:spacing w:val="-20"/>
                                      <w:sz w:val="18"/>
                                      <w:szCs w:val="18"/>
                                    </w:rPr>
                                    <w:t>、</w:t>
                                  </w:r>
                                  <w:r>
                                    <w:rPr>
                                      <w:spacing w:val="-20"/>
                                      <w:sz w:val="18"/>
                                      <w:szCs w:val="18"/>
                                    </w:rPr>
                                    <w:t xml:space="preserve"> N</w:t>
                                  </w:r>
                                </w:p>
                              </w:txbxContent>
                            </wps:txbx>
                            <wps:bodyPr lIns="91440" tIns="0" rIns="91440" bIns="0" upright="1"/>
                          </wps:wsp>
                        </a:graphicData>
                      </a:graphic>
                    </wp:anchor>
                  </w:drawing>
                </mc:Choice>
                <mc:Fallback>
                  <w:pict>
                    <v:rect id="_x0000_s1026" o:spid="_x0000_s1026" o:spt="1" style="position:absolute;left:0pt;margin-left:290.5pt;margin-top:3.2pt;height:26.55pt;width:87.75pt;z-index:251663360;mso-width-relative:page;mso-height-relative:page;" filled="f" stroked="f" coordsize="21600,21600" o:gfxdata="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F9UqaTWAAAACAEAAA8AAAAAAAAAAQAgAAAAIgAAAGRycy9kb3ducmV2Lnht&#10;bFBLAQIUABQAAAAIAIdO4kBh6Np6wgEAAHsDAAAOAAAAAAAAAAEAIAAAACUBAABkcnMvZTJvRG9j&#10;LnhtbFBLBQYAAAAABgAGAFkBAABZBQAAAAA=&#10;">
                      <v:fill on="f" focussize="0,0"/>
                      <v:stroke on="f"/>
                      <v:imagedata o:title=""/>
                      <o:lock v:ext="edit" aspectratio="f"/>
                      <v:textbox inset="2.54mm,0mm,2.54mm,0mm">
                        <w:txbxContent>
                          <w:p w14:paraId="1ED80A91">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r>
                              <w:rPr>
                                <w:rFonts w:hint="eastAsia"/>
                                <w:spacing w:val="-20"/>
                                <w:sz w:val="18"/>
                                <w:szCs w:val="18"/>
                              </w:rPr>
                              <w:t>、</w:t>
                            </w:r>
                            <w:r>
                              <w:rPr>
                                <w:spacing w:val="-20"/>
                                <w:sz w:val="18"/>
                                <w:szCs w:val="18"/>
                              </w:rPr>
                              <w:t xml:space="preserve"> S</w:t>
                            </w:r>
                            <w:r>
                              <w:rPr>
                                <w:rFonts w:hint="eastAsia"/>
                                <w:spacing w:val="-20"/>
                                <w:sz w:val="18"/>
                                <w:szCs w:val="18"/>
                              </w:rPr>
                              <w:t>、</w:t>
                            </w:r>
                            <w:r>
                              <w:rPr>
                                <w:spacing w:val="-20"/>
                                <w:sz w:val="18"/>
                                <w:szCs w:val="18"/>
                              </w:rPr>
                              <w:t xml:space="preserve"> N</w:t>
                            </w:r>
                          </w:p>
                        </w:txbxContent>
                      </v:textbox>
                    </v:rect>
                  </w:pict>
                </mc:Fallback>
              </mc:AlternateContent>
            </w:r>
            <w:r>
              <w:rPr>
                <w:color w:val="auto"/>
                <w:sz w:val="21"/>
              </w:rPr>
              <mc:AlternateContent>
                <mc:Choice Requires="wps">
                  <w:drawing>
                    <wp:anchor distT="0" distB="0" distL="114300" distR="114300" simplePos="0" relativeHeight="251673600" behindDoc="0" locked="0" layoutInCell="1" allowOverlap="1">
                      <wp:simplePos x="0" y="0"/>
                      <wp:positionH relativeFrom="column">
                        <wp:posOffset>4233545</wp:posOffset>
                      </wp:positionH>
                      <wp:positionV relativeFrom="paragraph">
                        <wp:posOffset>189865</wp:posOffset>
                      </wp:positionV>
                      <wp:extent cx="635" cy="122555"/>
                      <wp:effectExtent l="36195" t="0" r="39370" b="10795"/>
                      <wp:wrapNone/>
                      <wp:docPr id="25" name="直接连接符 25"/>
                      <wp:cNvGraphicFramePr/>
                      <a:graphic xmlns:a="http://schemas.openxmlformats.org/drawingml/2006/main">
                        <a:graphicData uri="http://schemas.microsoft.com/office/word/2010/wordprocessingShape">
                          <wps:wsp>
                            <wps:cNvCnPr/>
                            <wps:spPr>
                              <a:xfrm flipH="1" flipV="1">
                                <a:off x="4792980" y="1068705"/>
                                <a:ext cx="635" cy="122555"/>
                              </a:xfrm>
                              <a:prstGeom prst="line">
                                <a:avLst/>
                              </a:prstGeom>
                              <a:ln w="9525" cap="flat" cmpd="sng">
                                <a:solidFill>
                                  <a:srgbClr val="000000"/>
                                </a:solidFill>
                                <a:prstDash val="dash"/>
                                <a:headEnd type="none" w="med" len="med"/>
                                <a:tailEnd type="arrow" w="sm" len="sm"/>
                              </a:ln>
                              <a:effectLst/>
                            </wps:spPr>
                            <wps:bodyPr/>
                          </wps:wsp>
                        </a:graphicData>
                      </a:graphic>
                    </wp:anchor>
                  </w:drawing>
                </mc:Choice>
                <mc:Fallback>
                  <w:pict>
                    <v:line id="_x0000_s1026" o:spid="_x0000_s1026" o:spt="20" style="position:absolute;left:0pt;flip:x y;margin-left:333.35pt;margin-top:14.95pt;height:9.65pt;width:0.05pt;z-index:251673600;mso-width-relative:page;mso-height-relative:page;" filled="f" stroked="t" coordsize="21600,21600" o:gfxdata="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O5aEhTYAAAACQEAAA8A&#10;AAAAAAAAAQAgAAAAIgAAAGRycy9kb3ducmV2LnhtbFBLAQIUABQAAAAIAIdO4kDcVM0QFwIAAAcE&#10;AAAOAAAAAAAAAAEAIAAAACcBAABkcnMvZTJvRG9jLnhtbFBLBQYAAAAABgAGAFkBAACwBQAAAAA=&#10;">
                      <v:fill on="f" focussize="0,0"/>
                      <v:stroke color="#000000" joinstyle="round" dashstyle="dash" endarrow="open" endarrowwidth="narrow" endarrowlength="short"/>
                      <v:imagedata o:title=""/>
                      <o:lock v:ext="edit" aspectratio="f"/>
                    </v:line>
                  </w:pict>
                </mc:Fallback>
              </mc:AlternateContent>
            </w:r>
          </w:p>
          <w:p w14:paraId="70BF5CE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s">
                  <w:drawing>
                    <wp:anchor distT="0" distB="0" distL="114300" distR="114300" simplePos="0" relativeHeight="251682816" behindDoc="0" locked="0" layoutInCell="1" allowOverlap="1">
                      <wp:simplePos x="0" y="0"/>
                      <wp:positionH relativeFrom="column">
                        <wp:posOffset>3957320</wp:posOffset>
                      </wp:positionH>
                      <wp:positionV relativeFrom="paragraph">
                        <wp:posOffset>28575</wp:posOffset>
                      </wp:positionV>
                      <wp:extent cx="635000" cy="340360"/>
                      <wp:effectExtent l="5080" t="4445" r="7620" b="17145"/>
                      <wp:wrapNone/>
                      <wp:docPr id="36" name="矩形 36"/>
                      <wp:cNvGraphicFramePr/>
                      <a:graphic xmlns:a="http://schemas.openxmlformats.org/drawingml/2006/main">
                        <a:graphicData uri="http://schemas.microsoft.com/office/word/2010/wordprocessingShape">
                          <wps:wsp>
                            <wps:cNvSpPr/>
                            <wps:spPr>
                              <a:xfrm>
                                <a:off x="0" y="0"/>
                                <a:ext cx="635000" cy="3403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7F6E354">
                                  <w:pPr>
                                    <w:jc w:val="center"/>
                                    <w:rPr>
                                      <w:rFonts w:hint="default"/>
                                      <w:lang w:val="en-US"/>
                                    </w:rPr>
                                  </w:pPr>
                                  <w:r>
                                    <w:rPr>
                                      <w:rFonts w:hint="eastAsia" w:ascii="宋体" w:hAnsi="宋体" w:cs="宋体"/>
                                      <w:sz w:val="18"/>
                                      <w:szCs w:val="18"/>
                                      <w:lang w:val="en-US" w:eastAsia="zh-CN"/>
                                    </w:rPr>
                                    <w:t>样品处理、分析</w:t>
                                  </w:r>
                                </w:p>
                              </w:txbxContent>
                            </wps:txbx>
                            <wps:bodyPr lIns="0" tIns="18000" rIns="0" bIns="0" upright="1"/>
                          </wps:wsp>
                        </a:graphicData>
                      </a:graphic>
                    </wp:anchor>
                  </w:drawing>
                </mc:Choice>
                <mc:Fallback>
                  <w:pict>
                    <v:rect id="_x0000_s1026" o:spid="_x0000_s1026" o:spt="1" style="position:absolute;left:0pt;margin-left:311.6pt;margin-top:2.25pt;height:26.8pt;width:50pt;z-index:251682816;mso-width-relative:page;mso-height-relative:page;" fillcolor="#FFFFFF" filled="t" stroked="t" coordsize="21600,21600" o:gfxdata="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EYc1cHXAAAACAEAAA8A&#10;AAAAAAAAAQAgAAAAIgAAAGRycy9kb3ducmV2LnhtbFBLAQIUABQAAAAIAIdO4kBh5I1mGAIAAFIE&#10;AAAOAAAAAAAAAAEAIAAAACYBAABkcnMvZTJvRG9jLnhtbFBLBQYAAAAABgAGAFkBAACwBQAAAAA=&#10;">
                      <v:fill on="t" focussize="0,0"/>
                      <v:stroke color="#000000" joinstyle="miter"/>
                      <v:imagedata o:title=""/>
                      <o:lock v:ext="edit" aspectratio="f"/>
                      <v:textbox inset="0mm,0.5mm,0mm,0mm">
                        <w:txbxContent>
                          <w:p w14:paraId="67F6E354">
                            <w:pPr>
                              <w:jc w:val="center"/>
                              <w:rPr>
                                <w:rFonts w:hint="default"/>
                                <w:lang w:val="en-US"/>
                              </w:rPr>
                            </w:pPr>
                            <w:r>
                              <w:rPr>
                                <w:rFonts w:hint="eastAsia" w:ascii="宋体" w:hAnsi="宋体" w:cs="宋体"/>
                                <w:sz w:val="18"/>
                                <w:szCs w:val="18"/>
                                <w:lang w:val="en-US" w:eastAsia="zh-CN"/>
                              </w:rPr>
                              <w:t>样品处理、分析</w:t>
                            </w:r>
                          </w:p>
                        </w:txbxContent>
                      </v:textbox>
                    </v:rect>
                  </w:pict>
                </mc:Fallback>
              </mc:AlternateContent>
            </w:r>
            <w:r>
              <w:rPr>
                <w:color w:val="auto"/>
                <w:sz w:val="21"/>
              </w:rPr>
              <mc:AlternateContent>
                <mc:Choice Requires="wps">
                  <w:drawing>
                    <wp:anchor distT="0" distB="0" distL="114300" distR="114300" simplePos="0" relativeHeight="251680768" behindDoc="0" locked="0" layoutInCell="1" allowOverlap="1">
                      <wp:simplePos x="0" y="0"/>
                      <wp:positionH relativeFrom="column">
                        <wp:posOffset>3608070</wp:posOffset>
                      </wp:positionH>
                      <wp:positionV relativeFrom="paragraph">
                        <wp:posOffset>210820</wp:posOffset>
                      </wp:positionV>
                      <wp:extent cx="352425" cy="635"/>
                      <wp:effectExtent l="0" t="48895" r="9525" b="64770"/>
                      <wp:wrapNone/>
                      <wp:docPr id="33" name="直接连接符 33"/>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284.1pt;margin-top:16.6pt;height:0.05pt;width:27.75pt;z-index:251680768;mso-width-relative:page;mso-height-relative:page;" filled="f" stroked="t" coordsize="21600,21600" o:gfxdata="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oVak49gAAAAJAQAADwAAAAAAAAABACAAAAAiAAAAZHJzL2Rvd25y&#10;ZXYueG1sUEsBAhQAFAAAAAgAh07iQFkxAgT+AQAA9AMAAA4AAAAAAAAAAQAgAAAAJw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79744" behindDoc="0" locked="0" layoutInCell="1" allowOverlap="1">
                      <wp:simplePos x="0" y="0"/>
                      <wp:positionH relativeFrom="column">
                        <wp:posOffset>2913380</wp:posOffset>
                      </wp:positionH>
                      <wp:positionV relativeFrom="paragraph">
                        <wp:posOffset>75565</wp:posOffset>
                      </wp:positionV>
                      <wp:extent cx="681355" cy="252095"/>
                      <wp:effectExtent l="5080" t="4445" r="18415" b="10160"/>
                      <wp:wrapNone/>
                      <wp:docPr id="32" name="文本框 32"/>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14E5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样品交接</w:t>
                                  </w:r>
                                </w:p>
                              </w:txbxContent>
                            </wps:txbx>
                            <wps:bodyPr wrap="square" upright="1">
                              <a:noAutofit/>
                            </wps:bodyPr>
                          </wps:wsp>
                        </a:graphicData>
                      </a:graphic>
                    </wp:anchor>
                  </w:drawing>
                </mc:Choice>
                <mc:Fallback>
                  <w:pict>
                    <v:shape id="_x0000_s1026" o:spid="_x0000_s1026" o:spt="202" type="#_x0000_t202" style="position:absolute;left:0pt;margin-left:229.4pt;margin-top:5.95pt;height:19.85pt;width:53.65pt;z-index:251679744;mso-width-relative:page;mso-height-relative:page;" fillcolor="#FFFFFF" filled="t" stroked="t" coordsize="21600,21600" o:gfxdata="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JHQz2AAAAAkBAAAPAAAAAAAAAAEAIAAAACIAAABkcnMvZG93bnJldi54bWxQSwECFAAUAAAA&#10;CACHTuJASXioaScCAABtBAAADgAAAAAAAAABACAAAAAnAQAAZHJzL2Uyb0RvYy54bWxQSwUGAAAA&#10;AAYABgBZAQAAwAUAAAAA&#10;">
                      <v:fill on="t" focussize="0,0"/>
                      <v:stroke color="#000000" joinstyle="miter"/>
                      <v:imagedata o:title=""/>
                      <o:lock v:ext="edit" aspectratio="f"/>
                      <v:textbox>
                        <w:txbxContent>
                          <w:p w14:paraId="614E5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样品交接</w:t>
                            </w:r>
                          </w:p>
                        </w:txbxContent>
                      </v:textbox>
                    </v:shape>
                  </w:pict>
                </mc:Fallback>
              </mc:AlternateContent>
            </w:r>
            <w:r>
              <w:rPr>
                <w:color w:val="auto"/>
                <w:sz w:val="21"/>
              </w:rPr>
              <mc:AlternateContent>
                <mc:Choice Requires="wps">
                  <w:drawing>
                    <wp:anchor distT="0" distB="0" distL="114300" distR="114300" simplePos="0" relativeHeight="251678720" behindDoc="0" locked="0" layoutInCell="1" allowOverlap="1">
                      <wp:simplePos x="0" y="0"/>
                      <wp:positionH relativeFrom="column">
                        <wp:posOffset>2562225</wp:posOffset>
                      </wp:positionH>
                      <wp:positionV relativeFrom="paragraph">
                        <wp:posOffset>201930</wp:posOffset>
                      </wp:positionV>
                      <wp:extent cx="352425" cy="635"/>
                      <wp:effectExtent l="0" t="48895" r="9525" b="64770"/>
                      <wp:wrapNone/>
                      <wp:docPr id="31" name="直接连接符 31"/>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201.75pt;margin-top:15.9pt;height:0.05pt;width:27.75pt;z-index:251678720;mso-width-relative:page;mso-height-relative:page;" filled="f" stroked="t" coordsize="21600,21600" o:gfxdata="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EQgHtgAAAAJAQAADwAAAAAAAAABACAAAAAiAAAAZHJzL2Rvd25y&#10;ZXYueG1sUEsBAhQAFAAAAAgAh07iQPCFekP+AQAA9AMAAA4AAAAAAAAAAQAgAAAAJw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64384" behindDoc="0" locked="0" layoutInCell="1" allowOverlap="1">
                      <wp:simplePos x="0" y="0"/>
                      <wp:positionH relativeFrom="column">
                        <wp:posOffset>1934210</wp:posOffset>
                      </wp:positionH>
                      <wp:positionV relativeFrom="paragraph">
                        <wp:posOffset>19685</wp:posOffset>
                      </wp:positionV>
                      <wp:extent cx="635000" cy="340360"/>
                      <wp:effectExtent l="5080" t="4445" r="7620" b="17145"/>
                      <wp:wrapNone/>
                      <wp:docPr id="38" name="矩形 38"/>
                      <wp:cNvGraphicFramePr/>
                      <a:graphic xmlns:a="http://schemas.openxmlformats.org/drawingml/2006/main">
                        <a:graphicData uri="http://schemas.microsoft.com/office/word/2010/wordprocessingShape">
                          <wps:wsp>
                            <wps:cNvSpPr/>
                            <wps:spPr>
                              <a:xfrm>
                                <a:off x="1969135" y="1631950"/>
                                <a:ext cx="635000" cy="3403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3CB4D38">
                                  <w:pPr>
                                    <w:jc w:val="center"/>
                                    <w:rPr>
                                      <w:rFonts w:hint="default"/>
                                      <w:lang w:val="en-US"/>
                                    </w:rPr>
                                  </w:pPr>
                                  <w:r>
                                    <w:rPr>
                                      <w:rFonts w:hint="eastAsia" w:ascii="宋体" w:hAnsi="宋体" w:eastAsia="宋体" w:cs="宋体"/>
                                      <w:sz w:val="18"/>
                                      <w:szCs w:val="18"/>
                                      <w:lang w:val="en-US" w:eastAsia="zh-CN"/>
                                    </w:rPr>
                                    <w:t>现场采样</w:t>
                                  </w:r>
                                  <w:r>
                                    <w:rPr>
                                      <w:rFonts w:hint="eastAsia" w:ascii="宋体" w:hAnsi="宋体" w:cs="宋体"/>
                                      <w:sz w:val="18"/>
                                      <w:szCs w:val="18"/>
                                      <w:lang w:val="en-US" w:eastAsia="zh-CN"/>
                                    </w:rPr>
                                    <w:t>及检测</w:t>
                                  </w:r>
                                </w:p>
                              </w:txbxContent>
                            </wps:txbx>
                            <wps:bodyPr lIns="0" tIns="18000" rIns="0" bIns="0" upright="1"/>
                          </wps:wsp>
                        </a:graphicData>
                      </a:graphic>
                    </wp:anchor>
                  </w:drawing>
                </mc:Choice>
                <mc:Fallback>
                  <w:pict>
                    <v:rect id="_x0000_s1026" o:spid="_x0000_s1026" o:spt="1" style="position:absolute;left:0pt;margin-left:152.3pt;margin-top:1.55pt;height:26.8pt;width:50pt;z-index:251664384;mso-width-relative:page;mso-height-relative:page;" fillcolor="#FFFFFF" filled="t" stroked="t" coordsize="21600,21600" o:gfxdata="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iz&#10;UHjXAAAACAEAAA8AAAAAAAAAAQAgAAAAIgAAAGRycy9kb3ducmV2LnhtbFBLAQIUABQAAAAIAIdO&#10;4kCmkQm1JAIAAF4EAAAOAAAAAAAAAAEAIAAAACYBAABkcnMvZTJvRG9jLnhtbFBLBQYAAAAABgAG&#10;AFkBAAC8BQAAAAA=&#10;">
                      <v:fill on="t" focussize="0,0"/>
                      <v:stroke color="#000000" joinstyle="miter"/>
                      <v:imagedata o:title=""/>
                      <o:lock v:ext="edit" aspectratio="f"/>
                      <v:textbox inset="0mm,0.5mm,0mm,0mm">
                        <w:txbxContent>
                          <w:p w14:paraId="53CB4D38">
                            <w:pPr>
                              <w:jc w:val="center"/>
                              <w:rPr>
                                <w:rFonts w:hint="default"/>
                                <w:lang w:val="en-US"/>
                              </w:rPr>
                            </w:pPr>
                            <w:r>
                              <w:rPr>
                                <w:rFonts w:hint="eastAsia" w:ascii="宋体" w:hAnsi="宋体" w:eastAsia="宋体" w:cs="宋体"/>
                                <w:sz w:val="18"/>
                                <w:szCs w:val="18"/>
                                <w:lang w:val="en-US" w:eastAsia="zh-CN"/>
                              </w:rPr>
                              <w:t>现场采样</w:t>
                            </w:r>
                            <w:r>
                              <w:rPr>
                                <w:rFonts w:hint="eastAsia" w:ascii="宋体" w:hAnsi="宋体" w:cs="宋体"/>
                                <w:sz w:val="18"/>
                                <w:szCs w:val="18"/>
                                <w:lang w:val="en-US" w:eastAsia="zh-CN"/>
                              </w:rPr>
                              <w:t>及检测</w:t>
                            </w:r>
                          </w:p>
                        </w:txbxContent>
                      </v:textbox>
                    </v:rect>
                  </w:pict>
                </mc:Fallback>
              </mc:AlternateContent>
            </w:r>
            <w:r>
              <w:rPr>
                <w:color w:val="auto"/>
                <w:sz w:val="21"/>
              </w:rPr>
              <mc:AlternateContent>
                <mc:Choice Requires="wps">
                  <w:drawing>
                    <wp:anchor distT="0" distB="0" distL="114300" distR="114300" simplePos="0" relativeHeight="251677696" behindDoc="0" locked="0" layoutInCell="1" allowOverlap="1">
                      <wp:simplePos x="0" y="0"/>
                      <wp:positionH relativeFrom="column">
                        <wp:posOffset>1584325</wp:posOffset>
                      </wp:positionH>
                      <wp:positionV relativeFrom="paragraph">
                        <wp:posOffset>200660</wp:posOffset>
                      </wp:positionV>
                      <wp:extent cx="352425" cy="635"/>
                      <wp:effectExtent l="0" t="48895" r="9525" b="64770"/>
                      <wp:wrapNone/>
                      <wp:docPr id="30" name="直接连接符 30"/>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124.75pt;margin-top:15.8pt;height:0.05pt;width:27.75pt;z-index:251677696;mso-width-relative:page;mso-height-relative:page;" filled="f" stroked="t" coordsize="21600,21600" o:gfxdata="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sUiFsdgAAAAJAQAADwAAAAAAAAABACAAAAAiAAAAZHJzL2Rvd25y&#10;ZXYueG1sUEsBAhQAFAAAAAgAh07iQIRcfo3+AQAA9AMAAA4AAAAAAAAAAQAgAAAAJw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72576" behindDoc="0" locked="0" layoutInCell="1" allowOverlap="1">
                      <wp:simplePos x="0" y="0"/>
                      <wp:positionH relativeFrom="column">
                        <wp:posOffset>906780</wp:posOffset>
                      </wp:positionH>
                      <wp:positionV relativeFrom="paragraph">
                        <wp:posOffset>66040</wp:posOffset>
                      </wp:positionV>
                      <wp:extent cx="681355" cy="252095"/>
                      <wp:effectExtent l="5080" t="4445" r="18415" b="10160"/>
                      <wp:wrapNone/>
                      <wp:docPr id="27" name="文本框 27"/>
                      <wp:cNvGraphicFramePr/>
                      <a:graphic xmlns:a="http://schemas.openxmlformats.org/drawingml/2006/main">
                        <a:graphicData uri="http://schemas.microsoft.com/office/word/2010/wordprocessingShape">
                          <wps:wsp>
                            <wps:cNvSpPr txBox="1"/>
                            <wps:spPr>
                              <a:xfrm>
                                <a:off x="4485640" y="1296035"/>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6607881">
                                  <w:pPr>
                                    <w:keepNext w:val="0"/>
                                    <w:keepLines w:val="0"/>
                                    <w:pageBreakBefore w:val="0"/>
                                    <w:widowControl w:val="0"/>
                                    <w:kinsoku/>
                                    <w:wordWrap/>
                                    <w:overflowPunct/>
                                    <w:topLinePunct w:val="0"/>
                                    <w:bidi w:val="0"/>
                                    <w:adjustRightInd/>
                                    <w:snapToGrid/>
                                    <w:spacing w:line="240" w:lineRule="exact"/>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组织实施</w:t>
                                  </w:r>
                                </w:p>
                              </w:txbxContent>
                            </wps:txbx>
                            <wps:bodyPr wrap="square" upright="1">
                              <a:noAutofit/>
                            </wps:bodyPr>
                          </wps:wsp>
                        </a:graphicData>
                      </a:graphic>
                    </wp:anchor>
                  </w:drawing>
                </mc:Choice>
                <mc:Fallback>
                  <w:pict>
                    <v:shape id="_x0000_s1026" o:spid="_x0000_s1026" o:spt="202" type="#_x0000_t202" style="position:absolute;left:0pt;margin-left:71.4pt;margin-top:5.2pt;height:19.85pt;width:53.65pt;z-index:251672576;mso-width-relative:page;mso-height-relative:page;" fillcolor="#FFFFFF" filled="t" stroked="t" coordsize="21600,21600" o:gfxdata="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gzlW81wAAAAkBAAAPAAAAAAAAAAEAIAAAACIAAABkcnMvZG93bnJldi54&#10;bWxQSwECFAAUAAAACACHTuJAQFAYJDQCAAB5BAAADgAAAAAAAAABACAAAAAmAQAAZHJzL2Uyb0Rv&#10;Yy54bWxQSwUGAAAAAAYABgBZAQAAzAUAAAAA&#10;">
                      <v:fill on="t" focussize="0,0"/>
                      <v:stroke color="#000000" joinstyle="miter"/>
                      <v:imagedata o:title=""/>
                      <o:lock v:ext="edit" aspectratio="f"/>
                      <v:textbox>
                        <w:txbxContent>
                          <w:p w14:paraId="36607881">
                            <w:pPr>
                              <w:keepNext w:val="0"/>
                              <w:keepLines w:val="0"/>
                              <w:pageBreakBefore w:val="0"/>
                              <w:widowControl w:val="0"/>
                              <w:kinsoku/>
                              <w:wordWrap/>
                              <w:overflowPunct/>
                              <w:topLinePunct w:val="0"/>
                              <w:bidi w:val="0"/>
                              <w:adjustRightInd/>
                              <w:snapToGrid/>
                              <w:spacing w:line="240" w:lineRule="exact"/>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组织实施</w:t>
                            </w:r>
                          </w:p>
                        </w:txbxContent>
                      </v:textbox>
                    </v:shape>
                  </w:pict>
                </mc:Fallback>
              </mc:AlternateContent>
            </w:r>
            <w:r>
              <w:rPr>
                <w:color w:val="auto"/>
                <w:sz w:val="21"/>
              </w:rPr>
              <mc:AlternateContent>
                <mc:Choice Requires="wps">
                  <w:drawing>
                    <wp:anchor distT="0" distB="0" distL="114300" distR="114300" simplePos="0" relativeHeight="251676672" behindDoc="0" locked="0" layoutInCell="1" allowOverlap="1">
                      <wp:simplePos x="0" y="0"/>
                      <wp:positionH relativeFrom="column">
                        <wp:posOffset>554990</wp:posOffset>
                      </wp:positionH>
                      <wp:positionV relativeFrom="paragraph">
                        <wp:posOffset>200025</wp:posOffset>
                      </wp:positionV>
                      <wp:extent cx="352425" cy="635"/>
                      <wp:effectExtent l="0" t="48895" r="9525" b="64770"/>
                      <wp:wrapNone/>
                      <wp:docPr id="107" name="直接连接符 107"/>
                      <wp:cNvGraphicFramePr/>
                      <a:graphic xmlns:a="http://schemas.openxmlformats.org/drawingml/2006/main">
                        <a:graphicData uri="http://schemas.microsoft.com/office/word/2010/wordprocessingShape">
                          <wps:wsp>
                            <wps:cNvCnPr/>
                            <wps:spPr>
                              <a:xfrm flipV="1">
                                <a:off x="0" y="0"/>
                                <a:ext cx="352425"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y;margin-left:43.7pt;margin-top:15.75pt;height:0.05pt;width:27.75pt;z-index:251676672;mso-width-relative:page;mso-height-relative:page;" filled="f" stroked="t" coordsize="21600,21600" o:gfxdata="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OxobJdcAAAAIAQAADwAAAAAAAAABACAAAAAiAAAAZHJzL2Rvd25y&#10;ZXYueG1sUEsBAhQAFAAAAAgAh07iQF5OhfT/AQAA9gMAAA4AAAAAAAAAAQAgAAAAJg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74624" behindDoc="0" locked="0" layoutInCell="1" allowOverlap="1">
                      <wp:simplePos x="0" y="0"/>
                      <wp:positionH relativeFrom="column">
                        <wp:posOffset>-31750</wp:posOffset>
                      </wp:positionH>
                      <wp:positionV relativeFrom="paragraph">
                        <wp:posOffset>78105</wp:posOffset>
                      </wp:positionV>
                      <wp:extent cx="644525" cy="252730"/>
                      <wp:effectExtent l="0" t="0" r="0" b="0"/>
                      <wp:wrapNone/>
                      <wp:docPr id="26" name="文本框 26"/>
                      <wp:cNvGraphicFramePr/>
                      <a:graphic xmlns:a="http://schemas.openxmlformats.org/drawingml/2006/main">
                        <a:graphicData uri="http://schemas.microsoft.com/office/word/2010/wordprocessingShape">
                          <wps:wsp>
                            <wps:cNvSpPr txBox="1"/>
                            <wps:spPr>
                              <a:xfrm>
                                <a:off x="2098675" y="2247265"/>
                                <a:ext cx="644525" cy="252730"/>
                              </a:xfrm>
                              <a:prstGeom prst="rect">
                                <a:avLst/>
                              </a:prstGeom>
                              <a:noFill/>
                              <a:ln>
                                <a:noFill/>
                              </a:ln>
                              <a:effectLst/>
                            </wps:spPr>
                            <wps:txbx>
                              <w:txbxContent>
                                <w:p w14:paraId="2BB72B1E">
                                  <w:pPr>
                                    <w:keepNext w:val="0"/>
                                    <w:keepLines w:val="0"/>
                                    <w:pageBreakBefore w:val="0"/>
                                    <w:widowControl w:val="0"/>
                                    <w:kinsoku/>
                                    <w:wordWrap/>
                                    <w:overflowPunct/>
                                    <w:topLinePunct w:val="0"/>
                                    <w:bidi w:val="0"/>
                                    <w:adjustRightInd/>
                                    <w:snapToGrid/>
                                    <w:spacing w:line="220" w:lineRule="exact"/>
                                    <w:jc w:val="center"/>
                                    <w:textAlignment w:val="auto"/>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拟定方案</w:t>
                                  </w:r>
                                </w:p>
                              </w:txbxContent>
                            </wps:txbx>
                            <wps:bodyPr wrap="square" upright="1"/>
                          </wps:wsp>
                        </a:graphicData>
                      </a:graphic>
                    </wp:anchor>
                  </w:drawing>
                </mc:Choice>
                <mc:Fallback>
                  <w:pict>
                    <v:shape id="_x0000_s1026" o:spid="_x0000_s1026" o:spt="202" type="#_x0000_t202" style="position:absolute;left:0pt;margin-left:-2.5pt;margin-top:6.15pt;height:19.9pt;width:50.75pt;z-index:251674624;mso-width-relative:page;mso-height-relative:page;" filled="f" stroked="f" coordsize="21600,21600" o:gfxdata="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EPGbVDVAAAABwEAAA8AAAAAAAAAAQAgAAAAIgAAAGRycy9kb3du&#10;cmV2LnhtbFBLAQIUABQAAAAIAIdO4kAgd4ZVyQEAAHcDAAAOAAAAAAAAAAEAIAAAACQBAABkcnMv&#10;ZTJvRG9jLnhtbFBLBQYAAAAABgAGAFkBAABfBQAAAAA=&#10;">
                      <v:fill on="f" focussize="0,0"/>
                      <v:stroke on="f"/>
                      <v:imagedata o:title=""/>
                      <o:lock v:ext="edit" aspectratio="f"/>
                      <v:textbox>
                        <w:txbxContent>
                          <w:p w14:paraId="2BB72B1E">
                            <w:pPr>
                              <w:keepNext w:val="0"/>
                              <w:keepLines w:val="0"/>
                              <w:pageBreakBefore w:val="0"/>
                              <w:widowControl w:val="0"/>
                              <w:kinsoku/>
                              <w:wordWrap/>
                              <w:overflowPunct/>
                              <w:topLinePunct w:val="0"/>
                              <w:bidi w:val="0"/>
                              <w:adjustRightInd/>
                              <w:snapToGrid/>
                              <w:spacing w:line="220" w:lineRule="exact"/>
                              <w:jc w:val="center"/>
                              <w:textAlignment w:val="auto"/>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拟定方案</w:t>
                            </w:r>
                          </w:p>
                        </w:txbxContent>
                      </v:textbox>
                    </v:shape>
                  </w:pict>
                </mc:Fallback>
              </mc:AlternateContent>
            </w:r>
          </w:p>
          <w:p w14:paraId="7F5B3566">
            <w:pPr>
              <w:rPr>
                <w:color w:val="auto"/>
              </w:rPr>
            </w:pPr>
            <w:r>
              <w:rPr>
                <w:color w:val="auto"/>
                <w:sz w:val="21"/>
              </w:rPr>
              <mc:AlternateContent>
                <mc:Choice Requires="wps">
                  <w:drawing>
                    <wp:anchor distT="0" distB="0" distL="114300" distR="114300" simplePos="0" relativeHeight="251675648" behindDoc="0" locked="0" layoutInCell="1" allowOverlap="1">
                      <wp:simplePos x="0" y="0"/>
                      <wp:positionH relativeFrom="column">
                        <wp:posOffset>4268470</wp:posOffset>
                      </wp:positionH>
                      <wp:positionV relativeFrom="paragraph">
                        <wp:posOffset>102235</wp:posOffset>
                      </wp:positionV>
                      <wp:extent cx="635" cy="252095"/>
                      <wp:effectExtent l="48895" t="0" r="64770" b="14605"/>
                      <wp:wrapNone/>
                      <wp:docPr id="79" name="直接连接符 79"/>
                      <wp:cNvGraphicFramePr/>
                      <a:graphic xmlns:a="http://schemas.openxmlformats.org/drawingml/2006/main">
                        <a:graphicData uri="http://schemas.microsoft.com/office/word/2010/wordprocessingShape">
                          <wps:wsp>
                            <wps:cNvCnPr/>
                            <wps:spPr>
                              <a:xfrm>
                                <a:off x="0" y="0"/>
                                <a:ext cx="635" cy="25209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margin-left:336.1pt;margin-top:8.05pt;height:19.85pt;width:0.05pt;z-index:251675648;mso-width-relative:page;mso-height-relative:page;" filled="f" stroked="t" coordsize="21600,21600" o:gfxdata="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d1K1i2AAAAAkBAAAPAAAAAAAAAAEAIAAAACIAAABkcnMvZG93bnJldi54bWxQ&#10;SwECFAAUAAAACACHTuJAyyHSmvcBAADqAwAADgAAAAAAAAABACAAAAAnAQAAZHJzL2Uyb0RvYy54&#10;bWxQSwUGAAAAAAYABgBZAQAAkAUAAAAA&#10;">
                      <v:fill on="f" focussize="0,0"/>
                      <v:stroke color="#000000" joinstyle="round" endarrow="open"/>
                      <v:imagedata o:title=""/>
                      <o:lock v:ext="edit" aspectratio="f"/>
                    </v:line>
                  </w:pict>
                </mc:Fallback>
              </mc:AlternateContent>
            </w:r>
          </w:p>
          <w:p w14:paraId="7FC11002">
            <w:pPr>
              <w:rPr>
                <w:color w:val="auto"/>
              </w:rPr>
            </w:pPr>
          </w:p>
          <w:p w14:paraId="6095CF96">
            <w:pPr>
              <w:rPr>
                <w:color w:val="auto"/>
              </w:rPr>
            </w:pPr>
            <w:r>
              <w:rPr>
                <w:color w:val="auto"/>
                <w:sz w:val="21"/>
              </w:rPr>
              <mc:AlternateContent>
                <mc:Choice Requires="wps">
                  <w:drawing>
                    <wp:anchor distT="0" distB="0" distL="114300" distR="114300" simplePos="0" relativeHeight="251688960" behindDoc="0" locked="0" layoutInCell="1" allowOverlap="1">
                      <wp:simplePos x="0" y="0"/>
                      <wp:positionH relativeFrom="column">
                        <wp:posOffset>1052195</wp:posOffset>
                      </wp:positionH>
                      <wp:positionV relativeFrom="paragraph">
                        <wp:posOffset>40005</wp:posOffset>
                      </wp:positionV>
                      <wp:extent cx="681355" cy="252095"/>
                      <wp:effectExtent l="5080" t="4445" r="18415" b="10160"/>
                      <wp:wrapNone/>
                      <wp:docPr id="58" name="文本框 58"/>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3087AC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发送报告</w:t>
                                  </w:r>
                                </w:p>
                              </w:txbxContent>
                            </wps:txbx>
                            <wps:bodyPr wrap="square" upright="1">
                              <a:noAutofit/>
                            </wps:bodyPr>
                          </wps:wsp>
                        </a:graphicData>
                      </a:graphic>
                    </wp:anchor>
                  </w:drawing>
                </mc:Choice>
                <mc:Fallback>
                  <w:pict>
                    <v:shape id="_x0000_s1026" o:spid="_x0000_s1026" o:spt="202" type="#_x0000_t202" style="position:absolute;left:0pt;margin-left:82.85pt;margin-top:3.15pt;height:19.85pt;width:53.65pt;z-index:251688960;mso-width-relative:page;mso-height-relative:page;" fillcolor="#FFFFFF" filled="t" stroked="t" coordsize="21600,21600" o:gfxdata="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oTw4JtcAAAAIAQAADwAAAAAAAAABACAAAAAiAAAAZHJzL2Rvd25yZXYueG1sUEsBAhQAFAAAAAgA&#10;h07iQCqFEgAmAgAAbQQAAA4AAAAAAAAAAQAgAAAAJgEAAGRycy9lMm9Eb2MueG1sUEsFBgAAAAAG&#10;AAYAWQEAAL4FAAAAAA==&#10;">
                      <v:fill on="t" focussize="0,0"/>
                      <v:stroke color="#000000" joinstyle="miter"/>
                      <v:imagedata o:title=""/>
                      <o:lock v:ext="edit" aspectratio="f"/>
                      <v:textbox>
                        <w:txbxContent>
                          <w:p w14:paraId="63087AC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发送报告</w:t>
                            </w:r>
                          </w:p>
                        </w:txbxContent>
                      </v:textbox>
                    </v:shape>
                  </w:pict>
                </mc:Fallback>
              </mc:AlternateContent>
            </w:r>
            <w:r>
              <w:rPr>
                <w:color w:val="auto"/>
                <w:sz w:val="21"/>
              </w:rPr>
              <mc:AlternateContent>
                <mc:Choice Requires="wps">
                  <w:drawing>
                    <wp:anchor distT="0" distB="0" distL="114300" distR="114300" simplePos="0" relativeHeight="251686912" behindDoc="0" locked="0" layoutInCell="1" allowOverlap="1">
                      <wp:simplePos x="0" y="0"/>
                      <wp:positionH relativeFrom="column">
                        <wp:posOffset>2096770</wp:posOffset>
                      </wp:positionH>
                      <wp:positionV relativeFrom="paragraph">
                        <wp:posOffset>47625</wp:posOffset>
                      </wp:positionV>
                      <wp:extent cx="681355" cy="252095"/>
                      <wp:effectExtent l="5080" t="4445" r="18415" b="10160"/>
                      <wp:wrapNone/>
                      <wp:docPr id="55" name="文本框 55"/>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48C1A66">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编制报告</w:t>
                                  </w:r>
                                </w:p>
                              </w:txbxContent>
                            </wps:txbx>
                            <wps:bodyPr wrap="square" upright="1">
                              <a:noAutofit/>
                            </wps:bodyPr>
                          </wps:wsp>
                        </a:graphicData>
                      </a:graphic>
                    </wp:anchor>
                  </w:drawing>
                </mc:Choice>
                <mc:Fallback>
                  <w:pict>
                    <v:shape id="_x0000_s1026" o:spid="_x0000_s1026" o:spt="202" type="#_x0000_t202" style="position:absolute;left:0pt;margin-left:165.1pt;margin-top:3.75pt;height:19.85pt;width:53.65pt;z-index:251686912;mso-width-relative:page;mso-height-relative:page;" fillcolor="#FFFFFF" filled="t" stroked="t" coordsize="21600,21600" o:gfxdata="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ELhhTXAAAACAEAAA8AAAAAAAAAAQAgAAAAIgAAAGRycy9kb3ducmV2LnhtbFBLAQIUABQAAAAI&#10;AIdO4kBRiwLvJwIAAG0EAAAOAAAAAAAAAAEAIAAAACYBAABkcnMvZTJvRG9jLnhtbFBLBQYAAAAA&#10;BgAGAFkBAAC/BQAAAAA=&#10;">
                      <v:fill on="t" focussize="0,0"/>
                      <v:stroke color="#000000" joinstyle="miter"/>
                      <v:imagedata o:title=""/>
                      <o:lock v:ext="edit" aspectratio="f"/>
                      <v:textbox>
                        <w:txbxContent>
                          <w:p w14:paraId="348C1A66">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编制报告</w:t>
                            </w:r>
                          </w:p>
                        </w:txbxContent>
                      </v:textbox>
                    </v:shape>
                  </w:pict>
                </mc:Fallback>
              </mc:AlternateContent>
            </w:r>
            <w:r>
              <w:rPr>
                <w:color w:val="auto"/>
                <w:sz w:val="21"/>
              </w:rPr>
              <mc:AlternateContent>
                <mc:Choice Requires="wps">
                  <w:drawing>
                    <wp:anchor distT="0" distB="0" distL="114300" distR="114300" simplePos="0" relativeHeight="251681792" behindDoc="0" locked="0" layoutInCell="1" allowOverlap="1">
                      <wp:simplePos x="0" y="0"/>
                      <wp:positionH relativeFrom="column">
                        <wp:posOffset>3141980</wp:posOffset>
                      </wp:positionH>
                      <wp:positionV relativeFrom="paragraph">
                        <wp:posOffset>59055</wp:posOffset>
                      </wp:positionV>
                      <wp:extent cx="470535" cy="252095"/>
                      <wp:effectExtent l="5080" t="4445" r="19685" b="10160"/>
                      <wp:wrapNone/>
                      <wp:docPr id="35" name="文本框 35"/>
                      <wp:cNvGraphicFramePr/>
                      <a:graphic xmlns:a="http://schemas.openxmlformats.org/drawingml/2006/main">
                        <a:graphicData uri="http://schemas.microsoft.com/office/word/2010/wordprocessingShape">
                          <wps:wsp>
                            <wps:cNvSpPr txBox="1"/>
                            <wps:spPr>
                              <a:xfrm>
                                <a:off x="0" y="0"/>
                                <a:ext cx="47053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A73326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计算</w:t>
                                  </w:r>
                                </w:p>
                              </w:txbxContent>
                            </wps:txbx>
                            <wps:bodyPr wrap="square" upright="1">
                              <a:noAutofit/>
                            </wps:bodyPr>
                          </wps:wsp>
                        </a:graphicData>
                      </a:graphic>
                    </wp:anchor>
                  </w:drawing>
                </mc:Choice>
                <mc:Fallback>
                  <w:pict>
                    <v:shape id="_x0000_s1026" o:spid="_x0000_s1026" o:spt="202" type="#_x0000_t202" style="position:absolute;left:0pt;margin-left:247.4pt;margin-top:4.65pt;height:19.85pt;width:37.05pt;z-index:251681792;mso-width-relative:page;mso-height-relative:page;" fillcolor="#FFFFFF" filled="t" stroked="t" coordsize="21600,21600" o:gfxdata="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uPy3XAAAACAEAAA8AAAAAAAAAAQAgAAAAIgAAAGRycy9kb3ducmV2LnhtbFBLAQIUABQAAAAI&#10;AIdO4kB46vs8JwIAAG0EAAAOAAAAAAAAAAEAIAAAACYBAABkcnMvZTJvRG9jLnhtbFBLBQYAAAAA&#10;BgAGAFkBAAC/BQAAAAA=&#10;">
                      <v:fill on="t" focussize="0,0"/>
                      <v:stroke color="#000000" joinstyle="miter"/>
                      <v:imagedata o:title=""/>
                      <o:lock v:ext="edit" aspectratio="f"/>
                      <v:textbox>
                        <w:txbxContent>
                          <w:p w14:paraId="7A73326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计算</w:t>
                            </w:r>
                          </w:p>
                        </w:txbxContent>
                      </v:textbox>
                    </v:shape>
                  </w:pict>
                </mc:Fallback>
              </mc:AlternateContent>
            </w:r>
            <w:r>
              <w:rPr>
                <w:color w:val="auto"/>
                <w:sz w:val="21"/>
              </w:rPr>
              <mc:AlternateContent>
                <mc:Choice Requires="wps">
                  <w:drawing>
                    <wp:anchor distT="0" distB="0" distL="114300" distR="114300" simplePos="0" relativeHeight="251683840" behindDoc="0" locked="0" layoutInCell="1" allowOverlap="1">
                      <wp:simplePos x="0" y="0"/>
                      <wp:positionH relativeFrom="column">
                        <wp:posOffset>3968115</wp:posOffset>
                      </wp:positionH>
                      <wp:positionV relativeFrom="paragraph">
                        <wp:posOffset>46990</wp:posOffset>
                      </wp:positionV>
                      <wp:extent cx="681355" cy="252095"/>
                      <wp:effectExtent l="5080" t="4445" r="18415" b="10160"/>
                      <wp:wrapNone/>
                      <wp:docPr id="45" name="文本框 45"/>
                      <wp:cNvGraphicFramePr/>
                      <a:graphic xmlns:a="http://schemas.openxmlformats.org/drawingml/2006/main">
                        <a:graphicData uri="http://schemas.microsoft.com/office/word/2010/wordprocessingShape">
                          <wps:wsp>
                            <wps:cNvSpPr txBox="1"/>
                            <wps:spPr>
                              <a:xfrm>
                                <a:off x="0" y="0"/>
                                <a:ext cx="681355" cy="2520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0D0932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质量控制</w:t>
                                  </w:r>
                                </w:p>
                              </w:txbxContent>
                            </wps:txbx>
                            <wps:bodyPr wrap="square" upright="1">
                              <a:noAutofit/>
                            </wps:bodyPr>
                          </wps:wsp>
                        </a:graphicData>
                      </a:graphic>
                    </wp:anchor>
                  </w:drawing>
                </mc:Choice>
                <mc:Fallback>
                  <w:pict>
                    <v:shape id="_x0000_s1026" o:spid="_x0000_s1026" o:spt="202" type="#_x0000_t202" style="position:absolute;left:0pt;margin-left:312.45pt;margin-top:3.7pt;height:19.85pt;width:53.65pt;z-index:251683840;mso-width-relative:page;mso-height-relative:page;" fillcolor="#FFFFFF" filled="t" stroked="t" coordsize="21600,21600" o:gfxdata="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MavJn/YAAAACAEAAA8AAAAAAAAAAQAgAAAAIgAAAGRycy9kb3ducmV2LnhtbFBLAQIUABQA&#10;AAAIAIdO4kBgea0vKQIAAG0EAAAOAAAAAAAAAAEAIAAAACcBAABkcnMvZTJvRG9jLnhtbFBLBQYA&#10;AAAABgAGAFkBAADCBQAAAAA=&#10;">
                      <v:fill on="t" focussize="0,0"/>
                      <v:stroke color="#000000" joinstyle="miter"/>
                      <v:imagedata o:title=""/>
                      <o:lock v:ext="edit" aspectratio="f"/>
                      <v:textbox>
                        <w:txbxContent>
                          <w:p w14:paraId="40D0932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质量控制</w:t>
                            </w:r>
                          </w:p>
                        </w:txbxContent>
                      </v:textbox>
                    </v:shape>
                  </w:pict>
                </mc:Fallback>
              </mc:AlternateContent>
            </w:r>
          </w:p>
          <w:p w14:paraId="2AC43145">
            <w:pPr>
              <w:pStyle w:val="6"/>
              <w:rPr>
                <w:color w:val="auto"/>
              </w:rPr>
            </w:pPr>
            <w:r>
              <w:rPr>
                <w:color w:val="auto"/>
                <w:sz w:val="21"/>
              </w:rPr>
              <mc:AlternateContent>
                <mc:Choice Requires="wps">
                  <w:drawing>
                    <wp:anchor distT="0" distB="0" distL="114300" distR="114300" simplePos="0" relativeHeight="251687936" behindDoc="0" locked="0" layoutInCell="1" allowOverlap="1">
                      <wp:simplePos x="0" y="0"/>
                      <wp:positionH relativeFrom="column">
                        <wp:posOffset>1736090</wp:posOffset>
                      </wp:positionH>
                      <wp:positionV relativeFrom="paragraph">
                        <wp:posOffset>28575</wp:posOffset>
                      </wp:positionV>
                      <wp:extent cx="353060" cy="635"/>
                      <wp:effectExtent l="0" t="48895" r="8890" b="64770"/>
                      <wp:wrapNone/>
                      <wp:docPr id="56" name="直接连接符 56"/>
                      <wp:cNvGraphicFramePr/>
                      <a:graphic xmlns:a="http://schemas.openxmlformats.org/drawingml/2006/main">
                        <a:graphicData uri="http://schemas.microsoft.com/office/word/2010/wordprocessingShape">
                          <wps:wsp>
                            <wps:cNvCnPr/>
                            <wps:spPr>
                              <a:xfrm flipH="1">
                                <a:off x="0" y="0"/>
                                <a:ext cx="353060"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x;margin-left:136.7pt;margin-top:2.25pt;height:0.05pt;width:27.8pt;z-index:251687936;mso-width-relative:page;mso-height-relative:page;" filled="f" stroked="t" coordsize="21600,21600" o:gfxdata="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86s1zXAAAABwEAAA8AAAAAAAAAAQAgAAAAIgAAAGRycy9kb3du&#10;cmV2LnhtbFBLAQIUABQAAAAIAIdO4kAXtxy3AAIAAPQDAAAOAAAAAAAAAAEAIAAAACYBAABkcnMv&#10;ZTJvRG9jLnhtbFBLBQYAAAAABgAGAFkBAACYBQ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85888" behindDoc="0" locked="0" layoutInCell="1" allowOverlap="1">
                      <wp:simplePos x="0" y="0"/>
                      <wp:positionH relativeFrom="column">
                        <wp:posOffset>2788920</wp:posOffset>
                      </wp:positionH>
                      <wp:positionV relativeFrom="paragraph">
                        <wp:posOffset>27940</wp:posOffset>
                      </wp:positionV>
                      <wp:extent cx="353060" cy="635"/>
                      <wp:effectExtent l="0" t="48895" r="8890" b="64770"/>
                      <wp:wrapNone/>
                      <wp:docPr id="47" name="直接连接符 47"/>
                      <wp:cNvGraphicFramePr/>
                      <a:graphic xmlns:a="http://schemas.openxmlformats.org/drawingml/2006/main">
                        <a:graphicData uri="http://schemas.microsoft.com/office/word/2010/wordprocessingShape">
                          <wps:wsp>
                            <wps:cNvCnPr/>
                            <wps:spPr>
                              <a:xfrm flipH="1">
                                <a:off x="0" y="0"/>
                                <a:ext cx="353060"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x;margin-left:219.6pt;margin-top:2.2pt;height:0.05pt;width:27.8pt;z-index:251685888;mso-width-relative:page;mso-height-relative:page;" filled="f" stroked="t" coordsize="21600,21600" o:gfxdata="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15xgKdYAAAAHAQAADwAAAAAAAAABACAAAAAiAAAAZHJzL2Rvd25y&#10;ZXYueG1sUEsBAhQAFAAAAAgAh07iQJ/fvi4AAgAA9AMAAA4AAAAAAAAAAQAgAAAAJQEAAGRycy9l&#10;Mm9Eb2MueG1sUEsFBgAAAAAGAAYAWQEAAJcFAAAAAA==&#10;">
                      <v:fill on="f" focussize="0,0"/>
                      <v:stroke color="#000000" joinstyle="round" endarrow="open"/>
                      <v:imagedata o:title=""/>
                      <o:lock v:ext="edit" aspectratio="f"/>
                    </v:line>
                  </w:pict>
                </mc:Fallback>
              </mc:AlternateContent>
            </w:r>
            <w:r>
              <w:rPr>
                <w:color w:val="auto"/>
                <w:sz w:val="21"/>
              </w:rPr>
              <mc:AlternateContent>
                <mc:Choice Requires="wps">
                  <w:drawing>
                    <wp:anchor distT="0" distB="0" distL="114300" distR="114300" simplePos="0" relativeHeight="251684864" behindDoc="0" locked="0" layoutInCell="1" allowOverlap="1">
                      <wp:simplePos x="0" y="0"/>
                      <wp:positionH relativeFrom="column">
                        <wp:posOffset>3606165</wp:posOffset>
                      </wp:positionH>
                      <wp:positionV relativeFrom="paragraph">
                        <wp:posOffset>19050</wp:posOffset>
                      </wp:positionV>
                      <wp:extent cx="353060" cy="635"/>
                      <wp:effectExtent l="0" t="48895" r="8890" b="64770"/>
                      <wp:wrapNone/>
                      <wp:docPr id="46" name="直接连接符 46"/>
                      <wp:cNvGraphicFramePr/>
                      <a:graphic xmlns:a="http://schemas.openxmlformats.org/drawingml/2006/main">
                        <a:graphicData uri="http://schemas.microsoft.com/office/word/2010/wordprocessingShape">
                          <wps:wsp>
                            <wps:cNvCnPr/>
                            <wps:spPr>
                              <a:xfrm flipH="1">
                                <a:off x="0" y="0"/>
                                <a:ext cx="353060" cy="635"/>
                              </a:xfrm>
                              <a:prstGeom prst="line">
                                <a:avLst/>
                              </a:prstGeom>
                              <a:ln w="9525" cap="flat" cmpd="sng">
                                <a:solidFill>
                                  <a:srgbClr val="000000"/>
                                </a:solidFill>
                                <a:prstDash val="solid"/>
                                <a:headEnd type="none" w="med" len="med"/>
                                <a:tailEnd type="arrow" w="med" len="med"/>
                              </a:ln>
                              <a:effectLst/>
                            </wps:spPr>
                            <wps:bodyPr/>
                          </wps:wsp>
                        </a:graphicData>
                      </a:graphic>
                    </wp:anchor>
                  </w:drawing>
                </mc:Choice>
                <mc:Fallback>
                  <w:pict>
                    <v:line id="_x0000_s1026" o:spid="_x0000_s1026" o:spt="20" style="position:absolute;left:0pt;flip:x;margin-left:283.95pt;margin-top:1.5pt;height:0.05pt;width:27.8pt;z-index:251684864;mso-width-relative:page;mso-height-relative:page;" filled="f" stroked="t" coordsize="21600,21600" o:gfxdata="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u4LGetYAAAAHAQAADwAAAAAAAAABACAAAAAiAAAAZHJzL2Rvd25y&#10;ZXYueG1sUEsBAhQAFAAAAAgAh07iQOsGuuAAAgAA9AMAAA4AAAAAAAAAAQAgAAAAJQEAAGRycy9l&#10;Mm9Eb2MueG1sUEsFBgAAAAAGAAYAWQEAAJcFAAAAAA==&#10;">
                      <v:fill on="f" focussize="0,0"/>
                      <v:stroke color="#000000" joinstyle="round" endarrow="open"/>
                      <v:imagedata o:title=""/>
                      <o:lock v:ext="edit" aspectratio="f"/>
                    </v:line>
                  </w:pict>
                </mc:Fallback>
              </mc:AlternateContent>
            </w:r>
          </w:p>
          <w:p w14:paraId="03B7302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 xml:space="preserve">图2 </w:t>
            </w:r>
            <w:r>
              <w:rPr>
                <w:rFonts w:hint="eastAsia" w:ascii="Times New Roman" w:hAnsi="Times New Roman" w:eastAsia="宋体" w:cs="Times New Roman"/>
                <w:b/>
                <w:color w:val="auto"/>
                <w:sz w:val="21"/>
                <w:szCs w:val="21"/>
                <w:highlight w:val="none"/>
                <w:lang w:val="en-US" w:eastAsia="zh-CN"/>
              </w:rPr>
              <w:t xml:space="preserve"> 项目检测</w:t>
            </w:r>
            <w:r>
              <w:rPr>
                <w:rFonts w:hint="default" w:ascii="Times New Roman" w:hAnsi="Times New Roman" w:eastAsia="宋体" w:cs="Times New Roman"/>
                <w:b/>
                <w:color w:val="auto"/>
                <w:sz w:val="21"/>
                <w:szCs w:val="21"/>
                <w:highlight w:val="none"/>
              </w:rPr>
              <w:t>工艺流程及排污节点图</w:t>
            </w:r>
          </w:p>
          <w:p w14:paraId="57684FC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 </w:t>
            </w:r>
          </w:p>
          <w:p w14:paraId="69F1583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拟定方案：首先根据不同检测项目和位点，拟定相关检测方案。 </w:t>
            </w:r>
          </w:p>
          <w:p w14:paraId="6BEE472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组织实施：方案拟好后，按照方案组织实施。 </w:t>
            </w:r>
          </w:p>
          <w:p w14:paraId="29C7938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现场样品及检测：严格按照国家技术标准要求，使用相关检测设备进行采样。 </w:t>
            </w:r>
          </w:p>
          <w:p w14:paraId="513D260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样品交接：采集回来的样品进行登记、交接（需当日测定的如氨氮、总氯等，当日安排检测，其余不需当日测定的可在</w:t>
            </w:r>
            <w:r>
              <w:rPr>
                <w:rFonts w:hint="default" w:ascii="Times New Roman" w:hAnsi="Times New Roman" w:cs="Times New Roman"/>
                <w:color w:val="auto"/>
                <w:sz w:val="21"/>
                <w:szCs w:val="21"/>
                <w:highlight w:val="none"/>
                <w:lang w:val="en-US" w:eastAsia="zh-CN"/>
              </w:rPr>
              <w:t>4</w:t>
            </w:r>
            <w:r>
              <w:rPr>
                <w:rFonts w:hint="eastAsia" w:ascii="Times New Roman" w:hAnsi="Times New Roman" w:cs="Times New Roman"/>
                <w:color w:val="auto"/>
                <w:sz w:val="21"/>
                <w:szCs w:val="21"/>
                <w:highlight w:val="none"/>
                <w:lang w:val="en-US" w:eastAsia="zh-CN"/>
              </w:rPr>
              <w:t xml:space="preserve">℃以下保存备用）。 </w:t>
            </w:r>
          </w:p>
          <w:p w14:paraId="7225FE9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样品处理、分析：根据不同检测项目采用相应检测方法进行样品处理和分析。该过程将可能产生废水、废气、实验废液、废渣及噪声。</w:t>
            </w:r>
          </w:p>
          <w:p w14:paraId="0247530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质量控制：采用环境监测质量控制方法来保证监测结果的质量。 </w:t>
            </w:r>
          </w:p>
          <w:p w14:paraId="1EBEAE5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计算：样品测定后进行数据计算，编制检测报告。 </w:t>
            </w:r>
          </w:p>
          <w:p w14:paraId="18FD86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检测过程均在实验室内进行，检测过程根据检测内容及检测指标的不同，需用到不同的化学药剂及检测仪器。本项目主要接受委托进行环境样品的实验室测定，根据来样不同，主要分为液态、气态、固态样品等。主要检测工艺介绍如下：</w:t>
            </w:r>
          </w:p>
          <w:p w14:paraId="137219E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2032" behindDoc="0" locked="0" layoutInCell="1" allowOverlap="1">
                      <wp:simplePos x="0" y="0"/>
                      <wp:positionH relativeFrom="column">
                        <wp:posOffset>229870</wp:posOffset>
                      </wp:positionH>
                      <wp:positionV relativeFrom="paragraph">
                        <wp:posOffset>214630</wp:posOffset>
                      </wp:positionV>
                      <wp:extent cx="4614545" cy="1390650"/>
                      <wp:effectExtent l="0" t="0" r="0" b="19685"/>
                      <wp:wrapNone/>
                      <wp:docPr id="6" name="组合 6"/>
                      <wp:cNvGraphicFramePr/>
                      <a:graphic xmlns:a="http://schemas.openxmlformats.org/drawingml/2006/main">
                        <a:graphicData uri="http://schemas.microsoft.com/office/word/2010/wordprocessingGroup">
                          <wpg:wgp>
                            <wpg:cNvGrpSpPr/>
                            <wpg:grpSpPr>
                              <a:xfrm>
                                <a:off x="0" y="0"/>
                                <a:ext cx="4614545" cy="1390650"/>
                                <a:chOff x="6569" y="588736"/>
                                <a:chExt cx="7267" cy="2190"/>
                              </a:xfrm>
                            </wpg:grpSpPr>
                            <wps:wsp>
                              <wps:cNvPr id="66" name="矩形 66"/>
                              <wps:cNvSpPr/>
                              <wps:spPr>
                                <a:xfrm>
                                  <a:off x="8046" y="589403"/>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0EAE2FE">
                                    <w:pPr>
                                      <w:jc w:val="center"/>
                                      <w:rPr>
                                        <w:rFonts w:hint="default"/>
                                        <w:lang w:val="en-US"/>
                                      </w:rPr>
                                    </w:pPr>
                                    <w:r>
                                      <w:rPr>
                                        <w:rFonts w:hint="eastAsia" w:ascii="宋体" w:hAnsi="宋体" w:cs="宋体"/>
                                        <w:sz w:val="18"/>
                                        <w:szCs w:val="18"/>
                                        <w:lang w:val="en-US" w:eastAsia="zh-CN"/>
                                      </w:rPr>
                                      <w:t>物理指标测定</w:t>
                                    </w:r>
                                  </w:p>
                                </w:txbxContent>
                              </wps:txbx>
                              <wps:bodyPr lIns="0" tIns="18000" rIns="0" bIns="0" upright="1"/>
                            </wps:wsp>
                            <wps:wsp>
                              <wps:cNvPr id="60" name="直接连接符 60"/>
                              <wps:cNvCnPr/>
                              <wps:spPr>
                                <a:xfrm flipH="1" flipV="1">
                                  <a:off x="11521" y="589310"/>
                                  <a:ext cx="1" cy="193"/>
                                </a:xfrm>
                                <a:prstGeom prst="line">
                                  <a:avLst/>
                                </a:prstGeom>
                                <a:ln w="9525" cap="flat" cmpd="sng">
                                  <a:solidFill>
                                    <a:srgbClr val="000000"/>
                                  </a:solidFill>
                                  <a:prstDash val="dash"/>
                                  <a:headEnd type="none" w="med" len="med"/>
                                  <a:tailEnd type="arrow" w="sm" len="sm"/>
                                </a:ln>
                                <a:effectLst/>
                              </wps:spPr>
                              <wps:bodyPr/>
                            </wps:wsp>
                            <wps:wsp>
                              <wps:cNvPr id="70" name="文本框 70"/>
                              <wps:cNvSpPr txBox="1"/>
                              <wps:spPr>
                                <a:xfrm>
                                  <a:off x="6569" y="589495"/>
                                  <a:ext cx="1015" cy="398"/>
                                </a:xfrm>
                                <a:prstGeom prst="rect">
                                  <a:avLst/>
                                </a:prstGeom>
                                <a:noFill/>
                                <a:ln>
                                  <a:noFill/>
                                </a:ln>
                                <a:effectLst/>
                              </wps:spPr>
                              <wps:txbx>
                                <w:txbxContent>
                                  <w:p w14:paraId="42FB40F7">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液态样品</w:t>
                                    </w:r>
                                  </w:p>
                                </w:txbxContent>
                              </wps:txbx>
                              <wps:bodyPr wrap="square" upright="1"/>
                            </wps:wsp>
                            <wps:wsp>
                              <wps:cNvPr id="71" name="直接连接符 71"/>
                              <wps:cNvCnPr/>
                              <wps:spPr>
                                <a:xfrm>
                                  <a:off x="13036" y="589920"/>
                                  <a:ext cx="1" cy="454"/>
                                </a:xfrm>
                                <a:prstGeom prst="line">
                                  <a:avLst/>
                                </a:prstGeom>
                                <a:ln w="9525" cap="flat" cmpd="sng">
                                  <a:solidFill>
                                    <a:srgbClr val="000000"/>
                                  </a:solidFill>
                                  <a:prstDash val="solid"/>
                                  <a:headEnd type="none" w="med" len="med"/>
                                  <a:tailEnd type="arrow" w="med" len="med"/>
                                </a:ln>
                                <a:effectLst/>
                              </wps:spPr>
                              <wps:bodyPr/>
                            </wps:wsp>
                            <wps:wsp>
                              <wps:cNvPr id="69" name="直接连接符 69"/>
                              <wps:cNvCnPr/>
                              <wps:spPr>
                                <a:xfrm flipV="1">
                                  <a:off x="7493" y="589687"/>
                                  <a:ext cx="555" cy="1"/>
                                </a:xfrm>
                                <a:prstGeom prst="line">
                                  <a:avLst/>
                                </a:prstGeom>
                                <a:ln w="9525" cap="flat" cmpd="sng">
                                  <a:solidFill>
                                    <a:srgbClr val="000000"/>
                                  </a:solidFill>
                                  <a:prstDash val="solid"/>
                                  <a:headEnd type="none" w="med" len="med"/>
                                  <a:tailEnd type="arrow" w="med" len="med"/>
                                </a:ln>
                                <a:effectLst/>
                              </wps:spPr>
                              <wps:bodyPr/>
                            </wps:wsp>
                            <wps:wsp>
                              <wps:cNvPr id="67" name="直接连接符 67"/>
                              <wps:cNvCnPr/>
                              <wps:spPr>
                                <a:xfrm flipV="1">
                                  <a:off x="9048" y="589715"/>
                                  <a:ext cx="555" cy="1"/>
                                </a:xfrm>
                                <a:prstGeom prst="line">
                                  <a:avLst/>
                                </a:prstGeom>
                                <a:ln w="9525" cap="flat" cmpd="sng">
                                  <a:solidFill>
                                    <a:srgbClr val="000000"/>
                                  </a:solidFill>
                                  <a:prstDash val="solid"/>
                                  <a:headEnd type="none" w="med" len="med"/>
                                  <a:tailEnd type="arrow" w="med" len="med"/>
                                </a:ln>
                                <a:effectLst/>
                              </wps:spPr>
                              <wps:bodyPr/>
                            </wps:wsp>
                            <wps:wsp>
                              <wps:cNvPr id="65" name="直接连接符 65"/>
                              <wps:cNvCnPr/>
                              <wps:spPr>
                                <a:xfrm flipV="1">
                                  <a:off x="10362" y="589717"/>
                                  <a:ext cx="555" cy="1"/>
                                </a:xfrm>
                                <a:prstGeom prst="line">
                                  <a:avLst/>
                                </a:prstGeom>
                                <a:ln w="9525" cap="flat" cmpd="sng">
                                  <a:solidFill>
                                    <a:srgbClr val="000000"/>
                                  </a:solidFill>
                                  <a:prstDash val="solid"/>
                                  <a:headEnd type="none" w="med" len="med"/>
                                  <a:tailEnd type="arrow" w="med" len="med"/>
                                </a:ln>
                                <a:effectLst/>
                              </wps:spPr>
                              <wps:bodyPr/>
                            </wps:wsp>
                            <wps:wsp>
                              <wps:cNvPr id="63" name="文本框 63"/>
                              <wps:cNvSpPr txBox="1"/>
                              <wps:spPr>
                                <a:xfrm>
                                  <a:off x="10915" y="589505"/>
                                  <a:ext cx="1192"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4DC42D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wps:txbx>
                              <wps:bodyPr wrap="square" upright="1">
                                <a:noAutofit/>
                              </wps:bodyPr>
                            </wps:wsp>
                            <wps:wsp>
                              <wps:cNvPr id="62" name="直接连接符 62"/>
                              <wps:cNvCnPr/>
                              <wps:spPr>
                                <a:xfrm flipV="1">
                                  <a:off x="12115" y="589704"/>
                                  <a:ext cx="555" cy="1"/>
                                </a:xfrm>
                                <a:prstGeom prst="line">
                                  <a:avLst/>
                                </a:prstGeom>
                                <a:ln w="9525" cap="flat" cmpd="sng">
                                  <a:solidFill>
                                    <a:srgbClr val="000000"/>
                                  </a:solidFill>
                                  <a:prstDash val="solid"/>
                                  <a:headEnd type="none" w="med" len="med"/>
                                  <a:tailEnd type="arrow" w="med" len="med"/>
                                </a:ln>
                                <a:effectLst/>
                              </wps:spPr>
                              <wps:bodyPr/>
                            </wps:wsp>
                            <wps:wsp>
                              <wps:cNvPr id="75" name="文本框 75"/>
                              <wps:cNvSpPr txBox="1"/>
                              <wps:spPr>
                                <a:xfrm>
                                  <a:off x="9603" y="589498"/>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F1FF03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稀释</w:t>
                                    </w:r>
                                  </w:p>
                                </w:txbxContent>
                              </wps:txbx>
                              <wps:bodyPr wrap="square" upright="1">
                                <a:noAutofit/>
                              </wps:bodyPr>
                            </wps:wsp>
                            <wps:wsp>
                              <wps:cNvPr id="78" name="直接连接符 78"/>
                              <wps:cNvCnPr/>
                              <wps:spPr>
                                <a:xfrm flipH="1">
                                  <a:off x="12020" y="590673"/>
                                  <a:ext cx="556" cy="1"/>
                                </a:xfrm>
                                <a:prstGeom prst="line">
                                  <a:avLst/>
                                </a:prstGeom>
                                <a:ln w="9525" cap="flat" cmpd="sng">
                                  <a:solidFill>
                                    <a:srgbClr val="000000"/>
                                  </a:solidFill>
                                  <a:prstDash val="solid"/>
                                  <a:headEnd type="none" w="med" len="med"/>
                                  <a:tailEnd type="arrow" w="med" len="med"/>
                                </a:ln>
                                <a:effectLst/>
                              </wps:spPr>
                              <wps:bodyPr/>
                            </wps:wsp>
                            <wps:wsp>
                              <wps:cNvPr id="84" name="直接连接符 84"/>
                              <wps:cNvCnPr/>
                              <wps:spPr>
                                <a:xfrm flipH="1">
                                  <a:off x="8536" y="589161"/>
                                  <a:ext cx="1" cy="255"/>
                                </a:xfrm>
                                <a:prstGeom prst="line">
                                  <a:avLst/>
                                </a:prstGeom>
                                <a:ln w="9525" cap="flat" cmpd="sng">
                                  <a:solidFill>
                                    <a:srgbClr val="000000"/>
                                  </a:solidFill>
                                  <a:prstDash val="solid"/>
                                  <a:headEnd type="none" w="med" len="med"/>
                                  <a:tailEnd type="arrow" w="med" len="med"/>
                                </a:ln>
                                <a:effectLst/>
                              </wps:spPr>
                              <wps:bodyPr/>
                            </wps:wsp>
                            <wps:wsp>
                              <wps:cNvPr id="87" name="文本框 87"/>
                              <wps:cNvSpPr txBox="1"/>
                              <wps:spPr>
                                <a:xfrm>
                                  <a:off x="7882" y="588827"/>
                                  <a:ext cx="1464" cy="398"/>
                                </a:xfrm>
                                <a:prstGeom prst="rect">
                                  <a:avLst/>
                                </a:prstGeom>
                                <a:noFill/>
                                <a:ln>
                                  <a:noFill/>
                                </a:ln>
                                <a:effectLst/>
                              </wps:spPr>
                              <wps:txbx>
                                <w:txbxContent>
                                  <w:p w14:paraId="407316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default" w:ascii="Times New Roman" w:hAnsi="Times New Roman" w:cs="Times New Roman"/>
                                        <w:b w:val="0"/>
                                        <w:bCs w:val="0"/>
                                        <w:sz w:val="18"/>
                                        <w:szCs w:val="18"/>
                                        <w:lang w:val="en-US" w:eastAsia="zh-CN"/>
                                      </w:rPr>
                                      <w:t>PH计、温度计</w:t>
                                    </w:r>
                                  </w:p>
                                </w:txbxContent>
                              </wps:txbx>
                              <wps:bodyPr wrap="square" upright="1"/>
                            </wps:wsp>
                            <wps:wsp>
                              <wps:cNvPr id="89" name="直接连接符 89"/>
                              <wps:cNvCnPr/>
                              <wps:spPr>
                                <a:xfrm flipH="1">
                                  <a:off x="9971" y="589242"/>
                                  <a:ext cx="1" cy="255"/>
                                </a:xfrm>
                                <a:prstGeom prst="line">
                                  <a:avLst/>
                                </a:prstGeom>
                                <a:ln w="9525" cap="flat" cmpd="sng">
                                  <a:solidFill>
                                    <a:srgbClr val="000000"/>
                                  </a:solidFill>
                                  <a:prstDash val="solid"/>
                                  <a:headEnd type="none" w="med" len="med"/>
                                  <a:tailEnd type="arrow" w="med" len="med"/>
                                </a:ln>
                                <a:effectLst/>
                              </wps:spPr>
                              <wps:bodyPr/>
                            </wps:wsp>
                            <wps:wsp>
                              <wps:cNvPr id="92" name="文本框 92"/>
                              <wps:cNvSpPr txBox="1"/>
                              <wps:spPr>
                                <a:xfrm>
                                  <a:off x="9700" y="588908"/>
                                  <a:ext cx="564" cy="398"/>
                                </a:xfrm>
                                <a:prstGeom prst="rect">
                                  <a:avLst/>
                                </a:prstGeom>
                                <a:noFill/>
                                <a:ln>
                                  <a:noFill/>
                                </a:ln>
                                <a:effectLst/>
                              </wps:spPr>
                              <wps:txbx>
                                <w:txbxContent>
                                  <w:p w14:paraId="6ABF670F">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水</w:t>
                                    </w:r>
                                  </w:p>
                                </w:txbxContent>
                              </wps:txbx>
                              <wps:bodyPr wrap="square" upright="1"/>
                            </wps:wsp>
                            <wps:wsp>
                              <wps:cNvPr id="94" name="矩形 94"/>
                              <wps:cNvSpPr/>
                              <wps:spPr>
                                <a:xfrm>
                                  <a:off x="11113" y="589061"/>
                                  <a:ext cx="775" cy="320"/>
                                </a:xfrm>
                                <a:prstGeom prst="rect">
                                  <a:avLst/>
                                </a:prstGeom>
                                <a:noFill/>
                                <a:ln>
                                  <a:noFill/>
                                </a:ln>
                              </wps:spPr>
                              <wps:txbx>
                                <w:txbxContent>
                                  <w:p w14:paraId="5E5984C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95" name="文本框 95"/>
                              <wps:cNvSpPr txBox="1"/>
                              <wps:spPr>
                                <a:xfrm>
                                  <a:off x="12684" y="589512"/>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0473BA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wps:txbx>
                              <wps:bodyPr wrap="square" upright="1">
                                <a:noAutofit/>
                              </wps:bodyPr>
                            </wps:wsp>
                            <wps:wsp>
                              <wps:cNvPr id="96" name="文本框 96"/>
                              <wps:cNvSpPr txBox="1"/>
                              <wps:spPr>
                                <a:xfrm>
                                  <a:off x="12372" y="588736"/>
                                  <a:ext cx="1464" cy="649"/>
                                </a:xfrm>
                                <a:prstGeom prst="rect">
                                  <a:avLst/>
                                </a:prstGeom>
                                <a:noFill/>
                                <a:ln>
                                  <a:noFill/>
                                </a:ln>
                                <a:effectLst/>
                              </wps:spPr>
                              <wps:txbx>
                                <w:txbxContent>
                                  <w:p w14:paraId="20CE32B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原子吸收、分光光度计等</w:t>
                                    </w:r>
                                  </w:p>
                                </w:txbxContent>
                              </wps:txbx>
                              <wps:bodyPr wrap="square" upright="1"/>
                            </wps:wsp>
                            <wps:wsp>
                              <wps:cNvPr id="97" name="直接连接符 97"/>
                              <wps:cNvCnPr/>
                              <wps:spPr>
                                <a:xfrm flipH="1">
                                  <a:off x="13052" y="589269"/>
                                  <a:ext cx="1" cy="255"/>
                                </a:xfrm>
                                <a:prstGeom prst="line">
                                  <a:avLst/>
                                </a:prstGeom>
                                <a:ln w="9525" cap="flat" cmpd="sng">
                                  <a:solidFill>
                                    <a:srgbClr val="000000"/>
                                  </a:solidFill>
                                  <a:prstDash val="solid"/>
                                  <a:headEnd type="none" w="med" len="med"/>
                                  <a:tailEnd type="arrow" w="med" len="med"/>
                                </a:ln>
                                <a:effectLst/>
                              </wps:spPr>
                              <wps:bodyPr/>
                            </wps:wsp>
                            <wps:wsp>
                              <wps:cNvPr id="98" name="矩形 98"/>
                              <wps:cNvSpPr/>
                              <wps:spPr>
                                <a:xfrm>
                                  <a:off x="12560" y="590375"/>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681D30F">
                                    <w:pPr>
                                      <w:jc w:val="center"/>
                                      <w:rPr>
                                        <w:rFonts w:hint="default"/>
                                        <w:lang w:val="en-US"/>
                                      </w:rPr>
                                    </w:pPr>
                                    <w:r>
                                      <w:rPr>
                                        <w:rFonts w:hint="eastAsia" w:ascii="宋体" w:hAnsi="宋体" w:cs="宋体"/>
                                        <w:sz w:val="18"/>
                                        <w:szCs w:val="18"/>
                                        <w:lang w:val="en-US" w:eastAsia="zh-CN"/>
                                      </w:rPr>
                                      <w:t>试管等设备清洗</w:t>
                                    </w:r>
                                  </w:p>
                                </w:txbxContent>
                              </wps:txbx>
                              <wps:bodyPr lIns="0" tIns="18000" rIns="0" bIns="0" upright="1"/>
                            </wps:wsp>
                            <wps:wsp>
                              <wps:cNvPr id="102" name="矩形 102"/>
                              <wps:cNvSpPr/>
                              <wps:spPr>
                                <a:xfrm>
                                  <a:off x="10637" y="590390"/>
                                  <a:ext cx="1384"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4224311">
                                    <w:pPr>
                                      <w:jc w:val="center"/>
                                      <w:rPr>
                                        <w:rFonts w:hint="default"/>
                                        <w:lang w:val="en-US"/>
                                      </w:rPr>
                                    </w:pPr>
                                    <w:r>
                                      <w:rPr>
                                        <w:rFonts w:hint="eastAsia" w:ascii="宋体" w:hAnsi="宋体" w:cs="宋体"/>
                                        <w:sz w:val="18"/>
                                        <w:szCs w:val="18"/>
                                        <w:lang w:val="en-US" w:eastAsia="zh-CN"/>
                                      </w:rPr>
                                      <w:t>数据整理、审核、形成报告</w:t>
                                    </w:r>
                                  </w:p>
                                </w:txbxContent>
                              </wps:txbx>
                              <wps:bodyPr lIns="0" tIns="18000" rIns="0" bIns="0" upright="1"/>
                            </wps:wsp>
                            <wps:wsp>
                              <wps:cNvPr id="103" name="矩形 103"/>
                              <wps:cNvSpPr/>
                              <wps:spPr>
                                <a:xfrm>
                                  <a:off x="13015" y="589953"/>
                                  <a:ext cx="775" cy="320"/>
                                </a:xfrm>
                                <a:prstGeom prst="rect">
                                  <a:avLst/>
                                </a:prstGeom>
                                <a:noFill/>
                                <a:ln>
                                  <a:noFill/>
                                </a:ln>
                              </wps:spPr>
                              <wps:txbx>
                                <w:txbxContent>
                                  <w:p w14:paraId="1CF492F5">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wps:txbx>
                              <wps:bodyPr lIns="91440" tIns="0" rIns="91440" bIns="0" upright="1"/>
                            </wps:wsp>
                            <wps:wsp>
                              <wps:cNvPr id="104" name="直接连接符 104"/>
                              <wps:cNvCnPr/>
                              <wps:spPr>
                                <a:xfrm flipH="1" flipV="1">
                                  <a:off x="13447" y="590173"/>
                                  <a:ext cx="1" cy="193"/>
                                </a:xfrm>
                                <a:prstGeom prst="line">
                                  <a:avLst/>
                                </a:prstGeom>
                                <a:ln w="9525" cap="flat" cmpd="sng">
                                  <a:solidFill>
                                    <a:srgbClr val="000000"/>
                                  </a:solidFill>
                                  <a:prstDash val="dash"/>
                                  <a:headEnd type="none" w="med" len="med"/>
                                  <a:tailEnd type="arrow" w="sm" len="sm"/>
                                </a:ln>
                                <a:effectLst/>
                              </wps:spPr>
                              <wps:bodyPr/>
                            </wps:wsp>
                          </wpg:wgp>
                        </a:graphicData>
                      </a:graphic>
                    </wp:anchor>
                  </w:drawing>
                </mc:Choice>
                <mc:Fallback>
                  <w:pict>
                    <v:group id="_x0000_s1026" o:spid="_x0000_s1026" o:spt="203" style="position:absolute;left:0pt;margin-left:18.1pt;margin-top:16.9pt;height:109.5pt;width:363.35pt;z-index:251692032;mso-width-relative:page;mso-height-relative:page;" coordorigin="6569,588736" coordsize="7267,2190" o:gfxdata="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">
                      <o:lock v:ext="edit" aspectratio="f"/>
                      <v:rect id="_x0000_s1026" o:spid="_x0000_s1026" o:spt="1" style="position:absolute;left:8046;top:589403;height:536;width:1000;" fillcolor="#FFFFFF" filled="t" stroked="t" coordsize="21600,21600" o:gfxdata="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OPkH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inset="0mm,0.5mm,0mm,0mm">
                          <w:txbxContent>
                            <w:p w14:paraId="10EAE2FE">
                              <w:pPr>
                                <w:jc w:val="center"/>
                                <w:rPr>
                                  <w:rFonts w:hint="default"/>
                                  <w:lang w:val="en-US"/>
                                </w:rPr>
                              </w:pPr>
                              <w:r>
                                <w:rPr>
                                  <w:rFonts w:hint="eastAsia" w:ascii="宋体" w:hAnsi="宋体" w:cs="宋体"/>
                                  <w:sz w:val="18"/>
                                  <w:szCs w:val="18"/>
                                  <w:lang w:val="en-US" w:eastAsia="zh-CN"/>
                                </w:rPr>
                                <w:t>物理指标测定</w:t>
                              </w:r>
                            </w:p>
                          </w:txbxContent>
                        </v:textbox>
                      </v:rect>
                      <v:line id="_x0000_s1026" o:spid="_x0000_s1026" o:spt="20" style="position:absolute;left:11521;top:589310;flip:x y;height:193;width:1;" filled="f" stroked="t" coordsize="21600,21600" o:gfxdata="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BOg3vQAA&#10;ANs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shape id="_x0000_s1026" o:spid="_x0000_s1026" o:spt="202" type="#_x0000_t202" style="position:absolute;left:6569;top:589495;height:398;width:1015;" filled="f" stroked="f" coordsize="21600,21600" o:gfxdata="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5sY1a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42FB40F7">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液态样品</w:t>
                              </w:r>
                            </w:p>
                          </w:txbxContent>
                        </v:textbox>
                      </v:shape>
                      <v:line id="_x0000_s1026" o:spid="_x0000_s1026" o:spt="20" style="position:absolute;left:13036;top:589920;height:454;width:1;" filled="f" stroked="t" coordsize="21600,21600" o:gfxdata="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ByNP74A&#10;AADb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7493;top:589687;flip:y;height:1;width:555;" filled="f" stroked="t" coordsize="21600,21600" o:gfxdata="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dPyP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line id="_x0000_s1026" o:spid="_x0000_s1026" o:spt="20" style="position:absolute;left:9048;top:589715;flip:y;height:1;width:555;" filled="f" stroked="t" coordsize="21600,21600" o:gfxdata="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nzWa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line id="_x0000_s1026" o:spid="_x0000_s1026" o:spt="20" style="position:absolute;left:10362;top:589717;flip:y;height:1;width:555;" filled="f" stroked="t" coordsize="21600,21600" o:gfxdata="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OfaK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10915;top:589505;height:397;width:1192;" fillcolor="#FFFFFF" filled="t" stroked="t" coordsize="21600,21600" o:gfxdata="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ZAy0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4DC42D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v:textbox>
                      </v:shape>
                      <v:line id="_x0000_s1026" o:spid="_x0000_s1026" o:spt="20" style="position:absolute;left:12115;top:589704;flip:y;height:1;width:555;" filled="f" stroked="t" coordsize="21600,21600" o:gfxdata="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Qbv6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shape id="_x0000_s1026" o:spid="_x0000_s1026" o:spt="202" type="#_x0000_t202" style="position:absolute;left:9603;top:589498;height:397;width:741;" fillcolor="#FFFFFF" filled="t" stroked="t" coordsize="21600,21600" o:gfxdata="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7Jnh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6F1FF03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稀释</w:t>
                              </w:r>
                            </w:p>
                          </w:txbxContent>
                        </v:textbox>
                      </v:shape>
                      <v:line id="_x0000_s1026" o:spid="_x0000_s1026" o:spt="20" style="position:absolute;left:12020;top:590673;flip:x;height:1;width:556;" filled="f" stroked="t" coordsize="21600,21600" o:gfxdata="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4c/JugAAANsA&#10;AAAPAAAAAAAAAAEAIAAAACIAAABkcnMvZG93bnJldi54bWxQSwECFAAUAAAACACHTuJAMy8FnjsA&#10;AAA5AAAAEAAAAAAAAAABACAAAAAJAQAAZHJzL3NoYXBleG1sLnhtbFBLBQYAAAAABgAGAFsBAACz&#10;AwAAAAA=&#10;">
                        <v:fill on="f" focussize="0,0"/>
                        <v:stroke color="#000000" joinstyle="round" endarrow="open"/>
                        <v:imagedata o:title=""/>
                        <o:lock v:ext="edit" aspectratio="f"/>
                      </v:line>
                      <v:line id="_x0000_s1026" o:spid="_x0000_s1026" o:spt="20" style="position:absolute;left:8536;top:589161;flip:x;height:255;width:1;" filled="f" stroked="t" coordsize="21600,21600" o:gfxdata="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bXr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7882;top:588827;height:398;width:1464;" filled="f" stroked="f" coordsize="21600,21600" o:gfxdata="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RQiwW8AAAA&#10;2w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407316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default" w:ascii="Times New Roman" w:hAnsi="Times New Roman" w:cs="Times New Roman"/>
                                  <w:b w:val="0"/>
                                  <w:bCs w:val="0"/>
                                  <w:sz w:val="18"/>
                                  <w:szCs w:val="18"/>
                                  <w:lang w:val="en-US" w:eastAsia="zh-CN"/>
                                </w:rPr>
                                <w:t>PH计、温度计</w:t>
                              </w:r>
                            </w:p>
                          </w:txbxContent>
                        </v:textbox>
                      </v:shape>
                      <v:line id="_x0000_s1026" o:spid="_x0000_s1026" o:spt="20" style="position:absolute;left:9971;top:589242;flip:x;height:255;width:1;" filled="f" stroked="t" coordsize="21600,21600" o:gfxdata="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eBp1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9700;top:588908;height:398;width:564;" filled="f" stroked="f" coordsize="21600,21600" o:gfxdata="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f6+Q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6ABF670F">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水</w:t>
                              </w:r>
                            </w:p>
                          </w:txbxContent>
                        </v:textbox>
                      </v:shape>
                      <v:rect id="_x0000_s1026" o:spid="_x0000_s1026" o:spt="1" style="position:absolute;left:11113;top:589061;height:320;width:775;" filled="f" stroked="f" coordsize="21600,21600" o:gfxdata="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NGzSrsAAADb&#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5E5984C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shape id="_x0000_s1026" o:spid="_x0000_s1026" o:spt="202" type="#_x0000_t202" style="position:absolute;left:12684;top:589512;height:397;width:741;" fillcolor="#FFFFFF" filled="t" stroked="t" coordsize="21600,21600" o:gfxdata="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OB/G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20473BA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v:textbox>
                      </v:shape>
                      <v:shape id="_x0000_s1026" o:spid="_x0000_s1026" o:spt="202" type="#_x0000_t202" style="position:absolute;left:12372;top:588736;height:649;width:1464;" filled="f" stroked="f" coordsize="21600,21600" o:gfxdata="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xbhD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20CE32B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原子吸收、分光光度计等</w:t>
                              </w:r>
                            </w:p>
                          </w:txbxContent>
                        </v:textbox>
                      </v:shape>
                      <v:line id="_x0000_s1026" o:spid="_x0000_s1026" o:spt="20" style="position:absolute;left:13052;top:589269;flip:x;height:255;width:1;" filled="f" stroked="t" coordsize="21600,21600" o:gfxdata="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cr1B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rect id="_x0000_s1026" o:spid="_x0000_s1026" o:spt="1" style="position:absolute;left:12560;top:590375;height:536;width:1000;" fillcolor="#FFFFFF" filled="t" stroked="t" coordsize="21600,21600" o:gfxdata="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Wl0L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inset="0mm,0.5mm,0mm,0mm">
                          <w:txbxContent>
                            <w:p w14:paraId="0681D30F">
                              <w:pPr>
                                <w:jc w:val="center"/>
                                <w:rPr>
                                  <w:rFonts w:hint="default"/>
                                  <w:lang w:val="en-US"/>
                                </w:rPr>
                              </w:pPr>
                              <w:r>
                                <w:rPr>
                                  <w:rFonts w:hint="eastAsia" w:ascii="宋体" w:hAnsi="宋体" w:cs="宋体"/>
                                  <w:sz w:val="18"/>
                                  <w:szCs w:val="18"/>
                                  <w:lang w:val="en-US" w:eastAsia="zh-CN"/>
                                </w:rPr>
                                <w:t>试管等设备清洗</w:t>
                              </w:r>
                            </w:p>
                          </w:txbxContent>
                        </v:textbox>
                      </v:rect>
                      <v:rect id="_x0000_s1026" o:spid="_x0000_s1026" o:spt="1" style="position:absolute;left:10637;top:590390;height:536;width:1384;" fillcolor="#FFFFFF" filled="t" stroked="t" coordsize="21600,21600" o:gfxdata="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0JUyS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inset="0mm,0.5mm,0mm,0mm">
                          <w:txbxContent>
                            <w:p w14:paraId="34224311">
                              <w:pPr>
                                <w:jc w:val="center"/>
                                <w:rPr>
                                  <w:rFonts w:hint="default"/>
                                  <w:lang w:val="en-US"/>
                                </w:rPr>
                              </w:pPr>
                              <w:r>
                                <w:rPr>
                                  <w:rFonts w:hint="eastAsia" w:ascii="宋体" w:hAnsi="宋体" w:cs="宋体"/>
                                  <w:sz w:val="18"/>
                                  <w:szCs w:val="18"/>
                                  <w:lang w:val="en-US" w:eastAsia="zh-CN"/>
                                </w:rPr>
                                <w:t>数据整理、审核、形成报告</w:t>
                              </w:r>
                            </w:p>
                          </w:txbxContent>
                        </v:textbox>
                      </v:rect>
                      <v:rect id="_x0000_s1026" o:spid="_x0000_s1026" o:spt="1" style="position:absolute;left:13015;top:589953;height:320;width:775;" filled="f" stroked="f" coordsize="21600,21600" o:gfxdata="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La1w7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1CF492F5">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v:textbox>
                      </v:rect>
                      <v:line id="_x0000_s1026" o:spid="_x0000_s1026" o:spt="20" style="position:absolute;left:13447;top:590173;flip:x y;height:193;width:1;" filled="f" stroked="t" coordsize="21600,21600" o:gfxdata="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nIWR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w:pict>
                </mc:Fallback>
              </mc:AlternateConten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）液态样品检测</w:t>
            </w:r>
          </w:p>
          <w:p w14:paraId="475146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63EBC65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24D3C4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A0285C7">
            <w:pPr>
              <w:rPr>
                <w:color w:val="auto"/>
              </w:rPr>
            </w:pPr>
          </w:p>
          <w:p w14:paraId="1221D2C3">
            <w:pPr>
              <w:rPr>
                <w:color w:val="auto"/>
              </w:rPr>
            </w:pPr>
          </w:p>
          <w:p w14:paraId="4078A1F6">
            <w:pPr>
              <w:rPr>
                <w:color w:val="auto"/>
              </w:rPr>
            </w:pPr>
          </w:p>
          <w:p w14:paraId="253A685A">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3</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液态样品实验室检测流程</w:t>
            </w:r>
            <w:r>
              <w:rPr>
                <w:rFonts w:hint="default" w:ascii="Times New Roman" w:hAnsi="Times New Roman" w:eastAsia="宋体" w:cs="Times New Roman"/>
                <w:b/>
                <w:color w:val="auto"/>
                <w:sz w:val="21"/>
                <w:szCs w:val="21"/>
                <w:highlight w:val="none"/>
              </w:rPr>
              <w:t>及排污节点图</w:t>
            </w:r>
          </w:p>
          <w:p w14:paraId="212CF35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 </w:t>
            </w:r>
          </w:p>
          <w:p w14:paraId="0EE7CB2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对水样等液态样本，首先利用温度计、</w:t>
            </w:r>
            <w:r>
              <w:rPr>
                <w:rFonts w:hint="default" w:ascii="Times New Roman" w:hAnsi="Times New Roman" w:cs="Times New Roman"/>
                <w:color w:val="auto"/>
                <w:sz w:val="21"/>
                <w:szCs w:val="21"/>
                <w:highlight w:val="none"/>
                <w:lang w:val="en-US" w:eastAsia="zh-CN"/>
              </w:rPr>
              <w:t xml:space="preserve">pH </w:t>
            </w:r>
            <w:r>
              <w:rPr>
                <w:rFonts w:hint="eastAsia" w:ascii="Times New Roman" w:hAnsi="Times New Roman" w:cs="Times New Roman"/>
                <w:color w:val="auto"/>
                <w:sz w:val="21"/>
                <w:szCs w:val="21"/>
                <w:highlight w:val="none"/>
                <w:lang w:val="en-US" w:eastAsia="zh-CN"/>
              </w:rPr>
              <w:t>计等设备测定其物理指标，再将样品进行稀释，根据不同要求，将样品进行消解或者萃取等前处理，再利用原子吸收、液相色谱仪等仪器测定相应指标；实验完毕后，对仪器设备进行清洗。</w:t>
            </w:r>
          </w:p>
          <w:p w14:paraId="702D678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1008" behindDoc="0" locked="0" layoutInCell="1" allowOverlap="1">
                      <wp:simplePos x="0" y="0"/>
                      <wp:positionH relativeFrom="column">
                        <wp:posOffset>170180</wp:posOffset>
                      </wp:positionH>
                      <wp:positionV relativeFrom="paragraph">
                        <wp:posOffset>276225</wp:posOffset>
                      </wp:positionV>
                      <wp:extent cx="4684395" cy="808355"/>
                      <wp:effectExtent l="0" t="0" r="21590" b="8255"/>
                      <wp:wrapNone/>
                      <wp:docPr id="5" name="组合 5"/>
                      <wp:cNvGraphicFramePr/>
                      <a:graphic xmlns:a="http://schemas.openxmlformats.org/drawingml/2006/main">
                        <a:graphicData uri="http://schemas.microsoft.com/office/word/2010/wordprocessingGroup">
                          <wpg:wgp>
                            <wpg:cNvGrpSpPr/>
                            <wpg:grpSpPr>
                              <a:xfrm>
                                <a:off x="0" y="0"/>
                                <a:ext cx="4684395" cy="808355"/>
                                <a:chOff x="6569" y="594063"/>
                                <a:chExt cx="7377" cy="1273"/>
                              </a:xfrm>
                            </wpg:grpSpPr>
                            <wps:wsp>
                              <wps:cNvPr id="138" name="矩形 138"/>
                              <wps:cNvSpPr/>
                              <wps:spPr>
                                <a:xfrm>
                                  <a:off x="8046" y="594768"/>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29CDD14">
                                    <w:pPr>
                                      <w:jc w:val="center"/>
                                      <w:rPr>
                                        <w:rFonts w:hint="default"/>
                                        <w:lang w:val="en-US"/>
                                      </w:rPr>
                                    </w:pPr>
                                    <w:r>
                                      <w:rPr>
                                        <w:rFonts w:hint="eastAsia" w:ascii="宋体" w:hAnsi="宋体" w:cs="宋体"/>
                                        <w:sz w:val="18"/>
                                        <w:szCs w:val="18"/>
                                        <w:lang w:val="en-US" w:eastAsia="zh-CN"/>
                                      </w:rPr>
                                      <w:t>物理指标测定</w:t>
                                    </w:r>
                                  </w:p>
                                </w:txbxContent>
                              </wps:txbx>
                              <wps:bodyPr lIns="0" tIns="18000" rIns="0" bIns="0" upright="1"/>
                            </wps:wsp>
                            <wps:wsp>
                              <wps:cNvPr id="117" name="直接连接符 117"/>
                              <wps:cNvCnPr/>
                              <wps:spPr>
                                <a:xfrm flipH="1" flipV="1">
                                  <a:off x="8561" y="594596"/>
                                  <a:ext cx="1" cy="193"/>
                                </a:xfrm>
                                <a:prstGeom prst="line">
                                  <a:avLst/>
                                </a:prstGeom>
                                <a:ln w="9525" cap="flat" cmpd="sng">
                                  <a:solidFill>
                                    <a:srgbClr val="000000"/>
                                  </a:solidFill>
                                  <a:prstDash val="dash"/>
                                  <a:headEnd type="none" w="med" len="med"/>
                                  <a:tailEnd type="arrow" w="sm" len="sm"/>
                                </a:ln>
                                <a:effectLst/>
                              </wps:spPr>
                              <wps:bodyPr/>
                            </wps:wsp>
                            <wps:wsp>
                              <wps:cNvPr id="140" name="文本框 140"/>
                              <wps:cNvSpPr txBox="1"/>
                              <wps:spPr>
                                <a:xfrm>
                                  <a:off x="6569" y="594860"/>
                                  <a:ext cx="1015" cy="398"/>
                                </a:xfrm>
                                <a:prstGeom prst="rect">
                                  <a:avLst/>
                                </a:prstGeom>
                                <a:noFill/>
                                <a:ln>
                                  <a:noFill/>
                                </a:ln>
                                <a:effectLst/>
                              </wps:spPr>
                              <wps:txbx>
                                <w:txbxContent>
                                  <w:p w14:paraId="50D29C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气态样品</w:t>
                                    </w:r>
                                  </w:p>
                                </w:txbxContent>
                              </wps:txbx>
                              <wps:bodyPr wrap="square" upright="1"/>
                            </wps:wsp>
                            <wps:wsp>
                              <wps:cNvPr id="139" name="直接连接符 139"/>
                              <wps:cNvCnPr/>
                              <wps:spPr>
                                <a:xfrm flipV="1">
                                  <a:off x="7493" y="595052"/>
                                  <a:ext cx="555" cy="1"/>
                                </a:xfrm>
                                <a:prstGeom prst="line">
                                  <a:avLst/>
                                </a:prstGeom>
                                <a:ln w="9525" cap="flat" cmpd="sng">
                                  <a:solidFill>
                                    <a:srgbClr val="000000"/>
                                  </a:solidFill>
                                  <a:prstDash val="solid"/>
                                  <a:headEnd type="none" w="med" len="med"/>
                                  <a:tailEnd type="arrow" w="med" len="med"/>
                                </a:ln>
                                <a:effectLst/>
                              </wps:spPr>
                              <wps:bodyPr/>
                            </wps:wsp>
                            <wps:wsp>
                              <wps:cNvPr id="136" name="直接连接符 136"/>
                              <wps:cNvCnPr/>
                              <wps:spPr>
                                <a:xfrm flipV="1">
                                  <a:off x="9048" y="595080"/>
                                  <a:ext cx="555" cy="1"/>
                                </a:xfrm>
                                <a:prstGeom prst="line">
                                  <a:avLst/>
                                </a:prstGeom>
                                <a:ln w="9525" cap="flat" cmpd="sng">
                                  <a:solidFill>
                                    <a:srgbClr val="000000"/>
                                  </a:solidFill>
                                  <a:prstDash val="solid"/>
                                  <a:headEnd type="none" w="med" len="med"/>
                                  <a:tailEnd type="arrow" w="med" len="med"/>
                                </a:ln>
                                <a:effectLst/>
                              </wps:spPr>
                              <wps:bodyPr/>
                            </wps:wsp>
                            <wps:wsp>
                              <wps:cNvPr id="123" name="直接连接符 123"/>
                              <wps:cNvCnPr/>
                              <wps:spPr>
                                <a:xfrm flipV="1">
                                  <a:off x="10362" y="595082"/>
                                  <a:ext cx="555" cy="1"/>
                                </a:xfrm>
                                <a:prstGeom prst="line">
                                  <a:avLst/>
                                </a:prstGeom>
                                <a:ln w="9525" cap="flat" cmpd="sng">
                                  <a:solidFill>
                                    <a:srgbClr val="000000"/>
                                  </a:solidFill>
                                  <a:prstDash val="solid"/>
                                  <a:headEnd type="none" w="med" len="med"/>
                                  <a:tailEnd type="arrow" w="med" len="med"/>
                                </a:ln>
                                <a:effectLst/>
                              </wps:spPr>
                              <wps:bodyPr/>
                            </wps:wsp>
                            <wps:wsp>
                              <wps:cNvPr id="122" name="文本框 122"/>
                              <wps:cNvSpPr txBox="1"/>
                              <wps:spPr>
                                <a:xfrm>
                                  <a:off x="10929" y="594847"/>
                                  <a:ext cx="1046"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874EA2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设备清洗</w:t>
                                    </w:r>
                                  </w:p>
                                </w:txbxContent>
                              </wps:txbx>
                              <wps:bodyPr wrap="square" upright="1">
                                <a:noAutofit/>
                              </wps:bodyPr>
                            </wps:wsp>
                            <wps:wsp>
                              <wps:cNvPr id="121" name="直接连接符 121"/>
                              <wps:cNvCnPr/>
                              <wps:spPr>
                                <a:xfrm flipV="1">
                                  <a:off x="11995" y="595069"/>
                                  <a:ext cx="555" cy="1"/>
                                </a:xfrm>
                                <a:prstGeom prst="line">
                                  <a:avLst/>
                                </a:prstGeom>
                                <a:ln w="9525" cap="flat" cmpd="sng">
                                  <a:solidFill>
                                    <a:srgbClr val="000000"/>
                                  </a:solidFill>
                                  <a:prstDash val="solid"/>
                                  <a:headEnd type="none" w="med" len="med"/>
                                  <a:tailEnd type="arrow" w="med" len="med"/>
                                </a:ln>
                                <a:effectLst/>
                              </wps:spPr>
                              <wps:bodyPr/>
                            </wps:wsp>
                            <wps:wsp>
                              <wps:cNvPr id="132" name="文本框 132"/>
                              <wps:cNvSpPr txBox="1"/>
                              <wps:spPr>
                                <a:xfrm>
                                  <a:off x="9603" y="594863"/>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7DAF96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wps:txbx>
                              <wps:bodyPr wrap="square" upright="1">
                                <a:noAutofit/>
                              </wps:bodyPr>
                            </wps:wsp>
                            <wps:wsp>
                              <wps:cNvPr id="118" name="直接连接符 118"/>
                              <wps:cNvCnPr/>
                              <wps:spPr>
                                <a:xfrm flipH="1">
                                  <a:off x="9971" y="594607"/>
                                  <a:ext cx="1" cy="255"/>
                                </a:xfrm>
                                <a:prstGeom prst="line">
                                  <a:avLst/>
                                </a:prstGeom>
                                <a:ln w="9525" cap="flat" cmpd="sng">
                                  <a:solidFill>
                                    <a:srgbClr val="000000"/>
                                  </a:solidFill>
                                  <a:prstDash val="solid"/>
                                  <a:headEnd type="none" w="med" len="med"/>
                                  <a:tailEnd type="arrow" w="med" len="med"/>
                                </a:ln>
                                <a:effectLst/>
                              </wps:spPr>
                              <wps:bodyPr/>
                            </wps:wsp>
                            <wps:wsp>
                              <wps:cNvPr id="115" name="矩形 115"/>
                              <wps:cNvSpPr/>
                              <wps:spPr>
                                <a:xfrm>
                                  <a:off x="8152" y="594385"/>
                                  <a:ext cx="775" cy="320"/>
                                </a:xfrm>
                                <a:prstGeom prst="rect">
                                  <a:avLst/>
                                </a:prstGeom>
                                <a:noFill/>
                                <a:ln>
                                  <a:noFill/>
                                </a:ln>
                              </wps:spPr>
                              <wps:txbx>
                                <w:txbxContent>
                                  <w:p w14:paraId="1EBCBE8B">
                                    <w:pPr>
                                      <w:jc w:val="center"/>
                                      <w:rPr>
                                        <w:spacing w:val="-20"/>
                                        <w:sz w:val="18"/>
                                        <w:szCs w:val="18"/>
                                      </w:rPr>
                                    </w:pPr>
                                    <w:r>
                                      <w:rPr>
                                        <w:spacing w:val="-20"/>
                                        <w:sz w:val="18"/>
                                        <w:szCs w:val="18"/>
                                      </w:rPr>
                                      <w:t>G</w:t>
                                    </w:r>
                                  </w:p>
                                </w:txbxContent>
                              </wps:txbx>
                              <wps:bodyPr lIns="91440" tIns="0" rIns="91440" bIns="0" upright="1"/>
                            </wps:wsp>
                            <wps:wsp>
                              <wps:cNvPr id="112" name="文本框 112"/>
                              <wps:cNvSpPr txBox="1"/>
                              <wps:spPr>
                                <a:xfrm>
                                  <a:off x="9224" y="594063"/>
                                  <a:ext cx="1464" cy="649"/>
                                </a:xfrm>
                                <a:prstGeom prst="rect">
                                  <a:avLst/>
                                </a:prstGeom>
                                <a:noFill/>
                                <a:ln>
                                  <a:noFill/>
                                </a:ln>
                                <a:effectLst/>
                              </wps:spPr>
                              <wps:txbx>
                                <w:txbxContent>
                                  <w:p w14:paraId="0A9B719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色谱仪、分光光度计等</w:t>
                                    </w:r>
                                  </w:p>
                                </w:txbxContent>
                              </wps:txbx>
                              <wps:bodyPr wrap="square" upright="1"/>
                            </wps:wsp>
                            <wps:wsp>
                              <wps:cNvPr id="144" name="矩形 144"/>
                              <wps:cNvSpPr/>
                              <wps:spPr>
                                <a:xfrm>
                                  <a:off x="12562" y="594800"/>
                                  <a:ext cx="1384"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1F22ACD">
                                    <w:pPr>
                                      <w:jc w:val="center"/>
                                      <w:rPr>
                                        <w:rFonts w:hint="default"/>
                                        <w:lang w:val="en-US"/>
                                      </w:rPr>
                                    </w:pPr>
                                    <w:r>
                                      <w:rPr>
                                        <w:rFonts w:hint="eastAsia" w:ascii="宋体" w:hAnsi="宋体" w:cs="宋体"/>
                                        <w:sz w:val="18"/>
                                        <w:szCs w:val="18"/>
                                        <w:lang w:val="en-US" w:eastAsia="zh-CN"/>
                                      </w:rPr>
                                      <w:t>数据整理、审核、形成报告</w:t>
                                    </w:r>
                                  </w:p>
                                </w:txbxContent>
                              </wps:txbx>
                              <wps:bodyPr lIns="0" tIns="18000" rIns="0" bIns="0" upright="1"/>
                            </wps:wsp>
                            <wps:wsp>
                              <wps:cNvPr id="141" name="矩形 141"/>
                              <wps:cNvSpPr/>
                              <wps:spPr>
                                <a:xfrm>
                                  <a:off x="10997" y="594428"/>
                                  <a:ext cx="775" cy="320"/>
                                </a:xfrm>
                                <a:prstGeom prst="rect">
                                  <a:avLst/>
                                </a:prstGeom>
                                <a:noFill/>
                                <a:ln>
                                  <a:noFill/>
                                </a:ln>
                              </wps:spPr>
                              <wps:txbx>
                                <w:txbxContent>
                                  <w:p w14:paraId="006E73C3">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wps:txbx>
                              <wps:bodyPr lIns="91440" tIns="0" rIns="91440" bIns="0" upright="1"/>
                            </wps:wsp>
                            <wps:wsp>
                              <wps:cNvPr id="143" name="直接连接符 143"/>
                              <wps:cNvCnPr/>
                              <wps:spPr>
                                <a:xfrm flipH="1" flipV="1">
                                  <a:off x="11417" y="594650"/>
                                  <a:ext cx="1" cy="193"/>
                                </a:xfrm>
                                <a:prstGeom prst="line">
                                  <a:avLst/>
                                </a:prstGeom>
                                <a:ln w="9525" cap="flat" cmpd="sng">
                                  <a:solidFill>
                                    <a:srgbClr val="000000"/>
                                  </a:solidFill>
                                  <a:prstDash val="dash"/>
                                  <a:headEnd type="none" w="med" len="med"/>
                                  <a:tailEnd type="arrow" w="sm" len="sm"/>
                                </a:ln>
                                <a:effectLst/>
                              </wps:spPr>
                              <wps:bodyPr/>
                            </wps:wsp>
                          </wpg:wgp>
                        </a:graphicData>
                      </a:graphic>
                    </wp:anchor>
                  </w:drawing>
                </mc:Choice>
                <mc:Fallback>
                  <w:pict>
                    <v:group id="_x0000_s1026" o:spid="_x0000_s1026" o:spt="203" style="position:absolute;left:0pt;margin-left:13.4pt;margin-top:21.75pt;height:63.65pt;width:368.85pt;z-index:251691008;mso-width-relative:page;mso-height-relative:page;" coordorigin="6569,594063" coordsize="7377,1273" o:gfxdata="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">
                      <o:lock v:ext="edit" aspectratio="f"/>
                      <v:rect id="_x0000_s1026" o:spid="_x0000_s1026" o:spt="1" style="position:absolute;left:8046;top:594768;height:536;width:1000;" fillcolor="#FFFFFF" filled="t" stroked="t" coordsize="21600,21600" o:gfxdata="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KNrnO/&#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729CDD14">
                              <w:pPr>
                                <w:jc w:val="center"/>
                                <w:rPr>
                                  <w:rFonts w:hint="default"/>
                                  <w:lang w:val="en-US"/>
                                </w:rPr>
                              </w:pPr>
                              <w:r>
                                <w:rPr>
                                  <w:rFonts w:hint="eastAsia" w:ascii="宋体" w:hAnsi="宋体" w:cs="宋体"/>
                                  <w:sz w:val="18"/>
                                  <w:szCs w:val="18"/>
                                  <w:lang w:val="en-US" w:eastAsia="zh-CN"/>
                                </w:rPr>
                                <w:t>物理指标测定</w:t>
                              </w:r>
                            </w:p>
                          </w:txbxContent>
                        </v:textbox>
                      </v:rect>
                      <v:line id="_x0000_s1026" o:spid="_x0000_s1026" o:spt="20" style="position:absolute;left:8561;top:594596;flip:x y;height:193;width:1;" filled="f" stroked="t" coordsize="21600,21600" o:gfxdata="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3ke7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shape id="_x0000_s1026" o:spid="_x0000_s1026" o:spt="202" type="#_x0000_t202" style="position:absolute;left:6569;top:594860;height:398;width:1015;" filled="f" stroked="f" coordsize="21600,21600" o:gfxdata="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8ZKGtvQAA&#10;ANw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50D29C5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气态样品</w:t>
                              </w:r>
                            </w:p>
                          </w:txbxContent>
                        </v:textbox>
                      </v:shape>
                      <v:line id="_x0000_s1026" o:spid="_x0000_s1026" o:spt="20" style="position:absolute;left:7493;top:595052;flip:y;height:1;width:555;" filled="f" stroked="t" coordsize="21600,21600" o:gfxdata="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4BXuG8AAAA&#10;3A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line id="_x0000_s1026" o:spid="_x0000_s1026" o:spt="20" style="position:absolute;left:9048;top:595080;flip:y;height:1;width:555;" filled="f" stroked="t" coordsize="21600,21600" o:gfxdata="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57Kk7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10362;top:595082;flip:y;height:1;width:555;" filled="f" stroked="t" coordsize="21600,21600" o:gfxdata="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jD/1r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shape id="_x0000_s1026" o:spid="_x0000_s1026" o:spt="202" type="#_x0000_t202" style="position:absolute;left:10929;top:594847;height:397;width:1046;" fillcolor="#FFFFFF" filled="t" stroked="t" coordsize="21600,21600" o:gfxdata="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pVwn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874EA2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设备清洗</w:t>
                              </w:r>
                            </w:p>
                          </w:txbxContent>
                        </v:textbox>
                      </v:shape>
                      <v:line id="_x0000_s1026" o:spid="_x0000_s1026" o:spt="20" style="position:absolute;left:11995;top:595069;flip:y;height:1;width:555;" filled="f" stroked="t" coordsize="21600,21600" o:gfxdata="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a7EOr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shape id="_x0000_s1026" o:spid="_x0000_s1026" o:spt="202" type="#_x0000_t202" style="position:absolute;left:9603;top:594863;height:397;width:741;" fillcolor="#FFFFFF" filled="t" stroked="t" coordsize="21600,21600" o:gfxdata="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nzK+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67DAF96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v:textbox>
                      </v:shape>
                      <v:line id="_x0000_s1026" o:spid="_x0000_s1026" o:spt="20" style="position:absolute;left:9971;top:594607;flip:x;height:255;width:1;" filled="f" stroked="t" coordsize="21600,21600" o:gfxdata="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vinG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rect id="_x0000_s1026" o:spid="_x0000_s1026" o:spt="1" style="position:absolute;left:8152;top:594385;height:320;width:775;" filled="f" stroked="f" coordsize="21600,21600" o:gfxdata="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nKHvG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1EBCBE8B">
                              <w:pPr>
                                <w:jc w:val="center"/>
                                <w:rPr>
                                  <w:spacing w:val="-20"/>
                                  <w:sz w:val="18"/>
                                  <w:szCs w:val="18"/>
                                </w:rPr>
                              </w:pPr>
                              <w:r>
                                <w:rPr>
                                  <w:spacing w:val="-20"/>
                                  <w:sz w:val="18"/>
                                  <w:szCs w:val="18"/>
                                </w:rPr>
                                <w:t>G</w:t>
                              </w:r>
                            </w:p>
                          </w:txbxContent>
                        </v:textbox>
                      </v:rect>
                      <v:shape id="_x0000_s1026" o:spid="_x0000_s1026" o:spt="202" type="#_x0000_t202" style="position:absolute;left:9224;top:594063;height:649;width:1464;" filled="f" stroked="f" coordsize="21600,21600" o:gfxdata="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BJtVy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0A9B7198">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色谱仪、分光光度计等</w:t>
                              </w:r>
                            </w:p>
                          </w:txbxContent>
                        </v:textbox>
                      </v:shape>
                      <v:rect id="_x0000_s1026" o:spid="_x0000_s1026" o:spt="1" style="position:absolute;left:12562;top:594800;height:536;width:1384;" fillcolor="#FFFFFF" filled="t" stroked="t" coordsize="21600,21600" o:gfxdata="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xtcL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inset="0mm,0.5mm,0mm,0mm">
                          <w:txbxContent>
                            <w:p w14:paraId="31F22ACD">
                              <w:pPr>
                                <w:jc w:val="center"/>
                                <w:rPr>
                                  <w:rFonts w:hint="default"/>
                                  <w:lang w:val="en-US"/>
                                </w:rPr>
                              </w:pPr>
                              <w:r>
                                <w:rPr>
                                  <w:rFonts w:hint="eastAsia" w:ascii="宋体" w:hAnsi="宋体" w:cs="宋体"/>
                                  <w:sz w:val="18"/>
                                  <w:szCs w:val="18"/>
                                  <w:lang w:val="en-US" w:eastAsia="zh-CN"/>
                                </w:rPr>
                                <w:t>数据整理、审核、形成报告</w:t>
                              </w:r>
                            </w:p>
                          </w:txbxContent>
                        </v:textbox>
                      </v:rect>
                      <v:rect id="_x0000_s1026" o:spid="_x0000_s1026" o:spt="1" style="position:absolute;left:10997;top:594428;height:320;width:775;" filled="f" stroked="f" coordsize="21600,21600" o:gfxdata="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UI377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006E73C3">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v:textbox>
                      </v:rect>
                      <v:line id="_x0000_s1026" o:spid="_x0000_s1026" o:spt="20" style="position:absolute;left:11417;top:594650;flip:x y;height:193;width:1;" filled="f" stroked="t" coordsize="21600,21600" o:gfxdata="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E38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w:pict>
                </mc:Fallback>
              </mc:AlternateConten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）气态样品检测</w:t>
            </w:r>
          </w:p>
          <w:p w14:paraId="62BE536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2020C43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7442A38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73EC9DF">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4</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气态样品实验室检测流程</w:t>
            </w:r>
            <w:r>
              <w:rPr>
                <w:rFonts w:hint="default" w:ascii="Times New Roman" w:hAnsi="Times New Roman" w:eastAsia="宋体" w:cs="Times New Roman"/>
                <w:b/>
                <w:color w:val="auto"/>
                <w:sz w:val="21"/>
                <w:szCs w:val="21"/>
                <w:highlight w:val="none"/>
              </w:rPr>
              <w:t>及排污节点图</w:t>
            </w:r>
          </w:p>
          <w:p w14:paraId="5EA25F9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 </w:t>
            </w:r>
          </w:p>
          <w:p w14:paraId="5182E09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对于气态样品，利用气态采集，运回实验室后，利用液体溶剂进行吸收或进行滤筒消解等前处理；再利用分光光度计、色谱仪等仪器测定相应指标；实验完毕后，对仪器设备进行清洗。 </w:t>
            </w:r>
          </w:p>
          <w:p w14:paraId="67695D3D">
            <w:pPr>
              <w:pStyle w:val="22"/>
              <w:keepNext w:val="0"/>
              <w:keepLines w:val="0"/>
              <w:pageBreakBefore w:val="0"/>
              <w:widowControl/>
              <w:numPr>
                <w:ilvl w:val="0"/>
                <w:numId w:val="2"/>
              </w:numPr>
              <w:kinsoku/>
              <w:wordWrap/>
              <w:overflowPunct/>
              <w:topLinePunct w:val="0"/>
              <w:autoSpaceDE/>
              <w:autoSpaceDN/>
              <w:bidi w:val="0"/>
              <w:adjustRightInd w:val="0"/>
              <w:snapToGrid w:val="0"/>
              <w:spacing w:before="0" w:beforeAutospacing="0" w:after="0" w:afterAutospacing="0" w:line="440" w:lineRule="exact"/>
              <w:ind w:left="0" w:leftChars="0"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3056" behindDoc="0" locked="0" layoutInCell="1" allowOverlap="1">
                      <wp:simplePos x="0" y="0"/>
                      <wp:positionH relativeFrom="column">
                        <wp:posOffset>203200</wp:posOffset>
                      </wp:positionH>
                      <wp:positionV relativeFrom="paragraph">
                        <wp:posOffset>112395</wp:posOffset>
                      </wp:positionV>
                      <wp:extent cx="4683760" cy="1339850"/>
                      <wp:effectExtent l="0" t="0" r="21590" b="11430"/>
                      <wp:wrapNone/>
                      <wp:docPr id="4" name="组合 4"/>
                      <wp:cNvGraphicFramePr/>
                      <a:graphic xmlns:a="http://schemas.openxmlformats.org/drawingml/2006/main">
                        <a:graphicData uri="http://schemas.microsoft.com/office/word/2010/wordprocessingGroup">
                          <wpg:wgp>
                            <wpg:cNvGrpSpPr/>
                            <wpg:grpSpPr>
                              <a:xfrm>
                                <a:off x="0" y="0"/>
                                <a:ext cx="4683760" cy="1339850"/>
                                <a:chOff x="6569" y="603404"/>
                                <a:chExt cx="7376" cy="2110"/>
                              </a:xfrm>
                            </wpg:grpSpPr>
                            <wps:wsp>
                              <wps:cNvPr id="163" name="文本框 163"/>
                              <wps:cNvSpPr txBox="1"/>
                              <wps:spPr>
                                <a:xfrm>
                                  <a:off x="6569" y="603976"/>
                                  <a:ext cx="1015" cy="398"/>
                                </a:xfrm>
                                <a:prstGeom prst="rect">
                                  <a:avLst/>
                                </a:prstGeom>
                                <a:noFill/>
                                <a:ln>
                                  <a:noFill/>
                                </a:ln>
                                <a:effectLst/>
                              </wps:spPr>
                              <wps:txbx>
                                <w:txbxContent>
                                  <w:p w14:paraId="151ECE3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固态样品</w:t>
                                    </w:r>
                                  </w:p>
                                </w:txbxContent>
                              </wps:txbx>
                              <wps:bodyPr wrap="square" upright="1"/>
                            </wps:wsp>
                            <wps:wsp>
                              <wps:cNvPr id="165" name="直接连接符 165"/>
                              <wps:cNvCnPr/>
                              <wps:spPr>
                                <a:xfrm>
                                  <a:off x="13195" y="604508"/>
                                  <a:ext cx="1" cy="454"/>
                                </a:xfrm>
                                <a:prstGeom prst="line">
                                  <a:avLst/>
                                </a:prstGeom>
                                <a:ln w="9525" cap="flat" cmpd="sng">
                                  <a:solidFill>
                                    <a:srgbClr val="000000"/>
                                  </a:solidFill>
                                  <a:prstDash val="solid"/>
                                  <a:headEnd type="none" w="med" len="med"/>
                                  <a:tailEnd type="arrow" w="med" len="med"/>
                                </a:ln>
                                <a:effectLst/>
                              </wps:spPr>
                              <wps:bodyPr/>
                            </wps:wsp>
                            <wps:wsp>
                              <wps:cNvPr id="162" name="直接连接符 162"/>
                              <wps:cNvCnPr/>
                              <wps:spPr>
                                <a:xfrm flipV="1">
                                  <a:off x="7493" y="604168"/>
                                  <a:ext cx="555" cy="1"/>
                                </a:xfrm>
                                <a:prstGeom prst="line">
                                  <a:avLst/>
                                </a:prstGeom>
                                <a:ln w="9525" cap="flat" cmpd="sng">
                                  <a:solidFill>
                                    <a:srgbClr val="000000"/>
                                  </a:solidFill>
                                  <a:prstDash val="solid"/>
                                  <a:headEnd type="none" w="med" len="med"/>
                                  <a:tailEnd type="arrow" w="med" len="med"/>
                                </a:ln>
                                <a:effectLst/>
                              </wps:spPr>
                              <wps:bodyPr/>
                            </wps:wsp>
                            <wps:wsp>
                              <wps:cNvPr id="160" name="直接连接符 160"/>
                              <wps:cNvCnPr/>
                              <wps:spPr>
                                <a:xfrm>
                                  <a:off x="9200" y="604171"/>
                                  <a:ext cx="390" cy="1"/>
                                </a:xfrm>
                                <a:prstGeom prst="line">
                                  <a:avLst/>
                                </a:prstGeom>
                                <a:ln w="9525" cap="flat" cmpd="sng">
                                  <a:solidFill>
                                    <a:srgbClr val="000000"/>
                                  </a:solidFill>
                                  <a:prstDash val="solid"/>
                                  <a:headEnd type="none" w="med" len="med"/>
                                  <a:tailEnd type="arrow" w="med" len="med"/>
                                </a:ln>
                                <a:effectLst/>
                              </wps:spPr>
                              <wps:bodyPr/>
                            </wps:wsp>
                            <wps:wsp>
                              <wps:cNvPr id="157" name="文本框 157"/>
                              <wps:cNvSpPr txBox="1"/>
                              <wps:spPr>
                                <a:xfrm>
                                  <a:off x="8048" y="603959"/>
                                  <a:ext cx="1165"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1958E3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破碎、研磨</w:t>
                                    </w:r>
                                  </w:p>
                                </w:txbxContent>
                              </wps:txbx>
                              <wps:bodyPr wrap="square" upright="1">
                                <a:noAutofit/>
                              </wps:bodyPr>
                            </wps:wsp>
                            <wps:wsp>
                              <wps:cNvPr id="156" name="直接连接符 156"/>
                              <wps:cNvCnPr/>
                              <wps:spPr>
                                <a:xfrm flipV="1">
                                  <a:off x="10801" y="604185"/>
                                  <a:ext cx="555" cy="1"/>
                                </a:xfrm>
                                <a:prstGeom prst="line">
                                  <a:avLst/>
                                </a:prstGeom>
                                <a:ln w="9525" cap="flat" cmpd="sng">
                                  <a:solidFill>
                                    <a:srgbClr val="000000"/>
                                  </a:solidFill>
                                  <a:prstDash val="solid"/>
                                  <a:headEnd type="none" w="med" len="med"/>
                                  <a:tailEnd type="arrow" w="med" len="med"/>
                                </a:ln>
                                <a:effectLst/>
                              </wps:spPr>
                              <wps:bodyPr/>
                            </wps:wsp>
                            <wps:wsp>
                              <wps:cNvPr id="155" name="文本框 155"/>
                              <wps:cNvSpPr txBox="1"/>
                              <wps:spPr>
                                <a:xfrm>
                                  <a:off x="11370" y="603994"/>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DC5C749">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wps:txbx>
                              <wps:bodyPr wrap="square" upright="1">
                                <a:noAutofit/>
                              </wps:bodyPr>
                            </wps:wsp>
                            <wps:wsp>
                              <wps:cNvPr id="147" name="文本框 147"/>
                              <wps:cNvSpPr txBox="1"/>
                              <wps:spPr>
                                <a:xfrm>
                                  <a:off x="10991" y="603404"/>
                                  <a:ext cx="1464" cy="464"/>
                                </a:xfrm>
                                <a:prstGeom prst="rect">
                                  <a:avLst/>
                                </a:prstGeom>
                                <a:noFill/>
                                <a:ln>
                                  <a:noFill/>
                                </a:ln>
                                <a:effectLst/>
                              </wps:spPr>
                              <wps:txbx>
                                <w:txbxContent>
                                  <w:p w14:paraId="62CC018E">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色谱仪等</w:t>
                                    </w:r>
                                  </w:p>
                                </w:txbxContent>
                              </wps:txbx>
                              <wps:bodyPr wrap="square" upright="1"/>
                            </wps:wsp>
                            <wps:wsp>
                              <wps:cNvPr id="151" name="直接连接符 151"/>
                              <wps:cNvCnPr/>
                              <wps:spPr>
                                <a:xfrm flipH="1">
                                  <a:off x="11738" y="603749"/>
                                  <a:ext cx="1" cy="255"/>
                                </a:xfrm>
                                <a:prstGeom prst="line">
                                  <a:avLst/>
                                </a:prstGeom>
                                <a:ln w="9525" cap="flat" cmpd="sng">
                                  <a:solidFill>
                                    <a:srgbClr val="000000"/>
                                  </a:solidFill>
                                  <a:prstDash val="solid"/>
                                  <a:headEnd type="none" w="med" len="med"/>
                                  <a:tailEnd type="arrow" w="med" len="med"/>
                                </a:ln>
                                <a:effectLst/>
                              </wps:spPr>
                              <wps:bodyPr/>
                            </wps:wsp>
                            <wps:wsp>
                              <wps:cNvPr id="168" name="矩形 168"/>
                              <wps:cNvSpPr/>
                              <wps:spPr>
                                <a:xfrm>
                                  <a:off x="12692" y="603953"/>
                                  <a:ext cx="1000"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58CBF4C">
                                    <w:pPr>
                                      <w:jc w:val="center"/>
                                      <w:rPr>
                                        <w:rFonts w:hint="default"/>
                                        <w:lang w:val="en-US"/>
                                      </w:rPr>
                                    </w:pPr>
                                    <w:r>
                                      <w:rPr>
                                        <w:rFonts w:hint="eastAsia" w:ascii="宋体" w:hAnsi="宋体" w:cs="宋体"/>
                                        <w:sz w:val="18"/>
                                        <w:szCs w:val="18"/>
                                        <w:lang w:val="en-US" w:eastAsia="zh-CN"/>
                                      </w:rPr>
                                      <w:t>仪器、设备清洗</w:t>
                                    </w:r>
                                  </w:p>
                                </w:txbxContent>
                              </wps:txbx>
                              <wps:bodyPr lIns="0" tIns="18000" rIns="0" bIns="0" upright="1"/>
                            </wps:wsp>
                            <wps:wsp>
                              <wps:cNvPr id="167" name="矩形 167"/>
                              <wps:cNvSpPr/>
                              <wps:spPr>
                                <a:xfrm>
                                  <a:off x="12561" y="604978"/>
                                  <a:ext cx="1384"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4D61EEE">
                                    <w:pPr>
                                      <w:jc w:val="center"/>
                                      <w:rPr>
                                        <w:rFonts w:hint="default"/>
                                        <w:lang w:val="en-US"/>
                                      </w:rPr>
                                    </w:pPr>
                                    <w:r>
                                      <w:rPr>
                                        <w:rFonts w:hint="eastAsia" w:ascii="宋体" w:hAnsi="宋体" w:cs="宋体"/>
                                        <w:sz w:val="18"/>
                                        <w:szCs w:val="18"/>
                                        <w:lang w:val="en-US" w:eastAsia="zh-CN"/>
                                      </w:rPr>
                                      <w:t>数据整理、审核、形成报告</w:t>
                                    </w:r>
                                  </w:p>
                                </w:txbxContent>
                              </wps:txbx>
                              <wps:bodyPr lIns="0" tIns="18000" rIns="0" bIns="0" upright="1"/>
                            </wps:wsp>
                            <wps:wsp>
                              <wps:cNvPr id="164" name="矩形 164"/>
                              <wps:cNvSpPr/>
                              <wps:spPr>
                                <a:xfrm>
                                  <a:off x="12736" y="603504"/>
                                  <a:ext cx="775" cy="320"/>
                                </a:xfrm>
                                <a:prstGeom prst="rect">
                                  <a:avLst/>
                                </a:prstGeom>
                                <a:noFill/>
                                <a:ln>
                                  <a:noFill/>
                                </a:ln>
                              </wps:spPr>
                              <wps:txbx>
                                <w:txbxContent>
                                  <w:p w14:paraId="65B36A4A">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wps:txbx>
                              <wps:bodyPr lIns="91440" tIns="0" rIns="91440" bIns="0" upright="1"/>
                            </wps:wsp>
                            <wps:wsp>
                              <wps:cNvPr id="166" name="直接连接符 166"/>
                              <wps:cNvCnPr/>
                              <wps:spPr>
                                <a:xfrm flipH="1" flipV="1">
                                  <a:off x="13169" y="603739"/>
                                  <a:ext cx="1" cy="193"/>
                                </a:xfrm>
                                <a:prstGeom prst="line">
                                  <a:avLst/>
                                </a:prstGeom>
                                <a:ln w="9525" cap="flat" cmpd="sng">
                                  <a:solidFill>
                                    <a:srgbClr val="000000"/>
                                  </a:solidFill>
                                  <a:prstDash val="dash"/>
                                  <a:headEnd type="none" w="med" len="med"/>
                                  <a:tailEnd type="arrow" w="sm" len="sm"/>
                                </a:ln>
                                <a:effectLst/>
                              </wps:spPr>
                              <wps:bodyPr/>
                            </wps:wsp>
                            <wps:wsp>
                              <wps:cNvPr id="170" name="直接连接符 170"/>
                              <wps:cNvCnPr/>
                              <wps:spPr>
                                <a:xfrm flipH="1" flipV="1">
                                  <a:off x="8668" y="603752"/>
                                  <a:ext cx="1" cy="193"/>
                                </a:xfrm>
                                <a:prstGeom prst="line">
                                  <a:avLst/>
                                </a:prstGeom>
                                <a:ln w="9525" cap="flat" cmpd="sng">
                                  <a:solidFill>
                                    <a:srgbClr val="000000"/>
                                  </a:solidFill>
                                  <a:prstDash val="dash"/>
                                  <a:headEnd type="none" w="med" len="med"/>
                                  <a:tailEnd type="arrow" w="sm" len="sm"/>
                                </a:ln>
                                <a:effectLst/>
                              </wps:spPr>
                              <wps:bodyPr/>
                            </wps:wsp>
                            <wps:wsp>
                              <wps:cNvPr id="174" name="直接连接符 174"/>
                              <wps:cNvCnPr/>
                              <wps:spPr>
                                <a:xfrm flipH="1" flipV="1">
                                  <a:off x="10182" y="603779"/>
                                  <a:ext cx="1" cy="193"/>
                                </a:xfrm>
                                <a:prstGeom prst="line">
                                  <a:avLst/>
                                </a:prstGeom>
                                <a:ln w="9525" cap="flat" cmpd="sng">
                                  <a:solidFill>
                                    <a:srgbClr val="000000"/>
                                  </a:solidFill>
                                  <a:prstDash val="dash"/>
                                  <a:headEnd type="none" w="med" len="med"/>
                                  <a:tailEnd type="arrow" w="sm" len="sm"/>
                                </a:ln>
                                <a:effectLst/>
                              </wps:spPr>
                              <wps:bodyPr/>
                            </wps:wsp>
                            <wps:wsp>
                              <wps:cNvPr id="171" name="矩形 171"/>
                              <wps:cNvSpPr/>
                              <wps:spPr>
                                <a:xfrm>
                                  <a:off x="8410" y="603526"/>
                                  <a:ext cx="470" cy="320"/>
                                </a:xfrm>
                                <a:prstGeom prst="rect">
                                  <a:avLst/>
                                </a:prstGeom>
                                <a:noFill/>
                                <a:ln>
                                  <a:noFill/>
                                </a:ln>
                              </wps:spPr>
                              <wps:txbx>
                                <w:txbxContent>
                                  <w:p w14:paraId="52D45D10">
                                    <w:pPr>
                                      <w:jc w:val="center"/>
                                      <w:rPr>
                                        <w:spacing w:val="-20"/>
                                        <w:sz w:val="18"/>
                                        <w:szCs w:val="18"/>
                                      </w:rPr>
                                    </w:pPr>
                                    <w:r>
                                      <w:rPr>
                                        <w:spacing w:val="-20"/>
                                        <w:sz w:val="18"/>
                                        <w:szCs w:val="18"/>
                                      </w:rPr>
                                      <w:t>G</w:t>
                                    </w:r>
                                  </w:p>
                                </w:txbxContent>
                              </wps:txbx>
                              <wps:bodyPr lIns="91440" tIns="0" rIns="91440" bIns="0" upright="1"/>
                            </wps:wsp>
                            <wps:wsp>
                              <wps:cNvPr id="172" name="文本框 172"/>
                              <wps:cNvSpPr txBox="1"/>
                              <wps:spPr>
                                <a:xfrm>
                                  <a:off x="9588" y="603976"/>
                                  <a:ext cx="1192"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7C5C81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wps:txbx>
                              <wps:bodyPr wrap="square" upright="1">
                                <a:noAutofit/>
                              </wps:bodyPr>
                            </wps:wsp>
                            <wps:wsp>
                              <wps:cNvPr id="173" name="矩形 173"/>
                              <wps:cNvSpPr/>
                              <wps:spPr>
                                <a:xfrm>
                                  <a:off x="9948" y="603566"/>
                                  <a:ext cx="470" cy="320"/>
                                </a:xfrm>
                                <a:prstGeom prst="rect">
                                  <a:avLst/>
                                </a:prstGeom>
                                <a:noFill/>
                                <a:ln>
                                  <a:noFill/>
                                </a:ln>
                              </wps:spPr>
                              <wps:txbx>
                                <w:txbxContent>
                                  <w:p w14:paraId="2B7D2524">
                                    <w:pPr>
                                      <w:jc w:val="center"/>
                                      <w:rPr>
                                        <w:spacing w:val="-20"/>
                                        <w:sz w:val="18"/>
                                        <w:szCs w:val="18"/>
                                      </w:rPr>
                                    </w:pPr>
                                    <w:r>
                                      <w:rPr>
                                        <w:spacing w:val="-20"/>
                                        <w:sz w:val="18"/>
                                        <w:szCs w:val="18"/>
                                      </w:rPr>
                                      <w:t>G</w:t>
                                    </w:r>
                                  </w:p>
                                </w:txbxContent>
                              </wps:txbx>
                              <wps:bodyPr lIns="91440" tIns="0" rIns="91440" bIns="0" upright="1"/>
                            </wps:wsp>
                            <wps:wsp>
                              <wps:cNvPr id="175" name="直接连接符 175"/>
                              <wps:cNvCnPr/>
                              <wps:spPr>
                                <a:xfrm flipV="1">
                                  <a:off x="12142" y="604226"/>
                                  <a:ext cx="555" cy="1"/>
                                </a:xfrm>
                                <a:prstGeom prst="line">
                                  <a:avLst/>
                                </a:prstGeom>
                                <a:ln w="9525" cap="flat" cmpd="sng">
                                  <a:solidFill>
                                    <a:srgbClr val="000000"/>
                                  </a:solidFill>
                                  <a:prstDash val="solid"/>
                                  <a:headEnd type="none" w="med" len="med"/>
                                  <a:tailEnd type="arrow" w="med" len="med"/>
                                </a:ln>
                                <a:effectLst/>
                              </wps:spPr>
                              <wps:bodyPr/>
                            </wps:wsp>
                          </wpg:wgp>
                        </a:graphicData>
                      </a:graphic>
                    </wp:anchor>
                  </w:drawing>
                </mc:Choice>
                <mc:Fallback>
                  <w:pict>
                    <v:group id="_x0000_s1026" o:spid="_x0000_s1026" o:spt="203" style="position:absolute;left:0pt;margin-left:16pt;margin-top:8.85pt;height:105.5pt;width:368.8pt;z-index:251693056;mso-width-relative:page;mso-height-relative:page;" coordorigin="6569,603404" coordsize="7376,2110" o:gfxdata="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">
                      <o:lock v:ext="edit" aspectratio="f"/>
                      <v:shape id="_x0000_s1026" o:spid="_x0000_s1026" o:spt="202" type="#_x0000_t202" style="position:absolute;left:6569;top:603976;height:398;width:1015;" filled="f" stroked="f" coordsize="21600,21600" o:gfxdata="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cDY7q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151ECE3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固态样品</w:t>
                              </w:r>
                            </w:p>
                          </w:txbxContent>
                        </v:textbox>
                      </v:shape>
                      <v:line id="_x0000_s1026" o:spid="_x0000_s1026" o:spt="20" style="position:absolute;left:13195;top:604508;height:454;width:1;" filled="f" stroked="t" coordsize="21600,21600" o:gfxdata="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ayucr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7493;top:604168;flip:y;height:1;width:555;" filled="f" stroked="t" coordsize="21600,21600" o:gfxdata="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xbjjb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_x0000_s1026" o:spid="_x0000_s1026" o:spt="20" style="position:absolute;left:9200;top:604171;height:1;width:390;" filled="f" stroked="t" coordsize="21600,21600" o:gfxdata="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HbDeq/&#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shape id="_x0000_s1026" o:spid="_x0000_s1026" o:spt="202" type="#_x0000_t202" style="position:absolute;left:8048;top:603959;height:397;width:1165;" fillcolor="#FFFFFF" filled="t" stroked="t" coordsize="21600,21600" o:gfxdata="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SMw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11958E3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破碎、研磨</w:t>
                              </w:r>
                            </w:p>
                          </w:txbxContent>
                        </v:textbox>
                      </v:shape>
                      <v:line id="_x0000_s1026" o:spid="_x0000_s1026" o:spt="20" style="position:absolute;left:10801;top:604185;flip:y;height:1;width:555;" filled="f" stroked="t" coordsize="21600,21600" o:gfxdata="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kEvM7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shape id="_x0000_s1026" o:spid="_x0000_s1026" o:spt="202" type="#_x0000_t202" style="position:absolute;left:11370;top:603994;height:397;width:741;" fillcolor="#FFFFFF" filled="t" stroked="t" coordsize="21600,21600" o:gfxdata="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Kty6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2DC5C749">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测定</w:t>
                              </w:r>
                            </w:p>
                          </w:txbxContent>
                        </v:textbox>
                      </v:shape>
                      <v:shape id="_x0000_s1026" o:spid="_x0000_s1026" o:spt="202" type="#_x0000_t202" style="position:absolute;left:10991;top:603404;height:464;width:1464;" filled="f" stroked="f" coordsize="21600,21600" o:gfxdata="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ONOdm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62CC018E">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Times New Roman" w:hAnsi="Times New Roman" w:eastAsia="宋体" w:cs="Times New Roman"/>
                                  <w:b w:val="0"/>
                                  <w:bCs w:val="0"/>
                                  <w:sz w:val="18"/>
                                  <w:szCs w:val="18"/>
                                  <w:lang w:val="en-US" w:eastAsia="zh-CN"/>
                                </w:rPr>
                              </w:pPr>
                              <w:r>
                                <w:rPr>
                                  <w:rFonts w:hint="eastAsia" w:cs="Times New Roman"/>
                                  <w:b w:val="0"/>
                                  <w:bCs w:val="0"/>
                                  <w:sz w:val="18"/>
                                  <w:szCs w:val="18"/>
                                  <w:lang w:val="en-US" w:eastAsia="zh-CN"/>
                                </w:rPr>
                                <w:t>色谱仪等</w:t>
                              </w:r>
                            </w:p>
                          </w:txbxContent>
                        </v:textbox>
                      </v:shape>
                      <v:line id="_x0000_s1026" o:spid="_x0000_s1026" o:spt="20" style="position:absolute;left:11738;top:603749;flip:x;height:255;width:1;" filled="f" stroked="t" coordsize="21600,21600" o:gfxdata="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ai3R7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rect id="_x0000_s1026" o:spid="_x0000_s1026" o:spt="1" style="position:absolute;left:12692;top:603953;height:536;width:1000;" fillcolor="#FFFFFF" filled="t" stroked="t" coordsize="21600,21600" o:gfxdata="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E+gW6/&#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158CBF4C">
                              <w:pPr>
                                <w:jc w:val="center"/>
                                <w:rPr>
                                  <w:rFonts w:hint="default"/>
                                  <w:lang w:val="en-US"/>
                                </w:rPr>
                              </w:pPr>
                              <w:r>
                                <w:rPr>
                                  <w:rFonts w:hint="eastAsia" w:ascii="宋体" w:hAnsi="宋体" w:cs="宋体"/>
                                  <w:sz w:val="18"/>
                                  <w:szCs w:val="18"/>
                                  <w:lang w:val="en-US" w:eastAsia="zh-CN"/>
                                </w:rPr>
                                <w:t>仪器、设备清洗</w:t>
                              </w:r>
                            </w:p>
                          </w:txbxContent>
                        </v:textbox>
                      </v:rect>
                      <v:rect id="_x0000_s1026" o:spid="_x0000_s1026" o:spt="1" style="position:absolute;left:12561;top:604978;height:536;width:1384;" fillcolor="#FFFFFF" filled="t" stroked="t" coordsize="21600,21600" o:gfxdata="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oRUc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inset="0mm,0.5mm,0mm,0mm">
                          <w:txbxContent>
                            <w:p w14:paraId="34D61EEE">
                              <w:pPr>
                                <w:jc w:val="center"/>
                                <w:rPr>
                                  <w:rFonts w:hint="default"/>
                                  <w:lang w:val="en-US"/>
                                </w:rPr>
                              </w:pPr>
                              <w:r>
                                <w:rPr>
                                  <w:rFonts w:hint="eastAsia" w:ascii="宋体" w:hAnsi="宋体" w:cs="宋体"/>
                                  <w:sz w:val="18"/>
                                  <w:szCs w:val="18"/>
                                  <w:lang w:val="en-US" w:eastAsia="zh-CN"/>
                                </w:rPr>
                                <w:t>数据整理、审核、形成报告</w:t>
                              </w:r>
                            </w:p>
                          </w:txbxContent>
                        </v:textbox>
                      </v:rect>
                      <v:rect id="_x0000_s1026" o:spid="_x0000_s1026" o:spt="1" style="position:absolute;left:12736;top:603504;height:320;width:775;" filled="f" stroked="f" coordsize="21600,21600" o:gfxdata="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oDIF7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65B36A4A">
                              <w:pPr>
                                <w:jc w:val="center"/>
                                <w:rPr>
                                  <w:rFonts w:hint="default" w:eastAsia="宋体"/>
                                  <w:spacing w:val="-20"/>
                                  <w:sz w:val="18"/>
                                  <w:szCs w:val="18"/>
                                  <w:lang w:val="en-US" w:eastAsia="zh-CN"/>
                                </w:rPr>
                              </w:pPr>
                              <w:r>
                                <w:rPr>
                                  <w:spacing w:val="-20"/>
                                  <w:sz w:val="18"/>
                                  <w:szCs w:val="18"/>
                                </w:rPr>
                                <w:t>W</w:t>
                              </w:r>
                              <w:r>
                                <w:rPr>
                                  <w:rFonts w:hint="eastAsia"/>
                                  <w:spacing w:val="-20"/>
                                  <w:sz w:val="18"/>
                                  <w:szCs w:val="18"/>
                                  <w:lang w:eastAsia="zh-CN"/>
                                </w:rPr>
                                <w:t>、</w:t>
                              </w:r>
                              <w:r>
                                <w:rPr>
                                  <w:rFonts w:hint="eastAsia"/>
                                  <w:spacing w:val="-20"/>
                                  <w:sz w:val="18"/>
                                  <w:szCs w:val="18"/>
                                  <w:lang w:val="en-US" w:eastAsia="zh-CN"/>
                                </w:rPr>
                                <w:t>S</w:t>
                              </w:r>
                            </w:p>
                          </w:txbxContent>
                        </v:textbox>
                      </v:rect>
                      <v:line id="_x0000_s1026" o:spid="_x0000_s1026" o:spt="20" style="position:absolute;left:13169;top:603739;flip:x y;height:193;width:1;" filled="f" stroked="t" coordsize="21600,21600" o:gfxdata="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QzyAm/&#10;AAAA3AAAAA8AAAAAAAAAAQAgAAAAIgAAAGRycy9kb3ducmV2LnhtbFBLAQIUABQAAAAIAIdO4kAz&#10;LwWeOwAAADkAAAAQAAAAAAAAAAEAIAAAAA4BAABkcnMvc2hhcGV4bWwueG1sUEsFBgAAAAAGAAYA&#10;WwEAALgDAAAAAA==&#10;">
                        <v:fill on="f" focussize="0,0"/>
                        <v:stroke color="#000000" joinstyle="round" dashstyle="dash" endarrow="open" endarrowwidth="narrow" endarrowlength="short"/>
                        <v:imagedata o:title=""/>
                        <o:lock v:ext="edit" aspectratio="f"/>
                      </v:line>
                      <v:line id="_x0000_s1026" o:spid="_x0000_s1026" o:spt="20" style="position:absolute;left:8668;top:603752;flip:x y;height:193;width:1;" filled="f" stroked="t" coordsize="21600,21600" o:gfxdata="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U9jO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line id="_x0000_s1026" o:spid="_x0000_s1026" o:spt="20" style="position:absolute;left:10182;top:603779;flip:x y;height:193;width:1;" filled="f" stroked="t" coordsize="21600,21600" o:gfxdata="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nRlOL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rect id="_x0000_s1026" o:spid="_x0000_s1026" o:spt="1" style="position:absolute;left:8410;top:603526;height:320;width:470;" filled="f" stroked="f" coordsize="21600,21600" o:gfxdata="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y79Ur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52D45D10">
                              <w:pPr>
                                <w:jc w:val="center"/>
                                <w:rPr>
                                  <w:spacing w:val="-20"/>
                                  <w:sz w:val="18"/>
                                  <w:szCs w:val="18"/>
                                </w:rPr>
                              </w:pPr>
                              <w:r>
                                <w:rPr>
                                  <w:spacing w:val="-20"/>
                                  <w:sz w:val="18"/>
                                  <w:szCs w:val="18"/>
                                </w:rPr>
                                <w:t>G</w:t>
                              </w:r>
                            </w:p>
                          </w:txbxContent>
                        </v:textbox>
                      </v:rect>
                      <v:shape id="_x0000_s1026" o:spid="_x0000_s1026" o:spt="202" type="#_x0000_t202" style="position:absolute;left:9588;top:603976;height:397;width:1192;" fillcolor="#FFFFFF" filled="t" stroked="t" coordsize="21600,21600" o:gfxdata="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FnM6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17C5C812">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消解/萃取</w:t>
                              </w:r>
                            </w:p>
                          </w:txbxContent>
                        </v:textbox>
                      </v:shape>
                      <v:rect id="_x0000_s1026" o:spid="_x0000_s1026" o:spt="1" style="position:absolute;left:9948;top:603566;height:320;width:470;" filled="f" stroked="f" coordsize="21600,21600" o:gfxdata="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LDGvrsAAADc&#10;AAAADwAAAAAAAAABACAAAAAiAAAAZHJzL2Rvd25yZXYueG1sUEsBAhQAFAAAAAgAh07iQDMvBZ47&#10;AAAAOQAAABAAAAAAAAAAAQAgAAAACgEAAGRycy9zaGFwZXhtbC54bWxQSwUGAAAAAAYABgBbAQAA&#10;tAMAAAAA&#10;">
                        <v:fill on="f" focussize="0,0"/>
                        <v:stroke on="f"/>
                        <v:imagedata o:title=""/>
                        <o:lock v:ext="edit" aspectratio="f"/>
                        <v:textbox inset="2.54mm,0mm,2.54mm,0mm">
                          <w:txbxContent>
                            <w:p w14:paraId="2B7D2524">
                              <w:pPr>
                                <w:jc w:val="center"/>
                                <w:rPr>
                                  <w:spacing w:val="-20"/>
                                  <w:sz w:val="18"/>
                                  <w:szCs w:val="18"/>
                                </w:rPr>
                              </w:pPr>
                              <w:r>
                                <w:rPr>
                                  <w:spacing w:val="-20"/>
                                  <w:sz w:val="18"/>
                                  <w:szCs w:val="18"/>
                                </w:rPr>
                                <w:t>G</w:t>
                              </w:r>
                            </w:p>
                          </w:txbxContent>
                        </v:textbox>
                      </v:rect>
                      <v:line id="_x0000_s1026" o:spid="_x0000_s1026" o:spt="20" style="position:absolute;left:12142;top:604226;flip:y;height:1;width:555;" filled="f" stroked="t" coordsize="21600,21600" o:gfxdata="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SbtJL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group>
                  </w:pict>
                </mc:Fallback>
              </mc:AlternateContent>
            </w:r>
            <w:r>
              <w:rPr>
                <w:rFonts w:hint="eastAsia" w:ascii="Times New Roman" w:hAnsi="Times New Roman" w:cs="Times New Roman"/>
                <w:color w:val="auto"/>
                <w:sz w:val="21"/>
                <w:szCs w:val="21"/>
                <w:highlight w:val="none"/>
                <w:lang w:val="en-US" w:eastAsia="zh-CN"/>
              </w:rPr>
              <w:t>固态样品检测</w:t>
            </w:r>
          </w:p>
          <w:p w14:paraId="5A939B6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58647E7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4C21E9F1">
            <w:pPr>
              <w:rPr>
                <w:color w:val="auto"/>
              </w:rPr>
            </w:pPr>
          </w:p>
          <w:p w14:paraId="3625D5EE">
            <w:pPr>
              <w:rPr>
                <w:color w:val="auto"/>
              </w:rPr>
            </w:pPr>
          </w:p>
          <w:p w14:paraId="3C9D2CF3">
            <w:pPr>
              <w:ind w:firstLine="1687" w:firstLineChars="800"/>
              <w:rPr>
                <w:rFonts w:hint="default" w:ascii="Times New Roman" w:hAnsi="Times New Roman" w:eastAsia="宋体" w:cs="Times New Roman"/>
                <w:b/>
                <w:color w:val="auto"/>
                <w:sz w:val="21"/>
                <w:szCs w:val="21"/>
                <w:highlight w:val="none"/>
              </w:rPr>
            </w:pPr>
          </w:p>
          <w:p w14:paraId="35738744">
            <w:pPr>
              <w:ind w:firstLine="1687" w:firstLineChars="800"/>
              <w:rPr>
                <w:color w:val="auto"/>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5</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固态样品实验室检测流程</w:t>
            </w:r>
            <w:r>
              <w:rPr>
                <w:rFonts w:hint="default" w:ascii="Times New Roman" w:hAnsi="Times New Roman" w:eastAsia="宋体" w:cs="Times New Roman"/>
                <w:b/>
                <w:color w:val="auto"/>
                <w:sz w:val="21"/>
                <w:szCs w:val="21"/>
                <w:highlight w:val="none"/>
              </w:rPr>
              <w:t>及排污节点图</w:t>
            </w:r>
          </w:p>
          <w:p w14:paraId="0ADC28D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工艺流程说明：对土壤等固体样品，先进行破碎、研磨、萃取等前处理工序；再利用液相色谱仪等设备进行相关指标的测定；实验完毕后，对仪器设备进行清洗。 </w:t>
            </w:r>
          </w:p>
          <w:p w14:paraId="3C507E8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cs="Times New Roman"/>
                <w:b/>
                <w:bCs/>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 xml:space="preserve">1.2代表性检测分析过程简述 </w:t>
            </w:r>
          </w:p>
          <w:p w14:paraId="08B7789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检测过程分析方法可分为化学分析法和仪器分析法，其中化学分析法又分为滴定分析法和重量分析法。分类简述如下： </w:t>
            </w:r>
          </w:p>
          <w:p w14:paraId="1BCF1E7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 xml:space="preserve">）滴定分析法 </w:t>
            </w:r>
          </w:p>
          <w:p w14:paraId="6BD80EF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滴定分析法包括酸碱滴定法、氧化</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还原滴定法、配位滴定法和沉淀滴定法等。各类滴定法基本操作一致，主要工艺流程如下：</w:t>
            </w:r>
          </w:p>
          <w:p w14:paraId="16B84B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80" w:firstLineChars="200"/>
              <w:textAlignment w:val="auto"/>
              <w:rPr>
                <w:rFonts w:hint="eastAsia" w:ascii="Times New Roman" w:hAnsi="Times New Roman" w:cs="Times New Roman"/>
                <w:color w:val="auto"/>
                <w:sz w:val="21"/>
                <w:szCs w:val="21"/>
                <w:highlight w:val="none"/>
                <w:lang w:val="en-US" w:eastAsia="zh-CN"/>
              </w:rPr>
            </w:pPr>
            <w:r>
              <w:rPr>
                <w:color w:val="auto"/>
                <w:sz w:val="24"/>
              </w:rPr>
              <mc:AlternateContent>
                <mc:Choice Requires="wpg">
                  <w:drawing>
                    <wp:anchor distT="0" distB="0" distL="114300" distR="114300" simplePos="0" relativeHeight="251689984" behindDoc="0" locked="0" layoutInCell="1" allowOverlap="1">
                      <wp:simplePos x="0" y="0"/>
                      <wp:positionH relativeFrom="column">
                        <wp:posOffset>-38735</wp:posOffset>
                      </wp:positionH>
                      <wp:positionV relativeFrom="paragraph">
                        <wp:posOffset>50165</wp:posOffset>
                      </wp:positionV>
                      <wp:extent cx="4957445" cy="1710055"/>
                      <wp:effectExtent l="0" t="0" r="13335" b="23495"/>
                      <wp:wrapNone/>
                      <wp:docPr id="319" name="组合 319"/>
                      <wp:cNvGraphicFramePr/>
                      <a:graphic xmlns:a="http://schemas.openxmlformats.org/drawingml/2006/main">
                        <a:graphicData uri="http://schemas.microsoft.com/office/word/2010/wordprocessingGroup">
                          <wpg:wgp>
                            <wpg:cNvGrpSpPr/>
                            <wpg:grpSpPr>
                              <a:xfrm>
                                <a:off x="0" y="0"/>
                                <a:ext cx="4957445" cy="1710055"/>
                                <a:chOff x="6558" y="611094"/>
                                <a:chExt cx="7807" cy="2693"/>
                              </a:xfrm>
                            </wpg:grpSpPr>
                            <wps:wsp>
                              <wps:cNvPr id="302" name="文本框 302"/>
                              <wps:cNvSpPr txBox="1"/>
                              <wps:spPr>
                                <a:xfrm>
                                  <a:off x="6558" y="612472"/>
                                  <a:ext cx="1015" cy="398"/>
                                </a:xfrm>
                                <a:prstGeom prst="rect">
                                  <a:avLst/>
                                </a:prstGeom>
                                <a:noFill/>
                                <a:ln>
                                  <a:noFill/>
                                </a:ln>
                                <a:effectLst/>
                              </wps:spPr>
                              <wps:txbx>
                                <w:txbxContent>
                                  <w:p w14:paraId="5782C36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wps:txbx>
                              <wps:bodyPr wrap="square" upright="1"/>
                            </wps:wsp>
                            <wps:wsp>
                              <wps:cNvPr id="303" name="直接连接符 303"/>
                              <wps:cNvCnPr/>
                              <wps:spPr>
                                <a:xfrm flipV="1">
                                  <a:off x="7467" y="612663"/>
                                  <a:ext cx="555" cy="1"/>
                                </a:xfrm>
                                <a:prstGeom prst="line">
                                  <a:avLst/>
                                </a:prstGeom>
                                <a:ln w="9525" cap="flat" cmpd="sng">
                                  <a:solidFill>
                                    <a:srgbClr val="000000"/>
                                  </a:solidFill>
                                  <a:prstDash val="solid"/>
                                  <a:headEnd type="none" w="med" len="med"/>
                                  <a:tailEnd type="arrow" w="med" len="med"/>
                                </a:ln>
                                <a:effectLst/>
                              </wps:spPr>
                              <wps:bodyPr/>
                            </wps:wsp>
                            <wps:wsp>
                              <wps:cNvPr id="304" name="文本框 304"/>
                              <wps:cNvSpPr txBox="1"/>
                              <wps:spPr>
                                <a:xfrm>
                                  <a:off x="9736" y="611545"/>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0A4A59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标准溶液</w:t>
                                    </w:r>
                                  </w:p>
                                </w:txbxContent>
                              </wps:txbx>
                              <wps:bodyPr wrap="square" upright="1">
                                <a:noAutofit/>
                              </wps:bodyPr>
                            </wps:wsp>
                            <wps:wsp>
                              <wps:cNvPr id="285" name="矩形 285"/>
                              <wps:cNvSpPr/>
                              <wps:spPr>
                                <a:xfrm>
                                  <a:off x="9730" y="612457"/>
                                  <a:ext cx="1140" cy="39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7EA5C5E">
                                    <w:pPr>
                                      <w:jc w:val="center"/>
                                      <w:rPr>
                                        <w:rFonts w:hint="default"/>
                                        <w:lang w:val="en-US"/>
                                      </w:rPr>
                                    </w:pPr>
                                    <w:r>
                                      <w:rPr>
                                        <w:rFonts w:hint="eastAsia" w:ascii="宋体" w:hAnsi="宋体" w:cs="宋体"/>
                                        <w:sz w:val="18"/>
                                        <w:szCs w:val="18"/>
                                        <w:lang w:val="en-US" w:eastAsia="zh-CN"/>
                                      </w:rPr>
                                      <w:t>指示剂（溶液）</w:t>
                                    </w:r>
                                  </w:p>
                                </w:txbxContent>
                              </wps:txbx>
                              <wps:bodyPr lIns="0" tIns="18000" rIns="0" bIns="0" upright="1"/>
                            </wps:wsp>
                            <wps:wsp>
                              <wps:cNvPr id="201" name="直接连接符 201"/>
                              <wps:cNvCnPr/>
                              <wps:spPr>
                                <a:xfrm flipH="1" flipV="1">
                                  <a:off x="8602" y="611317"/>
                                  <a:ext cx="1" cy="193"/>
                                </a:xfrm>
                                <a:prstGeom prst="line">
                                  <a:avLst/>
                                </a:prstGeom>
                                <a:ln w="9525" cap="flat" cmpd="sng">
                                  <a:solidFill>
                                    <a:srgbClr val="000000"/>
                                  </a:solidFill>
                                  <a:prstDash val="dash"/>
                                  <a:headEnd type="none" w="med" len="med"/>
                                  <a:tailEnd type="arrow" w="sm" len="sm"/>
                                </a:ln>
                                <a:effectLst/>
                              </wps:spPr>
                              <wps:bodyPr/>
                            </wps:wsp>
                            <wps:wsp>
                              <wps:cNvPr id="295" name="文本框 295"/>
                              <wps:cNvSpPr txBox="1"/>
                              <wps:spPr>
                                <a:xfrm>
                                  <a:off x="6569" y="611541"/>
                                  <a:ext cx="1015" cy="398"/>
                                </a:xfrm>
                                <a:prstGeom prst="rect">
                                  <a:avLst/>
                                </a:prstGeom>
                                <a:noFill/>
                                <a:ln>
                                  <a:noFill/>
                                </a:ln>
                                <a:effectLst/>
                              </wps:spPr>
                              <wps:txbx>
                                <w:txbxContent>
                                  <w:p w14:paraId="17555F8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wps:txbx>
                              <wps:bodyPr wrap="square" upright="1"/>
                            </wps:wsp>
                            <wps:wsp>
                              <wps:cNvPr id="297" name="直接连接符 297"/>
                              <wps:cNvCnPr/>
                              <wps:spPr>
                                <a:xfrm>
                                  <a:off x="13767" y="612856"/>
                                  <a:ext cx="1" cy="454"/>
                                </a:xfrm>
                                <a:prstGeom prst="line">
                                  <a:avLst/>
                                </a:prstGeom>
                                <a:ln w="9525" cap="flat" cmpd="sng">
                                  <a:solidFill>
                                    <a:srgbClr val="000000"/>
                                  </a:solidFill>
                                  <a:prstDash val="solid"/>
                                  <a:headEnd type="none" w="med" len="med"/>
                                  <a:tailEnd type="arrow" w="med" len="med"/>
                                </a:ln>
                                <a:effectLst/>
                              </wps:spPr>
                              <wps:bodyPr/>
                            </wps:wsp>
                            <wps:wsp>
                              <wps:cNvPr id="294" name="直接连接符 294"/>
                              <wps:cNvCnPr/>
                              <wps:spPr>
                                <a:xfrm flipV="1">
                                  <a:off x="7493" y="611733"/>
                                  <a:ext cx="555" cy="1"/>
                                </a:xfrm>
                                <a:prstGeom prst="line">
                                  <a:avLst/>
                                </a:prstGeom>
                                <a:ln w="9525" cap="flat" cmpd="sng">
                                  <a:solidFill>
                                    <a:srgbClr val="000000"/>
                                  </a:solidFill>
                                  <a:prstDash val="solid"/>
                                  <a:headEnd type="none" w="med" len="med"/>
                                  <a:tailEnd type="arrow" w="med" len="med"/>
                                </a:ln>
                                <a:effectLst/>
                              </wps:spPr>
                              <wps:bodyPr/>
                            </wps:wsp>
                            <wps:wsp>
                              <wps:cNvPr id="279" name="直接连接符 279"/>
                              <wps:cNvCnPr/>
                              <wps:spPr>
                                <a:xfrm flipV="1">
                                  <a:off x="9182" y="611734"/>
                                  <a:ext cx="555" cy="1"/>
                                </a:xfrm>
                                <a:prstGeom prst="line">
                                  <a:avLst/>
                                </a:prstGeom>
                                <a:ln w="9525" cap="flat" cmpd="sng">
                                  <a:solidFill>
                                    <a:srgbClr val="000000"/>
                                  </a:solidFill>
                                  <a:prstDash val="solid"/>
                                  <a:headEnd type="none" w="med" len="med"/>
                                  <a:tailEnd type="arrow" w="med" len="med"/>
                                </a:ln>
                                <a:effectLst/>
                              </wps:spPr>
                              <wps:bodyPr/>
                            </wps:wsp>
                            <wps:wsp>
                              <wps:cNvPr id="275" name="直接连接符 275"/>
                              <wps:cNvCnPr/>
                              <wps:spPr>
                                <a:xfrm flipV="1">
                                  <a:off x="12645" y="612680"/>
                                  <a:ext cx="555" cy="1"/>
                                </a:xfrm>
                                <a:prstGeom prst="line">
                                  <a:avLst/>
                                </a:prstGeom>
                                <a:ln w="9525" cap="flat" cmpd="sng">
                                  <a:solidFill>
                                    <a:srgbClr val="000000"/>
                                  </a:solidFill>
                                  <a:prstDash val="solid"/>
                                  <a:headEnd type="none" w="med" len="med"/>
                                  <a:tailEnd type="arrow" w="med" len="med"/>
                                </a:ln>
                                <a:effectLst/>
                              </wps:spPr>
                              <wps:bodyPr/>
                            </wps:wsp>
                            <wps:wsp>
                              <wps:cNvPr id="270" name="直接连接符 270"/>
                              <wps:cNvCnPr/>
                              <wps:spPr>
                                <a:xfrm>
                                  <a:off x="11163" y="612662"/>
                                  <a:ext cx="724" cy="1"/>
                                </a:xfrm>
                                <a:prstGeom prst="line">
                                  <a:avLst/>
                                </a:prstGeom>
                                <a:ln w="9525" cap="flat" cmpd="sng">
                                  <a:solidFill>
                                    <a:srgbClr val="000000"/>
                                  </a:solidFill>
                                  <a:prstDash val="solid"/>
                                  <a:headEnd type="none" w="med" len="med"/>
                                  <a:tailEnd type="arrow" w="med" len="med"/>
                                </a:ln>
                                <a:effectLst/>
                              </wps:spPr>
                              <wps:bodyPr/>
                            </wps:wsp>
                            <wps:wsp>
                              <wps:cNvPr id="277" name="文本框 277"/>
                              <wps:cNvSpPr txBox="1"/>
                              <wps:spPr>
                                <a:xfrm>
                                  <a:off x="8036" y="611531"/>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3B5D36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wps:txbx>
                              <wps:bodyPr wrap="square" upright="1">
                                <a:noAutofit/>
                              </wps:bodyPr>
                            </wps:wsp>
                            <wps:wsp>
                              <wps:cNvPr id="196" name="矩形 196"/>
                              <wps:cNvSpPr/>
                              <wps:spPr>
                                <a:xfrm>
                                  <a:off x="8192" y="611094"/>
                                  <a:ext cx="775" cy="320"/>
                                </a:xfrm>
                                <a:prstGeom prst="rect">
                                  <a:avLst/>
                                </a:prstGeom>
                                <a:noFill/>
                                <a:ln>
                                  <a:noFill/>
                                </a:ln>
                              </wps:spPr>
                              <wps:txbx>
                                <w:txbxContent>
                                  <w:p w14:paraId="30A6D8D6">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269" name="文本框 269"/>
                              <wps:cNvSpPr txBox="1"/>
                              <wps:spPr>
                                <a:xfrm>
                                  <a:off x="11888" y="612461"/>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ACF4F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滴定</w:t>
                                    </w:r>
                                  </w:p>
                                </w:txbxContent>
                              </wps:txbx>
                              <wps:bodyPr wrap="square" upright="1">
                                <a:noAutofit/>
                              </wps:bodyPr>
                            </wps:wsp>
                            <wps:wsp>
                              <wps:cNvPr id="307" name="直接连接符 307"/>
                              <wps:cNvCnPr/>
                              <wps:spPr>
                                <a:xfrm flipV="1">
                                  <a:off x="9183" y="612651"/>
                                  <a:ext cx="555" cy="1"/>
                                </a:xfrm>
                                <a:prstGeom prst="line">
                                  <a:avLst/>
                                </a:prstGeom>
                                <a:ln w="9525" cap="flat" cmpd="sng">
                                  <a:solidFill>
                                    <a:srgbClr val="000000"/>
                                  </a:solidFill>
                                  <a:prstDash val="solid"/>
                                  <a:headEnd type="none" w="med" len="med"/>
                                  <a:tailEnd type="arrow" w="med" len="med"/>
                                </a:ln>
                                <a:effectLst/>
                              </wps:spPr>
                              <wps:bodyPr/>
                            </wps:wsp>
                            <wps:wsp>
                              <wps:cNvPr id="306" name="文本框 306"/>
                              <wps:cNvSpPr txBox="1"/>
                              <wps:spPr>
                                <a:xfrm>
                                  <a:off x="8037" y="612448"/>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873C75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wps:txbx>
                              <wps:bodyPr wrap="square" upright="1">
                                <a:noAutofit/>
                              </wps:bodyPr>
                            </wps:wsp>
                            <wps:wsp>
                              <wps:cNvPr id="305" name="文本框 305"/>
                              <wps:cNvSpPr txBox="1"/>
                              <wps:spPr>
                                <a:xfrm>
                                  <a:off x="13214" y="612463"/>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65E06B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wps:txbx>
                              <wps:bodyPr wrap="square" upright="1">
                                <a:noAutofit/>
                              </wps:bodyPr>
                            </wps:wsp>
                            <wps:wsp>
                              <wps:cNvPr id="313" name="直接连接符 313"/>
                              <wps:cNvCnPr/>
                              <wps:spPr>
                                <a:xfrm flipV="1">
                                  <a:off x="10885" y="613582"/>
                                  <a:ext cx="283" cy="1"/>
                                </a:xfrm>
                                <a:prstGeom prst="line">
                                  <a:avLst/>
                                </a:prstGeom>
                                <a:ln w="9525" cap="flat" cmpd="sng">
                                  <a:solidFill>
                                    <a:srgbClr val="000000"/>
                                  </a:solidFill>
                                  <a:prstDash val="solid"/>
                                  <a:headEnd type="none" w="med" len="med"/>
                                  <a:tailEnd type="none" w="med" len="med"/>
                                </a:ln>
                                <a:effectLst/>
                              </wps:spPr>
                              <wps:bodyPr/>
                            </wps:wsp>
                            <wps:wsp>
                              <wps:cNvPr id="312" name="直接连接符 312"/>
                              <wps:cNvCnPr/>
                              <wps:spPr>
                                <a:xfrm flipV="1">
                                  <a:off x="10884" y="612651"/>
                                  <a:ext cx="283" cy="1"/>
                                </a:xfrm>
                                <a:prstGeom prst="line">
                                  <a:avLst/>
                                </a:prstGeom>
                                <a:ln w="9525" cap="flat" cmpd="sng">
                                  <a:solidFill>
                                    <a:srgbClr val="000000"/>
                                  </a:solidFill>
                                  <a:prstDash val="solid"/>
                                  <a:headEnd type="none" w="med" len="med"/>
                                  <a:tailEnd type="none" w="med" len="med"/>
                                </a:ln>
                                <a:effectLst/>
                              </wps:spPr>
                              <wps:bodyPr/>
                            </wps:wsp>
                            <wps:wsp>
                              <wps:cNvPr id="314" name="直接连接符 314"/>
                              <wps:cNvCnPr/>
                              <wps:spPr>
                                <a:xfrm flipH="1">
                                  <a:off x="11163" y="611751"/>
                                  <a:ext cx="1" cy="1848"/>
                                </a:xfrm>
                                <a:prstGeom prst="line">
                                  <a:avLst/>
                                </a:prstGeom>
                                <a:ln w="9525" cap="flat" cmpd="sng">
                                  <a:solidFill>
                                    <a:srgbClr val="000000"/>
                                  </a:solidFill>
                                  <a:prstDash val="solid"/>
                                  <a:headEnd type="none" w="med" len="med"/>
                                  <a:tailEnd type="none" w="med" len="med"/>
                                </a:ln>
                                <a:effectLst/>
                              </wps:spPr>
                              <wps:bodyPr/>
                            </wps:wsp>
                            <wps:wsp>
                              <wps:cNvPr id="315" name="直接连接符 315"/>
                              <wps:cNvCnPr/>
                              <wps:spPr>
                                <a:xfrm flipH="1" flipV="1">
                                  <a:off x="8602" y="612259"/>
                                  <a:ext cx="1" cy="193"/>
                                </a:xfrm>
                                <a:prstGeom prst="line">
                                  <a:avLst/>
                                </a:prstGeom>
                                <a:ln w="9525" cap="flat" cmpd="sng">
                                  <a:solidFill>
                                    <a:srgbClr val="000000"/>
                                  </a:solidFill>
                                  <a:prstDash val="dash"/>
                                  <a:headEnd type="none" w="med" len="med"/>
                                  <a:tailEnd type="arrow" w="sm" len="sm"/>
                                </a:ln>
                                <a:effectLst/>
                              </wps:spPr>
                              <wps:bodyPr/>
                            </wps:wsp>
                            <wps:wsp>
                              <wps:cNvPr id="317" name="直接连接符 317"/>
                              <wps:cNvCnPr/>
                              <wps:spPr>
                                <a:xfrm flipH="1" flipV="1">
                                  <a:off x="12241" y="612274"/>
                                  <a:ext cx="1" cy="193"/>
                                </a:xfrm>
                                <a:prstGeom prst="line">
                                  <a:avLst/>
                                </a:prstGeom>
                                <a:ln w="9525" cap="flat" cmpd="sng">
                                  <a:solidFill>
                                    <a:srgbClr val="000000"/>
                                  </a:solidFill>
                                  <a:prstDash val="dash"/>
                                  <a:headEnd type="none" w="med" len="med"/>
                                  <a:tailEnd type="arrow" w="sm" len="sm"/>
                                </a:ln>
                                <a:effectLst/>
                              </wps:spPr>
                              <wps:bodyPr/>
                            </wps:wsp>
                            <wps:wsp>
                              <wps:cNvPr id="311" name="直接连接符 311"/>
                              <wps:cNvCnPr/>
                              <wps:spPr>
                                <a:xfrm flipV="1">
                                  <a:off x="10883" y="611748"/>
                                  <a:ext cx="283" cy="1"/>
                                </a:xfrm>
                                <a:prstGeom prst="line">
                                  <a:avLst/>
                                </a:prstGeom>
                                <a:ln w="9525" cap="flat" cmpd="sng">
                                  <a:solidFill>
                                    <a:srgbClr val="000000"/>
                                  </a:solidFill>
                                  <a:prstDash val="solid"/>
                                  <a:headEnd type="none" w="med" len="med"/>
                                  <a:tailEnd type="none" w="med" len="med"/>
                                </a:ln>
                                <a:effectLst/>
                              </wps:spPr>
                              <wps:bodyPr/>
                            </wps:wsp>
                            <wps:wsp>
                              <wps:cNvPr id="316" name="矩形 316"/>
                              <wps:cNvSpPr/>
                              <wps:spPr>
                                <a:xfrm>
                                  <a:off x="8208" y="612048"/>
                                  <a:ext cx="775" cy="320"/>
                                </a:xfrm>
                                <a:prstGeom prst="rect">
                                  <a:avLst/>
                                </a:prstGeom>
                                <a:noFill/>
                                <a:ln>
                                  <a:noFill/>
                                </a:ln>
                              </wps:spPr>
                              <wps:txbx>
                                <w:txbxContent>
                                  <w:p w14:paraId="3D78D65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318" name="矩形 318"/>
                              <wps:cNvSpPr/>
                              <wps:spPr>
                                <a:xfrm>
                                  <a:off x="11843" y="612062"/>
                                  <a:ext cx="775" cy="320"/>
                                </a:xfrm>
                                <a:prstGeom prst="rect">
                                  <a:avLst/>
                                </a:prstGeom>
                                <a:noFill/>
                                <a:ln>
                                  <a:noFill/>
                                </a:ln>
                              </wps:spPr>
                              <wps:txbx>
                                <w:txbxContent>
                                  <w:p w14:paraId="5B64EFCD">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wps:txbx>
                              <wps:bodyPr lIns="91440" tIns="0" rIns="91440" bIns="0" upright="1"/>
                            </wps:wsp>
                            <wps:wsp>
                              <wps:cNvPr id="308" name="文本框 308"/>
                              <wps:cNvSpPr txBox="1"/>
                              <wps:spPr>
                                <a:xfrm>
                                  <a:off x="9648" y="613391"/>
                                  <a:ext cx="1239"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D82B4F2">
                                    <w:pPr>
                                      <w:keepNext w:val="0"/>
                                      <w:keepLines w:val="0"/>
                                      <w:pageBreakBefore w:val="0"/>
                                      <w:widowControl w:val="0"/>
                                      <w:kinsoku/>
                                      <w:wordWrap/>
                                      <w:overflowPunct/>
                                      <w:topLinePunct w:val="0"/>
                                      <w:bidi w:val="0"/>
                                      <w:adjustRightInd/>
                                      <w:snapToGrid/>
                                      <w:spacing w:line="240" w:lineRule="exact"/>
                                      <w:jc w:val="both"/>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预处理样品</w:t>
                                    </w:r>
                                  </w:p>
                                </w:txbxContent>
                              </wps:txbx>
                              <wps:bodyPr wrap="square" upright="1">
                                <a:noAutofit/>
                              </wps:bodyPr>
                            </wps:wsp>
                            <wps:wsp>
                              <wps:cNvPr id="309" name="文本框 309"/>
                              <wps:cNvSpPr txBox="1"/>
                              <wps:spPr>
                                <a:xfrm>
                                  <a:off x="13229" y="613312"/>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7406A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wps:txbx>
                              <wps:bodyPr wrap="square" upright="1">
                                <a:noAutofit/>
                              </wps:bodyPr>
                            </wps:wsp>
                          </wpg:wgp>
                        </a:graphicData>
                      </a:graphic>
                    </wp:anchor>
                  </w:drawing>
                </mc:Choice>
                <mc:Fallback>
                  <w:pict>
                    <v:group id="_x0000_s1026" o:spid="_x0000_s1026" o:spt="203" style="position:absolute;left:0pt;margin-left:-3.05pt;margin-top:3.95pt;height:134.65pt;width:390.35pt;z-index:251689984;mso-width-relative:page;mso-height-relative:page;" coordorigin="6558,611094" coordsize="7807,2693" o:gfxdata="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">
                      <o:lock v:ext="edit" aspectratio="f"/>
                      <v:shape id="_x0000_s1026" o:spid="_x0000_s1026" o:spt="202" type="#_x0000_t202" style="position:absolute;left:6558;top:612472;height:398;width:1015;" filled="f" stroked="f" coordsize="21600,21600" o:gfxdata="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FRNYL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5782C36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v:textbox>
                      </v:shape>
                      <v:line id="_x0000_s1026" o:spid="_x0000_s1026" o:spt="20" style="position:absolute;left:7467;top:612663;flip:y;height:1;width:555;" filled="f" stroked="t" coordsize="21600,21600" o:gfxdata="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EHNV7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_x0000_s1026" o:spid="_x0000_s1026" o:spt="202" type="#_x0000_t202" style="position:absolute;left:9736;top:611545;height:397;width:1137;" fillcolor="#FFFFFF" filled="t" stroked="t" coordsize="21600,21600" o:gfxdata="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XFTS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10A4A59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标准溶液</w:t>
                              </w:r>
                            </w:p>
                          </w:txbxContent>
                        </v:textbox>
                      </v:shape>
                      <v:rect id="_x0000_s1026" o:spid="_x0000_s1026" o:spt="1" style="position:absolute;left:9730;top:612457;height:397;width:1140;" fillcolor="#FFFFFF" filled="t" stroked="t" coordsize="21600,21600" o:gfxdata="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QWqXa/&#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57EA5C5E">
                              <w:pPr>
                                <w:jc w:val="center"/>
                                <w:rPr>
                                  <w:rFonts w:hint="default"/>
                                  <w:lang w:val="en-US"/>
                                </w:rPr>
                              </w:pPr>
                              <w:r>
                                <w:rPr>
                                  <w:rFonts w:hint="eastAsia" w:ascii="宋体" w:hAnsi="宋体" w:cs="宋体"/>
                                  <w:sz w:val="18"/>
                                  <w:szCs w:val="18"/>
                                  <w:lang w:val="en-US" w:eastAsia="zh-CN"/>
                                </w:rPr>
                                <w:t>指示剂（溶液）</w:t>
                              </w:r>
                            </w:p>
                          </w:txbxContent>
                        </v:textbox>
                      </v:rect>
                      <v:line id="_x0000_s1026" o:spid="_x0000_s1026" o:spt="20" style="position:absolute;left:8602;top:611317;flip:x y;height:193;width:1;" filled="f" stroked="t" coordsize="21600,21600" o:gfxdata="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INSh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shape id="_x0000_s1026" o:spid="_x0000_s1026" o:spt="202" type="#_x0000_t202" style="position:absolute;left:6569;top:611541;height:398;width:1015;" filled="f" stroked="f" coordsize="21600,21600" o:gfxdata="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VZPDr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17555F8D">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基准物质</w:t>
                              </w:r>
                            </w:p>
                          </w:txbxContent>
                        </v:textbox>
                      </v:shape>
                      <v:line id="_x0000_s1026" o:spid="_x0000_s1026" o:spt="20" style="position:absolute;left:13767;top:612856;height:454;width:1;" filled="f" stroked="t" coordsize="21600,21600" o:gfxdata="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AwoTF&#10;wAAAANwAAAAPAAAAAAAAAAEAIAAAACIAAABkcnMvZG93bnJldi54bWxQSwECFAAUAAAACACHTuJA&#10;My8FnjsAAAA5AAAAEAAAAAAAAAABACAAAAAPAQAAZHJzL3NoYXBleG1sLnhtbFBLBQYAAAAABgAG&#10;AFsBAAC5AwAAAAA=&#10;">
                        <v:fill on="f" focussize="0,0"/>
                        <v:stroke color="#000000" joinstyle="round" endarrow="open"/>
                        <v:imagedata o:title=""/>
                        <o:lock v:ext="edit" aspectratio="f"/>
                      </v:line>
                      <v:line id="_x0000_s1026" o:spid="_x0000_s1026" o:spt="20" style="position:absolute;left:7493;top:611733;flip:y;height:1;width:555;" filled="f" stroked="t" coordsize="21600,21600" o:gfxdata="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UPPO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9182;top:611734;flip:y;height:1;width:555;" filled="f" stroked="t" coordsize="21600,21600" o:gfxdata="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06GX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12645;top:612680;flip:y;height:1;width:555;" filled="f" stroked="t" coordsize="21600,21600" o:gfxdata="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gOMWL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_x0000_s1026" o:spid="_x0000_s1026" o:spt="20" style="position:absolute;left:11163;top:612662;height:1;width:724;" filled="f" stroked="t" coordsize="21600,21600" o:gfxdata="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pLvQAA&#10;ANw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_x0000_s1026" o:spid="_x0000_s1026" o:spt="202" type="#_x0000_t202" style="position:absolute;left:8036;top:611531;height:397;width:1137;" fillcolor="#FFFFFF" filled="t" stroked="t" coordsize="21600,21600" o:gfxdata="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0Sx3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23B5D364">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v:textbox>
                      </v:shape>
                      <v:rect id="_x0000_s1026" o:spid="_x0000_s1026" o:spt="1" style="position:absolute;left:8192;top:611094;height:320;width:775;" filled="f" stroked="f" coordsize="21600,21600" o:gfxdata="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0y4PcugAAANwA&#10;AAAPAAAAAAAAAAEAIAAAACIAAABkcnMvZG93bnJldi54bWxQSwECFAAUAAAACACHTuJAMy8FnjsA&#10;AAA5AAAAEAAAAAAAAAABACAAAAAJAQAAZHJzL3NoYXBleG1sLnhtbFBLBQYAAAAABgAGAFsBAACz&#10;AwAAAAA=&#10;">
                        <v:fill on="f" focussize="0,0"/>
                        <v:stroke on="f"/>
                        <v:imagedata o:title=""/>
                        <o:lock v:ext="edit" aspectratio="f"/>
                        <v:textbox inset="2.54mm,0mm,2.54mm,0mm">
                          <w:txbxContent>
                            <w:p w14:paraId="30A6D8D6">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shape id="_x0000_s1026" o:spid="_x0000_s1026" o:spt="202" type="#_x0000_t202" style="position:absolute;left:11888;top:612461;height:397;width:741;" fillcolor="#FFFFFF" filled="t" stroked="t" coordsize="21600,21600" o:gfxdata="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hOFuq/&#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5ACF4F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滴定</w:t>
                              </w:r>
                            </w:p>
                          </w:txbxContent>
                        </v:textbox>
                      </v:shape>
                      <v:line id="_x0000_s1026" o:spid="_x0000_s1026" o:spt="20" style="position:absolute;left:9183;top:612651;flip:y;height:1;width:555;" filled="f" stroked="t" coordsize="21600,21600" o:gfxdata="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3rLVL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_x0000_s1026" o:spid="_x0000_s1026" o:spt="202" type="#_x0000_t202" style="position:absolute;left:8037;top:612448;height:397;width:1137;" fillcolor="#FFFFFF" filled="t" stroked="t" coordsize="21600,21600" o:gfxdata="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u9op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7873C75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11"/>
                                  <w:sz w:val="18"/>
                                  <w:szCs w:val="18"/>
                                  <w:lang w:val="en-US" w:eastAsia="zh-CN"/>
                                </w:rPr>
                              </w:pPr>
                              <w:r>
                                <w:rPr>
                                  <w:rFonts w:hint="default" w:ascii="Times New Roman" w:hAnsi="Times New Roman" w:eastAsia="宋体" w:cs="Times New Roman"/>
                                  <w:spacing w:val="11"/>
                                  <w:sz w:val="18"/>
                                  <w:szCs w:val="18"/>
                                  <w:lang w:val="en-US" w:eastAsia="zh-CN"/>
                                </w:rPr>
                                <w:t>溶液配制</w:t>
                              </w:r>
                            </w:p>
                          </w:txbxContent>
                        </v:textbox>
                      </v:shape>
                      <v:shape id="_x0000_s1026" o:spid="_x0000_s1026" o:spt="202" type="#_x0000_t202" style="position:absolute;left:13214;top:612463;height:397;width:1137;" fillcolor="#FFFFFF" filled="t" stroked="t" coordsize="21600,21600" o:gfxdata="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I99tK/&#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265E06BC">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v:textbox>
                      </v:shape>
                      <v:line id="_x0000_s1026" o:spid="_x0000_s1026" o:spt="20" style="position:absolute;left:10885;top:613582;flip:y;height:1;width:283;" filled="f" stroked="t" coordsize="21600,21600" o:gfxdata="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DAs9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_x0000_s1026" o:spid="_x0000_s1026" o:spt="20" style="position:absolute;left:10884;top:612651;flip:y;height:1;width:283;" filled="f" stroked="t" coordsize="21600,21600" o:gfxdata="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QK6m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_x0000_s1026" o:spid="_x0000_s1026" o:spt="20" style="position:absolute;left:11163;top:611751;flip:x;height:1848;width:1;" filled="f" stroked="t" coordsize="21600,21600" o:gfxdata="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TSb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_x0000_s1026" o:spid="_x0000_s1026" o:spt="20" style="position:absolute;left:8602;top:612259;flip:x y;height:193;width:1;" filled="f" stroked="t" coordsize="21600,21600" o:gfxdata="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I0vi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line id="_x0000_s1026" o:spid="_x0000_s1026" o:spt="20" style="position:absolute;left:12241;top:612274;flip:x y;height:193;width:1;" filled="f" stroked="t" coordsize="21600,21600" o:gfxdata="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vXAO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line id="_x0000_s1026" o:spid="_x0000_s1026" o:spt="20" style="position:absolute;left:10883;top:611748;flip:y;height:1;width:283;" filled="f" stroked="t" coordsize="21600,21600" o:gfxdata="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kjDR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rect id="_x0000_s1026" o:spid="_x0000_s1026" o:spt="1" style="position:absolute;left:8208;top:612048;height:320;width:775;" filled="f" stroked="f" coordsize="21600,21600" o:gfxdata="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3O5n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3D78D655">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rect id="_x0000_s1026" o:spid="_x0000_s1026" o:spt="1" style="position:absolute;left:11843;top:612062;height:320;width:775;" filled="f" stroked="f" coordsize="21600,21600" o:gfxdata="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oP3465AAAA3AAA&#10;AA8AAAAAAAAAAQAgAAAAIgAAAGRycy9kb3ducmV2LnhtbFBLAQIUABQAAAAIAIdO4kAzLwWeOwAA&#10;ADkAAAAQAAAAAAAAAAEAIAAAAAgBAABkcnMvc2hhcGV4bWwueG1sUEsFBgAAAAAGAAYAWwEAALID&#10;AAAAAA==&#10;">
                        <v:fill on="f" focussize="0,0"/>
                        <v:stroke on="f"/>
                        <v:imagedata o:title=""/>
                        <o:lock v:ext="edit" aspectratio="f"/>
                        <v:textbox inset="2.54mm,0mm,2.54mm,0mm">
                          <w:txbxContent>
                            <w:p w14:paraId="5B64EFCD">
                              <w:pPr>
                                <w:jc w:val="center"/>
                                <w:rPr>
                                  <w:spacing w:val="-20"/>
                                  <w:sz w:val="18"/>
                                  <w:szCs w:val="18"/>
                                </w:rPr>
                              </w:pPr>
                              <w:r>
                                <w:rPr>
                                  <w:spacing w:val="-20"/>
                                  <w:sz w:val="18"/>
                                  <w:szCs w:val="18"/>
                                </w:rPr>
                                <w:t>G</w:t>
                              </w:r>
                              <w:r>
                                <w:rPr>
                                  <w:rFonts w:hint="eastAsia"/>
                                  <w:spacing w:val="-20"/>
                                  <w:sz w:val="18"/>
                                  <w:szCs w:val="18"/>
                                </w:rPr>
                                <w:t>、</w:t>
                              </w:r>
                              <w:r>
                                <w:rPr>
                                  <w:spacing w:val="-20"/>
                                  <w:sz w:val="18"/>
                                  <w:szCs w:val="18"/>
                                </w:rPr>
                                <w:t>W</w:t>
                              </w:r>
                            </w:p>
                          </w:txbxContent>
                        </v:textbox>
                      </v:rect>
                      <v:shape id="_x0000_s1026" o:spid="_x0000_s1026" o:spt="202" type="#_x0000_t202" style="position:absolute;left:9648;top:613391;height:397;width:1239;" fillcolor="#FFFFFF" filled="t" stroked="t" coordsize="21600,21600" o:gfxdata="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DxZT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6D82B4F2">
                              <w:pPr>
                                <w:keepNext w:val="0"/>
                                <w:keepLines w:val="0"/>
                                <w:pageBreakBefore w:val="0"/>
                                <w:widowControl w:val="0"/>
                                <w:kinsoku/>
                                <w:wordWrap/>
                                <w:overflowPunct/>
                                <w:topLinePunct w:val="0"/>
                                <w:bidi w:val="0"/>
                                <w:adjustRightInd/>
                                <w:snapToGrid/>
                                <w:spacing w:line="240" w:lineRule="exact"/>
                                <w:jc w:val="both"/>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预处理样品</w:t>
                              </w:r>
                            </w:p>
                          </w:txbxContent>
                        </v:textbox>
                      </v:shape>
                      <v:shape id="_x0000_s1026" o:spid="_x0000_s1026" o:spt="202" type="#_x0000_t202" style="position:absolute;left:13229;top:613312;height:397;width:1137;" fillcolor="#FFFFFF" filled="t" stroked="t" coordsize="21600,21600" o:gfxdata="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3D81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07406A2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v:textbox>
                      </v:shape>
                    </v:group>
                  </w:pict>
                </mc:Fallback>
              </mc:AlternateContent>
            </w:r>
          </w:p>
          <w:p w14:paraId="632B344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4E20D44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077B0D2F">
            <w:pPr>
              <w:rPr>
                <w:color w:val="auto"/>
              </w:rPr>
            </w:pPr>
          </w:p>
          <w:p w14:paraId="4368CC17">
            <w:pPr>
              <w:rPr>
                <w:color w:val="auto"/>
              </w:rPr>
            </w:pPr>
          </w:p>
          <w:p w14:paraId="73DC51DD">
            <w:pPr>
              <w:rPr>
                <w:color w:val="auto"/>
              </w:rPr>
            </w:pPr>
          </w:p>
          <w:p w14:paraId="47E774C2">
            <w:pPr>
              <w:pStyle w:val="6"/>
              <w:rPr>
                <w:color w:val="auto"/>
              </w:rPr>
            </w:pPr>
          </w:p>
          <w:p w14:paraId="0EB4D1B0">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p>
          <w:p w14:paraId="681848D1">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6</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滴定分析法基本流程</w:t>
            </w:r>
            <w:r>
              <w:rPr>
                <w:rFonts w:hint="default" w:ascii="Times New Roman" w:hAnsi="Times New Roman" w:eastAsia="宋体" w:cs="Times New Roman"/>
                <w:b/>
                <w:color w:val="auto"/>
                <w:sz w:val="21"/>
                <w:szCs w:val="21"/>
                <w:highlight w:val="none"/>
              </w:rPr>
              <w:t>及排污节点图</w:t>
            </w:r>
          </w:p>
          <w:p w14:paraId="0C2FE31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溶液配制：准确称取一定量的基准物质</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 xml:space="preserve">指示剂，按操作进行溶解，配制已知准确浓度的标准溶液和指示剂，用于待测物质溶液的滴定。 </w:t>
            </w:r>
          </w:p>
          <w:p w14:paraId="5105E01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滴定：将标准溶液由滴定管逐滴滴加到待测水样中，至指示剂改变颜色的那一点即为滴定终点，记录标准溶液用量。 </w:t>
            </w:r>
          </w:p>
          <w:p w14:paraId="317C118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公式计算：根据标准溶液用量采用公式计算待测水样物质浓度。</w:t>
            </w:r>
          </w:p>
          <w:p w14:paraId="12E12D0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 xml:space="preserve">）重量分析法 </w:t>
            </w:r>
          </w:p>
          <w:p w14:paraId="6543F2F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694080" behindDoc="0" locked="0" layoutInCell="1" allowOverlap="1">
                      <wp:simplePos x="0" y="0"/>
                      <wp:positionH relativeFrom="column">
                        <wp:posOffset>-41910</wp:posOffset>
                      </wp:positionH>
                      <wp:positionV relativeFrom="paragraph">
                        <wp:posOffset>775335</wp:posOffset>
                      </wp:positionV>
                      <wp:extent cx="5008880" cy="1192530"/>
                      <wp:effectExtent l="0" t="0" r="0" b="0"/>
                      <wp:wrapNone/>
                      <wp:docPr id="191" name="组合 191"/>
                      <wp:cNvGraphicFramePr/>
                      <a:graphic xmlns:a="http://schemas.openxmlformats.org/drawingml/2006/main">
                        <a:graphicData uri="http://schemas.microsoft.com/office/word/2010/wordprocessingGroup">
                          <wpg:wgp>
                            <wpg:cNvGrpSpPr/>
                            <wpg:grpSpPr>
                              <a:xfrm>
                                <a:off x="0" y="0"/>
                                <a:ext cx="5008880" cy="1192530"/>
                                <a:chOff x="4448" y="613865"/>
                                <a:chExt cx="7888" cy="1878"/>
                              </a:xfrm>
                            </wpg:grpSpPr>
                            <wps:wsp>
                              <wps:cNvPr id="321" name="文本框 302"/>
                              <wps:cNvSpPr txBox="1"/>
                              <wps:spPr>
                                <a:xfrm>
                                  <a:off x="4448" y="615330"/>
                                  <a:ext cx="722" cy="398"/>
                                </a:xfrm>
                                <a:prstGeom prst="rect">
                                  <a:avLst/>
                                </a:prstGeom>
                                <a:noFill/>
                                <a:ln>
                                  <a:noFill/>
                                </a:ln>
                                <a:effectLst/>
                              </wps:spPr>
                              <wps:txbx>
                                <w:txbxContent>
                                  <w:p w14:paraId="4D398885">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水样</w:t>
                                    </w:r>
                                  </w:p>
                                </w:txbxContent>
                              </wps:txbx>
                              <wps:bodyPr wrap="square" upright="1"/>
                            </wps:wsp>
                            <wps:wsp>
                              <wps:cNvPr id="325" name="直接连接符 201"/>
                              <wps:cNvCnPr/>
                              <wps:spPr>
                                <a:xfrm flipH="1" flipV="1">
                                  <a:off x="7249" y="615130"/>
                                  <a:ext cx="1" cy="193"/>
                                </a:xfrm>
                                <a:prstGeom prst="line">
                                  <a:avLst/>
                                </a:prstGeom>
                                <a:ln w="9525" cap="flat" cmpd="sng">
                                  <a:solidFill>
                                    <a:srgbClr val="000000"/>
                                  </a:solidFill>
                                  <a:prstDash val="dash"/>
                                  <a:headEnd type="none" w="med" len="med"/>
                                  <a:tailEnd type="arrow" w="sm" len="sm"/>
                                </a:ln>
                                <a:effectLst/>
                              </wps:spPr>
                              <wps:bodyPr/>
                            </wps:wsp>
                            <wps:wsp>
                              <wps:cNvPr id="330" name="直接连接符 275"/>
                              <wps:cNvCnPr/>
                              <wps:spPr>
                                <a:xfrm flipV="1">
                                  <a:off x="10655" y="615537"/>
                                  <a:ext cx="555" cy="1"/>
                                </a:xfrm>
                                <a:prstGeom prst="line">
                                  <a:avLst/>
                                </a:prstGeom>
                                <a:ln w="9525" cap="flat" cmpd="sng">
                                  <a:solidFill>
                                    <a:srgbClr val="000000"/>
                                  </a:solidFill>
                                  <a:prstDash val="solid"/>
                                  <a:headEnd type="none" w="med" len="med"/>
                                  <a:tailEnd type="arrow" w="med" len="med"/>
                                </a:ln>
                                <a:effectLst/>
                              </wps:spPr>
                              <wps:bodyPr/>
                            </wps:wsp>
                            <wps:wsp>
                              <wps:cNvPr id="333" name="矩形 196"/>
                              <wps:cNvSpPr/>
                              <wps:spPr>
                                <a:xfrm>
                                  <a:off x="8115" y="614933"/>
                                  <a:ext cx="775" cy="320"/>
                                </a:xfrm>
                                <a:prstGeom prst="rect">
                                  <a:avLst/>
                                </a:prstGeom>
                                <a:noFill/>
                                <a:ln>
                                  <a:noFill/>
                                </a:ln>
                              </wps:spPr>
                              <wps:txbx>
                                <w:txbxContent>
                                  <w:p w14:paraId="02A44FB1">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334" name="文本框 269"/>
                              <wps:cNvSpPr txBox="1"/>
                              <wps:spPr>
                                <a:xfrm>
                                  <a:off x="5584" y="615319"/>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D0940D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过滤</w:t>
                                    </w:r>
                                  </w:p>
                                </w:txbxContent>
                              </wps:txbx>
                              <wps:bodyPr wrap="square" upright="1">
                                <a:noAutofit/>
                              </wps:bodyPr>
                            </wps:wsp>
                            <wps:wsp>
                              <wps:cNvPr id="335" name="直接连接符 307"/>
                              <wps:cNvCnPr/>
                              <wps:spPr>
                                <a:xfrm flipV="1">
                                  <a:off x="5017" y="615522"/>
                                  <a:ext cx="555" cy="1"/>
                                </a:xfrm>
                                <a:prstGeom prst="line">
                                  <a:avLst/>
                                </a:prstGeom>
                                <a:ln w="9525" cap="flat" cmpd="sng">
                                  <a:solidFill>
                                    <a:srgbClr val="000000"/>
                                  </a:solidFill>
                                  <a:prstDash val="solid"/>
                                  <a:headEnd type="none" w="med" len="med"/>
                                  <a:tailEnd type="arrow" w="med" len="med"/>
                                </a:ln>
                                <a:effectLst/>
                              </wps:spPr>
                              <wps:bodyPr/>
                            </wps:wsp>
                            <wps:wsp>
                              <wps:cNvPr id="337" name="文本框 305"/>
                              <wps:cNvSpPr txBox="1"/>
                              <wps:spPr>
                                <a:xfrm>
                                  <a:off x="9498" y="615334"/>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D2FC64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wps:txbx>
                              <wps:bodyPr wrap="square" upright="1">
                                <a:noAutofit/>
                              </wps:bodyPr>
                            </wps:wsp>
                            <wps:wsp>
                              <wps:cNvPr id="341" name="直接连接符 315"/>
                              <wps:cNvCnPr/>
                              <wps:spPr>
                                <a:xfrm flipH="1" flipV="1">
                                  <a:off x="6174" y="615117"/>
                                  <a:ext cx="1" cy="193"/>
                                </a:xfrm>
                                <a:prstGeom prst="line">
                                  <a:avLst/>
                                </a:prstGeom>
                                <a:ln w="9525" cap="flat" cmpd="sng">
                                  <a:solidFill>
                                    <a:srgbClr val="000000"/>
                                  </a:solidFill>
                                  <a:prstDash val="dash"/>
                                  <a:headEnd type="none" w="med" len="med"/>
                                  <a:tailEnd type="arrow" w="sm" len="sm"/>
                                </a:ln>
                                <a:effectLst/>
                              </wps:spPr>
                              <wps:bodyPr/>
                            </wps:wsp>
                            <wps:wsp>
                              <wps:cNvPr id="344" name="矩形 316"/>
                              <wps:cNvSpPr/>
                              <wps:spPr>
                                <a:xfrm>
                                  <a:off x="5770" y="614904"/>
                                  <a:ext cx="775" cy="320"/>
                                </a:xfrm>
                                <a:prstGeom prst="rect">
                                  <a:avLst/>
                                </a:prstGeom>
                                <a:noFill/>
                                <a:ln>
                                  <a:noFill/>
                                </a:ln>
                              </wps:spPr>
                              <wps:txbx>
                                <w:txbxContent>
                                  <w:p w14:paraId="691E2FFA">
                                    <w:pPr>
                                      <w:jc w:val="center"/>
                                      <w:rPr>
                                        <w:spacing w:val="-20"/>
                                        <w:sz w:val="18"/>
                                        <w:szCs w:val="18"/>
                                      </w:rPr>
                                    </w:pPr>
                                    <w:r>
                                      <w:rPr>
                                        <w:spacing w:val="-20"/>
                                        <w:sz w:val="18"/>
                                        <w:szCs w:val="18"/>
                                      </w:rPr>
                                      <w:t>W</w:t>
                                    </w:r>
                                  </w:p>
                                </w:txbxContent>
                              </wps:txbx>
                              <wps:bodyPr lIns="91440" tIns="0" rIns="91440" bIns="0" upright="1"/>
                            </wps:wsp>
                            <wps:wsp>
                              <wps:cNvPr id="347" name="文本框 309"/>
                              <wps:cNvSpPr txBox="1"/>
                              <wps:spPr>
                                <a:xfrm>
                                  <a:off x="11200" y="615347"/>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A3A48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wps:txbx>
                              <wps:bodyPr wrap="square" upright="1">
                                <a:noAutofit/>
                              </wps:bodyPr>
                            </wps:wsp>
                            <wps:wsp>
                              <wps:cNvPr id="349" name="文本框 269"/>
                              <wps:cNvSpPr txBox="1"/>
                              <wps:spPr>
                                <a:xfrm>
                                  <a:off x="6886" y="615320"/>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8A9BDF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wps:txbx>
                              <wps:bodyPr wrap="square" upright="1">
                                <a:noAutofit/>
                              </wps:bodyPr>
                            </wps:wsp>
                            <wps:wsp>
                              <wps:cNvPr id="353" name="直接连接符 307"/>
                              <wps:cNvCnPr/>
                              <wps:spPr>
                                <a:xfrm flipV="1">
                                  <a:off x="7634" y="615524"/>
                                  <a:ext cx="555" cy="1"/>
                                </a:xfrm>
                                <a:prstGeom prst="line">
                                  <a:avLst/>
                                </a:prstGeom>
                                <a:ln w="9525" cap="flat" cmpd="sng">
                                  <a:solidFill>
                                    <a:srgbClr val="000000"/>
                                  </a:solidFill>
                                  <a:prstDash val="solid"/>
                                  <a:headEnd type="none" w="med" len="med"/>
                                  <a:tailEnd type="arrow" w="med" len="med"/>
                                </a:ln>
                                <a:effectLst/>
                              </wps:spPr>
                              <wps:bodyPr/>
                            </wps:wsp>
                            <wps:wsp>
                              <wps:cNvPr id="351" name="文本框 269"/>
                              <wps:cNvSpPr txBox="1"/>
                              <wps:spPr>
                                <a:xfrm>
                                  <a:off x="8188" y="615322"/>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E61BEC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wps:txbx>
                              <wps:bodyPr wrap="square" upright="1">
                                <a:noAutofit/>
                              </wps:bodyPr>
                            </wps:wsp>
                            <wps:wsp>
                              <wps:cNvPr id="352" name="直接连接符 307"/>
                              <wps:cNvCnPr/>
                              <wps:spPr>
                                <a:xfrm flipV="1">
                                  <a:off x="6332" y="615523"/>
                                  <a:ext cx="555" cy="1"/>
                                </a:xfrm>
                                <a:prstGeom prst="line">
                                  <a:avLst/>
                                </a:prstGeom>
                                <a:ln w="9525" cap="flat" cmpd="sng">
                                  <a:solidFill>
                                    <a:srgbClr val="000000"/>
                                  </a:solidFill>
                                  <a:prstDash val="solid"/>
                                  <a:headEnd type="none" w="med" len="med"/>
                                  <a:tailEnd type="arrow" w="med" len="med"/>
                                </a:ln>
                                <a:effectLst/>
                              </wps:spPr>
                              <wps:bodyPr/>
                            </wps:wsp>
                            <wps:wsp>
                              <wps:cNvPr id="354" name="直接连接符 307"/>
                              <wps:cNvCnPr/>
                              <wps:spPr>
                                <a:xfrm flipV="1">
                                  <a:off x="8936" y="615525"/>
                                  <a:ext cx="555" cy="1"/>
                                </a:xfrm>
                                <a:prstGeom prst="line">
                                  <a:avLst/>
                                </a:prstGeom>
                                <a:ln w="9525" cap="flat" cmpd="sng">
                                  <a:solidFill>
                                    <a:srgbClr val="000000"/>
                                  </a:solidFill>
                                  <a:prstDash val="solid"/>
                                  <a:headEnd type="none" w="med" len="med"/>
                                  <a:tailEnd type="arrow" w="med" len="med"/>
                                </a:ln>
                                <a:effectLst/>
                              </wps:spPr>
                              <wps:bodyPr/>
                            </wps:wsp>
                            <wps:wsp>
                              <wps:cNvPr id="355" name="文本框 302"/>
                              <wps:cNvSpPr txBox="1"/>
                              <wps:spPr>
                                <a:xfrm>
                                  <a:off x="8114" y="614310"/>
                                  <a:ext cx="722" cy="398"/>
                                </a:xfrm>
                                <a:prstGeom prst="rect">
                                  <a:avLst/>
                                </a:prstGeom>
                                <a:noFill/>
                                <a:ln>
                                  <a:noFill/>
                                </a:ln>
                                <a:effectLst/>
                              </wps:spPr>
                              <wps:txbx>
                                <w:txbxContent>
                                  <w:p w14:paraId="04CFCC62">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滤纸</w:t>
                                    </w:r>
                                  </w:p>
                                </w:txbxContent>
                              </wps:txbx>
                              <wps:bodyPr wrap="square" upright="1"/>
                            </wps:wsp>
                            <wps:wsp>
                              <wps:cNvPr id="356" name="文本框 269"/>
                              <wps:cNvSpPr txBox="1"/>
                              <wps:spPr>
                                <a:xfrm>
                                  <a:off x="6939" y="614297"/>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A06323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wps:txbx>
                              <wps:bodyPr wrap="square" upright="1">
                                <a:noAutofit/>
                              </wps:bodyPr>
                            </wps:wsp>
                            <wps:wsp>
                              <wps:cNvPr id="359" name="直接连接符 307"/>
                              <wps:cNvCnPr/>
                              <wps:spPr>
                                <a:xfrm flipV="1">
                                  <a:off x="7688" y="614503"/>
                                  <a:ext cx="555" cy="1"/>
                                </a:xfrm>
                                <a:prstGeom prst="line">
                                  <a:avLst/>
                                </a:prstGeom>
                                <a:ln w="9525" cap="flat" cmpd="sng">
                                  <a:solidFill>
                                    <a:srgbClr val="000000"/>
                                  </a:solidFill>
                                  <a:prstDash val="solid"/>
                                  <a:headEnd type="arrow" w="med" len="med"/>
                                  <a:tailEnd type="none" w="med" len="med"/>
                                </a:ln>
                                <a:effectLst/>
                              </wps:spPr>
                              <wps:bodyPr/>
                            </wps:wsp>
                            <wps:wsp>
                              <wps:cNvPr id="360" name="直接连接符 307"/>
                              <wps:cNvCnPr/>
                              <wps:spPr>
                                <a:xfrm flipH="1">
                                  <a:off x="5942" y="614705"/>
                                  <a:ext cx="1" cy="616"/>
                                </a:xfrm>
                                <a:prstGeom prst="line">
                                  <a:avLst/>
                                </a:prstGeom>
                                <a:ln w="9525" cap="flat" cmpd="sng">
                                  <a:solidFill>
                                    <a:srgbClr val="000000"/>
                                  </a:solidFill>
                                  <a:prstDash val="solid"/>
                                  <a:headEnd type="none" w="med" len="med"/>
                                  <a:tailEnd type="arrow" w="med" len="med"/>
                                </a:ln>
                                <a:effectLst/>
                              </wps:spPr>
                              <wps:bodyPr/>
                            </wps:wsp>
                            <wps:wsp>
                              <wps:cNvPr id="358" name="直接连接符 307"/>
                              <wps:cNvCnPr/>
                              <wps:spPr>
                                <a:xfrm flipV="1">
                                  <a:off x="6360" y="614503"/>
                                  <a:ext cx="555" cy="1"/>
                                </a:xfrm>
                                <a:prstGeom prst="line">
                                  <a:avLst/>
                                </a:prstGeom>
                                <a:ln w="9525" cap="flat" cmpd="sng">
                                  <a:solidFill>
                                    <a:srgbClr val="000000"/>
                                  </a:solidFill>
                                  <a:prstDash val="solid"/>
                                  <a:headEnd type="arrow" w="med" len="med"/>
                                  <a:tailEnd type="none" w="med" len="med"/>
                                </a:ln>
                                <a:effectLst/>
                              </wps:spPr>
                              <wps:bodyPr/>
                            </wps:wsp>
                            <wps:wsp>
                              <wps:cNvPr id="357" name="文本框 269"/>
                              <wps:cNvSpPr txBox="1"/>
                              <wps:spPr>
                                <a:xfrm>
                                  <a:off x="5614" y="614301"/>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9D7B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wps:txbx>
                              <wps:bodyPr wrap="square" upright="1">
                                <a:noAutofit/>
                              </wps:bodyPr>
                            </wps:wsp>
                            <wps:wsp>
                              <wps:cNvPr id="363" name="直接连接符 201"/>
                              <wps:cNvCnPr/>
                              <wps:spPr>
                                <a:xfrm flipH="1" flipV="1">
                                  <a:off x="8525" y="615133"/>
                                  <a:ext cx="1" cy="193"/>
                                </a:xfrm>
                                <a:prstGeom prst="line">
                                  <a:avLst/>
                                </a:prstGeom>
                                <a:ln w="9525" cap="flat" cmpd="sng">
                                  <a:solidFill>
                                    <a:srgbClr val="000000"/>
                                  </a:solidFill>
                                  <a:prstDash val="dash"/>
                                  <a:headEnd type="none" w="med" len="med"/>
                                  <a:tailEnd type="arrow" w="sm" len="sm"/>
                                </a:ln>
                                <a:effectLst/>
                              </wps:spPr>
                              <wps:bodyPr/>
                            </wps:wsp>
                            <wps:wsp>
                              <wps:cNvPr id="361" name="矩形 316"/>
                              <wps:cNvSpPr/>
                              <wps:spPr>
                                <a:xfrm>
                                  <a:off x="6807" y="614865"/>
                                  <a:ext cx="775" cy="320"/>
                                </a:xfrm>
                                <a:prstGeom prst="rect">
                                  <a:avLst/>
                                </a:prstGeom>
                                <a:noFill/>
                                <a:ln>
                                  <a:noFill/>
                                </a:ln>
                              </wps:spPr>
                              <wps:txbx>
                                <w:txbxContent>
                                  <w:p w14:paraId="72287EFC">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wps:txbx>
                              <wps:bodyPr lIns="91440" tIns="0" rIns="91440" bIns="0" upright="1"/>
                            </wps:wsp>
                            <wps:wsp>
                              <wps:cNvPr id="362" name="直接连接符 201"/>
                              <wps:cNvCnPr/>
                              <wps:spPr>
                                <a:xfrm flipH="1" flipV="1">
                                  <a:off x="7330" y="614109"/>
                                  <a:ext cx="1" cy="193"/>
                                </a:xfrm>
                                <a:prstGeom prst="line">
                                  <a:avLst/>
                                </a:prstGeom>
                                <a:ln w="9525" cap="flat" cmpd="sng">
                                  <a:solidFill>
                                    <a:srgbClr val="000000"/>
                                  </a:solidFill>
                                  <a:prstDash val="dash"/>
                                  <a:headEnd type="none" w="med" len="med"/>
                                  <a:tailEnd type="arrow" w="sm" len="sm"/>
                                </a:ln>
                                <a:effectLst/>
                              </wps:spPr>
                              <wps:bodyPr/>
                            </wps:wsp>
                            <wps:wsp>
                              <wps:cNvPr id="364" name="矩形 316"/>
                              <wps:cNvSpPr/>
                              <wps:spPr>
                                <a:xfrm>
                                  <a:off x="6935" y="613865"/>
                                  <a:ext cx="775" cy="320"/>
                                </a:xfrm>
                                <a:prstGeom prst="rect">
                                  <a:avLst/>
                                </a:prstGeom>
                                <a:noFill/>
                                <a:ln>
                                  <a:noFill/>
                                </a:ln>
                              </wps:spPr>
                              <wps:txbx>
                                <w:txbxContent>
                                  <w:p w14:paraId="3E5305A5">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wps:txbx>
                              <wps:bodyPr lIns="91440" tIns="0" rIns="91440" bIns="0" upright="1"/>
                            </wps:wsp>
                          </wpg:wgp>
                        </a:graphicData>
                      </a:graphic>
                    </wp:anchor>
                  </w:drawing>
                </mc:Choice>
                <mc:Fallback>
                  <w:pict>
                    <v:group id="_x0000_s1026" o:spid="_x0000_s1026" o:spt="203" style="position:absolute;left:0pt;margin-left:-3.3pt;margin-top:61.05pt;height:93.9pt;width:394.4pt;z-index:251694080;mso-width-relative:page;mso-height-relative:page;" coordorigin="4448,613865" coordsize="7888,1878" o:gfxdata="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">
                      <o:lock v:ext="edit" aspectratio="f"/>
                      <v:shape id="文本框 302" o:spid="_x0000_s1026" o:spt="202" type="#_x0000_t202" style="position:absolute;left:4448;top:615330;height:398;width:722;" filled="f" stroked="f" coordsize="21600,21600" o:gfxdata="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zOPd7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4D398885">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水样</w:t>
                              </w:r>
                            </w:p>
                          </w:txbxContent>
                        </v:textbox>
                      </v:shape>
                      <v:line id="直接连接符 201" o:spid="_x0000_s1026" o:spt="20" style="position:absolute;left:7249;top:615130;flip:x y;height:193;width:1;" filled="f" stroked="t" coordsize="21600,21600" o:gfxdata="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BX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line id="直接连接符 275" o:spid="_x0000_s1026" o:spt="20" style="position:absolute;left:10655;top:615537;flip:y;height:1;width:555;" filled="f" stroked="t" coordsize="21600,21600" o:gfxdata="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v+Znb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rect id="矩形 196" o:spid="_x0000_s1026" o:spt="1" style="position:absolute;left:8115;top:614933;height:320;width:775;" filled="f" stroked="f" coordsize="21600,21600" o:gfxdata="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HhGf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02A44FB1">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shape id="文本框 269" o:spid="_x0000_s1026" o:spt="202" type="#_x0000_t202" style="position:absolute;left:5584;top:615319;height:397;width:741;" fillcolor="#FFFFFF" filled="t" stroked="t" coordsize="21600,21600" o:gfxdata="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x2Z9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0D0940DA">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过滤</w:t>
                              </w:r>
                            </w:p>
                          </w:txbxContent>
                        </v:textbox>
                      </v:shape>
                      <v:line id="直接连接符 307" o:spid="_x0000_s1026" o:spt="20" style="position:absolute;left:5017;top:615522;flip:y;height:1;width:555;" filled="f" stroked="t" coordsize="21600,21600" o:gfxdata="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og6B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文本框 305" o:spid="_x0000_s1026" o:spt="202" type="#_x0000_t202" style="position:absolute;left:9498;top:615334;height:397;width:1137;" fillcolor="#FFFFFF" filled="t" stroked="t" coordsize="21600,21600" o:gfxdata="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DzweD&#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w:txbxContent>
                            <w:p w14:paraId="6D2FC64B">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公式计算</w:t>
                              </w:r>
                            </w:p>
                          </w:txbxContent>
                        </v:textbox>
                      </v:shape>
                      <v:line id="直接连接符 315" o:spid="_x0000_s1026" o:spt="20" style="position:absolute;left:6174;top:615117;flip:x y;height:193;width:1;" filled="f" stroked="t" coordsize="21600,21600" o:gfxdata="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q2L8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rect id="矩形 316" o:spid="_x0000_s1026" o:spt="1" style="position:absolute;left:5770;top:614904;height:320;width:775;" filled="f" stroked="f" coordsize="21600,21600" o:gfxdata="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PH6lr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691E2FFA">
                              <w:pPr>
                                <w:jc w:val="center"/>
                                <w:rPr>
                                  <w:spacing w:val="-20"/>
                                  <w:sz w:val="18"/>
                                  <w:szCs w:val="18"/>
                                </w:rPr>
                              </w:pPr>
                              <w:r>
                                <w:rPr>
                                  <w:spacing w:val="-20"/>
                                  <w:sz w:val="18"/>
                                  <w:szCs w:val="18"/>
                                </w:rPr>
                                <w:t>W</w:t>
                              </w:r>
                            </w:p>
                          </w:txbxContent>
                        </v:textbox>
                      </v:rect>
                      <v:shape id="文本框 309" o:spid="_x0000_s1026" o:spt="202" type="#_x0000_t202" style="position:absolute;left:11200;top:615347;height:397;width:1137;" fillcolor="#FFFFFF" filled="t" stroked="t" coordsize="21600,21600" o:gfxdata="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8l0/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A3A48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v:textbox>
                      </v:shape>
                      <v:shape id="文本框 269" o:spid="_x0000_s1026" o:spt="202" type="#_x0000_t202" style="position:absolute;left:6886;top:615320;height:397;width:741;" fillcolor="#FFFFFF" filled="t" stroked="t" coordsize="21600,21600" o:gfxdata="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UaRRe/&#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08A9BDFE">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v:textbox>
                      </v:shape>
                      <v:line id="直接连接符 307" o:spid="_x0000_s1026" o:spt="20" style="position:absolute;left:7634;top:615524;flip:y;height:1;width:555;" filled="f" stroked="t" coordsize="21600,21600" o:gfxdata="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LiS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文本框 269" o:spid="_x0000_s1026" o:spt="202" type="#_x0000_t202" style="position:absolute;left:8188;top:615322;height:397;width:741;" fillcolor="#FFFFFF" filled="t" stroked="t" coordsize="21600,21600" o:gfxdata="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d/M&#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w:txbxContent>
                            <w:p w14:paraId="3E61BEC5">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v:textbox>
                      </v:shape>
                      <v:line id="直接连接符 307" o:spid="_x0000_s1026" o:spt="20" style="position:absolute;left:6332;top:615523;flip:y;height:1;width:555;" filled="f" stroked="t" coordsize="21600,21600" o:gfxdata="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L5H0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8936;top:615525;flip:y;height:1;width:555;" filled="f" stroked="t" coordsize="21600,21600" o:gfxdata="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Abej6/&#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shape id="文本框 302" o:spid="_x0000_s1026" o:spt="202" type="#_x0000_t202" style="position:absolute;left:8114;top:614310;height:398;width:722;" filled="f" stroked="f" coordsize="21600,21600" o:gfxdata="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DvoJvQAA&#10;ANw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04CFCC62">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滤纸</w:t>
                              </w:r>
                            </w:p>
                          </w:txbxContent>
                        </v:textbox>
                      </v:shape>
                      <v:shape id="文本框 269" o:spid="_x0000_s1026" o:spt="202" type="#_x0000_t202" style="position:absolute;left:6939;top:614297;height:397;width:741;" fillcolor="#FFFFFF" filled="t" stroked="t" coordsize="21600,21600" o:gfxdata="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VxHu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4A06323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烘干</w:t>
                              </w:r>
                            </w:p>
                          </w:txbxContent>
                        </v:textbox>
                      </v:shape>
                      <v:line id="直接连接符 307" o:spid="_x0000_s1026" o:spt="20" style="position:absolute;left:7688;top:614503;flip:y;height:1;width:555;" filled="f" stroked="t" coordsize="21600,21600" o:gfxdata="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Saz0&#10;wAAAANwAAAAPAAAAAAAAAAEAIAAAACIAAABkcnMvZG93bnJldi54bWxQSwECFAAUAAAACACHTuJA&#10;My8FnjsAAAA5AAAAEAAAAAAAAAABACAAAAAPAQAAZHJzL3NoYXBleG1sLnhtbFBLBQYAAAAABgAG&#10;AFsBAAC5AwAAAAA=&#10;">
                        <v:fill on="f" focussize="0,0"/>
                        <v:stroke color="#000000" joinstyle="round" startarrow="open"/>
                        <v:imagedata o:title=""/>
                        <o:lock v:ext="edit" aspectratio="f"/>
                      </v:line>
                      <v:line id="直接连接符 307" o:spid="_x0000_s1026" o:spt="20" style="position:absolute;left:5942;top:614705;flip:x;height:616;width:1;" filled="f" stroked="t" coordsize="21600,21600" o:gfxdata="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Uy2gLsAAADc&#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line>
                      <v:line id="直接连接符 307" o:spid="_x0000_s1026" o:spt="20" style="position:absolute;left:6360;top:614503;flip:y;height:1;width:555;" filled="f" stroked="t" coordsize="21600,21600" o:gfxdata="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AUJb74A&#10;AADcAAAADwAAAAAAAAABACAAAAAiAAAAZHJzL2Rvd25yZXYueG1sUEsBAhQAFAAAAAgAh07iQDMv&#10;BZ47AAAAOQAAABAAAAAAAAAAAQAgAAAADQEAAGRycy9zaGFwZXhtbC54bWxQSwUGAAAAAAYABgBb&#10;AQAAtwMAAAAA&#10;">
                        <v:fill on="f" focussize="0,0"/>
                        <v:stroke color="#000000" joinstyle="round" startarrow="open"/>
                        <v:imagedata o:title=""/>
                        <o:lock v:ext="edit" aspectratio="f"/>
                      </v:line>
                      <v:shape id="文本框 269" o:spid="_x0000_s1026" o:spt="202" type="#_x0000_t202" style="position:absolute;left:5614;top:614301;height:397;width:741;" fillcolor="#FFFFFF" filled="t" stroked="t" coordsize="21600,21600" o:gfxdata="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4Q4iO/&#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09D7BE1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称量</w:t>
                              </w:r>
                            </w:p>
                          </w:txbxContent>
                        </v:textbox>
                      </v:shape>
                      <v:line id="直接连接符 201" o:spid="_x0000_s1026" o:spt="20" style="position:absolute;left:8525;top:615133;flip:x y;height:193;width:1;" filled="f" stroked="t" coordsize="21600,21600" o:gfxdata="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gAVw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rect id="矩形 316" o:spid="_x0000_s1026" o:spt="1" style="position:absolute;left:6807;top:614865;height:320;width:775;" filled="f" stroked="f" coordsize="21600,21600" o:gfxdata="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MwVu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72287EFC">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v:textbox>
                      </v:rect>
                      <v:line id="直接连接符 201" o:spid="_x0000_s1026" o:spt="20" style="position:absolute;left:7330;top:614109;flip:x y;height:193;width:1;" filled="f" stroked="t" coordsize="21600,21600" o:gfxdata="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zKDrvQAA&#10;ANwAAAAPAAAAAAAAAAEAIAAAACIAAABkcnMvZG93bnJldi54bWxQSwECFAAUAAAACACHTuJAMy8F&#10;njsAAAA5AAAAEAAAAAAAAAABACAAAAAMAQAAZHJzL3NoYXBleG1sLnhtbFBLBQYAAAAABgAGAFsB&#10;AAC2AwAAAAA=&#10;">
                        <v:fill on="f" focussize="0,0"/>
                        <v:stroke color="#000000" joinstyle="round" dashstyle="dash" endarrow="open" endarrowwidth="narrow" endarrowlength="short"/>
                        <v:imagedata o:title=""/>
                        <o:lock v:ext="edit" aspectratio="f"/>
                      </v:line>
                      <v:rect id="矩形 316" o:spid="_x0000_s1026" o:spt="1" style="position:absolute;left:6935;top:613865;height:320;width:775;" filled="f" stroked="f" coordsize="21600,21600" o:gfxdata="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NEpva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3E5305A5">
                              <w:pPr>
                                <w:jc w:val="center"/>
                                <w:rPr>
                                  <w:rFonts w:hint="eastAsia" w:eastAsia="宋体"/>
                                  <w:spacing w:val="-20"/>
                                  <w:sz w:val="18"/>
                                  <w:szCs w:val="18"/>
                                  <w:lang w:val="en-US" w:eastAsia="zh-CN"/>
                                </w:rPr>
                              </w:pPr>
                              <w:r>
                                <w:rPr>
                                  <w:rFonts w:hint="eastAsia"/>
                                  <w:spacing w:val="-20"/>
                                  <w:sz w:val="18"/>
                                  <w:szCs w:val="18"/>
                                  <w:lang w:val="en-US" w:eastAsia="zh-CN"/>
                                </w:rPr>
                                <w:t>水蒸气</w:t>
                              </w:r>
                            </w:p>
                          </w:txbxContent>
                        </v:textbox>
                      </v:rect>
                    </v:group>
                  </w:pict>
                </mc:Fallback>
              </mc:AlternateContent>
            </w:r>
            <w:r>
              <w:rPr>
                <w:rFonts w:hint="eastAsia" w:ascii="Times New Roman" w:hAnsi="Times New Roman" w:cs="Times New Roman"/>
                <w:color w:val="auto"/>
                <w:sz w:val="21"/>
                <w:szCs w:val="21"/>
                <w:highlight w:val="none"/>
                <w:lang w:val="en-US" w:eastAsia="zh-CN"/>
              </w:rPr>
              <w:t>重量分析法主要是通过物理或化学反应将试样中待测组分与其他组分分离，然后用称量的方法测定该组分的含量。分离方法主要为过滤法和沉淀法。以水中悬浮物测定为例，基本工艺流程如下：</w:t>
            </w:r>
          </w:p>
          <w:p w14:paraId="69F7B09A">
            <w:pPr>
              <w:pStyle w:val="6"/>
              <w:rPr>
                <w:color w:val="auto"/>
              </w:rPr>
            </w:pPr>
          </w:p>
          <w:p w14:paraId="3AED5D2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767195C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16DACE5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p>
          <w:p w14:paraId="28A69821">
            <w:pPr>
              <w:rPr>
                <w:color w:val="auto"/>
              </w:rPr>
            </w:pPr>
          </w:p>
          <w:p w14:paraId="69921B18">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7</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典型重量分析法基本流程</w:t>
            </w:r>
            <w:r>
              <w:rPr>
                <w:rFonts w:hint="default" w:ascii="Times New Roman" w:hAnsi="Times New Roman" w:eastAsia="宋体" w:cs="Times New Roman"/>
                <w:b/>
                <w:color w:val="auto"/>
                <w:sz w:val="21"/>
                <w:szCs w:val="21"/>
                <w:highlight w:val="none"/>
              </w:rPr>
              <w:t>及排污节点图</w:t>
            </w:r>
          </w:p>
          <w:p w14:paraId="4528B95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滤纸处理：将滤纸多次烘干至恒重，记录恒重后滤纸重量。 </w:t>
            </w:r>
          </w:p>
          <w:p w14:paraId="2938D60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过滤：用烘干至恒重滤纸过滤待测水样。</w:t>
            </w:r>
          </w:p>
          <w:p w14:paraId="763E062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公式计算：根据标准溶液用量采用公式计算待测水样物质浓度。</w:t>
            </w:r>
          </w:p>
          <w:p w14:paraId="4FF71E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3</w:t>
            </w:r>
            <w:r>
              <w:rPr>
                <w:rFonts w:hint="eastAsia" w:ascii="Times New Roman" w:hAnsi="Times New Roman" w:cs="Times New Roman"/>
                <w:color w:val="auto"/>
                <w:sz w:val="21"/>
                <w:szCs w:val="21"/>
                <w:highlight w:val="none"/>
                <w:lang w:val="en-US" w:eastAsia="zh-CN"/>
              </w:rPr>
              <w:t xml:space="preserve">）仪器分析法 </w:t>
            </w:r>
          </w:p>
          <w:p w14:paraId="2112C2C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color w:val="auto"/>
                <w:sz w:val="21"/>
              </w:rPr>
              <mc:AlternateContent>
                <mc:Choice Requires="wpg">
                  <w:drawing>
                    <wp:anchor distT="0" distB="0" distL="114300" distR="114300" simplePos="0" relativeHeight="251721728" behindDoc="0" locked="0" layoutInCell="1" allowOverlap="1">
                      <wp:simplePos x="0" y="0"/>
                      <wp:positionH relativeFrom="column">
                        <wp:posOffset>-22860</wp:posOffset>
                      </wp:positionH>
                      <wp:positionV relativeFrom="paragraph">
                        <wp:posOffset>508000</wp:posOffset>
                      </wp:positionV>
                      <wp:extent cx="4946650" cy="1229995"/>
                      <wp:effectExtent l="0" t="0" r="0" b="0"/>
                      <wp:wrapNone/>
                      <wp:docPr id="192" name="组合 192"/>
                      <wp:cNvGraphicFramePr/>
                      <a:graphic xmlns:a="http://schemas.openxmlformats.org/drawingml/2006/main">
                        <a:graphicData uri="http://schemas.microsoft.com/office/word/2010/wordprocessingGroup">
                          <wpg:wgp>
                            <wpg:cNvGrpSpPr/>
                            <wpg:grpSpPr>
                              <a:xfrm>
                                <a:off x="0" y="0"/>
                                <a:ext cx="4946650" cy="1229995"/>
                                <a:chOff x="4468" y="622487"/>
                                <a:chExt cx="7790" cy="1937"/>
                              </a:xfrm>
                            </wpg:grpSpPr>
                            <wps:wsp>
                              <wps:cNvPr id="365" name="文本框 305"/>
                              <wps:cNvSpPr txBox="1"/>
                              <wps:spPr>
                                <a:xfrm>
                                  <a:off x="4468" y="622867"/>
                                  <a:ext cx="873"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A5CF38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色谱柱</w:t>
                                    </w:r>
                                  </w:p>
                                </w:txbxContent>
                              </wps:txbx>
                              <wps:bodyPr wrap="square" upright="1">
                                <a:noAutofit/>
                              </wps:bodyPr>
                            </wps:wsp>
                            <wps:wsp>
                              <wps:cNvPr id="367" name="文本框 269"/>
                              <wps:cNvSpPr txBox="1"/>
                              <wps:spPr>
                                <a:xfrm>
                                  <a:off x="5905" y="622877"/>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BC37DE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wps:txbx>
                              <wps:bodyPr wrap="square" upright="1">
                                <a:noAutofit/>
                              </wps:bodyPr>
                            </wps:wsp>
                            <wps:wsp>
                              <wps:cNvPr id="369" name="文本框 269"/>
                              <wps:cNvSpPr txBox="1"/>
                              <wps:spPr>
                                <a:xfrm>
                                  <a:off x="8521" y="622891"/>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FA9308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洗脱</w:t>
                                    </w:r>
                                  </w:p>
                                </w:txbxContent>
                              </wps:txbx>
                              <wps:bodyPr wrap="square" upright="1">
                                <a:noAutofit/>
                              </wps:bodyPr>
                            </wps:wsp>
                            <wps:wsp>
                              <wps:cNvPr id="368" name="文本框 269"/>
                              <wps:cNvSpPr txBox="1"/>
                              <wps:spPr>
                                <a:xfrm>
                                  <a:off x="7207" y="622878"/>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2F19D6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上样</w:t>
                                    </w:r>
                                  </w:p>
                                </w:txbxContent>
                              </wps:txbx>
                              <wps:bodyPr wrap="square" upright="1">
                                <a:noAutofit/>
                              </wps:bodyPr>
                            </wps:wsp>
                            <wps:wsp>
                              <wps:cNvPr id="373" name="直接连接符 307"/>
                              <wps:cNvCnPr/>
                              <wps:spPr>
                                <a:xfrm flipV="1">
                                  <a:off x="6654" y="623082"/>
                                  <a:ext cx="555" cy="1"/>
                                </a:xfrm>
                                <a:prstGeom prst="line">
                                  <a:avLst/>
                                </a:prstGeom>
                                <a:ln w="9525" cap="flat" cmpd="sng">
                                  <a:solidFill>
                                    <a:srgbClr val="000000"/>
                                  </a:solidFill>
                                  <a:prstDash val="solid"/>
                                  <a:headEnd type="none" w="med" len="med"/>
                                  <a:tailEnd type="arrow" w="med" len="med"/>
                                </a:ln>
                                <a:effectLst/>
                              </wps:spPr>
                              <wps:bodyPr/>
                            </wps:wsp>
                            <wps:wsp>
                              <wps:cNvPr id="372" name="直接连接符 307"/>
                              <wps:cNvCnPr/>
                              <wps:spPr>
                                <a:xfrm flipV="1">
                                  <a:off x="5338" y="623093"/>
                                  <a:ext cx="555" cy="1"/>
                                </a:xfrm>
                                <a:prstGeom prst="line">
                                  <a:avLst/>
                                </a:prstGeom>
                                <a:ln w="9525" cap="flat" cmpd="sng">
                                  <a:solidFill>
                                    <a:srgbClr val="000000"/>
                                  </a:solidFill>
                                  <a:prstDash val="solid"/>
                                  <a:headEnd type="none" w="med" len="med"/>
                                  <a:tailEnd type="arrow" w="med" len="med"/>
                                </a:ln>
                                <a:effectLst/>
                              </wps:spPr>
                              <wps:bodyPr/>
                            </wps:wsp>
                            <wps:wsp>
                              <wps:cNvPr id="370" name="文本框 269"/>
                              <wps:cNvSpPr txBox="1"/>
                              <wps:spPr>
                                <a:xfrm>
                                  <a:off x="9823" y="622892"/>
                                  <a:ext cx="741"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E8EF3F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wps:txbx>
                              <wps:bodyPr wrap="square" upright="1">
                                <a:noAutofit/>
                              </wps:bodyPr>
                            </wps:wsp>
                            <wps:wsp>
                              <wps:cNvPr id="371" name="文本框 309"/>
                              <wps:cNvSpPr txBox="1"/>
                              <wps:spPr>
                                <a:xfrm>
                                  <a:off x="11122" y="622902"/>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D8F3D1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wps:txbx>
                              <wps:bodyPr wrap="square" upright="1">
                                <a:noAutofit/>
                              </wps:bodyPr>
                            </wps:wsp>
                            <wps:wsp>
                              <wps:cNvPr id="374" name="直接连接符 307"/>
                              <wps:cNvCnPr/>
                              <wps:spPr>
                                <a:xfrm flipV="1">
                                  <a:off x="7969" y="623096"/>
                                  <a:ext cx="555" cy="1"/>
                                </a:xfrm>
                                <a:prstGeom prst="line">
                                  <a:avLst/>
                                </a:prstGeom>
                                <a:ln w="9525" cap="flat" cmpd="sng">
                                  <a:solidFill>
                                    <a:srgbClr val="000000"/>
                                  </a:solidFill>
                                  <a:prstDash val="solid"/>
                                  <a:headEnd type="none" w="med" len="med"/>
                                  <a:tailEnd type="arrow" w="med" len="med"/>
                                </a:ln>
                                <a:effectLst/>
                              </wps:spPr>
                              <wps:bodyPr/>
                            </wps:wsp>
                            <wps:wsp>
                              <wps:cNvPr id="376" name="直接连接符 307"/>
                              <wps:cNvCnPr/>
                              <wps:spPr>
                                <a:xfrm flipV="1">
                                  <a:off x="10572" y="623099"/>
                                  <a:ext cx="555" cy="1"/>
                                </a:xfrm>
                                <a:prstGeom prst="line">
                                  <a:avLst/>
                                </a:prstGeom>
                                <a:ln w="9525" cap="flat" cmpd="sng">
                                  <a:solidFill>
                                    <a:srgbClr val="000000"/>
                                  </a:solidFill>
                                  <a:prstDash val="solid"/>
                                  <a:headEnd type="none" w="med" len="med"/>
                                  <a:tailEnd type="arrow" w="med" len="med"/>
                                </a:ln>
                                <a:effectLst/>
                              </wps:spPr>
                              <wps:bodyPr/>
                            </wps:wsp>
                            <wps:wsp>
                              <wps:cNvPr id="375" name="直接连接符 307"/>
                              <wps:cNvCnPr/>
                              <wps:spPr>
                                <a:xfrm flipV="1">
                                  <a:off x="9285" y="623098"/>
                                  <a:ext cx="555" cy="1"/>
                                </a:xfrm>
                                <a:prstGeom prst="line">
                                  <a:avLst/>
                                </a:prstGeom>
                                <a:ln w="9525" cap="flat" cmpd="sng">
                                  <a:solidFill>
                                    <a:srgbClr val="000000"/>
                                  </a:solidFill>
                                  <a:prstDash val="solid"/>
                                  <a:headEnd type="none" w="med" len="med"/>
                                  <a:tailEnd type="arrow" w="med" len="med"/>
                                </a:ln>
                                <a:effectLst/>
                              </wps:spPr>
                              <wps:bodyPr/>
                            </wps:wsp>
                            <wps:wsp>
                              <wps:cNvPr id="377" name="矩形 377"/>
                              <wps:cNvSpPr/>
                              <wps:spPr>
                                <a:xfrm>
                                  <a:off x="5885" y="623885"/>
                                  <a:ext cx="801"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6A856E6">
                                    <w:pPr>
                                      <w:jc w:val="center"/>
                                      <w:rPr>
                                        <w:rFonts w:hint="eastAsia" w:ascii="宋体" w:hAnsi="宋体" w:cs="宋体"/>
                                        <w:sz w:val="18"/>
                                        <w:szCs w:val="18"/>
                                        <w:lang w:val="en-US" w:eastAsia="zh-CN"/>
                                      </w:rPr>
                                    </w:pPr>
                                    <w:r>
                                      <w:rPr>
                                        <w:rFonts w:hint="eastAsia" w:ascii="宋体" w:hAnsi="宋体" w:cs="宋体"/>
                                        <w:sz w:val="18"/>
                                        <w:szCs w:val="18"/>
                                        <w:lang w:val="en-US" w:eastAsia="zh-CN"/>
                                      </w:rPr>
                                      <w:t>淋洗液</w:t>
                                    </w:r>
                                  </w:p>
                                  <w:p w14:paraId="17EA7315">
                                    <w:pPr>
                                      <w:jc w:val="center"/>
                                      <w:rPr>
                                        <w:rFonts w:hint="default"/>
                                        <w:lang w:val="en-US"/>
                                      </w:rPr>
                                    </w:pPr>
                                    <w:r>
                                      <w:rPr>
                                        <w:rFonts w:hint="eastAsia" w:ascii="宋体" w:hAnsi="宋体" w:cs="宋体"/>
                                        <w:sz w:val="18"/>
                                        <w:szCs w:val="18"/>
                                        <w:lang w:val="en-US" w:eastAsia="zh-CN"/>
                                      </w:rPr>
                                      <w:t>配置</w:t>
                                    </w:r>
                                  </w:p>
                                </w:txbxContent>
                              </wps:txbx>
                              <wps:bodyPr lIns="0" tIns="18000" rIns="0" bIns="0" upright="1"/>
                            </wps:wsp>
                            <wps:wsp>
                              <wps:cNvPr id="381" name="文本框 269"/>
                              <wps:cNvSpPr txBox="1"/>
                              <wps:spPr>
                                <a:xfrm>
                                  <a:off x="9773" y="623930"/>
                                  <a:ext cx="952"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7340A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淋洗液</w:t>
                                    </w:r>
                                  </w:p>
                                </w:txbxContent>
                              </wps:txbx>
                              <wps:bodyPr wrap="square" upright="1">
                                <a:noAutofit/>
                              </wps:bodyPr>
                            </wps:wsp>
                            <wps:wsp>
                              <wps:cNvPr id="378" name="矩形 378"/>
                              <wps:cNvSpPr/>
                              <wps:spPr>
                                <a:xfrm>
                                  <a:off x="7199" y="623886"/>
                                  <a:ext cx="801"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926F8E8">
                                    <w:pPr>
                                      <w:jc w:val="center"/>
                                      <w:rPr>
                                        <w:rFonts w:hint="eastAsia" w:ascii="宋体" w:hAnsi="宋体" w:cs="宋体"/>
                                        <w:sz w:val="18"/>
                                        <w:szCs w:val="18"/>
                                        <w:lang w:val="en-US" w:eastAsia="zh-CN"/>
                                      </w:rPr>
                                    </w:pPr>
                                    <w:r>
                                      <w:rPr>
                                        <w:rFonts w:hint="eastAsia" w:ascii="宋体" w:hAnsi="宋体" w:cs="宋体"/>
                                        <w:sz w:val="18"/>
                                        <w:szCs w:val="18"/>
                                        <w:lang w:val="en-US" w:eastAsia="zh-CN"/>
                                      </w:rPr>
                                      <w:t>预处理</w:t>
                                    </w:r>
                                  </w:p>
                                  <w:p w14:paraId="541C046C">
                                    <w:pPr>
                                      <w:jc w:val="center"/>
                                      <w:rPr>
                                        <w:rFonts w:hint="default"/>
                                        <w:lang w:val="en-US"/>
                                      </w:rPr>
                                    </w:pPr>
                                    <w:r>
                                      <w:rPr>
                                        <w:rFonts w:hint="eastAsia" w:ascii="宋体" w:hAnsi="宋体" w:cs="宋体"/>
                                        <w:sz w:val="18"/>
                                        <w:szCs w:val="18"/>
                                        <w:lang w:val="en-US" w:eastAsia="zh-CN"/>
                                      </w:rPr>
                                      <w:t>样品</w:t>
                                    </w:r>
                                  </w:p>
                                </w:txbxContent>
                              </wps:txbx>
                              <wps:bodyPr lIns="0" tIns="18000" rIns="0" bIns="0" upright="1"/>
                            </wps:wsp>
                            <wps:wsp>
                              <wps:cNvPr id="382" name="直接连接符 307"/>
                              <wps:cNvCnPr/>
                              <wps:spPr>
                                <a:xfrm flipH="1">
                                  <a:off x="6287" y="623281"/>
                                  <a:ext cx="1" cy="616"/>
                                </a:xfrm>
                                <a:prstGeom prst="line">
                                  <a:avLst/>
                                </a:prstGeom>
                                <a:ln w="9525" cap="flat" cmpd="sng">
                                  <a:solidFill>
                                    <a:srgbClr val="000000"/>
                                  </a:solidFill>
                                  <a:prstDash val="solid"/>
                                  <a:headEnd type="arrow" w="med" len="med"/>
                                  <a:tailEnd type="none" w="med" len="med"/>
                                </a:ln>
                                <a:effectLst/>
                              </wps:spPr>
                              <wps:bodyPr/>
                            </wps:wsp>
                            <wps:wsp>
                              <wps:cNvPr id="379" name="矩形 379"/>
                              <wps:cNvSpPr/>
                              <wps:spPr>
                                <a:xfrm>
                                  <a:off x="8529" y="623888"/>
                                  <a:ext cx="801" cy="5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24A4E1">
                                    <w:pPr>
                                      <w:jc w:val="center"/>
                                      <w:rPr>
                                        <w:rFonts w:hint="eastAsia" w:ascii="宋体" w:hAnsi="宋体" w:cs="宋体"/>
                                        <w:sz w:val="18"/>
                                        <w:szCs w:val="18"/>
                                        <w:lang w:val="en-US" w:eastAsia="zh-CN"/>
                                      </w:rPr>
                                    </w:pPr>
                                    <w:r>
                                      <w:rPr>
                                        <w:rFonts w:hint="eastAsia" w:ascii="宋体" w:hAnsi="宋体" w:cs="宋体"/>
                                        <w:sz w:val="18"/>
                                        <w:szCs w:val="18"/>
                                        <w:lang w:val="en-US" w:eastAsia="zh-CN"/>
                                      </w:rPr>
                                      <w:t>洗脱液</w:t>
                                    </w:r>
                                  </w:p>
                                  <w:p w14:paraId="4FD98515">
                                    <w:pPr>
                                      <w:jc w:val="center"/>
                                      <w:rPr>
                                        <w:rFonts w:hint="default"/>
                                        <w:lang w:val="en-US"/>
                                      </w:rPr>
                                    </w:pPr>
                                    <w:r>
                                      <w:rPr>
                                        <w:rFonts w:hint="eastAsia" w:ascii="宋体" w:hAnsi="宋体" w:cs="宋体"/>
                                        <w:sz w:val="18"/>
                                        <w:szCs w:val="18"/>
                                        <w:lang w:val="en-US" w:eastAsia="zh-CN"/>
                                      </w:rPr>
                                      <w:t>配置</w:t>
                                    </w:r>
                                  </w:p>
                                </w:txbxContent>
                              </wps:txbx>
                              <wps:bodyPr lIns="0" tIns="18000" rIns="0" bIns="0" upright="1"/>
                            </wps:wsp>
                            <wpg:grpSp>
                              <wpg:cNvPr id="385" name="组合 385"/>
                              <wpg:cNvGrpSpPr/>
                              <wpg:grpSpPr>
                                <a:xfrm>
                                  <a:off x="7244" y="622487"/>
                                  <a:ext cx="774" cy="394"/>
                                  <a:chOff x="13429" y="625251"/>
                                  <a:chExt cx="774" cy="394"/>
                                </a:xfrm>
                              </wpg:grpSpPr>
                              <wps:wsp>
                                <wps:cNvPr id="383" name="矩形 316"/>
                                <wps:cNvSpPr/>
                                <wps:spPr>
                                  <a:xfrm>
                                    <a:off x="13429" y="625251"/>
                                    <a:ext cx="775" cy="320"/>
                                  </a:xfrm>
                                  <a:prstGeom prst="rect">
                                    <a:avLst/>
                                  </a:prstGeom>
                                  <a:noFill/>
                                  <a:ln>
                                    <a:noFill/>
                                  </a:ln>
                                </wps:spPr>
                                <wps:txbx>
                                  <w:txbxContent>
                                    <w:p w14:paraId="1F6BC416">
                                      <w:pPr>
                                        <w:jc w:val="center"/>
                                        <w:rPr>
                                          <w:spacing w:val="-20"/>
                                          <w:sz w:val="18"/>
                                          <w:szCs w:val="18"/>
                                        </w:rPr>
                                      </w:pPr>
                                      <w:r>
                                        <w:rPr>
                                          <w:spacing w:val="-20"/>
                                          <w:sz w:val="18"/>
                                          <w:szCs w:val="18"/>
                                        </w:rPr>
                                        <w:t>W</w:t>
                                      </w:r>
                                    </w:p>
                                  </w:txbxContent>
                                </wps:txbx>
                                <wps:bodyPr lIns="91440" tIns="0" rIns="91440" bIns="0" upright="1"/>
                              </wps:wsp>
                              <wps:wsp>
                                <wps:cNvPr id="384"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88" name="组合 388"/>
                              <wpg:cNvGrpSpPr/>
                              <wpg:grpSpPr>
                                <a:xfrm>
                                  <a:off x="6940" y="623497"/>
                                  <a:ext cx="774" cy="394"/>
                                  <a:chOff x="13429" y="625251"/>
                                  <a:chExt cx="774" cy="394"/>
                                </a:xfrm>
                              </wpg:grpSpPr>
                              <wps:wsp>
                                <wps:cNvPr id="389" name="矩形 316"/>
                                <wps:cNvSpPr/>
                                <wps:spPr>
                                  <a:xfrm>
                                    <a:off x="13429" y="625251"/>
                                    <a:ext cx="775" cy="320"/>
                                  </a:xfrm>
                                  <a:prstGeom prst="rect">
                                    <a:avLst/>
                                  </a:prstGeom>
                                  <a:noFill/>
                                  <a:ln>
                                    <a:noFill/>
                                  </a:ln>
                                </wps:spPr>
                                <wps:txbx>
                                  <w:txbxContent>
                                    <w:p w14:paraId="5FDB5F48">
                                      <w:pPr>
                                        <w:jc w:val="center"/>
                                        <w:rPr>
                                          <w:spacing w:val="-20"/>
                                          <w:sz w:val="18"/>
                                          <w:szCs w:val="18"/>
                                        </w:rPr>
                                      </w:pPr>
                                      <w:r>
                                        <w:rPr>
                                          <w:spacing w:val="-20"/>
                                          <w:sz w:val="18"/>
                                          <w:szCs w:val="18"/>
                                        </w:rPr>
                                        <w:t>W</w:t>
                                      </w:r>
                                    </w:p>
                                  </w:txbxContent>
                                </wps:txbx>
                                <wps:bodyPr lIns="91440" tIns="0" rIns="91440" bIns="0" upright="1"/>
                              </wps:wsp>
                              <wps:wsp>
                                <wps:cNvPr id="390"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s:wsp>
                              <wps:cNvPr id="386" name="直接连接符 307"/>
                              <wps:cNvCnPr/>
                              <wps:spPr>
                                <a:xfrm flipH="1">
                                  <a:off x="7602" y="623295"/>
                                  <a:ext cx="1" cy="616"/>
                                </a:xfrm>
                                <a:prstGeom prst="line">
                                  <a:avLst/>
                                </a:prstGeom>
                                <a:ln w="9525" cap="flat" cmpd="sng">
                                  <a:solidFill>
                                    <a:srgbClr val="000000"/>
                                  </a:solidFill>
                                  <a:prstDash val="solid"/>
                                  <a:headEnd type="arrow" w="med" len="med"/>
                                  <a:tailEnd type="none" w="med" len="med"/>
                                </a:ln>
                                <a:effectLst/>
                              </wps:spPr>
                              <wps:bodyPr/>
                            </wps:wsp>
                            <wps:wsp>
                              <wps:cNvPr id="387" name="直接连接符 307"/>
                              <wps:cNvCnPr/>
                              <wps:spPr>
                                <a:xfrm flipH="1">
                                  <a:off x="8890" y="623283"/>
                                  <a:ext cx="1" cy="616"/>
                                </a:xfrm>
                                <a:prstGeom prst="line">
                                  <a:avLst/>
                                </a:prstGeom>
                                <a:ln w="9525" cap="flat" cmpd="sng">
                                  <a:solidFill>
                                    <a:srgbClr val="000000"/>
                                  </a:solidFill>
                                  <a:prstDash val="solid"/>
                                  <a:headEnd type="arrow" w="med" len="med"/>
                                  <a:tailEnd type="none" w="med" len="med"/>
                                </a:ln>
                                <a:effectLst/>
                              </wps:spPr>
                              <wps:bodyPr/>
                            </wps:wsp>
                            <wpg:grpSp>
                              <wpg:cNvPr id="404" name="组合 404"/>
                              <wpg:cNvGrpSpPr/>
                              <wpg:grpSpPr>
                                <a:xfrm>
                                  <a:off x="9821" y="622503"/>
                                  <a:ext cx="774" cy="394"/>
                                  <a:chOff x="13429" y="625251"/>
                                  <a:chExt cx="774" cy="394"/>
                                </a:xfrm>
                              </wpg:grpSpPr>
                              <wps:wsp>
                                <wps:cNvPr id="405" name="矩形 316"/>
                                <wps:cNvSpPr/>
                                <wps:spPr>
                                  <a:xfrm>
                                    <a:off x="13429" y="625251"/>
                                    <a:ext cx="775" cy="320"/>
                                  </a:xfrm>
                                  <a:prstGeom prst="rect">
                                    <a:avLst/>
                                  </a:prstGeom>
                                  <a:noFill/>
                                  <a:ln>
                                    <a:noFill/>
                                  </a:ln>
                                </wps:spPr>
                                <wps:txbx>
                                  <w:txbxContent>
                                    <w:p w14:paraId="41CAA234">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406"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92" name="组合 392"/>
                              <wpg:cNvGrpSpPr/>
                              <wpg:grpSpPr>
                                <a:xfrm>
                                  <a:off x="5587" y="623511"/>
                                  <a:ext cx="774" cy="394"/>
                                  <a:chOff x="13429" y="625251"/>
                                  <a:chExt cx="774" cy="394"/>
                                </a:xfrm>
                              </wpg:grpSpPr>
                              <wps:wsp>
                                <wps:cNvPr id="393" name="矩形 316"/>
                                <wps:cNvSpPr/>
                                <wps:spPr>
                                  <a:xfrm>
                                    <a:off x="13429" y="625251"/>
                                    <a:ext cx="775" cy="320"/>
                                  </a:xfrm>
                                  <a:prstGeom prst="rect">
                                    <a:avLst/>
                                  </a:prstGeom>
                                  <a:noFill/>
                                  <a:ln>
                                    <a:noFill/>
                                  </a:ln>
                                </wps:spPr>
                                <wps:txbx>
                                  <w:txbxContent>
                                    <w:p w14:paraId="2B82ECD7">
                                      <w:pPr>
                                        <w:jc w:val="center"/>
                                        <w:rPr>
                                          <w:spacing w:val="-20"/>
                                          <w:sz w:val="18"/>
                                          <w:szCs w:val="18"/>
                                        </w:rPr>
                                      </w:pPr>
                                      <w:r>
                                        <w:rPr>
                                          <w:spacing w:val="-20"/>
                                          <w:sz w:val="18"/>
                                          <w:szCs w:val="18"/>
                                        </w:rPr>
                                        <w:t>W</w:t>
                                      </w:r>
                                    </w:p>
                                  </w:txbxContent>
                                </wps:txbx>
                                <wps:bodyPr lIns="91440" tIns="0" rIns="91440" bIns="0" upright="1"/>
                              </wps:wsp>
                              <wps:wsp>
                                <wps:cNvPr id="394"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s:wsp>
                              <wps:cNvPr id="391" name="直接连接符 307"/>
                              <wps:cNvCnPr/>
                              <wps:spPr>
                                <a:xfrm flipH="1">
                                  <a:off x="10205" y="623311"/>
                                  <a:ext cx="1" cy="616"/>
                                </a:xfrm>
                                <a:prstGeom prst="line">
                                  <a:avLst/>
                                </a:prstGeom>
                                <a:ln w="9525" cap="flat" cmpd="sng">
                                  <a:solidFill>
                                    <a:srgbClr val="000000"/>
                                  </a:solidFill>
                                  <a:prstDash val="solid"/>
                                  <a:headEnd type="arrow" w="med" len="med"/>
                                  <a:tailEnd type="none" w="med" len="med"/>
                                </a:ln>
                                <a:effectLst/>
                              </wps:spPr>
                              <wps:bodyPr/>
                            </wps:wsp>
                            <wpg:grpSp>
                              <wpg:cNvPr id="401" name="组合 401"/>
                              <wpg:cNvGrpSpPr/>
                              <wpg:grpSpPr>
                                <a:xfrm>
                                  <a:off x="5919" y="622487"/>
                                  <a:ext cx="774" cy="394"/>
                                  <a:chOff x="13429" y="625251"/>
                                  <a:chExt cx="774" cy="394"/>
                                </a:xfrm>
                              </wpg:grpSpPr>
                              <wps:wsp>
                                <wps:cNvPr id="402" name="矩形 316"/>
                                <wps:cNvSpPr/>
                                <wps:spPr>
                                  <a:xfrm>
                                    <a:off x="13429" y="625251"/>
                                    <a:ext cx="775" cy="320"/>
                                  </a:xfrm>
                                  <a:prstGeom prst="rect">
                                    <a:avLst/>
                                  </a:prstGeom>
                                  <a:noFill/>
                                  <a:ln>
                                    <a:noFill/>
                                  </a:ln>
                                </wps:spPr>
                                <wps:txbx>
                                  <w:txbxContent>
                                    <w:p w14:paraId="24C7027F">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403"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98" name="组合 398"/>
                              <wpg:cNvGrpSpPr/>
                              <wpg:grpSpPr>
                                <a:xfrm>
                                  <a:off x="8546" y="622488"/>
                                  <a:ext cx="774" cy="394"/>
                                  <a:chOff x="13429" y="625251"/>
                                  <a:chExt cx="774" cy="394"/>
                                </a:xfrm>
                              </wpg:grpSpPr>
                              <wps:wsp>
                                <wps:cNvPr id="399" name="矩形 316"/>
                                <wps:cNvSpPr/>
                                <wps:spPr>
                                  <a:xfrm>
                                    <a:off x="13429" y="625251"/>
                                    <a:ext cx="775" cy="320"/>
                                  </a:xfrm>
                                  <a:prstGeom prst="rect">
                                    <a:avLst/>
                                  </a:prstGeom>
                                  <a:noFill/>
                                  <a:ln>
                                    <a:noFill/>
                                  </a:ln>
                                </wps:spPr>
                                <wps:txbx>
                                  <w:txbxContent>
                                    <w:p w14:paraId="0B0B5963">
                                      <w:pPr>
                                        <w:jc w:val="center"/>
                                        <w:rPr>
                                          <w:rFonts w:hint="eastAsia" w:eastAsia="宋体"/>
                                          <w:spacing w:val="-20"/>
                                          <w:sz w:val="18"/>
                                          <w:szCs w:val="18"/>
                                          <w:lang w:val="en-US" w:eastAsia="zh-CN"/>
                                        </w:rPr>
                                      </w:pPr>
                                      <w:r>
                                        <w:rPr>
                                          <w:rFonts w:hint="eastAsia"/>
                                          <w:spacing w:val="-20"/>
                                          <w:sz w:val="18"/>
                                          <w:szCs w:val="18"/>
                                          <w:lang w:val="en-US" w:eastAsia="zh-CN"/>
                                        </w:rPr>
                                        <w:t>S</w:t>
                                      </w:r>
                                    </w:p>
                                  </w:txbxContent>
                                </wps:txbx>
                                <wps:bodyPr lIns="91440" tIns="0" rIns="91440" bIns="0" upright="1"/>
                              </wps:wsp>
                              <wps:wsp>
                                <wps:cNvPr id="400"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grpSp>
                              <wpg:cNvPr id="395" name="组合 395"/>
                              <wpg:cNvGrpSpPr/>
                              <wpg:grpSpPr>
                                <a:xfrm>
                                  <a:off x="8243" y="623499"/>
                                  <a:ext cx="774" cy="394"/>
                                  <a:chOff x="13429" y="625251"/>
                                  <a:chExt cx="774" cy="394"/>
                                </a:xfrm>
                              </wpg:grpSpPr>
                              <wps:wsp>
                                <wps:cNvPr id="396" name="矩形 316"/>
                                <wps:cNvSpPr/>
                                <wps:spPr>
                                  <a:xfrm>
                                    <a:off x="13429" y="625251"/>
                                    <a:ext cx="775" cy="320"/>
                                  </a:xfrm>
                                  <a:prstGeom prst="rect">
                                    <a:avLst/>
                                  </a:prstGeom>
                                  <a:noFill/>
                                  <a:ln>
                                    <a:noFill/>
                                  </a:ln>
                                </wps:spPr>
                                <wps:txbx>
                                  <w:txbxContent>
                                    <w:p w14:paraId="31545920">
                                      <w:pPr>
                                        <w:jc w:val="center"/>
                                        <w:rPr>
                                          <w:spacing w:val="-20"/>
                                          <w:sz w:val="18"/>
                                          <w:szCs w:val="18"/>
                                        </w:rPr>
                                      </w:pPr>
                                      <w:r>
                                        <w:rPr>
                                          <w:spacing w:val="-20"/>
                                          <w:sz w:val="18"/>
                                          <w:szCs w:val="18"/>
                                        </w:rPr>
                                        <w:t>W</w:t>
                                      </w:r>
                                    </w:p>
                                  </w:txbxContent>
                                </wps:txbx>
                                <wps:bodyPr lIns="91440" tIns="0" rIns="91440" bIns="0" upright="1"/>
                              </wps:wsp>
                              <wps:wsp>
                                <wps:cNvPr id="397"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g:wgp>
                        </a:graphicData>
                      </a:graphic>
                    </wp:anchor>
                  </w:drawing>
                </mc:Choice>
                <mc:Fallback>
                  <w:pict>
                    <v:group id="_x0000_s1026" o:spid="_x0000_s1026" o:spt="203" style="position:absolute;left:0pt;margin-left:-1.8pt;margin-top:40pt;height:96.85pt;width:389.5pt;z-index:251721728;mso-width-relative:page;mso-height-relative:page;" coordorigin="4468,622487" coordsize="7790,1937" o:gfxdata="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">
                      <o:lock v:ext="edit" aspectratio="f"/>
                      <v:shape id="文本框 305" o:spid="_x0000_s1026" o:spt="202" type="#_x0000_t202" style="position:absolute;left:4468;top:622867;height:397;width:873;" fillcolor="#FFFFFF" filled="t" stroked="t" coordsize="21600,21600" o:gfxdata="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ITc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6A5CF38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色谱柱</w:t>
                              </w:r>
                            </w:p>
                          </w:txbxContent>
                        </v:textbox>
                      </v:shape>
                      <v:shape id="文本框 269" o:spid="_x0000_s1026" o:spt="202" type="#_x0000_t202" style="position:absolute;left:5905;top:622877;height:397;width:741;" fillcolor="#FFFFFF" filled="t" stroked="t" coordsize="21600,21600" o:gfxdata="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B8KJ6/&#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0BC37DE8">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v:textbox>
                      </v:shape>
                      <v:shape id="文本框 269" o:spid="_x0000_s1026" o:spt="202" type="#_x0000_t202" style="position:absolute;left:8521;top:622891;height:397;width:741;" fillcolor="#FFFFFF" filled="t" stroked="t" coordsize="21600,21600" o:gfxdata="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6vGXe/&#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14:paraId="6FA93080">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洗脱</w:t>
                              </w:r>
                            </w:p>
                          </w:txbxContent>
                        </v:textbox>
                      </v:shape>
                      <v:shape id="文本框 269" o:spid="_x0000_s1026" o:spt="202" type="#_x0000_t202" style="position:absolute;left:7207;top:622878;height:397;width:741;" fillcolor="#FFFFFF" filled="t" stroked="t" coordsize="21600,21600" o:gfxdata="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jvOy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12F19D61">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上样</w:t>
                              </w:r>
                            </w:p>
                          </w:txbxContent>
                        </v:textbox>
                      </v:shape>
                      <v:line id="直接连接符 307" o:spid="_x0000_s1026" o:spt="20" style="position:absolute;left:6654;top:623082;flip:y;height:1;width:555;" filled="f" stroked="t" coordsize="21600,21600" o:gfxdata="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Ee+K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5338;top:623093;flip:y;height:1;width:555;" filled="f" stroked="t" coordsize="21600,21600" o:gfxdata="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sbs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shape id="文本框 269" o:spid="_x0000_s1026" o:spt="202" type="#_x0000_t202" style="position:absolute;left:9823;top:622892;height:397;width:741;" fillcolor="#FFFFFF" filled="t" stroked="t" coordsize="21600,21600" o:gfxdata="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aTCY3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3E8EF3F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w:t>
                              </w:r>
                            </w:p>
                          </w:txbxContent>
                        </v:textbox>
                      </v:shape>
                      <v:shape id="文本框 309" o:spid="_x0000_s1026" o:spt="202" type="#_x0000_t202" style="position:absolute;left:11122;top:622902;height:397;width:1137;" fillcolor="#FFFFFF" filled="t" stroked="t" coordsize="21600,21600" o:gfxdata="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1AIOs&#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w:txbxContent>
                            <w:p w14:paraId="7D8F3D1F">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待测浓度</w:t>
                              </w:r>
                            </w:p>
                          </w:txbxContent>
                        </v:textbox>
                      </v:shape>
                      <v:line id="直接连接符 307" o:spid="_x0000_s1026" o:spt="20" style="position:absolute;left:7969;top:623096;flip:y;height:1;width:555;" filled="f" stroked="t" coordsize="21600,21600" o:gfxdata="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64mX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10572;top:623099;flip:y;height:1;width:555;" filled="f" stroked="t" coordsize="21600,21600" o:gfxdata="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DAdsr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line id="直接连接符 307" o:spid="_x0000_s1026" o:spt="20" style="position:absolute;left:9285;top:623098;flip:y;height:1;width:555;" filled="f" stroked="t" coordsize="21600,21600" o:gfxdata="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OKDxb4A&#10;AADc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line>
                      <v:rect id="_x0000_s1026" o:spid="_x0000_s1026" o:spt="1" style="position:absolute;left:5885;top:623885;height:536;width:801;" fillcolor="#FFFFFF" filled="t" stroked="t" coordsize="21600,21600" o:gfxdata="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i87SC/&#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inset="0mm,0.5mm,0mm,0mm">
                          <w:txbxContent>
                            <w:p w14:paraId="76A856E6">
                              <w:pPr>
                                <w:jc w:val="center"/>
                                <w:rPr>
                                  <w:rFonts w:hint="eastAsia" w:ascii="宋体" w:hAnsi="宋体" w:cs="宋体"/>
                                  <w:sz w:val="18"/>
                                  <w:szCs w:val="18"/>
                                  <w:lang w:val="en-US" w:eastAsia="zh-CN"/>
                                </w:rPr>
                              </w:pPr>
                              <w:r>
                                <w:rPr>
                                  <w:rFonts w:hint="eastAsia" w:ascii="宋体" w:hAnsi="宋体" w:cs="宋体"/>
                                  <w:sz w:val="18"/>
                                  <w:szCs w:val="18"/>
                                  <w:lang w:val="en-US" w:eastAsia="zh-CN"/>
                                </w:rPr>
                                <w:t>淋洗液</w:t>
                              </w:r>
                            </w:p>
                            <w:p w14:paraId="17EA7315">
                              <w:pPr>
                                <w:jc w:val="center"/>
                                <w:rPr>
                                  <w:rFonts w:hint="default"/>
                                  <w:lang w:val="en-US"/>
                                </w:rPr>
                              </w:pPr>
                              <w:r>
                                <w:rPr>
                                  <w:rFonts w:hint="eastAsia" w:ascii="宋体" w:hAnsi="宋体" w:cs="宋体"/>
                                  <w:sz w:val="18"/>
                                  <w:szCs w:val="18"/>
                                  <w:lang w:val="en-US" w:eastAsia="zh-CN"/>
                                </w:rPr>
                                <w:t>配置</w:t>
                              </w:r>
                            </w:p>
                          </w:txbxContent>
                        </v:textbox>
                      </v:rect>
                      <v:shape id="文本框 269" o:spid="_x0000_s1026" o:spt="202" type="#_x0000_t202" style="position:absolute;left:9773;top:623930;height:397;width:952;" fillcolor="#FFFFFF" filled="t" stroked="t" coordsize="21600,21600" o:gfxdata="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NXzi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37340A37">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淋洗液</w:t>
                              </w:r>
                            </w:p>
                          </w:txbxContent>
                        </v:textbox>
                      </v:shape>
                      <v:rect id="_x0000_s1026" o:spid="_x0000_s1026" o:spt="1" style="position:absolute;left:7199;top:623886;height:536;width:801;" fillcolor="#FFFFFF" filled="t" stroked="t" coordsize="21600,21600" o:gfxdata="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kjeVK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inset="0mm,0.5mm,0mm,0mm">
                          <w:txbxContent>
                            <w:p w14:paraId="7926F8E8">
                              <w:pPr>
                                <w:jc w:val="center"/>
                                <w:rPr>
                                  <w:rFonts w:hint="eastAsia" w:ascii="宋体" w:hAnsi="宋体" w:cs="宋体"/>
                                  <w:sz w:val="18"/>
                                  <w:szCs w:val="18"/>
                                  <w:lang w:val="en-US" w:eastAsia="zh-CN"/>
                                </w:rPr>
                              </w:pPr>
                              <w:r>
                                <w:rPr>
                                  <w:rFonts w:hint="eastAsia" w:ascii="宋体" w:hAnsi="宋体" w:cs="宋体"/>
                                  <w:sz w:val="18"/>
                                  <w:szCs w:val="18"/>
                                  <w:lang w:val="en-US" w:eastAsia="zh-CN"/>
                                </w:rPr>
                                <w:t>预处理</w:t>
                              </w:r>
                            </w:p>
                            <w:p w14:paraId="541C046C">
                              <w:pPr>
                                <w:jc w:val="center"/>
                                <w:rPr>
                                  <w:rFonts w:hint="default"/>
                                  <w:lang w:val="en-US"/>
                                </w:rPr>
                              </w:pPr>
                              <w:r>
                                <w:rPr>
                                  <w:rFonts w:hint="eastAsia" w:ascii="宋体" w:hAnsi="宋体" w:cs="宋体"/>
                                  <w:sz w:val="18"/>
                                  <w:szCs w:val="18"/>
                                  <w:lang w:val="en-US" w:eastAsia="zh-CN"/>
                                </w:rPr>
                                <w:t>样品</w:t>
                              </w:r>
                            </w:p>
                          </w:txbxContent>
                        </v:textbox>
                      </v:rect>
                      <v:line id="直接连接符 307" o:spid="_x0000_s1026" o:spt="20" style="position:absolute;left:6287;top:623281;flip:x;height:616;width:1;" filled="f" stroked="t" coordsize="21600,21600" o:gfxdata="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RLC&#10;wAAAANwAAAAPAAAAAAAAAAEAIAAAACIAAABkcnMvZG93bnJldi54bWxQSwECFAAUAAAACACHTuJA&#10;My8FnjsAAAA5AAAAEAAAAAAAAAABACAAAAAPAQAAZHJzL3NoYXBleG1sLnhtbFBLBQYAAAAABgAG&#10;AFsBAAC5AwAAAAA=&#10;">
                        <v:fill on="f" focussize="0,0"/>
                        <v:stroke color="#000000" joinstyle="round" startarrow="open"/>
                        <v:imagedata o:title=""/>
                        <o:lock v:ext="edit" aspectratio="f"/>
                      </v:line>
                      <v:rect id="_x0000_s1026" o:spid="_x0000_s1026" o:spt="1" style="position:absolute;left:8529;top:623888;height:536;width:801;" fillcolor="#FFFFFF" filled="t" stroked="t" coordsize="21600,21600" o:gfxdata="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b9zJ&#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inset="0mm,0.5mm,0mm,0mm">
                          <w:txbxContent>
                            <w:p w14:paraId="7A24A4E1">
                              <w:pPr>
                                <w:jc w:val="center"/>
                                <w:rPr>
                                  <w:rFonts w:hint="eastAsia" w:ascii="宋体" w:hAnsi="宋体" w:cs="宋体"/>
                                  <w:sz w:val="18"/>
                                  <w:szCs w:val="18"/>
                                  <w:lang w:val="en-US" w:eastAsia="zh-CN"/>
                                </w:rPr>
                              </w:pPr>
                              <w:r>
                                <w:rPr>
                                  <w:rFonts w:hint="eastAsia" w:ascii="宋体" w:hAnsi="宋体" w:cs="宋体"/>
                                  <w:sz w:val="18"/>
                                  <w:szCs w:val="18"/>
                                  <w:lang w:val="en-US" w:eastAsia="zh-CN"/>
                                </w:rPr>
                                <w:t>洗脱液</w:t>
                              </w:r>
                            </w:p>
                            <w:p w14:paraId="4FD98515">
                              <w:pPr>
                                <w:jc w:val="center"/>
                                <w:rPr>
                                  <w:rFonts w:hint="default"/>
                                  <w:lang w:val="en-US"/>
                                </w:rPr>
                              </w:pPr>
                              <w:r>
                                <w:rPr>
                                  <w:rFonts w:hint="eastAsia" w:ascii="宋体" w:hAnsi="宋体" w:cs="宋体"/>
                                  <w:sz w:val="18"/>
                                  <w:szCs w:val="18"/>
                                  <w:lang w:val="en-US" w:eastAsia="zh-CN"/>
                                </w:rPr>
                                <w:t>配置</w:t>
                              </w:r>
                            </w:p>
                          </w:txbxContent>
                        </v:textbox>
                      </v:rect>
                      <v:group id="_x0000_s1026" o:spid="_x0000_s1026" o:spt="203" style="position:absolute;left:7244;top:622487;height:394;width:774;" coordorigin="13429,625251" coordsize="774,394" o:gfxdata="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d+lPy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TKHYeL4AAADc&#10;AAAADwAAAGRycy9kb3ducmV2LnhtbEWPT2vCQBTE74V+h+UVequbaK0hZpUiLQRvWr0/sy9/aPbt&#10;ml2j/fbdQsHjMDO/YYr1zfRipMF3lhWkkwQEcWV1x42Cw9fnSwbCB2SNvWVS8EMe1qvHhwJzba+8&#10;o3EfGhEh7HNU0Ibgcil91ZJBP7GOOHq1HQyGKIdG6gGvEW56OU2SN2mw47jQoqNNS9X3/mIUnGnc&#10;flzK87s7Lfp63rjyuF28KvX8lCZLEIFu4R7+b5dawSybwd+ZeATk6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KHYeL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1F6BC416">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tmV7/r4AAADc&#10;AAAADwAAAGRycy9kb3ducmV2LnhtbEWPQWsCMRSE7wX/Q3iFXkSzW6XIdrMehEKlglY96O2xec0u&#10;3bwsSdTtvzeFQo/DzHzDlMvBduJKPrSOFeTTDARx7XTLRsHx8DZZgAgRWWPnmBT8UIBlNXoosdDu&#10;xp903UcjEoRDgQqaGPtCylA3ZDFMXU+cvC/nLcYkvZHa4y3BbSefs+xFWmw5LTTY06qh+nt/sYmC&#10;27H5cGszdOeNd4fTjvOwU+rpMc9eQUQa4n/4r/2uFcwWc/g9k46ArO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mV7/r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6940;top:623497;height:394;width:774;" coordorigin="13429,625251" coordsize="774,394" o:gfxdata="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">
                        <o:lock v:ext="edit" aspectratio="f"/>
                        <v:rect id="矩形 316" o:spid="_x0000_s1026" o:spt="1" style="position:absolute;left:13429;top:625251;height:320;width:775;" filled="f" stroked="f" coordsize="21600,21600" o:gfxdata="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Unvkr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5FDB5F48">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TIfrIL8AAADc&#10;AAAADwAAAGRycy9kb3ducmV2LnhtbEWPTWvDMAyG74X+B6PCLmV1ssHosro9FAodG/Rrh+0mYs0J&#10;i+Vgu23276dDYUfx6n2kZ7EafKcuFFMb2EA5K0AR18G27Ax8nDb3c1ApI1vsApOBX0qwWo5HC6xs&#10;uPKBLsfslEA4VWigybmvtE51Qx7TLPTEkn2H6DHLGJ22Ea8C951+KIon7bFludBgT+uG6p/j2QsF&#10;d1P3Fl7d0H29x3D63HOZ9sbcTcriBVSmIf8v39pba+DxWd4XGREBvf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yH6yC/&#10;AAAA3AAAAA8AAAAAAAAAAQAgAAAAIgAAAGRycy9kb3ducmV2LnhtbFBLAQIUABQAAAAIAIdO4kAz&#10;LwWeOwAAADkAAAAQAAAAAAAAAAEAIAAAAA4BAABkcnMvc2hhcGV4bWwueG1sUEsFBgAAAAAGAAYA&#10;WwEAALgDAAAAAA==&#10;">
                          <v:fill on="f" focussize="0,0"/>
                          <v:stroke color="#000000" joinstyle="round" dashstyle="dash" endarrow="open" endarrowwidth="narrow" endarrowlength="short"/>
                          <v:imagedata o:title=""/>
                          <o:lock v:ext="edit" aspectratio="f"/>
                        </v:line>
                      </v:group>
                      <v:line id="直接连接符 307" o:spid="_x0000_s1026" o:spt="20" style="position:absolute;left:7602;top:623295;flip:x;height:616;width:1;" filled="f" stroked="t" coordsize="21600,21600" o:gfxdata="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C2FMG/&#10;AAAA3AAAAA8AAAAAAAAAAQAgAAAAIgAAAGRycy9kb3ducmV2LnhtbFBLAQIUABQAAAAIAIdO4kAz&#10;LwWeOwAAADkAAAAQAAAAAAAAAAEAIAAAAA4BAABkcnMvc2hhcGV4bWwueG1sUEsFBgAAAAAGAAYA&#10;WwEAALgDAAAAAA==&#10;">
                        <v:fill on="f" focussize="0,0"/>
                        <v:stroke color="#000000" joinstyle="round" startarrow="open"/>
                        <v:imagedata o:title=""/>
                        <o:lock v:ext="edit" aspectratio="f"/>
                      </v:line>
                      <v:line id="直接连接符 307" o:spid="_x0000_s1026" o:spt="20" style="position:absolute;left:8890;top:623283;flip:x;height:616;width:1;" filled="f" stroked="t" coordsize="21600,21600" o:gfxdata="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v+rFa&#10;wAAAANwAAAAPAAAAAAAAAAEAIAAAACIAAABkcnMvZG93bnJldi54bWxQSwECFAAUAAAACACHTuJA&#10;My8FnjsAAAA5AAAAEAAAAAAAAAABACAAAAAPAQAAZHJzL3NoYXBleG1sLnhtbFBLBQYAAAAABgAG&#10;AFsBAAC5AwAAAAA=&#10;">
                        <v:fill on="f" focussize="0,0"/>
                        <v:stroke color="#000000" joinstyle="round" startarrow="open"/>
                        <v:imagedata o:title=""/>
                        <o:lock v:ext="edit" aspectratio="f"/>
                      </v:line>
                      <v:group id="_x0000_s1026" o:spid="_x0000_s1026" o:spt="203" style="position:absolute;left:9821;top:622503;height:394;width:774;" coordorigin="13429,625251" coordsize="774,394" o:gfxdata="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fzzhW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AX0rqLwAAADc&#10;AAAADwAAAGRycy9kb3ducmV2LnhtbEWPQWsCMRSE7wX/Q3hCbzWxaJXVKFIUFm/aen9unruLm5e4&#10;iav990YQehxm5htmvrzbRnTUhtqxhuFAgSAunKm51PD7s/mYgggR2WDjmDT8UYDlovc2x8y4G++o&#10;28dSJAiHDDVUMfpMylBUZDEMnCdO3sm1FmOSbSlNi7cEt438VOpLWqw5LVTo6bui4ry/Wg0X6rbr&#10;a35Z+eOkOY1Lnx+2k5HW7/2hmoGIdI//4Vc7NxpGagzPM+kIyM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F9K6i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41CAA234">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line id="直接连接符 201" o:spid="_x0000_s1026" o:spt="20" style="position:absolute;left:13834;top:625453;flip:x y;height:193;width:1;" filled="f" stroked="t" coordsize="21600,21600" o:gfxdata="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IKOL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5587;top:623511;height:394;width:774;" coordorigin="13429,625251" coordsize="774,394" o:gfxdata="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Xyl1b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yXhOpb0AAADc&#10;AAAADwAAAGRycy9kb3ducmV2LnhtbEWPzW7CMBCE75V4B2uReisOfwUCBlVVkSJuULgv8ZJExGsT&#10;mwBvj5Eq9TiamW80i9Xd1KKlxleWFfR7CQji3OqKCwX73/XHFIQPyBpry6TgQR5Wy87bAlNtb7yl&#10;dhcKESHsU1RQhuBSKX1ekkHfs444eifbGAxRNoXUDd4i3NRykCSf0mDFcaFER98l5efd1Si4ULv5&#10;uWaXL3ec1Kdx4bLDZjJS6r3bT+YgAt3Df/ivnWkFw9kQXmfiEZ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eE6lvQAA&#10;ANwAAAAPAAAAAAAAAAEAIAAAACIAAABkcnMvZG93bnJldi54bWxQSwECFAAUAAAACACHTuJAMy8F&#10;njsAAAA5AAAAEAAAAAAAAAABACAAAAAMAQAAZHJzL3NoYXBleG1sLnhtbFBLBQYAAAAABgAGAFsB&#10;AAC2AwAAAAA=&#10;">
                          <v:fill on="f" focussize="0,0"/>
                          <v:stroke on="f"/>
                          <v:imagedata o:title=""/>
                          <o:lock v:ext="edit" aspectratio="f"/>
                          <v:textbox inset="2.54mm,0mm,2.54mm,0mm">
                            <w:txbxContent>
                              <w:p w14:paraId="2B82ECD7">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M7ztI74AAADc&#10;AAAADwAAAGRycy9kb3ducmV2LnhtbEWPT2sCMRTE74V+h/AKXopmV0upW6OHQkFRqP8O9vbYPLOL&#10;m5clibp+e1MoeBxm5jfMZNbZRlzIh9qxgnyQgSAuna7ZKNjvvvsfIEJE1tg4JgU3CjCbPj9NsNDu&#10;yhu6bKMRCcKhQAVVjG0hZSgrshgGriVO3tF5izFJb6T2eE1w28hhlr1LizWnhQpb+qqoPG3PNlHw&#10;59Us3cJ0ze/Ku91hzXlYK9V7ybNPEJG6+Aj/t+dawWj8Bn9n0hGQ0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7ztI7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line id="直接连接符 307" o:spid="_x0000_s1026" o:spt="20" style="position:absolute;left:10205;top:623311;flip:x;height:616;width:1;" filled="f" stroked="t" coordsize="21600,21600" o:gfxdata="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qGGmi/&#10;AAAA3AAAAA8AAAAAAAAAAQAgAAAAIgAAAGRycy9kb3ducmV2LnhtbFBLAQIUABQAAAAIAIdO4kAz&#10;LwWeOwAAADkAAAAQAAAAAAAAAAEAIAAAAA4BAABkcnMvc2hhcGV4bWwueG1sUEsFBgAAAAAGAAYA&#10;WwEAALgDAAAAAA==&#10;">
                        <v:fill on="f" focussize="0,0"/>
                        <v:stroke color="#000000" joinstyle="round" startarrow="open"/>
                        <v:imagedata o:title=""/>
                        <o:lock v:ext="edit" aspectratio="f"/>
                      </v:line>
                      <v:group id="_x0000_s1026" o:spid="_x0000_s1026" o:spt="203" style="position:absolute;left:5919;top:622487;height:394;width:774;" coordorigin="13429,625251" coordsize="774,394" o:gfxdata="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PuJvOvwAAANwAAAAPAAAAAAAAAAEAIAAAACIAAABkcnMvZG93bnJldi54&#10;bWxQSwECFAAUAAAACACHTuJAMy8FnjsAAAA5AAAAFQAAAAAAAAABACAAAAAOAQAAZHJzL2dyb3Vw&#10;c2hhcGV4bWwueG1sUEsFBgAAAAAGAAYAYAEAAMsDAAAAAA==&#10;">
                        <o:lock v:ext="edit" aspectratio="f"/>
                        <v:rect id="矩形 316" o:spid="_x0000_s1026" o:spt="1" style="position:absolute;left:13429;top:625251;height:320;width:775;" filled="f" stroked="f" coordsize="21600,21600" o:gfxdata="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6Us9y8AAAA&#10;3AAAAA8AAAAAAAAAAQAgAAAAIgAAAGRycy9kb3ducmV2LnhtbFBLAQIUABQAAAAIAIdO4kAzLwWe&#10;OwAAADkAAAAQAAAAAAAAAAEAIAAAAAsBAABkcnMvc2hhcGV4bWwueG1sUEsFBgAAAAAGAAYAWwEA&#10;ALUDAAAAAA==&#10;">
                          <v:fill on="f" focussize="0,0"/>
                          <v:stroke on="f"/>
                          <v:imagedata o:title=""/>
                          <o:lock v:ext="edit" aspectratio="f"/>
                          <v:textbox inset="2.54mm,0mm,2.54mm,0mm">
                            <w:txbxContent>
                              <w:p w14:paraId="24C7027F">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line id="直接连接符 201" o:spid="_x0000_s1026" o:spt="20" style="position:absolute;left:13834;top:625453;flip:x y;height:193;width:1;" filled="f" stroked="t" coordsize="21600,21600" o:gfxdata="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PUttb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8546;top:622488;height:394;width:774;" coordorigin="13429,625251" coordsize="774,394" o:gfxdata="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2ImqxvAAAANwAAAAPAAAAAAAAAAEAIAAAACIAAABkcnMvZG93bnJldi54bWxQ&#10;SwECFAAUAAAACACHTuJAMy8FnjsAAAA5AAAAFQAAAAAAAAABACAAAAALAQAAZHJzL2dyb3Vwc2hh&#10;cGV4bWwueG1sUEsFBgAAAAAGAAYAYAEAAMgDAAAAAA==&#10;">
                        <o:lock v:ext="edit" aspectratio="f"/>
                        <v:rect id="矩形 316" o:spid="_x0000_s1026" o:spt="1" style="position:absolute;left:13429;top:625251;height:320;width:775;" filled="f" stroked="f" coordsize="21600,21600" o:gfxdata="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JB5T7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0B0B5963">
                                <w:pPr>
                                  <w:jc w:val="center"/>
                                  <w:rPr>
                                    <w:rFonts w:hint="eastAsia" w:eastAsia="宋体"/>
                                    <w:spacing w:val="-20"/>
                                    <w:sz w:val="18"/>
                                    <w:szCs w:val="18"/>
                                    <w:lang w:val="en-US" w:eastAsia="zh-CN"/>
                                  </w:rPr>
                                </w:pPr>
                                <w:r>
                                  <w:rPr>
                                    <w:rFonts w:hint="eastAsia"/>
                                    <w:spacing w:val="-20"/>
                                    <w:sz w:val="18"/>
                                    <w:szCs w:val="18"/>
                                    <w:lang w:val="en-US" w:eastAsia="zh-CN"/>
                                  </w:rPr>
                                  <w:t>S</w:t>
                                </w:r>
                              </w:p>
                            </w:txbxContent>
                          </v:textbox>
                        </v:rect>
                        <v:line id="直接连接符 201" o:spid="_x0000_s1026" o:spt="20" style="position:absolute;left:13834;top:625453;flip:x y;height:193;width:1;" filled="f" stroked="t" coordsize="21600,21600" o:gfxdata="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Cezwr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id="_x0000_s1026" o:spid="_x0000_s1026" o:spt="203" style="position:absolute;left:8243;top:623499;height:394;width:774;" coordorigin="13429,625251" coordsize="774,394" o:gfxdata="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NgjxS++AAAA3AAAAA8AAAAAAAAAAQAgAAAAIgAAAGRycy9kb3ducmV2Lnht&#10;bFBLAQIUABQAAAAIAIdO4kAzLwWeOwAAADkAAAAVAAAAAAAAAAEAIAAAAA0BAABkcnMvZ3JvdXBz&#10;aGFwZXhtbC54bWxQSwUGAAAAAAYABgBgAQAAygMAAAAA&#10;">
                        <o:lock v:ext="edit" aspectratio="f"/>
                        <v:rect id="矩形 316" o:spid="_x0000_s1026" o:spt="1" style="position:absolute;left:13429;top:625251;height:320;width:775;" filled="f" stroked="f" coordsize="21600,21600" o:gfxdata="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Q/tPb4A&#10;AADcAAAADwAAAAAAAAABACAAAAAiAAAAZHJzL2Rvd25yZXYueG1sUEsBAhQAFAAAAAgAh07iQDMv&#10;BZ47AAAAOQAAABAAAAAAAAAAAQAgAAAADQEAAGRycy9zaGFwZXhtbC54bWxQSwUGAAAAAAYABgBb&#10;AQAAtwMAAAAA&#10;">
                          <v:fill on="f" focussize="0,0"/>
                          <v:stroke on="f"/>
                          <v:imagedata o:title=""/>
                          <o:lock v:ext="edit" aspectratio="f"/>
                          <v:textbox inset="2.54mm,0mm,2.54mm,0mm">
                            <w:txbxContent>
                              <w:p w14:paraId="31545920">
                                <w:pPr>
                                  <w:jc w:val="center"/>
                                  <w:rPr>
                                    <w:spacing w:val="-20"/>
                                    <w:sz w:val="18"/>
                                    <w:szCs w:val="18"/>
                                  </w:rPr>
                                </w:pPr>
                                <w:r>
                                  <w:rPr>
                                    <w:spacing w:val="-20"/>
                                    <w:sz w:val="18"/>
                                    <w:szCs w:val="18"/>
                                  </w:rPr>
                                  <w:t>W</w:t>
                                </w:r>
                              </w:p>
                            </w:txbxContent>
                          </v:textbox>
                        </v:rect>
                        <v:line id="直接连接符 201" o:spid="_x0000_s1026" o:spt="20" style="position:absolute;left:13834;top:625453;flip:x y;height:193;width:1;" filled="f" stroked="t" coordsize="21600,21600" o:gfxdata="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25zVL4A&#10;AADc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group>
                  </w:pict>
                </mc:Fallback>
              </mc:AlternateContent>
            </w:r>
            <w:r>
              <w:rPr>
                <w:rFonts w:hint="eastAsia" w:ascii="Times New Roman" w:hAnsi="Times New Roman" w:cs="Times New Roman"/>
                <w:color w:val="auto"/>
                <w:sz w:val="21"/>
                <w:szCs w:val="21"/>
                <w:highlight w:val="none"/>
                <w:lang w:val="en-US" w:eastAsia="zh-CN"/>
              </w:rPr>
              <w:t>主要检测仪器包括离子色谱仪、液相色谱仪、气相色谱仪、气质联用仪等，主要工艺流程如下：</w:t>
            </w:r>
          </w:p>
          <w:p w14:paraId="63CA8403">
            <w:pPr>
              <w:pStyle w:val="5"/>
              <w:rPr>
                <w:color w:val="auto"/>
              </w:rPr>
            </w:pPr>
          </w:p>
          <w:p w14:paraId="0C745439">
            <w:pPr>
              <w:rPr>
                <w:color w:val="auto"/>
              </w:rPr>
            </w:pPr>
          </w:p>
          <w:p w14:paraId="04470897">
            <w:pPr>
              <w:rPr>
                <w:color w:val="auto"/>
              </w:rPr>
            </w:pPr>
          </w:p>
          <w:p w14:paraId="15EF8893">
            <w:pPr>
              <w:pStyle w:val="6"/>
              <w:rPr>
                <w:color w:val="auto"/>
              </w:rPr>
            </w:pPr>
          </w:p>
          <w:p w14:paraId="3742CF75">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8</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典型仪器分析法基本流程</w:t>
            </w:r>
            <w:r>
              <w:rPr>
                <w:rFonts w:hint="default" w:ascii="Times New Roman" w:hAnsi="Times New Roman" w:eastAsia="宋体" w:cs="Times New Roman"/>
                <w:b/>
                <w:color w:val="auto"/>
                <w:sz w:val="21"/>
                <w:szCs w:val="21"/>
                <w:highlight w:val="none"/>
              </w:rPr>
              <w:t>及排污节点图</w:t>
            </w:r>
          </w:p>
          <w:p w14:paraId="0657346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溶液配制：主要包括淋洗液和洗脱液配制，淋洗液以碱液为主，离子色谱洗脱液以碱液</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 xml:space="preserve">酸液为主，气相色谱、液相色谱及气质联用仪等洗脱液以有机溶液为主。 </w:t>
            </w:r>
          </w:p>
          <w:p w14:paraId="6F51BD6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淋洗：色谱柱使用前需用淋洗液进行清洗至电导率稳定，淋洗废水收集至废液瓶中。 </w:t>
            </w:r>
          </w:p>
          <w:p w14:paraId="25FAA5A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上样：预处理后的水样</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 xml:space="preserve">气样送入色谱柱，进行吸附分离。 </w:t>
            </w:r>
          </w:p>
          <w:p w14:paraId="35EF07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洗脱：用一定柱体积的洗脱液将待检测样品洗脱出色谱柱，并通过仪器自带检测器自动检测并记录。 </w:t>
            </w:r>
          </w:p>
          <w:p w14:paraId="51B9D44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淋洗：用一定柱体积的淋洗液对检测后的色谱柱进行清洗，淋洗废水收集至废液瓶中。 </w:t>
            </w:r>
          </w:p>
          <w:p w14:paraId="1DC8C30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计算：根据标准曲线和检测记录得到样品中待测物质浓度。</w:t>
            </w:r>
          </w:p>
          <w:p w14:paraId="1DC1F6C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 xml:space="preserve">（4）纯水制备 </w:t>
            </w:r>
          </w:p>
          <w:p w14:paraId="3588C15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纯水制备生产工艺流程说明： 自来水进入纯水机后，纯水用于实验室，纯水机利用反渗透的纯水制备工艺进行纯水制备。</w:t>
            </w:r>
          </w:p>
          <w:p w14:paraId="344BB4C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b/>
                <w:bCs/>
                <w:color w:val="auto"/>
                <w:sz w:val="21"/>
                <w:szCs w:val="21"/>
                <w:highlight w:val="none"/>
                <w:lang w:val="en-US" w:eastAsia="zh-CN"/>
              </w:rPr>
            </w:pPr>
            <w:r>
              <w:rPr>
                <w:color w:val="auto"/>
                <w:sz w:val="21"/>
              </w:rPr>
              <mc:AlternateContent>
                <mc:Choice Requires="wpg">
                  <w:drawing>
                    <wp:anchor distT="0" distB="0" distL="114300" distR="114300" simplePos="0" relativeHeight="251695104" behindDoc="0" locked="0" layoutInCell="1" allowOverlap="1">
                      <wp:simplePos x="0" y="0"/>
                      <wp:positionH relativeFrom="column">
                        <wp:posOffset>1287145</wp:posOffset>
                      </wp:positionH>
                      <wp:positionV relativeFrom="paragraph">
                        <wp:posOffset>48260</wp:posOffset>
                      </wp:positionV>
                      <wp:extent cx="2382520" cy="531495"/>
                      <wp:effectExtent l="0" t="0" r="0" b="1270"/>
                      <wp:wrapNone/>
                      <wp:docPr id="101" name="组合 101"/>
                      <wp:cNvGraphicFramePr/>
                      <a:graphic xmlns:a="http://schemas.openxmlformats.org/drawingml/2006/main">
                        <a:graphicData uri="http://schemas.microsoft.com/office/word/2010/wordprocessingGroup">
                          <wpg:wgp>
                            <wpg:cNvGrpSpPr/>
                            <wpg:grpSpPr>
                              <a:xfrm>
                                <a:off x="0" y="0"/>
                                <a:ext cx="2382520" cy="531495"/>
                                <a:chOff x="5167" y="637237"/>
                                <a:chExt cx="3752" cy="837"/>
                              </a:xfrm>
                            </wpg:grpSpPr>
                            <wps:wsp>
                              <wps:cNvPr id="72" name="直接连接符 307"/>
                              <wps:cNvCnPr/>
                              <wps:spPr>
                                <a:xfrm flipV="1">
                                  <a:off x="5947" y="637845"/>
                                  <a:ext cx="555" cy="1"/>
                                </a:xfrm>
                                <a:prstGeom prst="line">
                                  <a:avLst/>
                                </a:prstGeom>
                                <a:ln w="9525" cap="flat" cmpd="sng">
                                  <a:solidFill>
                                    <a:srgbClr val="000000"/>
                                  </a:solidFill>
                                  <a:prstDash val="solid"/>
                                  <a:headEnd type="none" w="med" len="med"/>
                                  <a:tailEnd type="arrow" w="med" len="med"/>
                                </a:ln>
                                <a:effectLst/>
                              </wps:spPr>
                              <wps:bodyPr/>
                            </wps:wsp>
                            <wps:wsp>
                              <wps:cNvPr id="48" name="文本框 309"/>
                              <wps:cNvSpPr txBox="1"/>
                              <wps:spPr>
                                <a:xfrm>
                                  <a:off x="6496" y="637642"/>
                                  <a:ext cx="1137" cy="39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ADC9D4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纯水机</w:t>
                                    </w:r>
                                  </w:p>
                                </w:txbxContent>
                              </wps:txbx>
                              <wps:bodyPr wrap="square" upright="1">
                                <a:noAutofit/>
                              </wps:bodyPr>
                            </wps:wsp>
                            <wpg:grpSp>
                              <wpg:cNvPr id="9" name="组合 9"/>
                              <wpg:cNvGrpSpPr/>
                              <wpg:grpSpPr>
                                <a:xfrm>
                                  <a:off x="6663" y="637237"/>
                                  <a:ext cx="774" cy="394"/>
                                  <a:chOff x="13429" y="625251"/>
                                  <a:chExt cx="774" cy="394"/>
                                </a:xfrm>
                              </wpg:grpSpPr>
                              <wps:wsp>
                                <wps:cNvPr id="13" name="矩形 316"/>
                                <wps:cNvSpPr/>
                                <wps:spPr>
                                  <a:xfrm>
                                    <a:off x="13429" y="625251"/>
                                    <a:ext cx="775" cy="320"/>
                                  </a:xfrm>
                                  <a:prstGeom prst="rect">
                                    <a:avLst/>
                                  </a:prstGeom>
                                  <a:noFill/>
                                  <a:ln>
                                    <a:noFill/>
                                  </a:ln>
                                </wps:spPr>
                                <wps:txbx>
                                  <w:txbxContent>
                                    <w:p w14:paraId="4909747D">
                                      <w:pPr>
                                        <w:jc w:val="center"/>
                                        <w:rPr>
                                          <w:rFonts w:hint="eastAsia" w:eastAsia="宋体"/>
                                          <w:spacing w:val="-20"/>
                                          <w:sz w:val="18"/>
                                          <w:szCs w:val="18"/>
                                          <w:lang w:val="en-US" w:eastAsia="zh-CN"/>
                                        </w:rPr>
                                      </w:pPr>
                                      <w:r>
                                        <w:rPr>
                                          <w:rFonts w:hint="eastAsia"/>
                                          <w:spacing w:val="-20"/>
                                          <w:sz w:val="18"/>
                                          <w:szCs w:val="18"/>
                                          <w:lang w:val="en-US" w:eastAsia="zh-CN"/>
                                        </w:rPr>
                                        <w:t>W、S</w:t>
                                      </w:r>
                                    </w:p>
                                  </w:txbxContent>
                                </wps:txbx>
                                <wps:bodyPr lIns="91440" tIns="0" rIns="91440" bIns="0" upright="1"/>
                              </wps:wsp>
                              <wps:wsp>
                                <wps:cNvPr id="14" name="直接连接符 201"/>
                                <wps:cNvCnPr/>
                                <wps:spPr>
                                  <a:xfrm flipH="1" flipV="1">
                                    <a:off x="13834" y="625453"/>
                                    <a:ext cx="1" cy="193"/>
                                  </a:xfrm>
                                  <a:prstGeom prst="line">
                                    <a:avLst/>
                                  </a:prstGeom>
                                  <a:ln w="9525" cap="flat" cmpd="sng">
                                    <a:solidFill>
                                      <a:srgbClr val="000000"/>
                                    </a:solidFill>
                                    <a:prstDash val="dash"/>
                                    <a:headEnd type="none" w="med" len="med"/>
                                    <a:tailEnd type="arrow" w="sm" len="sm"/>
                                  </a:ln>
                                  <a:effectLst/>
                                </wps:spPr>
                                <wps:bodyPr/>
                              </wps:wsp>
                            </wpg:grpSp>
                            <wps:wsp>
                              <wps:cNvPr id="93" name="文本框 302"/>
                              <wps:cNvSpPr txBox="1"/>
                              <wps:spPr>
                                <a:xfrm>
                                  <a:off x="5167" y="637667"/>
                                  <a:ext cx="900" cy="398"/>
                                </a:xfrm>
                                <a:prstGeom prst="rect">
                                  <a:avLst/>
                                </a:prstGeom>
                                <a:noFill/>
                                <a:ln>
                                  <a:noFill/>
                                </a:ln>
                                <a:effectLst/>
                              </wps:spPr>
                              <wps:txbx>
                                <w:txbxContent>
                                  <w:p w14:paraId="3EDDB36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自来水</w:t>
                                    </w:r>
                                  </w:p>
                                </w:txbxContent>
                              </wps:txbx>
                              <wps:bodyPr wrap="square" upright="1"/>
                            </wps:wsp>
                            <wps:wsp>
                              <wps:cNvPr id="99" name="直接连接符 307"/>
                              <wps:cNvCnPr/>
                              <wps:spPr>
                                <a:xfrm flipV="1">
                                  <a:off x="7635" y="637844"/>
                                  <a:ext cx="555" cy="1"/>
                                </a:xfrm>
                                <a:prstGeom prst="line">
                                  <a:avLst/>
                                </a:prstGeom>
                                <a:ln w="9525" cap="flat" cmpd="sng">
                                  <a:solidFill>
                                    <a:srgbClr val="000000"/>
                                  </a:solidFill>
                                  <a:prstDash val="solid"/>
                                  <a:headEnd type="none" w="med" len="med"/>
                                  <a:tailEnd type="arrow" w="med" len="med"/>
                                </a:ln>
                                <a:effectLst/>
                              </wps:spPr>
                              <wps:bodyPr/>
                            </wps:wsp>
                            <wps:wsp>
                              <wps:cNvPr id="100" name="文本框 302"/>
                              <wps:cNvSpPr txBox="1"/>
                              <wps:spPr>
                                <a:xfrm>
                                  <a:off x="8019" y="637676"/>
                                  <a:ext cx="900" cy="398"/>
                                </a:xfrm>
                                <a:prstGeom prst="rect">
                                  <a:avLst/>
                                </a:prstGeom>
                                <a:noFill/>
                                <a:ln>
                                  <a:noFill/>
                                </a:ln>
                                <a:effectLst/>
                              </wps:spPr>
                              <wps:txbx>
                                <w:txbxContent>
                                  <w:p w14:paraId="5A081DC0">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纯水</w:t>
                                    </w:r>
                                  </w:p>
                                </w:txbxContent>
                              </wps:txbx>
                              <wps:bodyPr wrap="square" upright="1"/>
                            </wps:wsp>
                          </wpg:wgp>
                        </a:graphicData>
                      </a:graphic>
                    </wp:anchor>
                  </w:drawing>
                </mc:Choice>
                <mc:Fallback>
                  <w:pict>
                    <v:group id="_x0000_s1026" o:spid="_x0000_s1026" o:spt="203" style="position:absolute;left:0pt;margin-left:101.35pt;margin-top:3.8pt;height:41.85pt;width:187.6pt;z-index:251695104;mso-width-relative:page;mso-height-relative:page;" coordorigin="5167,637237" coordsize="3752,837" o:gfxdata="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">
                      <o:lock v:ext="edit" aspectratio="f"/>
                      <v:line id="直接连接符 307" o:spid="_x0000_s1026" o:spt="20" style="position:absolute;left:5947;top:637845;flip:y;height:1;width:555;" filled="f" stroked="t" coordsize="21600,21600" o:gfxdata="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oJ+CO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shape id="文本框 309" o:spid="_x0000_s1026" o:spt="202" type="#_x0000_t202" style="position:absolute;left:6496;top:637642;height:397;width:1137;" fillcolor="#FFFFFF" filled="t" stroked="t" coordsize="21600,21600" o:gfxdata="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gfzC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1ADC9D43">
                              <w:pPr>
                                <w:keepNext w:val="0"/>
                                <w:keepLines w:val="0"/>
                                <w:pageBreakBefore w:val="0"/>
                                <w:widowControl w:val="0"/>
                                <w:kinsoku/>
                                <w:wordWrap/>
                                <w:overflowPunct/>
                                <w:topLinePunct w:val="0"/>
                                <w:bidi w:val="0"/>
                                <w:adjustRightInd/>
                                <w:snapToGrid/>
                                <w:spacing w:line="240" w:lineRule="exact"/>
                                <w:jc w:val="center"/>
                                <w:textAlignment w:val="auto"/>
                                <w:rPr>
                                  <w:rFonts w:hint="default" w:ascii="Times New Roman" w:hAnsi="Times New Roman" w:eastAsia="宋体" w:cs="Times New Roman"/>
                                  <w:spacing w:val="0"/>
                                  <w:sz w:val="18"/>
                                  <w:szCs w:val="18"/>
                                  <w:lang w:val="en-US" w:eastAsia="zh-CN"/>
                                </w:rPr>
                              </w:pPr>
                              <w:r>
                                <w:rPr>
                                  <w:rFonts w:hint="eastAsia" w:cs="Times New Roman"/>
                                  <w:spacing w:val="0"/>
                                  <w:sz w:val="18"/>
                                  <w:szCs w:val="18"/>
                                  <w:lang w:val="en-US" w:eastAsia="zh-CN"/>
                                </w:rPr>
                                <w:t>纯水机</w:t>
                              </w:r>
                            </w:p>
                          </w:txbxContent>
                        </v:textbox>
                      </v:shape>
                      <v:group id="_x0000_s1026" o:spid="_x0000_s1026" o:spt="203" style="position:absolute;left:6663;top:637237;height:394;width:774;" coordorigin="13429,625251" coordsize="774,394" o:gfxdata="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PW/Q36+AAAA2gAAAA8AAAAAAAAAAQAgAAAAIgAAAGRycy9kb3ducmV2Lnht&#10;bFBLAQIUABQAAAAIAIdO4kAzLwWeOwAAADkAAAAVAAAAAAAAAAEAIAAAAA0BAABkcnMvZ3JvdXBz&#10;aGFwZXhtbC54bWxQSwUGAAAAAAYABgBgAQAAygMAAAAA&#10;">
                        <o:lock v:ext="edit" aspectratio="f"/>
                        <v:rect id="矩形 316" o:spid="_x0000_s1026" o:spt="1" style="position:absolute;left:13429;top:625251;height:320;width:775;" filled="f" stroked="f" coordsize="21600,21600" o:gfxdata="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rrKGS5AAAA2wAA&#10;AA8AAAAAAAAAAQAgAAAAIgAAAGRycy9kb3ducmV2LnhtbFBLAQIUABQAAAAIAIdO4kAzLwWeOwAA&#10;ADkAAAAQAAAAAAAAAAEAIAAAAAgBAABkcnMvc2hhcGV4bWwueG1sUEsFBgAAAAAGAAYAWwEAALID&#10;AAAAAA==&#10;">
                          <v:fill on="f" focussize="0,0"/>
                          <v:stroke on="f"/>
                          <v:imagedata o:title=""/>
                          <o:lock v:ext="edit" aspectratio="f"/>
                          <v:textbox inset="2.54mm,0mm,2.54mm,0mm">
                            <w:txbxContent>
                              <w:p w14:paraId="4909747D">
                                <w:pPr>
                                  <w:jc w:val="center"/>
                                  <w:rPr>
                                    <w:rFonts w:hint="eastAsia" w:eastAsia="宋体"/>
                                    <w:spacing w:val="-20"/>
                                    <w:sz w:val="18"/>
                                    <w:szCs w:val="18"/>
                                    <w:lang w:val="en-US" w:eastAsia="zh-CN"/>
                                  </w:rPr>
                                </w:pPr>
                                <w:r>
                                  <w:rPr>
                                    <w:rFonts w:hint="eastAsia"/>
                                    <w:spacing w:val="-20"/>
                                    <w:sz w:val="18"/>
                                    <w:szCs w:val="18"/>
                                    <w:lang w:val="en-US" w:eastAsia="zh-CN"/>
                                  </w:rPr>
                                  <w:t>W、S</w:t>
                                </w:r>
                              </w:p>
                            </w:txbxContent>
                          </v:textbox>
                        </v:rect>
                        <v:line id="直接连接符 201" o:spid="_x0000_s1026" o:spt="20" style="position:absolute;left:13834;top:625453;flip:x y;height:193;width:1;" filled="f" stroked="t" coordsize="21600,21600" o:gfxdata="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jmdSb4A&#10;AADbAAAADwAAAAAAAAABACAAAAAiAAAAZHJzL2Rvd25yZXYueG1sUEsBAhQAFAAAAAgAh07iQDMv&#10;BZ47AAAAOQAAABAAAAAAAAAAAQAgAAAADQEAAGRycy9zaGFwZXhtbC54bWxQSwUGAAAAAAYABgBb&#10;AQAAtwMAAAAA&#10;">
                          <v:fill on="f" focussize="0,0"/>
                          <v:stroke color="#000000" joinstyle="round" dashstyle="dash" endarrow="open" endarrowwidth="narrow" endarrowlength="short"/>
                          <v:imagedata o:title=""/>
                          <o:lock v:ext="edit" aspectratio="f"/>
                        </v:line>
                      </v:group>
                      <v:shape id="文本框 302" o:spid="_x0000_s1026" o:spt="202" type="#_x0000_t202" style="position:absolute;left:5167;top:637667;height:398;width:900;" filled="f" stroked="f" coordsize="21600,21600" o:gfxdata="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shvb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3EDDB36B">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自来水</w:t>
                              </w:r>
                            </w:p>
                          </w:txbxContent>
                        </v:textbox>
                      </v:shape>
                      <v:line id="直接连接符 307" o:spid="_x0000_s1026" o:spt="20" style="position:absolute;left:7635;top:637844;flip:y;height:1;width:555;" filled="f" stroked="t" coordsize="21600,21600" o:gfxdata="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oYyo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line>
                      <v:shape id="文本框 302" o:spid="_x0000_s1026" o:spt="202" type="#_x0000_t202" style="position:absolute;left:8019;top:637676;height:398;width:900;" filled="f" stroked="f" coordsize="21600,21600" o:gfxdata="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DhhtvQAA&#10;ANw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5A081DC0">
                              <w:pPr>
                                <w:keepNext w:val="0"/>
                                <w:keepLines w:val="0"/>
                                <w:pageBreakBefore w:val="0"/>
                                <w:widowControl w:val="0"/>
                                <w:kinsoku/>
                                <w:wordWrap/>
                                <w:overflowPunct/>
                                <w:topLinePunct w:val="0"/>
                                <w:bidi w:val="0"/>
                                <w:adjustRightInd/>
                                <w:snapToGrid/>
                                <w:spacing w:line="220" w:lineRule="exact"/>
                                <w:jc w:val="center"/>
                                <w:textAlignment w:val="auto"/>
                                <w:rPr>
                                  <w:rFonts w:hint="default" w:ascii="宋体" w:hAnsi="宋体" w:eastAsia="宋体" w:cs="宋体"/>
                                  <w:b/>
                                  <w:bCs/>
                                  <w:sz w:val="18"/>
                                  <w:szCs w:val="18"/>
                                  <w:lang w:val="en-US" w:eastAsia="zh-CN"/>
                                </w:rPr>
                              </w:pPr>
                              <w:r>
                                <w:rPr>
                                  <w:rFonts w:hint="eastAsia" w:ascii="宋体" w:hAnsi="宋体" w:cs="宋体"/>
                                  <w:b/>
                                  <w:bCs/>
                                  <w:sz w:val="18"/>
                                  <w:szCs w:val="18"/>
                                  <w:lang w:val="en-US" w:eastAsia="zh-CN"/>
                                </w:rPr>
                                <w:t>纯水</w:t>
                              </w:r>
                            </w:p>
                          </w:txbxContent>
                        </v:textbox>
                      </v:shape>
                    </v:group>
                  </w:pict>
                </mc:Fallback>
              </mc:AlternateContent>
            </w:r>
          </w:p>
          <w:p w14:paraId="2B365C8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bCs/>
                <w:color w:val="auto"/>
                <w:sz w:val="21"/>
                <w:szCs w:val="21"/>
                <w:highlight w:val="none"/>
                <w:lang w:val="en-US" w:eastAsia="zh-CN"/>
              </w:rPr>
            </w:pPr>
          </w:p>
          <w:p w14:paraId="2B3CCC2B">
            <w:pPr>
              <w:pStyle w:val="22"/>
              <w:adjustRightInd w:val="0"/>
              <w:snapToGrid w:val="0"/>
              <w:spacing w:before="0" w:beforeAutospacing="0" w:after="0" w:afterAutospacing="0"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ascii="Times New Roman" w:hAnsi="Times New Roman" w:cs="Times New Roman"/>
                <w:b/>
                <w:color w:val="auto"/>
                <w:sz w:val="21"/>
                <w:szCs w:val="21"/>
                <w:highlight w:val="none"/>
                <w:lang w:val="en-US" w:eastAsia="zh-CN"/>
              </w:rPr>
              <w:t>9</w:t>
            </w:r>
            <w:r>
              <w:rPr>
                <w:rFonts w:hint="eastAsia" w:ascii="Times New Roman" w:hAnsi="Times New Roman" w:eastAsia="宋体" w:cs="Times New Roman"/>
                <w:b/>
                <w:color w:val="auto"/>
                <w:sz w:val="21"/>
                <w:szCs w:val="21"/>
                <w:highlight w:val="none"/>
                <w:lang w:val="en-US" w:eastAsia="zh-CN"/>
              </w:rPr>
              <w:t xml:space="preserve"> </w:t>
            </w:r>
            <w:r>
              <w:rPr>
                <w:rFonts w:hint="eastAsia" w:ascii="Times New Roman" w:hAnsi="Times New Roman" w:cs="Times New Roman"/>
                <w:b/>
                <w:color w:val="auto"/>
                <w:sz w:val="21"/>
                <w:szCs w:val="21"/>
                <w:highlight w:val="none"/>
                <w:lang w:val="en-US" w:eastAsia="zh-CN"/>
              </w:rPr>
              <w:t>纯水制备工艺流程</w:t>
            </w:r>
            <w:r>
              <w:rPr>
                <w:rFonts w:hint="default" w:ascii="Times New Roman" w:hAnsi="Times New Roman" w:eastAsia="宋体" w:cs="Times New Roman"/>
                <w:b/>
                <w:color w:val="auto"/>
                <w:sz w:val="21"/>
                <w:szCs w:val="21"/>
                <w:highlight w:val="none"/>
              </w:rPr>
              <w:t>及排污节点图</w:t>
            </w:r>
          </w:p>
          <w:p w14:paraId="45D177B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本项目产污节点：</w:t>
            </w:r>
            <w:r>
              <w:rPr>
                <w:rFonts w:hint="eastAsia" w:ascii="Times New Roman" w:hAnsi="Times New Roman" w:cs="Times New Roman"/>
                <w:b/>
                <w:bCs/>
                <w:color w:val="auto"/>
                <w:sz w:val="21"/>
                <w:szCs w:val="21"/>
                <w:highlight w:val="none"/>
                <w:lang w:val="en-US" w:eastAsia="zh-CN"/>
              </w:rPr>
              <w:t>无机处理</w:t>
            </w:r>
            <w:r>
              <w:rPr>
                <w:rFonts w:hint="eastAsia" w:ascii="Times New Roman" w:hAnsi="Times New Roman" w:eastAsia="宋体" w:cs="Times New Roman"/>
                <w:b/>
                <w:bCs/>
                <w:color w:val="auto"/>
                <w:sz w:val="21"/>
                <w:szCs w:val="21"/>
                <w:highlight w:val="none"/>
                <w:lang w:val="en-US" w:eastAsia="zh-CN"/>
              </w:rPr>
              <w:t>及实验过程中过程中产生的酸雾G</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bCs/>
                <w:color w:val="auto"/>
                <w:sz w:val="21"/>
                <w:szCs w:val="21"/>
                <w:highlight w:val="none"/>
                <w:lang w:val="en-US" w:eastAsia="zh-CN"/>
              </w:rPr>
              <w:t>，</w:t>
            </w:r>
            <w:r>
              <w:rPr>
                <w:rFonts w:hint="eastAsia" w:ascii="Times New Roman" w:hAnsi="Times New Roman" w:cs="Times New Roman"/>
                <w:b/>
                <w:bCs/>
                <w:color w:val="auto"/>
                <w:sz w:val="21"/>
                <w:szCs w:val="21"/>
                <w:highlight w:val="none"/>
                <w:lang w:val="en-US" w:eastAsia="zh-CN"/>
              </w:rPr>
              <w:t>有机处理</w:t>
            </w:r>
            <w:r>
              <w:rPr>
                <w:rFonts w:hint="eastAsia" w:ascii="Times New Roman" w:hAnsi="Times New Roman" w:eastAsia="宋体" w:cs="Times New Roman"/>
                <w:b/>
                <w:bCs/>
                <w:color w:val="auto"/>
                <w:sz w:val="21"/>
                <w:szCs w:val="21"/>
                <w:highlight w:val="none"/>
                <w:lang w:val="en-US" w:eastAsia="zh-CN"/>
              </w:rPr>
              <w:t>及实验过程中产生的有机废气G</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土壤破碎、研磨产生的颗粒物G</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bCs/>
                <w:color w:val="auto"/>
                <w:sz w:val="21"/>
                <w:szCs w:val="21"/>
                <w:highlight w:val="none"/>
                <w:lang w:val="en-US" w:eastAsia="zh-CN"/>
              </w:rPr>
              <w:t>及</w:t>
            </w:r>
            <w:r>
              <w:rPr>
                <w:rFonts w:hint="eastAsia" w:ascii="Times New Roman" w:hAnsi="Times New Roman" w:cs="Times New Roman"/>
                <w:b/>
                <w:bCs/>
                <w:color w:val="auto"/>
                <w:sz w:val="21"/>
                <w:szCs w:val="21"/>
                <w:highlight w:val="none"/>
                <w:lang w:val="en-US" w:eastAsia="zh-CN"/>
              </w:rPr>
              <w:t>受捕集效率影响未被收集的无组织废气G4</w:t>
            </w:r>
            <w:r>
              <w:rPr>
                <w:rFonts w:hint="eastAsia" w:ascii="Times New Roman" w:hAnsi="Times New Roman" w:eastAsia="宋体" w:cs="Times New Roman"/>
                <w:b/>
                <w:bCs/>
                <w:color w:val="auto"/>
                <w:sz w:val="21"/>
                <w:szCs w:val="21"/>
                <w:highlight w:val="none"/>
                <w:lang w:val="en-US" w:eastAsia="zh-CN"/>
              </w:rPr>
              <w:t>；器皿后续清洗废水W</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bCs/>
                <w:color w:val="auto"/>
                <w:sz w:val="21"/>
                <w:szCs w:val="21"/>
                <w:highlight w:val="none"/>
                <w:lang w:val="en-US" w:eastAsia="zh-CN"/>
              </w:rPr>
              <w:t>，器皿纯水清洗废水W</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，未用于加药检测的不含有第一类污染物及重金属的外来企业样品废水W</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bCs/>
                <w:color w:val="auto"/>
                <w:sz w:val="21"/>
                <w:szCs w:val="21"/>
                <w:highlight w:val="none"/>
                <w:lang w:val="en-US" w:eastAsia="zh-CN"/>
              </w:rPr>
              <w:t>，纯水制备废水W</w:t>
            </w:r>
            <w:r>
              <w:rPr>
                <w:rFonts w:hint="eastAsia" w:ascii="Times New Roman" w:hAnsi="Times New Roman" w:cs="Times New Roman"/>
                <w:b/>
                <w:bCs/>
                <w:color w:val="auto"/>
                <w:sz w:val="21"/>
                <w:szCs w:val="21"/>
                <w:highlight w:val="none"/>
                <w:lang w:val="en-US" w:eastAsia="zh-CN"/>
              </w:rPr>
              <w:t>4</w:t>
            </w:r>
            <w:r>
              <w:rPr>
                <w:rFonts w:hint="eastAsia" w:ascii="Times New Roman" w:hAnsi="Times New Roman" w:eastAsia="宋体" w:cs="Times New Roman"/>
                <w:b/>
                <w:bCs/>
                <w:color w:val="auto"/>
                <w:sz w:val="21"/>
                <w:szCs w:val="21"/>
                <w:highlight w:val="none"/>
                <w:lang w:val="en-US" w:eastAsia="zh-CN"/>
              </w:rPr>
              <w:t>，水浴锅排污水W</w:t>
            </w:r>
            <w:r>
              <w:rPr>
                <w:rFonts w:hint="eastAsia" w:ascii="Times New Roman" w:hAnsi="Times New Roman" w:cs="Times New Roman"/>
                <w:b/>
                <w:bCs/>
                <w:color w:val="auto"/>
                <w:sz w:val="21"/>
                <w:szCs w:val="21"/>
                <w:highlight w:val="none"/>
                <w:lang w:val="en-US" w:eastAsia="zh-CN"/>
              </w:rPr>
              <w:t>5</w:t>
            </w:r>
            <w:r>
              <w:rPr>
                <w:rFonts w:hint="eastAsia" w:ascii="Times New Roman" w:hAnsi="Times New Roman" w:eastAsia="宋体" w:cs="Times New Roman"/>
                <w:b/>
                <w:bCs/>
                <w:color w:val="auto"/>
                <w:sz w:val="21"/>
                <w:szCs w:val="21"/>
                <w:highlight w:val="none"/>
                <w:lang w:val="en-US" w:eastAsia="zh-CN"/>
              </w:rPr>
              <w:t>，压力蒸汽灭菌器排污水W</w:t>
            </w:r>
            <w:r>
              <w:rPr>
                <w:rFonts w:hint="eastAsia" w:ascii="Times New Roman" w:hAnsi="Times New Roman" w:cs="Times New Roman"/>
                <w:b/>
                <w:bCs/>
                <w:color w:val="auto"/>
                <w:sz w:val="21"/>
                <w:szCs w:val="21"/>
                <w:highlight w:val="none"/>
                <w:lang w:val="en-US" w:eastAsia="zh-CN"/>
              </w:rPr>
              <w:t>6</w:t>
            </w:r>
            <w:r>
              <w:rPr>
                <w:rFonts w:hint="eastAsia" w:ascii="Times New Roman" w:hAnsi="Times New Roman" w:eastAsia="宋体" w:cs="Times New Roman"/>
                <w:b/>
                <w:bCs/>
                <w:color w:val="auto"/>
                <w:sz w:val="21"/>
                <w:szCs w:val="21"/>
                <w:highlight w:val="none"/>
                <w:lang w:val="en-US" w:eastAsia="zh-CN"/>
              </w:rPr>
              <w:t>，恒温恒湿室废水W</w:t>
            </w:r>
            <w:r>
              <w:rPr>
                <w:rFonts w:hint="eastAsia" w:ascii="Times New Roman" w:hAnsi="Times New Roman" w:cs="Times New Roman"/>
                <w:b/>
                <w:bCs/>
                <w:color w:val="auto"/>
                <w:sz w:val="21"/>
                <w:szCs w:val="21"/>
                <w:highlight w:val="none"/>
                <w:lang w:val="en-US" w:eastAsia="zh-CN"/>
              </w:rPr>
              <w:t>7</w:t>
            </w:r>
            <w:r>
              <w:rPr>
                <w:rFonts w:hint="eastAsia" w:ascii="Times New Roman" w:hAnsi="Times New Roman" w:eastAsia="宋体" w:cs="Times New Roman"/>
                <w:b/>
                <w:bCs/>
                <w:color w:val="auto"/>
                <w:sz w:val="21"/>
                <w:szCs w:val="21"/>
                <w:highlight w:val="none"/>
                <w:lang w:val="en-US" w:eastAsia="zh-CN"/>
              </w:rPr>
              <w:t>，地面清洗废水W</w:t>
            </w:r>
            <w:r>
              <w:rPr>
                <w:rFonts w:hint="eastAsia" w:ascii="Times New Roman" w:hAnsi="Times New Roman" w:cs="Times New Roman"/>
                <w:b/>
                <w:bCs/>
                <w:color w:val="auto"/>
                <w:sz w:val="21"/>
                <w:szCs w:val="21"/>
                <w:highlight w:val="none"/>
                <w:lang w:val="en-US" w:eastAsia="zh-CN"/>
              </w:rPr>
              <w:t>8</w:t>
            </w:r>
            <w:r>
              <w:rPr>
                <w:rFonts w:hint="eastAsia" w:ascii="Times New Roman" w:hAnsi="Times New Roman" w:eastAsia="宋体" w:cs="Times New Roman"/>
                <w:b/>
                <w:bCs/>
                <w:color w:val="auto"/>
                <w:sz w:val="21"/>
                <w:szCs w:val="21"/>
                <w:highlight w:val="none"/>
                <w:lang w:val="en-US" w:eastAsia="zh-CN"/>
              </w:rPr>
              <w:t>及生活污水W</w:t>
            </w:r>
            <w:r>
              <w:rPr>
                <w:rFonts w:hint="eastAsia" w:ascii="Times New Roman" w:hAnsi="Times New Roman" w:cs="Times New Roman"/>
                <w:b/>
                <w:bCs/>
                <w:color w:val="auto"/>
                <w:sz w:val="21"/>
                <w:szCs w:val="21"/>
                <w:highlight w:val="none"/>
                <w:lang w:val="en-US" w:eastAsia="zh-CN"/>
              </w:rPr>
              <w:t>9</w:t>
            </w:r>
            <w:r>
              <w:rPr>
                <w:rFonts w:hint="eastAsia" w:ascii="Times New Roman" w:hAnsi="Times New Roman" w:eastAsia="宋体" w:cs="Times New Roman"/>
                <w:b/>
                <w:bCs/>
                <w:color w:val="auto"/>
                <w:sz w:val="21"/>
                <w:szCs w:val="21"/>
                <w:highlight w:val="none"/>
                <w:lang w:val="en-US" w:eastAsia="zh-CN"/>
              </w:rPr>
              <w:t>；实验仪器、风机等设备运行产生的噪声N；纯水制备产生的废反渗透膜S1</w:t>
            </w:r>
            <w:r>
              <w:rPr>
                <w:rFonts w:hint="eastAsia" w:ascii="Times New Roman" w:hAnsi="Times New Roman" w:cs="Times New Roman"/>
                <w:b/>
                <w:bCs/>
                <w:color w:val="auto"/>
                <w:sz w:val="21"/>
                <w:szCs w:val="21"/>
                <w:highlight w:val="none"/>
                <w:lang w:val="en-US" w:eastAsia="zh-CN"/>
              </w:rPr>
              <w:t>、</w:t>
            </w:r>
            <w:r>
              <w:rPr>
                <w:rFonts w:hint="eastAsia" w:ascii="Times New Roman" w:hAnsi="Times New Roman" w:eastAsia="宋体" w:cs="Times New Roman"/>
                <w:b/>
                <w:bCs/>
                <w:color w:val="auto"/>
                <w:sz w:val="21"/>
                <w:szCs w:val="21"/>
                <w:highlight w:val="none"/>
                <w:lang w:val="en-US" w:eastAsia="zh-CN"/>
              </w:rPr>
              <w:t>实验过程过程中产生的废一般包装物S</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、未参与实验过程的剩余土样S</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bCs/>
                <w:color w:val="auto"/>
                <w:sz w:val="21"/>
                <w:szCs w:val="21"/>
                <w:highlight w:val="none"/>
                <w:lang w:val="en-US" w:eastAsia="zh-CN"/>
              </w:rPr>
              <w:t>、不含有毒有害物质的破损的玻璃器S</w:t>
            </w:r>
            <w:r>
              <w:rPr>
                <w:rFonts w:hint="eastAsia" w:ascii="Times New Roman" w:hAnsi="Times New Roman" w:cs="Times New Roman"/>
                <w:b/>
                <w:bCs/>
                <w:color w:val="auto"/>
                <w:sz w:val="21"/>
                <w:szCs w:val="21"/>
                <w:highlight w:val="none"/>
                <w:lang w:val="en-US" w:eastAsia="zh-CN"/>
              </w:rPr>
              <w:t>4</w:t>
            </w:r>
            <w:r>
              <w:rPr>
                <w:rFonts w:hint="eastAsia" w:ascii="Times New Roman" w:hAnsi="Times New Roman" w:eastAsia="宋体" w:cs="Times New Roman"/>
                <w:b/>
                <w:bCs/>
                <w:color w:val="auto"/>
                <w:sz w:val="21"/>
                <w:szCs w:val="21"/>
                <w:highlight w:val="none"/>
                <w:lang w:val="en-US" w:eastAsia="zh-CN"/>
              </w:rPr>
              <w:t>、实验废液S</w:t>
            </w:r>
            <w:r>
              <w:rPr>
                <w:rFonts w:hint="eastAsia" w:ascii="Times New Roman" w:hAnsi="Times New Roman" w:cs="Times New Roman"/>
                <w:b/>
                <w:bCs/>
                <w:color w:val="auto"/>
                <w:sz w:val="21"/>
                <w:szCs w:val="21"/>
                <w:highlight w:val="none"/>
                <w:lang w:val="en-US" w:eastAsia="zh-CN"/>
              </w:rPr>
              <w:t>5</w:t>
            </w:r>
            <w:r>
              <w:rPr>
                <w:rFonts w:hint="eastAsia" w:ascii="Times New Roman" w:hAnsi="Times New Roman" w:eastAsia="宋体" w:cs="Times New Roman"/>
                <w:b/>
                <w:bCs/>
                <w:color w:val="auto"/>
                <w:sz w:val="21"/>
                <w:szCs w:val="21"/>
                <w:highlight w:val="none"/>
                <w:lang w:val="en-US" w:eastAsia="zh-CN"/>
              </w:rPr>
              <w:t>、实验残渣及残留样品S</w:t>
            </w:r>
            <w:r>
              <w:rPr>
                <w:rFonts w:hint="eastAsia" w:ascii="Times New Roman" w:hAnsi="Times New Roman" w:cs="Times New Roman"/>
                <w:b/>
                <w:bCs/>
                <w:color w:val="auto"/>
                <w:sz w:val="21"/>
                <w:szCs w:val="21"/>
                <w:highlight w:val="none"/>
                <w:lang w:val="en-US" w:eastAsia="zh-CN"/>
              </w:rPr>
              <w:t>6</w:t>
            </w:r>
            <w:r>
              <w:rPr>
                <w:rFonts w:hint="eastAsia" w:ascii="Times New Roman" w:hAnsi="Times New Roman" w:eastAsia="宋体" w:cs="Times New Roman"/>
                <w:b/>
                <w:bCs/>
                <w:color w:val="auto"/>
                <w:sz w:val="21"/>
                <w:szCs w:val="21"/>
                <w:highlight w:val="none"/>
                <w:lang w:val="en-US" w:eastAsia="zh-CN"/>
              </w:rPr>
              <w:t>、过期试剂药品S</w:t>
            </w:r>
            <w:r>
              <w:rPr>
                <w:rFonts w:hint="eastAsia" w:ascii="Times New Roman" w:hAnsi="Times New Roman" w:cs="Times New Roman"/>
                <w:b/>
                <w:bCs/>
                <w:color w:val="auto"/>
                <w:sz w:val="21"/>
                <w:szCs w:val="21"/>
                <w:highlight w:val="none"/>
                <w:lang w:val="en-US" w:eastAsia="zh-CN"/>
              </w:rPr>
              <w:t>7</w:t>
            </w:r>
            <w:r>
              <w:rPr>
                <w:rFonts w:hint="eastAsia" w:ascii="Times New Roman" w:hAnsi="Times New Roman" w:eastAsia="宋体" w:cs="Times New Roman"/>
                <w:b/>
                <w:bCs/>
                <w:color w:val="auto"/>
                <w:sz w:val="21"/>
                <w:szCs w:val="21"/>
                <w:highlight w:val="none"/>
                <w:lang w:val="en-US" w:eastAsia="zh-CN"/>
              </w:rPr>
              <w:t>、废实验药品包装物S</w:t>
            </w:r>
            <w:r>
              <w:rPr>
                <w:rFonts w:hint="eastAsia" w:ascii="Times New Roman" w:hAnsi="Times New Roman" w:cs="Times New Roman"/>
                <w:b/>
                <w:bCs/>
                <w:color w:val="auto"/>
                <w:sz w:val="21"/>
                <w:szCs w:val="21"/>
                <w:highlight w:val="none"/>
                <w:lang w:val="en-US" w:eastAsia="zh-CN"/>
              </w:rPr>
              <w:t>8</w:t>
            </w:r>
            <w:r>
              <w:rPr>
                <w:rFonts w:hint="eastAsia" w:ascii="Times New Roman" w:hAnsi="Times New Roman" w:eastAsia="宋体" w:cs="Times New Roman"/>
                <w:b/>
                <w:bCs/>
                <w:color w:val="auto"/>
                <w:sz w:val="21"/>
                <w:szCs w:val="21"/>
                <w:highlight w:val="none"/>
                <w:lang w:val="en-US" w:eastAsia="zh-CN"/>
              </w:rPr>
              <w:t>、废弃的一次性实验用品S</w:t>
            </w:r>
            <w:r>
              <w:rPr>
                <w:rFonts w:hint="eastAsia" w:ascii="Times New Roman" w:hAnsi="Times New Roman" w:cs="Times New Roman"/>
                <w:b/>
                <w:bCs/>
                <w:color w:val="auto"/>
                <w:sz w:val="21"/>
                <w:szCs w:val="21"/>
                <w:highlight w:val="none"/>
                <w:lang w:val="en-US" w:eastAsia="zh-CN"/>
              </w:rPr>
              <w:t>9</w:t>
            </w:r>
            <w:r>
              <w:rPr>
                <w:rFonts w:hint="eastAsia" w:ascii="Times New Roman" w:hAnsi="Times New Roman" w:eastAsia="宋体" w:cs="Times New Roman"/>
                <w:b/>
                <w:bCs/>
                <w:color w:val="auto"/>
                <w:sz w:val="21"/>
                <w:szCs w:val="21"/>
                <w:highlight w:val="none"/>
                <w:lang w:val="en-US" w:eastAsia="zh-CN"/>
              </w:rPr>
              <w:t>、含有毒有害物质的废玻璃器皿及玻璃试剂S1</w:t>
            </w:r>
            <w:r>
              <w:rPr>
                <w:rFonts w:hint="eastAsia" w:ascii="Times New Roman" w:hAnsi="Times New Roman" w:cs="Times New Roman"/>
                <w:b/>
                <w:bCs/>
                <w:color w:val="auto"/>
                <w:sz w:val="21"/>
                <w:szCs w:val="21"/>
                <w:highlight w:val="none"/>
                <w:lang w:val="en-US" w:eastAsia="zh-CN"/>
              </w:rPr>
              <w:t>0</w:t>
            </w:r>
            <w:r>
              <w:rPr>
                <w:rFonts w:hint="eastAsia" w:ascii="Times New Roman" w:hAnsi="Times New Roman" w:eastAsia="宋体" w:cs="Times New Roman"/>
                <w:b/>
                <w:bCs/>
                <w:color w:val="auto"/>
                <w:sz w:val="21"/>
                <w:szCs w:val="21"/>
                <w:highlight w:val="none"/>
                <w:lang w:val="en-US" w:eastAsia="zh-CN"/>
              </w:rPr>
              <w:t>，</w:t>
            </w:r>
            <w:r>
              <w:rPr>
                <w:rFonts w:hint="eastAsia" w:ascii="Times New Roman" w:hAnsi="Times New Roman" w:cs="Times New Roman"/>
                <w:b/>
                <w:bCs/>
                <w:color w:val="auto"/>
                <w:sz w:val="21"/>
                <w:szCs w:val="21"/>
                <w:highlight w:val="none"/>
                <w:lang w:val="en-US" w:eastAsia="zh-CN"/>
              </w:rPr>
              <w:t>活性炭吸附装置</w:t>
            </w:r>
            <w:r>
              <w:rPr>
                <w:rFonts w:hint="eastAsia" w:ascii="Times New Roman" w:hAnsi="Times New Roman" w:eastAsia="宋体" w:cs="Times New Roman"/>
                <w:b/>
                <w:bCs/>
                <w:color w:val="auto"/>
                <w:sz w:val="21"/>
                <w:szCs w:val="21"/>
                <w:highlight w:val="none"/>
                <w:lang w:val="en-US" w:eastAsia="zh-CN"/>
              </w:rPr>
              <w:t>产生的废活性炭S1</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bCs/>
                <w:color w:val="auto"/>
                <w:sz w:val="21"/>
                <w:szCs w:val="21"/>
                <w:highlight w:val="none"/>
                <w:lang w:val="en-US" w:eastAsia="zh-CN"/>
              </w:rPr>
              <w:t>及职工生活产生的生活垃圾S1</w:t>
            </w:r>
            <w:r>
              <w:rPr>
                <w:rFonts w:hint="eastAsia" w:ascii="Times New Roman" w:hAnsi="Times New Roman"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w:t>
            </w:r>
          </w:p>
          <w:p w14:paraId="521C74BE">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11</w:t>
            </w:r>
            <w:r>
              <w:rPr>
                <w:rFonts w:hint="eastAsia" w:ascii="Times New Roman" w:hAnsi="Times New Roman"/>
                <w:b/>
                <w:color w:val="auto"/>
                <w:sz w:val="21"/>
                <w:szCs w:val="21"/>
                <w:highlight w:val="none"/>
              </w:rPr>
              <w:t xml:space="preserve"> 项目污染源及污染防治措施一览表</w:t>
            </w:r>
          </w:p>
          <w:tbl>
            <w:tblPr>
              <w:tblStyle w:val="26"/>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12"/>
              <w:gridCol w:w="543"/>
              <w:gridCol w:w="492"/>
              <w:gridCol w:w="1115"/>
              <w:gridCol w:w="1247"/>
              <w:gridCol w:w="2892"/>
              <w:gridCol w:w="837"/>
            </w:tblGrid>
            <w:tr w14:paraId="7C9E93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5" w:hRule="atLeast"/>
                <w:jc w:val="center"/>
              </w:trPr>
              <w:tc>
                <w:tcPr>
                  <w:tcW w:w="511" w:type="pct"/>
                  <w:tcBorders>
                    <w:tl2br w:val="nil"/>
                    <w:tr2bl w:val="nil"/>
                  </w:tcBorders>
                  <w:vAlign w:val="center"/>
                </w:tcPr>
                <w:p w14:paraId="6208B0FB">
                  <w:pPr>
                    <w:jc w:val="center"/>
                    <w:rPr>
                      <w:color w:val="auto"/>
                      <w:spacing w:val="-10"/>
                      <w:sz w:val="18"/>
                      <w:szCs w:val="18"/>
                      <w:highlight w:val="none"/>
                    </w:rPr>
                  </w:pPr>
                  <w:r>
                    <w:rPr>
                      <w:rFonts w:hint="eastAsia"/>
                      <w:color w:val="auto"/>
                      <w:spacing w:val="-10"/>
                      <w:sz w:val="18"/>
                      <w:szCs w:val="18"/>
                      <w:highlight w:val="none"/>
                    </w:rPr>
                    <w:t>污染类别</w:t>
                  </w:r>
                </w:p>
              </w:tc>
              <w:tc>
                <w:tcPr>
                  <w:tcW w:w="342" w:type="pct"/>
                  <w:tcBorders>
                    <w:tl2br w:val="nil"/>
                    <w:tr2bl w:val="nil"/>
                  </w:tcBorders>
                  <w:vAlign w:val="center"/>
                </w:tcPr>
                <w:p w14:paraId="58B397EA">
                  <w:pPr>
                    <w:jc w:val="center"/>
                    <w:rPr>
                      <w:color w:val="auto"/>
                      <w:spacing w:val="-10"/>
                      <w:sz w:val="18"/>
                      <w:szCs w:val="18"/>
                      <w:highlight w:val="none"/>
                    </w:rPr>
                  </w:pPr>
                  <w:r>
                    <w:rPr>
                      <w:rFonts w:hint="eastAsia"/>
                      <w:color w:val="auto"/>
                      <w:spacing w:val="-10"/>
                      <w:sz w:val="18"/>
                      <w:szCs w:val="18"/>
                      <w:highlight w:val="none"/>
                    </w:rPr>
                    <w:t>序号</w:t>
                  </w:r>
                </w:p>
              </w:tc>
              <w:tc>
                <w:tcPr>
                  <w:tcW w:w="1012" w:type="pct"/>
                  <w:gridSpan w:val="2"/>
                  <w:tcBorders>
                    <w:tl2br w:val="nil"/>
                    <w:tr2bl w:val="nil"/>
                  </w:tcBorders>
                  <w:vAlign w:val="center"/>
                </w:tcPr>
                <w:p w14:paraId="6A91AFAC">
                  <w:pPr>
                    <w:jc w:val="center"/>
                    <w:rPr>
                      <w:color w:val="auto"/>
                      <w:spacing w:val="-10"/>
                      <w:sz w:val="18"/>
                      <w:szCs w:val="18"/>
                      <w:highlight w:val="none"/>
                    </w:rPr>
                  </w:pPr>
                  <w:r>
                    <w:rPr>
                      <w:rFonts w:hint="eastAsia"/>
                      <w:color w:val="auto"/>
                      <w:spacing w:val="-10"/>
                      <w:sz w:val="18"/>
                      <w:szCs w:val="18"/>
                      <w:highlight w:val="none"/>
                    </w:rPr>
                    <w:t>污染源</w:t>
                  </w:r>
                </w:p>
              </w:tc>
              <w:tc>
                <w:tcPr>
                  <w:tcW w:w="785" w:type="pct"/>
                  <w:tcBorders>
                    <w:tl2br w:val="nil"/>
                    <w:tr2bl w:val="nil"/>
                  </w:tcBorders>
                  <w:vAlign w:val="center"/>
                </w:tcPr>
                <w:p w14:paraId="7842C14E">
                  <w:pPr>
                    <w:jc w:val="center"/>
                    <w:rPr>
                      <w:color w:val="auto"/>
                      <w:spacing w:val="-10"/>
                      <w:sz w:val="18"/>
                      <w:szCs w:val="18"/>
                      <w:highlight w:val="none"/>
                    </w:rPr>
                  </w:pPr>
                  <w:r>
                    <w:rPr>
                      <w:rFonts w:hint="eastAsia"/>
                      <w:color w:val="auto"/>
                      <w:spacing w:val="-10"/>
                      <w:sz w:val="18"/>
                      <w:szCs w:val="18"/>
                      <w:highlight w:val="none"/>
                    </w:rPr>
                    <w:t>污染因子</w:t>
                  </w:r>
                </w:p>
              </w:tc>
              <w:tc>
                <w:tcPr>
                  <w:tcW w:w="1821" w:type="pct"/>
                  <w:tcBorders>
                    <w:tl2br w:val="nil"/>
                    <w:tr2bl w:val="nil"/>
                  </w:tcBorders>
                  <w:vAlign w:val="center"/>
                </w:tcPr>
                <w:p w14:paraId="7E4ECE9C">
                  <w:pPr>
                    <w:jc w:val="center"/>
                    <w:rPr>
                      <w:color w:val="auto"/>
                      <w:spacing w:val="-10"/>
                      <w:sz w:val="18"/>
                      <w:szCs w:val="18"/>
                      <w:highlight w:val="none"/>
                    </w:rPr>
                  </w:pPr>
                  <w:r>
                    <w:rPr>
                      <w:rFonts w:hint="eastAsia"/>
                      <w:color w:val="auto"/>
                      <w:spacing w:val="-10"/>
                      <w:sz w:val="18"/>
                      <w:szCs w:val="18"/>
                      <w:highlight w:val="none"/>
                    </w:rPr>
                    <w:t>治理措施</w:t>
                  </w:r>
                </w:p>
              </w:tc>
              <w:tc>
                <w:tcPr>
                  <w:tcW w:w="527" w:type="pct"/>
                  <w:tcBorders>
                    <w:tl2br w:val="nil"/>
                    <w:tr2bl w:val="nil"/>
                  </w:tcBorders>
                  <w:vAlign w:val="center"/>
                </w:tcPr>
                <w:p w14:paraId="62F13A26">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排放去向</w:t>
                  </w:r>
                </w:p>
              </w:tc>
            </w:tr>
            <w:tr w14:paraId="2BB846B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511" w:type="pct"/>
                  <w:vMerge w:val="restart"/>
                  <w:tcBorders>
                    <w:tl2br w:val="nil"/>
                    <w:tr2bl w:val="nil"/>
                  </w:tcBorders>
                  <w:vAlign w:val="center"/>
                </w:tcPr>
                <w:p w14:paraId="49450D9E">
                  <w:pPr>
                    <w:jc w:val="center"/>
                    <w:rPr>
                      <w:rFonts w:hint="eastAsia" w:eastAsia="宋体"/>
                      <w:color w:val="auto"/>
                      <w:spacing w:val="-10"/>
                      <w:sz w:val="18"/>
                      <w:szCs w:val="18"/>
                      <w:highlight w:val="none"/>
                      <w:lang w:val="en-US" w:eastAsia="zh-CN"/>
                    </w:rPr>
                  </w:pPr>
                  <w:r>
                    <w:rPr>
                      <w:rFonts w:hint="eastAsia"/>
                      <w:color w:val="auto"/>
                      <w:spacing w:val="-10"/>
                      <w:sz w:val="18"/>
                      <w:szCs w:val="18"/>
                      <w:highlight w:val="none"/>
                      <w:lang w:val="en-US" w:eastAsia="zh-CN"/>
                    </w:rPr>
                    <w:t>废气</w:t>
                  </w:r>
                </w:p>
              </w:tc>
              <w:tc>
                <w:tcPr>
                  <w:tcW w:w="342" w:type="pct"/>
                  <w:tcBorders>
                    <w:tl2br w:val="nil"/>
                    <w:tr2bl w:val="nil"/>
                  </w:tcBorders>
                  <w:shd w:val="clear" w:color="auto" w:fill="auto"/>
                  <w:vAlign w:val="center"/>
                </w:tcPr>
                <w:p w14:paraId="23539267">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G</w:t>
                  </w:r>
                  <w:r>
                    <w:rPr>
                      <w:rFonts w:hint="eastAsia"/>
                      <w:color w:val="auto"/>
                      <w:spacing w:val="-10"/>
                      <w:sz w:val="18"/>
                      <w:szCs w:val="18"/>
                      <w:highlight w:val="none"/>
                      <w:lang w:val="en-US" w:eastAsia="zh-CN"/>
                    </w:rPr>
                    <w:t>1</w:t>
                  </w:r>
                </w:p>
              </w:tc>
              <w:tc>
                <w:tcPr>
                  <w:tcW w:w="309" w:type="pct"/>
                  <w:vMerge w:val="restart"/>
                  <w:tcBorders>
                    <w:tl2br w:val="nil"/>
                    <w:tr2bl w:val="nil"/>
                  </w:tcBorders>
                  <w:shd w:val="clear" w:color="auto" w:fill="auto"/>
                  <w:vAlign w:val="center"/>
                </w:tcPr>
                <w:p w14:paraId="06C9630F">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有组织</w:t>
                  </w:r>
                </w:p>
              </w:tc>
              <w:tc>
                <w:tcPr>
                  <w:tcW w:w="702" w:type="pct"/>
                  <w:tcBorders>
                    <w:tl2br w:val="nil"/>
                    <w:tr2bl w:val="nil"/>
                  </w:tcBorders>
                  <w:shd w:val="clear" w:color="auto" w:fill="auto"/>
                  <w:vAlign w:val="center"/>
                </w:tcPr>
                <w:p w14:paraId="4EC47D1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无机处理及实验过程废气</w:t>
                  </w:r>
                </w:p>
              </w:tc>
              <w:tc>
                <w:tcPr>
                  <w:tcW w:w="785" w:type="pct"/>
                  <w:tcBorders>
                    <w:tl2br w:val="nil"/>
                    <w:tr2bl w:val="nil"/>
                  </w:tcBorders>
                  <w:shd w:val="clear" w:color="auto" w:fill="auto"/>
                  <w:vAlign w:val="center"/>
                </w:tcPr>
                <w:p w14:paraId="13FB39C6">
                  <w:pPr>
                    <w:tabs>
                      <w:tab w:val="left" w:pos="272"/>
                    </w:tabs>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氯化氢、硫酸雾</w:t>
                  </w:r>
                </w:p>
              </w:tc>
              <w:tc>
                <w:tcPr>
                  <w:tcW w:w="1821" w:type="pct"/>
                  <w:vMerge w:val="restart"/>
                  <w:tcBorders>
                    <w:tl2br w:val="nil"/>
                    <w:tr2bl w:val="nil"/>
                  </w:tcBorders>
                  <w:vAlign w:val="center"/>
                </w:tcPr>
                <w:p w14:paraId="17088A4B">
                  <w:pPr>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经通风橱及万向罩收集后，经1套二级活性炭吸附装置处理后，通过20m高排放气筒排放</w:t>
                  </w:r>
                </w:p>
              </w:tc>
              <w:tc>
                <w:tcPr>
                  <w:tcW w:w="527" w:type="pct"/>
                  <w:vMerge w:val="restart"/>
                  <w:tcBorders>
                    <w:tl2br w:val="nil"/>
                    <w:tr2bl w:val="nil"/>
                  </w:tcBorders>
                  <w:vAlign w:val="center"/>
                </w:tcPr>
                <w:p w14:paraId="30725314">
                  <w:pPr>
                    <w:jc w:val="center"/>
                    <w:rPr>
                      <w:rFonts w:hint="default"/>
                      <w:color w:val="auto"/>
                      <w:spacing w:val="-10"/>
                      <w:sz w:val="18"/>
                      <w:szCs w:val="18"/>
                      <w:highlight w:val="none"/>
                      <w:lang w:val="en-US" w:eastAsia="zh-CN"/>
                    </w:rPr>
                  </w:pPr>
                  <w:r>
                    <w:rPr>
                      <w:rFonts w:hint="eastAsia"/>
                      <w:color w:val="auto"/>
                      <w:spacing w:val="-10"/>
                      <w:sz w:val="18"/>
                      <w:szCs w:val="18"/>
                      <w:highlight w:val="none"/>
                      <w:lang w:val="en-US" w:eastAsia="zh-CN"/>
                    </w:rPr>
                    <w:t>大气环境</w:t>
                  </w:r>
                </w:p>
              </w:tc>
            </w:tr>
            <w:tr w14:paraId="305294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511" w:type="pct"/>
                  <w:vMerge w:val="continue"/>
                  <w:tcBorders>
                    <w:tl2br w:val="nil"/>
                    <w:tr2bl w:val="nil"/>
                  </w:tcBorders>
                  <w:vAlign w:val="center"/>
                </w:tcPr>
                <w:p w14:paraId="380D6562">
                  <w:pPr>
                    <w:jc w:val="center"/>
                    <w:rPr>
                      <w:rFonts w:hint="eastAsia"/>
                      <w:color w:val="auto"/>
                      <w:spacing w:val="-10"/>
                      <w:sz w:val="18"/>
                      <w:szCs w:val="18"/>
                      <w:highlight w:val="none"/>
                    </w:rPr>
                  </w:pPr>
                </w:p>
              </w:tc>
              <w:tc>
                <w:tcPr>
                  <w:tcW w:w="342" w:type="pct"/>
                  <w:tcBorders>
                    <w:tl2br w:val="nil"/>
                    <w:tr2bl w:val="nil"/>
                  </w:tcBorders>
                  <w:vAlign w:val="center"/>
                </w:tcPr>
                <w:p w14:paraId="4AD04279">
                  <w:pPr>
                    <w:jc w:val="center"/>
                    <w:rPr>
                      <w:rFonts w:hint="eastAsia"/>
                      <w:color w:val="auto"/>
                      <w:spacing w:val="-10"/>
                      <w:sz w:val="18"/>
                      <w:szCs w:val="18"/>
                      <w:highlight w:val="none"/>
                    </w:rPr>
                  </w:pPr>
                  <w:r>
                    <w:rPr>
                      <w:rFonts w:hint="eastAsia"/>
                      <w:color w:val="auto"/>
                      <w:spacing w:val="-10"/>
                      <w:sz w:val="18"/>
                      <w:szCs w:val="18"/>
                      <w:highlight w:val="none"/>
                    </w:rPr>
                    <w:t>G</w:t>
                  </w:r>
                  <w:r>
                    <w:rPr>
                      <w:rFonts w:hint="eastAsia"/>
                      <w:color w:val="auto"/>
                      <w:spacing w:val="-10"/>
                      <w:sz w:val="18"/>
                      <w:szCs w:val="18"/>
                      <w:highlight w:val="none"/>
                      <w:lang w:val="en-US" w:eastAsia="zh-CN"/>
                    </w:rPr>
                    <w:t>2</w:t>
                  </w:r>
                </w:p>
              </w:tc>
              <w:tc>
                <w:tcPr>
                  <w:tcW w:w="309" w:type="pct"/>
                  <w:vMerge w:val="continue"/>
                  <w:tcBorders>
                    <w:tl2br w:val="nil"/>
                    <w:tr2bl w:val="nil"/>
                  </w:tcBorders>
                  <w:vAlign w:val="center"/>
                </w:tcPr>
                <w:p w14:paraId="3AEF5673">
                  <w:pPr>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702" w:type="pct"/>
                  <w:tcBorders>
                    <w:tl2br w:val="nil"/>
                    <w:tr2bl w:val="nil"/>
                  </w:tcBorders>
                  <w:shd w:val="clear" w:color="auto" w:fill="auto"/>
                  <w:vAlign w:val="center"/>
                </w:tcPr>
                <w:p w14:paraId="6AF7210F">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有机处理及实验过程废气</w:t>
                  </w:r>
                </w:p>
              </w:tc>
              <w:tc>
                <w:tcPr>
                  <w:tcW w:w="785" w:type="pct"/>
                  <w:tcBorders>
                    <w:tl2br w:val="nil"/>
                    <w:tr2bl w:val="nil"/>
                  </w:tcBorders>
                  <w:vAlign w:val="center"/>
                </w:tcPr>
                <w:p w14:paraId="65FAAA26">
                  <w:pPr>
                    <w:tabs>
                      <w:tab w:val="left" w:pos="272"/>
                    </w:tabs>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非甲烷总烃</w:t>
                  </w:r>
                </w:p>
              </w:tc>
              <w:tc>
                <w:tcPr>
                  <w:tcW w:w="1821" w:type="pct"/>
                  <w:vMerge w:val="continue"/>
                  <w:tcBorders>
                    <w:tl2br w:val="nil"/>
                    <w:tr2bl w:val="nil"/>
                  </w:tcBorders>
                  <w:vAlign w:val="center"/>
                </w:tcPr>
                <w:p w14:paraId="299A8A99">
                  <w:pPr>
                    <w:jc w:val="center"/>
                    <w:rPr>
                      <w:rFonts w:hint="eastAsia" w:ascii="Times New Roman" w:hAnsi="Times New Roman"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4AFCF9AC">
                  <w:pPr>
                    <w:jc w:val="center"/>
                    <w:rPr>
                      <w:rFonts w:hint="eastAsia"/>
                      <w:color w:val="auto"/>
                      <w:spacing w:val="-10"/>
                      <w:sz w:val="18"/>
                      <w:szCs w:val="18"/>
                      <w:highlight w:val="none"/>
                      <w:lang w:val="en-US" w:eastAsia="zh-CN"/>
                    </w:rPr>
                  </w:pPr>
                </w:p>
              </w:tc>
            </w:tr>
            <w:tr w14:paraId="061566D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07" w:hRule="atLeast"/>
                <w:jc w:val="center"/>
              </w:trPr>
              <w:tc>
                <w:tcPr>
                  <w:tcW w:w="511" w:type="pct"/>
                  <w:vMerge w:val="continue"/>
                  <w:tcBorders>
                    <w:tl2br w:val="nil"/>
                    <w:tr2bl w:val="nil"/>
                  </w:tcBorders>
                  <w:vAlign w:val="center"/>
                </w:tcPr>
                <w:p w14:paraId="1CA25526">
                  <w:pPr>
                    <w:jc w:val="center"/>
                    <w:rPr>
                      <w:rFonts w:hint="eastAsia"/>
                      <w:color w:val="auto"/>
                      <w:spacing w:val="-10"/>
                      <w:sz w:val="18"/>
                      <w:szCs w:val="18"/>
                      <w:highlight w:val="none"/>
                    </w:rPr>
                  </w:pPr>
                </w:p>
              </w:tc>
              <w:tc>
                <w:tcPr>
                  <w:tcW w:w="342" w:type="pct"/>
                  <w:tcBorders>
                    <w:tl2br w:val="nil"/>
                    <w:tr2bl w:val="nil"/>
                  </w:tcBorders>
                  <w:vAlign w:val="center"/>
                </w:tcPr>
                <w:p w14:paraId="027C683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G</w:t>
                  </w:r>
                  <w:r>
                    <w:rPr>
                      <w:rFonts w:hint="eastAsia"/>
                      <w:color w:val="auto"/>
                      <w:spacing w:val="-10"/>
                      <w:sz w:val="18"/>
                      <w:szCs w:val="18"/>
                      <w:highlight w:val="none"/>
                      <w:lang w:val="en-US" w:eastAsia="zh-CN"/>
                    </w:rPr>
                    <w:t>3</w:t>
                  </w:r>
                </w:p>
              </w:tc>
              <w:tc>
                <w:tcPr>
                  <w:tcW w:w="309" w:type="pct"/>
                  <w:vMerge w:val="restart"/>
                  <w:tcBorders>
                    <w:tl2br w:val="nil"/>
                    <w:tr2bl w:val="nil"/>
                  </w:tcBorders>
                  <w:vAlign w:val="center"/>
                </w:tcPr>
                <w:p w14:paraId="0D726700">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无组织</w:t>
                  </w:r>
                </w:p>
              </w:tc>
              <w:tc>
                <w:tcPr>
                  <w:tcW w:w="702" w:type="pct"/>
                  <w:tcBorders>
                    <w:tl2br w:val="nil"/>
                    <w:tr2bl w:val="nil"/>
                  </w:tcBorders>
                  <w:vAlign w:val="center"/>
                </w:tcPr>
                <w:p w14:paraId="4DC41244">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土壤破碎、研磨</w:t>
                  </w:r>
                </w:p>
              </w:tc>
              <w:tc>
                <w:tcPr>
                  <w:tcW w:w="785" w:type="pct"/>
                  <w:tcBorders>
                    <w:tl2br w:val="nil"/>
                    <w:tr2bl w:val="nil"/>
                  </w:tcBorders>
                  <w:vAlign w:val="center"/>
                </w:tcPr>
                <w:p w14:paraId="309915DC">
                  <w:pPr>
                    <w:tabs>
                      <w:tab w:val="left" w:pos="272"/>
                    </w:tabs>
                    <w:jc w:val="center"/>
                    <w:rPr>
                      <w:rFonts w:hint="eastAsia" w:cs="Times New Roman"/>
                      <w:color w:val="auto"/>
                      <w:spacing w:val="-10"/>
                      <w:sz w:val="18"/>
                      <w:szCs w:val="18"/>
                      <w:highlight w:val="none"/>
                      <w:lang w:val="en-US" w:eastAsia="zh-CN"/>
                    </w:rPr>
                  </w:pPr>
                  <w:r>
                    <w:rPr>
                      <w:rFonts w:hint="eastAsia" w:cs="Times New Roman"/>
                      <w:color w:val="auto"/>
                      <w:spacing w:val="-10"/>
                      <w:kern w:val="2"/>
                      <w:sz w:val="18"/>
                      <w:szCs w:val="18"/>
                      <w:highlight w:val="none"/>
                      <w:lang w:val="en-US" w:eastAsia="zh-CN" w:bidi="ar-SA"/>
                    </w:rPr>
                    <w:t>颗粒物</w:t>
                  </w:r>
                </w:p>
              </w:tc>
              <w:tc>
                <w:tcPr>
                  <w:tcW w:w="1821" w:type="pct"/>
                  <w:tcBorders>
                    <w:tl2br w:val="nil"/>
                    <w:tr2bl w:val="nil"/>
                  </w:tcBorders>
                  <w:vAlign w:val="center"/>
                </w:tcPr>
                <w:p w14:paraId="423B2692">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w:t>
                  </w:r>
                  <w:r>
                    <w:rPr>
                      <w:rFonts w:hint="eastAsia" w:cs="Times New Roman"/>
                      <w:color w:val="auto"/>
                      <w:spacing w:val="-10"/>
                      <w:sz w:val="18"/>
                      <w:szCs w:val="18"/>
                      <w:highlight w:val="none"/>
                      <w:lang w:val="en-US" w:eastAsia="zh-CN"/>
                    </w:rPr>
                    <w:t>颗粒物经沉降后无无组织排放</w:t>
                  </w:r>
                </w:p>
              </w:tc>
              <w:tc>
                <w:tcPr>
                  <w:tcW w:w="527" w:type="pct"/>
                  <w:vMerge w:val="continue"/>
                  <w:tcBorders>
                    <w:tl2br w:val="nil"/>
                    <w:tr2bl w:val="nil"/>
                  </w:tcBorders>
                  <w:vAlign w:val="center"/>
                </w:tcPr>
                <w:p w14:paraId="70CCEE3B">
                  <w:pPr>
                    <w:jc w:val="center"/>
                    <w:rPr>
                      <w:rFonts w:hint="eastAsia"/>
                      <w:color w:val="auto"/>
                      <w:spacing w:val="-10"/>
                      <w:sz w:val="18"/>
                      <w:szCs w:val="18"/>
                      <w:highlight w:val="none"/>
                    </w:rPr>
                  </w:pPr>
                </w:p>
              </w:tc>
            </w:tr>
            <w:tr w14:paraId="265524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9" w:hRule="atLeast"/>
                <w:jc w:val="center"/>
              </w:trPr>
              <w:tc>
                <w:tcPr>
                  <w:tcW w:w="511" w:type="pct"/>
                  <w:vMerge w:val="continue"/>
                  <w:tcBorders>
                    <w:tl2br w:val="nil"/>
                    <w:tr2bl w:val="nil"/>
                  </w:tcBorders>
                  <w:vAlign w:val="center"/>
                </w:tcPr>
                <w:p w14:paraId="17FCBB8B">
                  <w:pPr>
                    <w:jc w:val="center"/>
                    <w:rPr>
                      <w:rFonts w:hint="eastAsia"/>
                      <w:color w:val="auto"/>
                      <w:spacing w:val="-10"/>
                      <w:sz w:val="18"/>
                      <w:szCs w:val="18"/>
                      <w:highlight w:val="none"/>
                    </w:rPr>
                  </w:pPr>
                </w:p>
              </w:tc>
              <w:tc>
                <w:tcPr>
                  <w:tcW w:w="342" w:type="pct"/>
                  <w:tcBorders>
                    <w:tl2br w:val="nil"/>
                    <w:tr2bl w:val="nil"/>
                  </w:tcBorders>
                  <w:vAlign w:val="center"/>
                </w:tcPr>
                <w:p w14:paraId="5977BC97">
                  <w:pPr>
                    <w:jc w:val="center"/>
                    <w:rPr>
                      <w:rFonts w:hint="eastAsia"/>
                      <w:color w:val="auto"/>
                      <w:spacing w:val="-10"/>
                      <w:sz w:val="18"/>
                      <w:szCs w:val="18"/>
                      <w:highlight w:val="none"/>
                    </w:rPr>
                  </w:pPr>
                  <w:r>
                    <w:rPr>
                      <w:rFonts w:hint="eastAsia"/>
                      <w:color w:val="auto"/>
                      <w:spacing w:val="-10"/>
                      <w:sz w:val="18"/>
                      <w:szCs w:val="18"/>
                      <w:highlight w:val="none"/>
                    </w:rPr>
                    <w:t>G</w:t>
                  </w:r>
                  <w:r>
                    <w:rPr>
                      <w:rFonts w:hint="eastAsia"/>
                      <w:color w:val="auto"/>
                      <w:spacing w:val="-10"/>
                      <w:sz w:val="18"/>
                      <w:szCs w:val="18"/>
                      <w:highlight w:val="none"/>
                      <w:lang w:val="en-US" w:eastAsia="zh-CN"/>
                    </w:rPr>
                    <w:t>4</w:t>
                  </w:r>
                </w:p>
              </w:tc>
              <w:tc>
                <w:tcPr>
                  <w:tcW w:w="309" w:type="pct"/>
                  <w:vMerge w:val="continue"/>
                  <w:tcBorders>
                    <w:tl2br w:val="nil"/>
                    <w:tr2bl w:val="nil"/>
                  </w:tcBorders>
                  <w:vAlign w:val="center"/>
                </w:tcPr>
                <w:p w14:paraId="124431EF">
                  <w:pPr>
                    <w:jc w:val="center"/>
                    <w:rPr>
                      <w:rFonts w:hint="eastAsia" w:cs="Times New Roman"/>
                      <w:color w:val="auto"/>
                      <w:spacing w:val="-10"/>
                      <w:sz w:val="18"/>
                      <w:szCs w:val="18"/>
                      <w:highlight w:val="none"/>
                      <w:lang w:val="en-US" w:eastAsia="zh-CN"/>
                    </w:rPr>
                  </w:pPr>
                </w:p>
              </w:tc>
              <w:tc>
                <w:tcPr>
                  <w:tcW w:w="702" w:type="pct"/>
                  <w:tcBorders>
                    <w:tl2br w:val="nil"/>
                    <w:tr2bl w:val="nil"/>
                  </w:tcBorders>
                  <w:vAlign w:val="center"/>
                </w:tcPr>
                <w:p w14:paraId="479E8D38">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受捕集效率影响未被收集的</w:t>
                  </w:r>
                </w:p>
              </w:tc>
              <w:tc>
                <w:tcPr>
                  <w:tcW w:w="785" w:type="pct"/>
                  <w:tcBorders>
                    <w:tl2br w:val="nil"/>
                    <w:tr2bl w:val="nil"/>
                  </w:tcBorders>
                  <w:vAlign w:val="center"/>
                </w:tcPr>
                <w:p w14:paraId="3B4259DA">
                  <w:pPr>
                    <w:tabs>
                      <w:tab w:val="left" w:pos="272"/>
                    </w:tabs>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氯化氢、硫酸雾、</w:t>
                  </w:r>
                  <w:r>
                    <w:rPr>
                      <w:rFonts w:hint="eastAsia" w:cs="Times New Roman"/>
                      <w:color w:val="auto"/>
                      <w:spacing w:val="-10"/>
                      <w:sz w:val="18"/>
                      <w:szCs w:val="18"/>
                      <w:highlight w:val="none"/>
                      <w:lang w:val="en-US" w:eastAsia="zh-CN"/>
                    </w:rPr>
                    <w:t>非甲烷总烃</w:t>
                  </w:r>
                </w:p>
              </w:tc>
              <w:tc>
                <w:tcPr>
                  <w:tcW w:w="1821" w:type="pct"/>
                  <w:tcBorders>
                    <w:tl2br w:val="nil"/>
                    <w:tr2bl w:val="nil"/>
                  </w:tcBorders>
                  <w:vAlign w:val="center"/>
                </w:tcPr>
                <w:p w14:paraId="30B9933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规范操作，加强有组织收集</w:t>
                  </w:r>
                </w:p>
              </w:tc>
              <w:tc>
                <w:tcPr>
                  <w:tcW w:w="527" w:type="pct"/>
                  <w:vMerge w:val="continue"/>
                  <w:tcBorders>
                    <w:tl2br w:val="nil"/>
                    <w:tr2bl w:val="nil"/>
                  </w:tcBorders>
                  <w:vAlign w:val="center"/>
                </w:tcPr>
                <w:p w14:paraId="69A0C4EF">
                  <w:pPr>
                    <w:jc w:val="center"/>
                    <w:rPr>
                      <w:rFonts w:hint="eastAsia"/>
                      <w:color w:val="auto"/>
                      <w:spacing w:val="-10"/>
                      <w:sz w:val="18"/>
                      <w:szCs w:val="18"/>
                      <w:highlight w:val="none"/>
                    </w:rPr>
                  </w:pPr>
                </w:p>
              </w:tc>
            </w:tr>
            <w:tr w14:paraId="13EF3B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restart"/>
                  <w:tcBorders>
                    <w:tl2br w:val="nil"/>
                    <w:tr2bl w:val="nil"/>
                  </w:tcBorders>
                  <w:vAlign w:val="center"/>
                </w:tcPr>
                <w:p w14:paraId="4C9FADAF">
                  <w:pPr>
                    <w:jc w:val="center"/>
                    <w:rPr>
                      <w:rFonts w:hint="eastAsia"/>
                      <w:color w:val="auto"/>
                      <w:spacing w:val="-10"/>
                      <w:sz w:val="18"/>
                      <w:szCs w:val="18"/>
                      <w:highlight w:val="none"/>
                    </w:rPr>
                  </w:pPr>
                  <w:r>
                    <w:rPr>
                      <w:rFonts w:hint="eastAsia"/>
                      <w:color w:val="auto"/>
                      <w:spacing w:val="-10"/>
                      <w:sz w:val="18"/>
                      <w:szCs w:val="18"/>
                      <w:highlight w:val="none"/>
                    </w:rPr>
                    <w:t>废水</w:t>
                  </w:r>
                </w:p>
              </w:tc>
              <w:tc>
                <w:tcPr>
                  <w:tcW w:w="342" w:type="pct"/>
                  <w:tcBorders>
                    <w:tl2br w:val="nil"/>
                    <w:tr2bl w:val="nil"/>
                  </w:tcBorders>
                  <w:shd w:val="clear" w:color="auto" w:fill="auto"/>
                  <w:vAlign w:val="center"/>
                </w:tcPr>
                <w:p w14:paraId="706564D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1</w:t>
                  </w:r>
                </w:p>
              </w:tc>
              <w:tc>
                <w:tcPr>
                  <w:tcW w:w="1012" w:type="pct"/>
                  <w:gridSpan w:val="2"/>
                  <w:tcBorders>
                    <w:tl2br w:val="nil"/>
                    <w:tr2bl w:val="nil"/>
                  </w:tcBorders>
                  <w:vAlign w:val="center"/>
                </w:tcPr>
                <w:p w14:paraId="2B0FB8CC">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器皿后续清洗废水</w:t>
                  </w:r>
                </w:p>
              </w:tc>
              <w:tc>
                <w:tcPr>
                  <w:tcW w:w="785" w:type="pct"/>
                  <w:vMerge w:val="restart"/>
                  <w:tcBorders>
                    <w:tl2br w:val="nil"/>
                    <w:tr2bl w:val="nil"/>
                  </w:tcBorders>
                  <w:shd w:val="clear" w:color="auto" w:fill="auto"/>
                  <w:vAlign w:val="center"/>
                </w:tcPr>
                <w:p w14:paraId="16F7E97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、总磷</w:t>
                  </w:r>
                </w:p>
              </w:tc>
              <w:tc>
                <w:tcPr>
                  <w:tcW w:w="1821" w:type="pct"/>
                  <w:vMerge w:val="restart"/>
                  <w:tcBorders>
                    <w:tl2br w:val="nil"/>
                    <w:tr2bl w:val="nil"/>
                  </w:tcBorders>
                  <w:shd w:val="clear" w:color="auto" w:fill="auto"/>
                  <w:vAlign w:val="center"/>
                </w:tcPr>
                <w:p w14:paraId="79BE057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器皿后续清洗废水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器皿纯水清洗废水</w:t>
                  </w:r>
                  <w:r>
                    <w:rPr>
                      <w:rFonts w:hint="eastAsia" w:cs="Times New Roman"/>
                      <w:color w:val="auto"/>
                      <w:spacing w:val="-10"/>
                      <w:sz w:val="18"/>
                      <w:szCs w:val="18"/>
                      <w:highlight w:val="none"/>
                      <w:lang w:val="en-US" w:eastAsia="zh-CN"/>
                    </w:rPr>
                    <w:t>及</w:t>
                  </w:r>
                  <w:r>
                    <w:rPr>
                      <w:rFonts w:hint="eastAsia" w:eastAsia="宋体" w:cs="Times New Roman"/>
                      <w:color w:val="auto"/>
                      <w:spacing w:val="-10"/>
                      <w:sz w:val="18"/>
                      <w:szCs w:val="18"/>
                      <w:highlight w:val="none"/>
                      <w:lang w:val="en-US" w:eastAsia="zh-CN"/>
                    </w:rPr>
                    <w:t>未用于加药检测的不含有第一类污染物及重金属的外来企业样品废水</w:t>
                  </w:r>
                  <w:r>
                    <w:rPr>
                      <w:rFonts w:hint="eastAsia" w:ascii="Times New Roman" w:hAnsi="Times New Roman" w:eastAsia="宋体" w:cs="Times New Roman"/>
                      <w:color w:val="auto"/>
                      <w:spacing w:val="-10"/>
                      <w:sz w:val="18"/>
                      <w:szCs w:val="18"/>
                      <w:highlight w:val="none"/>
                      <w:lang w:val="en-US" w:eastAsia="zh-CN"/>
                    </w:rPr>
                    <w:t>经酸碱中和后与</w:t>
                  </w:r>
                  <w:r>
                    <w:rPr>
                      <w:rFonts w:hint="eastAsia" w:eastAsia="宋体" w:cs="Times New Roman"/>
                      <w:color w:val="auto"/>
                      <w:spacing w:val="-10"/>
                      <w:sz w:val="18"/>
                      <w:szCs w:val="18"/>
                      <w:highlight w:val="none"/>
                      <w:lang w:val="en-US" w:eastAsia="zh-CN"/>
                    </w:rPr>
                    <w:t>纯水制备废水</w:t>
                  </w:r>
                  <w:r>
                    <w:rPr>
                      <w:rFonts w:hint="eastAsia" w:cs="Times New Roman"/>
                      <w:color w:val="auto"/>
                      <w:spacing w:val="-10"/>
                      <w:sz w:val="18"/>
                      <w:szCs w:val="18"/>
                      <w:highlight w:val="none"/>
                      <w:lang w:val="en-US" w:eastAsia="zh-CN"/>
                    </w:rPr>
                    <w:t>、</w:t>
                  </w:r>
                  <w:r>
                    <w:rPr>
                      <w:rFonts w:hint="eastAsia" w:eastAsia="宋体" w:cs="Times New Roman"/>
                      <w:color w:val="auto"/>
                      <w:spacing w:val="-10"/>
                      <w:sz w:val="18"/>
                      <w:szCs w:val="18"/>
                      <w:highlight w:val="none"/>
                      <w:lang w:val="en-US" w:eastAsia="zh-CN"/>
                    </w:rPr>
                    <w:t>水浴锅排污水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压力蒸汽灭菌器排污水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恒温恒湿室废水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地面清洗废水</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职工生活污水一并经化粪池处理后排入迁安市污水处理厂进行处理</w:t>
                  </w:r>
                </w:p>
              </w:tc>
              <w:tc>
                <w:tcPr>
                  <w:tcW w:w="527" w:type="pct"/>
                  <w:vMerge w:val="restart"/>
                  <w:tcBorders>
                    <w:tl2br w:val="nil"/>
                    <w:tr2bl w:val="nil"/>
                  </w:tcBorders>
                  <w:vAlign w:val="center"/>
                </w:tcPr>
                <w:p w14:paraId="25E9FB09">
                  <w:pPr>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迁安污水处理厂</w:t>
                  </w:r>
                </w:p>
              </w:tc>
            </w:tr>
            <w:tr w14:paraId="3904992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2D71B546">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58840539">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2</w:t>
                  </w:r>
                </w:p>
              </w:tc>
              <w:tc>
                <w:tcPr>
                  <w:tcW w:w="1012" w:type="pct"/>
                  <w:gridSpan w:val="2"/>
                  <w:tcBorders>
                    <w:tl2br w:val="nil"/>
                    <w:tr2bl w:val="nil"/>
                  </w:tcBorders>
                  <w:shd w:val="clear" w:color="auto" w:fill="auto"/>
                  <w:vAlign w:val="center"/>
                </w:tcPr>
                <w:p w14:paraId="3760566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器皿纯水清洗废水</w:t>
                  </w:r>
                </w:p>
              </w:tc>
              <w:tc>
                <w:tcPr>
                  <w:tcW w:w="785" w:type="pct"/>
                  <w:vMerge w:val="continue"/>
                  <w:tcBorders>
                    <w:tl2br w:val="nil"/>
                    <w:tr2bl w:val="nil"/>
                  </w:tcBorders>
                  <w:vAlign w:val="center"/>
                </w:tcPr>
                <w:p w14:paraId="1BB834A6">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0CACF85F">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497BFAFA">
                  <w:pPr>
                    <w:jc w:val="center"/>
                    <w:rPr>
                      <w:rFonts w:hint="eastAsia" w:ascii="Times New Roman" w:hAnsi="Times New Roman" w:cs="Times New Roman"/>
                      <w:color w:val="auto"/>
                      <w:spacing w:val="-10"/>
                      <w:sz w:val="18"/>
                      <w:szCs w:val="18"/>
                      <w:highlight w:val="none"/>
                      <w:lang w:val="en-US" w:eastAsia="zh-CN"/>
                    </w:rPr>
                  </w:pPr>
                </w:p>
              </w:tc>
            </w:tr>
            <w:tr w14:paraId="5524A6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45" w:hRule="exact"/>
                <w:jc w:val="center"/>
              </w:trPr>
              <w:tc>
                <w:tcPr>
                  <w:tcW w:w="511" w:type="pct"/>
                  <w:vMerge w:val="continue"/>
                  <w:tcBorders>
                    <w:tl2br w:val="nil"/>
                    <w:tr2bl w:val="nil"/>
                  </w:tcBorders>
                  <w:vAlign w:val="center"/>
                </w:tcPr>
                <w:p w14:paraId="69935310">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65CCF74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3</w:t>
                  </w:r>
                </w:p>
              </w:tc>
              <w:tc>
                <w:tcPr>
                  <w:tcW w:w="1012" w:type="pct"/>
                  <w:gridSpan w:val="2"/>
                  <w:tcBorders>
                    <w:tl2br w:val="nil"/>
                    <w:tr2bl w:val="nil"/>
                  </w:tcBorders>
                  <w:shd w:val="clear" w:color="auto" w:fill="auto"/>
                  <w:vAlign w:val="center"/>
                </w:tcPr>
                <w:p w14:paraId="6C77B163">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未用于加药检测的不含有第一类污染物及重金属的外来企业样品废水</w:t>
                  </w:r>
                </w:p>
              </w:tc>
              <w:tc>
                <w:tcPr>
                  <w:tcW w:w="785" w:type="pct"/>
                  <w:vMerge w:val="continue"/>
                  <w:tcBorders>
                    <w:tl2br w:val="nil"/>
                    <w:tr2bl w:val="nil"/>
                  </w:tcBorders>
                  <w:vAlign w:val="center"/>
                </w:tcPr>
                <w:p w14:paraId="11CF4992">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1E5AE9B0">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217B9DA7">
                  <w:pPr>
                    <w:jc w:val="center"/>
                    <w:rPr>
                      <w:rFonts w:hint="eastAsia" w:ascii="Times New Roman" w:hAnsi="Times New Roman" w:cs="Times New Roman"/>
                      <w:color w:val="auto"/>
                      <w:spacing w:val="-10"/>
                      <w:sz w:val="18"/>
                      <w:szCs w:val="18"/>
                      <w:highlight w:val="none"/>
                      <w:lang w:val="en-US" w:eastAsia="zh-CN"/>
                    </w:rPr>
                  </w:pPr>
                </w:p>
              </w:tc>
            </w:tr>
            <w:tr w14:paraId="0FF485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74D80CAF">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0B3BF98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4</w:t>
                  </w:r>
                </w:p>
              </w:tc>
              <w:tc>
                <w:tcPr>
                  <w:tcW w:w="1012" w:type="pct"/>
                  <w:gridSpan w:val="2"/>
                  <w:tcBorders>
                    <w:tl2br w:val="nil"/>
                    <w:tr2bl w:val="nil"/>
                  </w:tcBorders>
                  <w:shd w:val="clear" w:color="auto" w:fill="auto"/>
                  <w:vAlign w:val="center"/>
                </w:tcPr>
                <w:p w14:paraId="3B5ACC1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纯水制备废水</w:t>
                  </w:r>
                </w:p>
              </w:tc>
              <w:tc>
                <w:tcPr>
                  <w:tcW w:w="785" w:type="pct"/>
                  <w:tcBorders>
                    <w:tl2br w:val="nil"/>
                    <w:tr2bl w:val="nil"/>
                  </w:tcBorders>
                  <w:vAlign w:val="center"/>
                </w:tcPr>
                <w:p w14:paraId="3EC4C8AB">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PH、全盐量</w:t>
                  </w:r>
                </w:p>
              </w:tc>
              <w:tc>
                <w:tcPr>
                  <w:tcW w:w="1821" w:type="pct"/>
                  <w:vMerge w:val="continue"/>
                  <w:tcBorders>
                    <w:tl2br w:val="nil"/>
                    <w:tr2bl w:val="nil"/>
                  </w:tcBorders>
                  <w:vAlign w:val="center"/>
                </w:tcPr>
                <w:p w14:paraId="533DAEBC">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57EF4799">
                  <w:pPr>
                    <w:jc w:val="center"/>
                    <w:rPr>
                      <w:rFonts w:hint="eastAsia" w:ascii="Times New Roman" w:hAnsi="Times New Roman" w:cs="Times New Roman"/>
                      <w:color w:val="auto"/>
                      <w:spacing w:val="-10"/>
                      <w:sz w:val="18"/>
                      <w:szCs w:val="18"/>
                      <w:highlight w:val="none"/>
                      <w:lang w:val="en-US" w:eastAsia="zh-CN"/>
                    </w:rPr>
                  </w:pPr>
                </w:p>
              </w:tc>
            </w:tr>
            <w:tr w14:paraId="792669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06F29C47">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528587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5</w:t>
                  </w:r>
                </w:p>
              </w:tc>
              <w:tc>
                <w:tcPr>
                  <w:tcW w:w="1012" w:type="pct"/>
                  <w:gridSpan w:val="2"/>
                  <w:tcBorders>
                    <w:tl2br w:val="nil"/>
                    <w:tr2bl w:val="nil"/>
                  </w:tcBorders>
                  <w:shd w:val="clear" w:color="auto" w:fill="auto"/>
                  <w:vAlign w:val="center"/>
                </w:tcPr>
                <w:p w14:paraId="1EFCB87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eastAsia="宋体" w:cs="Times New Roman"/>
                      <w:color w:val="auto"/>
                      <w:spacing w:val="-10"/>
                      <w:sz w:val="18"/>
                      <w:szCs w:val="18"/>
                      <w:highlight w:val="none"/>
                      <w:lang w:val="en-US" w:eastAsia="zh-CN"/>
                    </w:rPr>
                    <w:t>水浴锅排污水</w:t>
                  </w:r>
                </w:p>
              </w:tc>
              <w:tc>
                <w:tcPr>
                  <w:tcW w:w="785" w:type="pct"/>
                  <w:tcBorders>
                    <w:tl2br w:val="nil"/>
                    <w:tr2bl w:val="nil"/>
                  </w:tcBorders>
                  <w:vAlign w:val="center"/>
                </w:tcPr>
                <w:p w14:paraId="1D2314A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p>
              </w:tc>
              <w:tc>
                <w:tcPr>
                  <w:tcW w:w="1821" w:type="pct"/>
                  <w:vMerge w:val="continue"/>
                  <w:tcBorders>
                    <w:tl2br w:val="nil"/>
                    <w:tr2bl w:val="nil"/>
                  </w:tcBorders>
                  <w:vAlign w:val="center"/>
                </w:tcPr>
                <w:p w14:paraId="30513354">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06B6B385">
                  <w:pPr>
                    <w:jc w:val="center"/>
                    <w:rPr>
                      <w:rFonts w:hint="eastAsia" w:ascii="Times New Roman" w:hAnsi="Times New Roman" w:cs="Times New Roman"/>
                      <w:color w:val="auto"/>
                      <w:spacing w:val="-10"/>
                      <w:sz w:val="18"/>
                      <w:szCs w:val="18"/>
                      <w:highlight w:val="none"/>
                      <w:lang w:val="en-US" w:eastAsia="zh-CN"/>
                    </w:rPr>
                  </w:pPr>
                </w:p>
              </w:tc>
            </w:tr>
            <w:tr w14:paraId="3BB7A2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0BFB08AD">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94890E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6</w:t>
                  </w:r>
                </w:p>
              </w:tc>
              <w:tc>
                <w:tcPr>
                  <w:tcW w:w="1012" w:type="pct"/>
                  <w:gridSpan w:val="2"/>
                  <w:tcBorders>
                    <w:tl2br w:val="nil"/>
                    <w:tr2bl w:val="nil"/>
                  </w:tcBorders>
                  <w:shd w:val="clear" w:color="auto" w:fill="auto"/>
                  <w:vAlign w:val="center"/>
                </w:tcPr>
                <w:p w14:paraId="7DB38A3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压力蒸汽灭菌器排污水</w:t>
                  </w:r>
                </w:p>
              </w:tc>
              <w:tc>
                <w:tcPr>
                  <w:tcW w:w="785" w:type="pct"/>
                  <w:tcBorders>
                    <w:tl2br w:val="nil"/>
                    <w:tr2bl w:val="nil"/>
                  </w:tcBorders>
                  <w:vAlign w:val="center"/>
                </w:tcPr>
                <w:p w14:paraId="32B21BDB">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p>
              </w:tc>
              <w:tc>
                <w:tcPr>
                  <w:tcW w:w="1821" w:type="pct"/>
                  <w:vMerge w:val="continue"/>
                  <w:tcBorders>
                    <w:tl2br w:val="nil"/>
                    <w:tr2bl w:val="nil"/>
                  </w:tcBorders>
                  <w:vAlign w:val="center"/>
                </w:tcPr>
                <w:p w14:paraId="5F3377D6">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0F2C6D5B">
                  <w:pPr>
                    <w:jc w:val="center"/>
                    <w:rPr>
                      <w:rFonts w:hint="eastAsia" w:ascii="Times New Roman" w:hAnsi="Times New Roman" w:cs="Times New Roman"/>
                      <w:color w:val="auto"/>
                      <w:spacing w:val="-10"/>
                      <w:sz w:val="18"/>
                      <w:szCs w:val="18"/>
                      <w:highlight w:val="none"/>
                      <w:lang w:val="en-US" w:eastAsia="zh-CN"/>
                    </w:rPr>
                  </w:pPr>
                </w:p>
              </w:tc>
            </w:tr>
            <w:tr w14:paraId="19A18E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4D206CDC">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6CF2F22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7</w:t>
                  </w:r>
                </w:p>
              </w:tc>
              <w:tc>
                <w:tcPr>
                  <w:tcW w:w="1012" w:type="pct"/>
                  <w:gridSpan w:val="2"/>
                  <w:tcBorders>
                    <w:tl2br w:val="nil"/>
                    <w:tr2bl w:val="nil"/>
                  </w:tcBorders>
                  <w:shd w:val="clear" w:color="auto" w:fill="auto"/>
                  <w:vAlign w:val="center"/>
                </w:tcPr>
                <w:p w14:paraId="08CF4DB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恒温恒湿室废水</w:t>
                  </w:r>
                </w:p>
              </w:tc>
              <w:tc>
                <w:tcPr>
                  <w:tcW w:w="785" w:type="pct"/>
                  <w:tcBorders>
                    <w:tl2br w:val="nil"/>
                    <w:tr2bl w:val="nil"/>
                  </w:tcBorders>
                  <w:vAlign w:val="center"/>
                </w:tcPr>
                <w:p w14:paraId="149172EB">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p>
              </w:tc>
              <w:tc>
                <w:tcPr>
                  <w:tcW w:w="1821" w:type="pct"/>
                  <w:vMerge w:val="continue"/>
                  <w:tcBorders>
                    <w:tl2br w:val="nil"/>
                    <w:tr2bl w:val="nil"/>
                  </w:tcBorders>
                  <w:vAlign w:val="center"/>
                </w:tcPr>
                <w:p w14:paraId="117A96F0">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17269A59">
                  <w:pPr>
                    <w:jc w:val="center"/>
                    <w:rPr>
                      <w:rFonts w:hint="eastAsia" w:ascii="Times New Roman" w:hAnsi="Times New Roman" w:cs="Times New Roman"/>
                      <w:color w:val="auto"/>
                      <w:spacing w:val="-10"/>
                      <w:sz w:val="18"/>
                      <w:szCs w:val="18"/>
                      <w:highlight w:val="none"/>
                      <w:lang w:val="en-US" w:eastAsia="zh-CN"/>
                    </w:rPr>
                  </w:pPr>
                </w:p>
              </w:tc>
            </w:tr>
            <w:tr w14:paraId="50D393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54" w:hRule="exact"/>
                <w:jc w:val="center"/>
              </w:trPr>
              <w:tc>
                <w:tcPr>
                  <w:tcW w:w="511" w:type="pct"/>
                  <w:vMerge w:val="continue"/>
                  <w:tcBorders>
                    <w:tl2br w:val="nil"/>
                    <w:tr2bl w:val="nil"/>
                  </w:tcBorders>
                  <w:vAlign w:val="center"/>
                </w:tcPr>
                <w:p w14:paraId="0673C051">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3838450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8</w:t>
                  </w:r>
                </w:p>
              </w:tc>
              <w:tc>
                <w:tcPr>
                  <w:tcW w:w="1012" w:type="pct"/>
                  <w:gridSpan w:val="2"/>
                  <w:tcBorders>
                    <w:tl2br w:val="nil"/>
                    <w:tr2bl w:val="nil"/>
                  </w:tcBorders>
                  <w:shd w:val="clear" w:color="auto" w:fill="auto"/>
                  <w:vAlign w:val="center"/>
                </w:tcPr>
                <w:p w14:paraId="242C680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地面清洗废水</w:t>
                  </w:r>
                </w:p>
              </w:tc>
              <w:tc>
                <w:tcPr>
                  <w:tcW w:w="785" w:type="pct"/>
                  <w:tcBorders>
                    <w:tl2br w:val="nil"/>
                    <w:tr2bl w:val="nil"/>
                  </w:tcBorders>
                  <w:vAlign w:val="center"/>
                </w:tcPr>
                <w:p w14:paraId="5D4D0FE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p>
              </w:tc>
              <w:tc>
                <w:tcPr>
                  <w:tcW w:w="1821" w:type="pct"/>
                  <w:vMerge w:val="continue"/>
                  <w:tcBorders>
                    <w:tl2br w:val="nil"/>
                    <w:tr2bl w:val="nil"/>
                  </w:tcBorders>
                  <w:vAlign w:val="center"/>
                </w:tcPr>
                <w:p w14:paraId="65A8E2E0">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71263385">
                  <w:pPr>
                    <w:jc w:val="center"/>
                    <w:rPr>
                      <w:rFonts w:hint="eastAsia" w:ascii="Times New Roman" w:hAnsi="Times New Roman" w:cs="Times New Roman"/>
                      <w:color w:val="auto"/>
                      <w:spacing w:val="-10"/>
                      <w:sz w:val="18"/>
                      <w:szCs w:val="18"/>
                      <w:highlight w:val="none"/>
                      <w:lang w:val="en-US" w:eastAsia="zh-CN"/>
                    </w:rPr>
                  </w:pPr>
                </w:p>
              </w:tc>
            </w:tr>
            <w:tr w14:paraId="7FF320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697" w:hRule="exact"/>
                <w:jc w:val="center"/>
              </w:trPr>
              <w:tc>
                <w:tcPr>
                  <w:tcW w:w="511" w:type="pct"/>
                  <w:vMerge w:val="continue"/>
                  <w:tcBorders>
                    <w:tl2br w:val="nil"/>
                    <w:tr2bl w:val="nil"/>
                  </w:tcBorders>
                  <w:vAlign w:val="center"/>
                </w:tcPr>
                <w:p w14:paraId="48A7B019">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58B97770">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rPr>
                    <w:t>W</w:t>
                  </w:r>
                  <w:r>
                    <w:rPr>
                      <w:rFonts w:hint="eastAsia"/>
                      <w:color w:val="auto"/>
                      <w:spacing w:val="-10"/>
                      <w:sz w:val="18"/>
                      <w:szCs w:val="18"/>
                      <w:highlight w:val="none"/>
                      <w:lang w:val="en-US" w:eastAsia="zh-CN"/>
                    </w:rPr>
                    <w:t>9</w:t>
                  </w:r>
                </w:p>
              </w:tc>
              <w:tc>
                <w:tcPr>
                  <w:tcW w:w="1012" w:type="pct"/>
                  <w:gridSpan w:val="2"/>
                  <w:tcBorders>
                    <w:tl2br w:val="nil"/>
                    <w:tr2bl w:val="nil"/>
                  </w:tcBorders>
                  <w:shd w:val="clear" w:color="auto" w:fill="auto"/>
                  <w:vAlign w:val="center"/>
                </w:tcPr>
                <w:p w14:paraId="6E4CB6A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职工生活污水</w:t>
                  </w:r>
                </w:p>
              </w:tc>
              <w:tc>
                <w:tcPr>
                  <w:tcW w:w="785" w:type="pct"/>
                  <w:tcBorders>
                    <w:tl2br w:val="nil"/>
                    <w:tr2bl w:val="nil"/>
                  </w:tcBorders>
                  <w:shd w:val="clear" w:color="auto" w:fill="auto"/>
                  <w:vAlign w:val="center"/>
                </w:tcPr>
                <w:p w14:paraId="25652E2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、总磷</w:t>
                  </w:r>
                </w:p>
              </w:tc>
              <w:tc>
                <w:tcPr>
                  <w:tcW w:w="1821" w:type="pct"/>
                  <w:vMerge w:val="continue"/>
                  <w:tcBorders>
                    <w:tl2br w:val="nil"/>
                    <w:tr2bl w:val="nil"/>
                  </w:tcBorders>
                  <w:vAlign w:val="center"/>
                </w:tcPr>
                <w:p w14:paraId="3C91B023">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527" w:type="pct"/>
                  <w:vMerge w:val="continue"/>
                  <w:tcBorders>
                    <w:tl2br w:val="nil"/>
                    <w:tr2bl w:val="nil"/>
                  </w:tcBorders>
                  <w:vAlign w:val="center"/>
                </w:tcPr>
                <w:p w14:paraId="729FFBE1">
                  <w:pPr>
                    <w:jc w:val="center"/>
                    <w:rPr>
                      <w:rFonts w:hint="eastAsia" w:ascii="Times New Roman" w:hAnsi="Times New Roman" w:cs="Times New Roman"/>
                      <w:color w:val="auto"/>
                      <w:spacing w:val="-10"/>
                      <w:sz w:val="18"/>
                      <w:szCs w:val="18"/>
                      <w:highlight w:val="none"/>
                      <w:lang w:val="en-US" w:eastAsia="zh-CN"/>
                    </w:rPr>
                  </w:pPr>
                </w:p>
              </w:tc>
            </w:tr>
            <w:tr w14:paraId="35964E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34" w:hRule="exact"/>
                <w:jc w:val="center"/>
              </w:trPr>
              <w:tc>
                <w:tcPr>
                  <w:tcW w:w="511" w:type="pct"/>
                  <w:tcBorders>
                    <w:tl2br w:val="nil"/>
                    <w:tr2bl w:val="nil"/>
                  </w:tcBorders>
                  <w:vAlign w:val="center"/>
                </w:tcPr>
                <w:p w14:paraId="77F9432D">
                  <w:pPr>
                    <w:jc w:val="center"/>
                    <w:rPr>
                      <w:color w:val="auto"/>
                      <w:spacing w:val="-10"/>
                      <w:sz w:val="18"/>
                      <w:szCs w:val="18"/>
                      <w:highlight w:val="none"/>
                    </w:rPr>
                  </w:pPr>
                  <w:r>
                    <w:rPr>
                      <w:rFonts w:hint="eastAsia"/>
                      <w:color w:val="auto"/>
                      <w:spacing w:val="-10"/>
                      <w:sz w:val="18"/>
                      <w:szCs w:val="18"/>
                      <w:highlight w:val="none"/>
                    </w:rPr>
                    <w:t>噪声</w:t>
                  </w:r>
                </w:p>
              </w:tc>
              <w:tc>
                <w:tcPr>
                  <w:tcW w:w="342" w:type="pct"/>
                  <w:tcBorders>
                    <w:tl2br w:val="nil"/>
                    <w:tr2bl w:val="nil"/>
                  </w:tcBorders>
                  <w:vAlign w:val="center"/>
                </w:tcPr>
                <w:p w14:paraId="572AECB9">
                  <w:pPr>
                    <w:jc w:val="center"/>
                    <w:rPr>
                      <w:rFonts w:hint="eastAsia" w:ascii="Times New Roman" w:hAnsi="Times New Roman" w:eastAsia="宋体" w:cs="Times New Roman"/>
                      <w:color w:val="auto"/>
                      <w:spacing w:val="-10"/>
                      <w:sz w:val="18"/>
                      <w:szCs w:val="18"/>
                      <w:highlight w:val="none"/>
                      <w:lang w:eastAsia="zh-CN"/>
                    </w:rPr>
                  </w:pPr>
                  <w:r>
                    <w:rPr>
                      <w:rFonts w:hint="eastAsia" w:ascii="Times New Roman" w:hAnsi="Times New Roman" w:eastAsia="宋体" w:cs="Times New Roman"/>
                      <w:color w:val="auto"/>
                      <w:spacing w:val="-10"/>
                      <w:sz w:val="18"/>
                      <w:szCs w:val="18"/>
                      <w:highlight w:val="none"/>
                      <w:lang w:eastAsia="zh-CN"/>
                    </w:rPr>
                    <w:t>N</w:t>
                  </w:r>
                </w:p>
              </w:tc>
              <w:tc>
                <w:tcPr>
                  <w:tcW w:w="1012" w:type="pct"/>
                  <w:gridSpan w:val="2"/>
                  <w:tcBorders>
                    <w:tl2br w:val="nil"/>
                    <w:tr2bl w:val="nil"/>
                  </w:tcBorders>
                  <w:vAlign w:val="center"/>
                </w:tcPr>
                <w:p w14:paraId="0B09DF72">
                  <w:pPr>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实验仪器、风机等</w:t>
                  </w:r>
                </w:p>
              </w:tc>
              <w:tc>
                <w:tcPr>
                  <w:tcW w:w="785" w:type="pct"/>
                  <w:tcBorders>
                    <w:tl2br w:val="nil"/>
                    <w:tr2bl w:val="nil"/>
                  </w:tcBorders>
                  <w:vAlign w:val="center"/>
                </w:tcPr>
                <w:p w14:paraId="666B1C2B">
                  <w:pPr>
                    <w:jc w:val="center"/>
                    <w:rPr>
                      <w:rFonts w:hint="eastAsia" w:ascii="Times New Roman" w:hAnsi="Times New Roman" w:eastAsia="宋体" w:cs="Times New Roman"/>
                      <w:color w:val="auto"/>
                      <w:spacing w:val="-10"/>
                      <w:sz w:val="18"/>
                      <w:szCs w:val="18"/>
                      <w:highlight w:val="none"/>
                      <w:lang w:eastAsia="zh-CN"/>
                    </w:rPr>
                  </w:pPr>
                  <w:r>
                    <w:rPr>
                      <w:rFonts w:hint="eastAsia" w:ascii="Times New Roman" w:hAnsi="Times New Roman" w:eastAsia="宋体" w:cs="Times New Roman"/>
                      <w:color w:val="auto"/>
                      <w:spacing w:val="-10"/>
                      <w:sz w:val="18"/>
                      <w:szCs w:val="18"/>
                      <w:highlight w:val="none"/>
                      <w:lang w:eastAsia="zh-CN"/>
                    </w:rPr>
                    <w:t>噪声</w:t>
                  </w:r>
                </w:p>
              </w:tc>
              <w:tc>
                <w:tcPr>
                  <w:tcW w:w="1821" w:type="pct"/>
                  <w:tcBorders>
                    <w:tl2br w:val="nil"/>
                    <w:tr2bl w:val="nil"/>
                  </w:tcBorders>
                  <w:vAlign w:val="center"/>
                </w:tcPr>
                <w:p w14:paraId="3AA0473B">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选用低噪声设备，</w:t>
                  </w:r>
                  <w:r>
                    <w:rPr>
                      <w:rFonts w:hint="eastAsia" w:cs="Times New Roman"/>
                      <w:color w:val="auto"/>
                      <w:spacing w:val="-10"/>
                      <w:kern w:val="2"/>
                      <w:sz w:val="18"/>
                      <w:szCs w:val="18"/>
                      <w:highlight w:val="none"/>
                      <w:lang w:val="en-US" w:eastAsia="zh-CN" w:bidi="ar-SA"/>
                    </w:rPr>
                    <w:t>实验仪器</w:t>
                  </w:r>
                  <w:r>
                    <w:rPr>
                      <w:rFonts w:hint="eastAsia" w:ascii="Times New Roman" w:hAnsi="Times New Roman" w:eastAsia="宋体" w:cs="Times New Roman"/>
                      <w:color w:val="auto"/>
                      <w:spacing w:val="-10"/>
                      <w:kern w:val="2"/>
                      <w:sz w:val="18"/>
                      <w:szCs w:val="18"/>
                      <w:highlight w:val="none"/>
                      <w:lang w:val="en-US" w:eastAsia="zh-CN" w:bidi="ar-SA"/>
                    </w:rPr>
                    <w:t>置于封闭实验室内，设备合理布局，风机设置</w:t>
                  </w:r>
                  <w:r>
                    <w:rPr>
                      <w:rFonts w:hint="eastAsia" w:cs="Times New Roman"/>
                      <w:color w:val="auto"/>
                      <w:spacing w:val="-10"/>
                      <w:kern w:val="2"/>
                      <w:sz w:val="18"/>
                      <w:szCs w:val="18"/>
                      <w:highlight w:val="none"/>
                      <w:lang w:val="en-US" w:eastAsia="zh-CN" w:bidi="ar-SA"/>
                    </w:rPr>
                    <w:t>消声装置</w:t>
                  </w:r>
                </w:p>
              </w:tc>
              <w:tc>
                <w:tcPr>
                  <w:tcW w:w="527" w:type="pct"/>
                  <w:tcBorders>
                    <w:tl2br w:val="nil"/>
                    <w:tr2bl w:val="nil"/>
                  </w:tcBorders>
                  <w:vAlign w:val="center"/>
                </w:tcPr>
                <w:p w14:paraId="7F6A8FC3">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声环境</w:t>
                  </w:r>
                </w:p>
              </w:tc>
            </w:tr>
            <w:tr w14:paraId="58B28D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511" w:type="pct"/>
                  <w:vMerge w:val="restart"/>
                  <w:tcBorders>
                    <w:tl2br w:val="nil"/>
                    <w:tr2bl w:val="nil"/>
                  </w:tcBorders>
                  <w:vAlign w:val="center"/>
                </w:tcPr>
                <w:p w14:paraId="6AEB7B5A">
                  <w:pPr>
                    <w:jc w:val="center"/>
                    <w:rPr>
                      <w:color w:val="auto"/>
                      <w:spacing w:val="-10"/>
                      <w:sz w:val="18"/>
                      <w:szCs w:val="18"/>
                      <w:highlight w:val="none"/>
                    </w:rPr>
                  </w:pPr>
                  <w:r>
                    <w:rPr>
                      <w:rFonts w:hint="eastAsia"/>
                      <w:color w:val="auto"/>
                      <w:spacing w:val="-10"/>
                      <w:sz w:val="18"/>
                      <w:szCs w:val="18"/>
                      <w:highlight w:val="none"/>
                    </w:rPr>
                    <w:t>固体废物</w:t>
                  </w:r>
                </w:p>
              </w:tc>
              <w:tc>
                <w:tcPr>
                  <w:tcW w:w="342" w:type="pct"/>
                  <w:tcBorders>
                    <w:tl2br w:val="nil"/>
                    <w:tr2bl w:val="nil"/>
                  </w:tcBorders>
                  <w:vAlign w:val="center"/>
                </w:tcPr>
                <w:p w14:paraId="5C87450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S1</w:t>
                  </w:r>
                </w:p>
              </w:tc>
              <w:tc>
                <w:tcPr>
                  <w:tcW w:w="1012" w:type="pct"/>
                  <w:gridSpan w:val="2"/>
                  <w:tcBorders>
                    <w:tl2br w:val="nil"/>
                    <w:tr2bl w:val="nil"/>
                  </w:tcBorders>
                  <w:vAlign w:val="center"/>
                </w:tcPr>
                <w:p w14:paraId="7ACD32CC">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纯水制备</w:t>
                  </w:r>
                </w:p>
              </w:tc>
              <w:tc>
                <w:tcPr>
                  <w:tcW w:w="785" w:type="pct"/>
                  <w:tcBorders>
                    <w:tl2br w:val="nil"/>
                    <w:tr2bl w:val="nil"/>
                  </w:tcBorders>
                  <w:vAlign w:val="center"/>
                </w:tcPr>
                <w:p w14:paraId="7C11C036">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废反渗透膜</w:t>
                  </w:r>
                </w:p>
              </w:tc>
              <w:tc>
                <w:tcPr>
                  <w:tcW w:w="1821" w:type="pct"/>
                  <w:tcBorders>
                    <w:tl2br w:val="nil"/>
                    <w:tr2bl w:val="nil"/>
                  </w:tcBorders>
                  <w:vAlign w:val="center"/>
                </w:tcPr>
                <w:p w14:paraId="6BA57E44">
                  <w:pPr>
                    <w:keepNext w:val="0"/>
                    <w:keepLines w:val="0"/>
                    <w:widowControl/>
                    <w:suppressLineNumbers w:val="0"/>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更换后由厂家直接带走</w:t>
                  </w:r>
                </w:p>
              </w:tc>
              <w:tc>
                <w:tcPr>
                  <w:tcW w:w="527" w:type="pct"/>
                  <w:vMerge w:val="restart"/>
                  <w:tcBorders>
                    <w:tl2br w:val="nil"/>
                    <w:tr2bl w:val="nil"/>
                  </w:tcBorders>
                  <w:vAlign w:val="center"/>
                </w:tcPr>
                <w:p w14:paraId="50AD457D">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rPr>
                    <w:t>全部综合利用或妥善处置</w:t>
                  </w:r>
                  <w:r>
                    <w:rPr>
                      <w:rFonts w:hint="eastAsia"/>
                      <w:color w:val="auto"/>
                      <w:spacing w:val="-10"/>
                      <w:sz w:val="18"/>
                      <w:szCs w:val="18"/>
                      <w:highlight w:val="none"/>
                      <w:lang w:eastAsia="zh-CN"/>
                    </w:rPr>
                    <w:t>，</w:t>
                  </w:r>
                  <w:r>
                    <w:rPr>
                      <w:rFonts w:hint="eastAsia"/>
                      <w:color w:val="auto"/>
                      <w:spacing w:val="-10"/>
                      <w:sz w:val="18"/>
                      <w:szCs w:val="18"/>
                      <w:highlight w:val="none"/>
                      <w:lang w:val="en-US" w:eastAsia="zh-CN"/>
                    </w:rPr>
                    <w:t>不外排</w:t>
                  </w:r>
                </w:p>
              </w:tc>
            </w:tr>
            <w:tr w14:paraId="6FD492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26BD851F">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3F31040">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S2</w:t>
                  </w:r>
                </w:p>
              </w:tc>
              <w:tc>
                <w:tcPr>
                  <w:tcW w:w="1012" w:type="pct"/>
                  <w:gridSpan w:val="2"/>
                  <w:vMerge w:val="restart"/>
                  <w:tcBorders>
                    <w:tl2br w:val="nil"/>
                    <w:tr2bl w:val="nil"/>
                  </w:tcBorders>
                  <w:vAlign w:val="center"/>
                </w:tcPr>
                <w:p w14:paraId="0C8F0FA8">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实验过程</w:t>
                  </w:r>
                </w:p>
              </w:tc>
              <w:tc>
                <w:tcPr>
                  <w:tcW w:w="785" w:type="pct"/>
                  <w:tcBorders>
                    <w:tl2br w:val="nil"/>
                    <w:tr2bl w:val="nil"/>
                  </w:tcBorders>
                  <w:vAlign w:val="center"/>
                </w:tcPr>
                <w:p w14:paraId="57FF4CC1">
                  <w:pPr>
                    <w:jc w:val="center"/>
                    <w:rPr>
                      <w:rFonts w:hint="default" w:eastAsia="宋体" w:cs="Times New Roman"/>
                      <w:color w:val="auto"/>
                      <w:spacing w:val="-10"/>
                      <w:kern w:val="2"/>
                      <w:sz w:val="18"/>
                      <w:szCs w:val="18"/>
                      <w:highlight w:val="none"/>
                      <w:lang w:val="en-US" w:eastAsia="zh-CN" w:bidi="ar-SA"/>
                    </w:rPr>
                  </w:pPr>
                  <w:r>
                    <w:rPr>
                      <w:rFonts w:hint="eastAsia" w:eastAsia="宋体" w:cs="Times New Roman"/>
                      <w:color w:val="auto"/>
                      <w:spacing w:val="-10"/>
                      <w:kern w:val="2"/>
                      <w:sz w:val="18"/>
                      <w:szCs w:val="18"/>
                      <w:highlight w:val="none"/>
                      <w:lang w:val="en-US" w:eastAsia="zh-CN" w:bidi="ar-SA"/>
                    </w:rPr>
                    <w:t>废一般包装物</w:t>
                  </w:r>
                </w:p>
              </w:tc>
              <w:tc>
                <w:tcPr>
                  <w:tcW w:w="1821" w:type="pct"/>
                  <w:tcBorders>
                    <w:tl2br w:val="nil"/>
                    <w:tr2bl w:val="nil"/>
                  </w:tcBorders>
                  <w:vAlign w:val="center"/>
                </w:tcPr>
                <w:p w14:paraId="6F488693">
                  <w:pPr>
                    <w:jc w:val="center"/>
                    <w:rPr>
                      <w:rFonts w:hint="default" w:eastAsia="宋体" w:cs="Times New Roman"/>
                      <w:color w:val="auto"/>
                      <w:spacing w:val="-10"/>
                      <w:kern w:val="2"/>
                      <w:sz w:val="18"/>
                      <w:szCs w:val="18"/>
                      <w:highlight w:val="none"/>
                      <w:lang w:val="en-US" w:eastAsia="zh-CN" w:bidi="ar-SA"/>
                    </w:rPr>
                  </w:pPr>
                  <w:r>
                    <w:rPr>
                      <w:rFonts w:hint="eastAsia" w:eastAsia="宋体" w:cs="Times New Roman"/>
                      <w:color w:val="auto"/>
                      <w:spacing w:val="-10"/>
                      <w:kern w:val="2"/>
                      <w:sz w:val="18"/>
                      <w:szCs w:val="18"/>
                      <w:highlight w:val="none"/>
                      <w:lang w:val="en-US" w:eastAsia="zh-CN" w:bidi="ar-SA"/>
                    </w:rPr>
                    <w:t>暂存于一般固废暂存间，之后外售资源回收单位综合利用</w:t>
                  </w:r>
                </w:p>
              </w:tc>
              <w:tc>
                <w:tcPr>
                  <w:tcW w:w="527" w:type="pct"/>
                  <w:vMerge w:val="continue"/>
                  <w:tcBorders>
                    <w:tl2br w:val="nil"/>
                    <w:tr2bl w:val="nil"/>
                  </w:tcBorders>
                  <w:vAlign w:val="center"/>
                </w:tcPr>
                <w:p w14:paraId="0E919076">
                  <w:pPr>
                    <w:jc w:val="center"/>
                    <w:rPr>
                      <w:rFonts w:hint="eastAsia"/>
                      <w:color w:val="auto"/>
                      <w:spacing w:val="-10"/>
                      <w:sz w:val="18"/>
                      <w:szCs w:val="18"/>
                      <w:highlight w:val="none"/>
                    </w:rPr>
                  </w:pPr>
                </w:p>
              </w:tc>
            </w:tr>
            <w:tr w14:paraId="472B1A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18EC3EE1">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0F9897C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S3</w:t>
                  </w:r>
                </w:p>
              </w:tc>
              <w:tc>
                <w:tcPr>
                  <w:tcW w:w="1012" w:type="pct"/>
                  <w:gridSpan w:val="2"/>
                  <w:vMerge w:val="continue"/>
                  <w:tcBorders>
                    <w:tl2br w:val="nil"/>
                    <w:tr2bl w:val="nil"/>
                  </w:tcBorders>
                  <w:vAlign w:val="center"/>
                </w:tcPr>
                <w:p w14:paraId="2FEF0B4A">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vAlign w:val="center"/>
                </w:tcPr>
                <w:p w14:paraId="0CAB2B75">
                  <w:pPr>
                    <w:jc w:val="center"/>
                    <w:rPr>
                      <w:rFonts w:hint="eastAsia" w:eastAsia="宋体" w:cs="Times New Roman"/>
                      <w:color w:val="auto"/>
                      <w:spacing w:val="-10"/>
                      <w:kern w:val="2"/>
                      <w:sz w:val="18"/>
                      <w:szCs w:val="18"/>
                      <w:highlight w:val="none"/>
                      <w:lang w:val="en-US" w:eastAsia="zh-CN" w:bidi="ar-SA"/>
                    </w:rPr>
                  </w:pPr>
                  <w:r>
                    <w:rPr>
                      <w:rFonts w:hint="eastAsia" w:eastAsia="宋体" w:cs="Times New Roman"/>
                      <w:color w:val="auto"/>
                      <w:spacing w:val="-10"/>
                      <w:kern w:val="2"/>
                      <w:sz w:val="18"/>
                      <w:szCs w:val="18"/>
                      <w:highlight w:val="none"/>
                      <w:lang w:val="en-US" w:eastAsia="zh-CN" w:bidi="ar-SA"/>
                    </w:rPr>
                    <w:t>未参与实验过程的剩余土样</w:t>
                  </w:r>
                </w:p>
              </w:tc>
              <w:tc>
                <w:tcPr>
                  <w:tcW w:w="1821" w:type="pct"/>
                  <w:tcBorders>
                    <w:tl2br w:val="nil"/>
                    <w:tr2bl w:val="nil"/>
                  </w:tcBorders>
                  <w:vAlign w:val="center"/>
                </w:tcPr>
                <w:p w14:paraId="686F9AB8">
                  <w:pPr>
                    <w:jc w:val="center"/>
                    <w:rPr>
                      <w:rFonts w:hint="eastAsia" w:ascii="Times New Roman" w:hAnsi="Times New Roman"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暂存于一般固废暂存间，之后</w:t>
                  </w:r>
                  <w:r>
                    <w:rPr>
                      <w:rFonts w:hint="eastAsia" w:ascii="Times New Roman" w:hAnsi="Times New Roman" w:eastAsia="宋体" w:cs="Times New Roman"/>
                      <w:color w:val="auto"/>
                      <w:spacing w:val="-10"/>
                      <w:sz w:val="18"/>
                      <w:szCs w:val="18"/>
                      <w:highlight w:val="none"/>
                      <w:lang w:val="en-US" w:eastAsia="zh-CN"/>
                    </w:rPr>
                    <w:t>由环卫部门处理</w:t>
                  </w:r>
                </w:p>
              </w:tc>
              <w:tc>
                <w:tcPr>
                  <w:tcW w:w="527" w:type="pct"/>
                  <w:vMerge w:val="continue"/>
                  <w:tcBorders>
                    <w:tl2br w:val="nil"/>
                    <w:tr2bl w:val="nil"/>
                  </w:tcBorders>
                  <w:vAlign w:val="center"/>
                </w:tcPr>
                <w:p w14:paraId="24AECC34">
                  <w:pPr>
                    <w:jc w:val="center"/>
                    <w:rPr>
                      <w:rFonts w:hint="eastAsia"/>
                      <w:color w:val="auto"/>
                      <w:spacing w:val="-10"/>
                      <w:sz w:val="18"/>
                      <w:szCs w:val="18"/>
                      <w:highlight w:val="none"/>
                    </w:rPr>
                  </w:pPr>
                </w:p>
              </w:tc>
            </w:tr>
            <w:tr w14:paraId="6C5F98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07" w:hRule="exact"/>
                <w:jc w:val="center"/>
              </w:trPr>
              <w:tc>
                <w:tcPr>
                  <w:tcW w:w="511" w:type="pct"/>
                  <w:vMerge w:val="continue"/>
                  <w:tcBorders>
                    <w:tl2br w:val="nil"/>
                    <w:tr2bl w:val="nil"/>
                  </w:tcBorders>
                  <w:vAlign w:val="center"/>
                </w:tcPr>
                <w:p w14:paraId="131BCF37">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77E6B8A1">
                  <w:pPr>
                    <w:jc w:val="center"/>
                    <w:rPr>
                      <w:rFonts w:hint="eastAsia"/>
                      <w:color w:val="auto"/>
                      <w:spacing w:val="-10"/>
                      <w:sz w:val="18"/>
                      <w:szCs w:val="18"/>
                      <w:highlight w:val="none"/>
                      <w:lang w:val="en-US" w:eastAsia="zh-CN"/>
                    </w:rPr>
                  </w:pPr>
                  <w:r>
                    <w:rPr>
                      <w:rFonts w:hint="eastAsia"/>
                      <w:color w:val="auto"/>
                      <w:spacing w:val="-10"/>
                      <w:sz w:val="18"/>
                      <w:szCs w:val="18"/>
                      <w:highlight w:val="none"/>
                      <w:lang w:val="en-US" w:eastAsia="zh-CN"/>
                    </w:rPr>
                    <w:t>S4</w:t>
                  </w:r>
                </w:p>
              </w:tc>
              <w:tc>
                <w:tcPr>
                  <w:tcW w:w="1012" w:type="pct"/>
                  <w:gridSpan w:val="2"/>
                  <w:vMerge w:val="continue"/>
                  <w:tcBorders>
                    <w:tl2br w:val="nil"/>
                    <w:tr2bl w:val="nil"/>
                  </w:tcBorders>
                  <w:vAlign w:val="center"/>
                </w:tcPr>
                <w:p w14:paraId="131911DB">
                  <w:pPr>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vAlign w:val="center"/>
                </w:tcPr>
                <w:p w14:paraId="7E6C67C6">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 xml:space="preserve">不含有毒有害物质的破损的玻璃器皿、玻璃试 </w:t>
                  </w:r>
                </w:p>
                <w:p w14:paraId="58461958">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剂瓶</w:t>
                  </w:r>
                </w:p>
                <w:p w14:paraId="4E8806B7">
                  <w:pPr>
                    <w:jc w:val="center"/>
                    <w:rPr>
                      <w:rFonts w:hint="eastAsia" w:cs="Times New Roman"/>
                      <w:color w:val="auto"/>
                      <w:spacing w:val="-10"/>
                      <w:kern w:val="2"/>
                      <w:sz w:val="18"/>
                      <w:szCs w:val="18"/>
                      <w:highlight w:val="none"/>
                      <w:lang w:val="en-US" w:eastAsia="zh-CN" w:bidi="ar-SA"/>
                    </w:rPr>
                  </w:pPr>
                </w:p>
              </w:tc>
              <w:tc>
                <w:tcPr>
                  <w:tcW w:w="1821" w:type="pct"/>
                  <w:tcBorders>
                    <w:tl2br w:val="nil"/>
                    <w:tr2bl w:val="nil"/>
                  </w:tcBorders>
                  <w:vAlign w:val="center"/>
                </w:tcPr>
                <w:p w14:paraId="184E6FA9">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kern w:val="2"/>
                      <w:sz w:val="18"/>
                      <w:szCs w:val="18"/>
                      <w:highlight w:val="none"/>
                      <w:lang w:val="en-US" w:eastAsia="zh-CN" w:bidi="ar-SA"/>
                    </w:rPr>
                    <w:t>暂存于一般固废暂存间，之后外售资源回收单位综合利用</w:t>
                  </w:r>
                </w:p>
              </w:tc>
              <w:tc>
                <w:tcPr>
                  <w:tcW w:w="527" w:type="pct"/>
                  <w:vMerge w:val="continue"/>
                  <w:tcBorders>
                    <w:tl2br w:val="nil"/>
                    <w:tr2bl w:val="nil"/>
                  </w:tcBorders>
                  <w:vAlign w:val="center"/>
                </w:tcPr>
                <w:p w14:paraId="65B8D6B1">
                  <w:pPr>
                    <w:jc w:val="center"/>
                    <w:rPr>
                      <w:rFonts w:hint="eastAsia"/>
                      <w:color w:val="auto"/>
                      <w:spacing w:val="-10"/>
                      <w:sz w:val="18"/>
                      <w:szCs w:val="18"/>
                      <w:highlight w:val="none"/>
                    </w:rPr>
                  </w:pPr>
                </w:p>
              </w:tc>
            </w:tr>
          </w:tbl>
          <w:p w14:paraId="4449C598">
            <w:pPr>
              <w:pStyle w:val="22"/>
              <w:adjustRightInd w:val="0"/>
              <w:snapToGrid w:val="0"/>
              <w:spacing w:before="0" w:beforeAutospacing="0" w:after="0" w:afterAutospacing="0" w:line="440" w:lineRule="exact"/>
              <w:jc w:val="center"/>
              <w:rPr>
                <w:rFonts w:hint="eastAsia" w:ascii="Times New Roman" w:hAnsi="Times New Roman"/>
                <w:b/>
                <w:color w:val="auto"/>
                <w:sz w:val="21"/>
                <w:szCs w:val="21"/>
                <w:highlight w:val="none"/>
                <w:lang w:val="en-US" w:eastAsia="zh-CN"/>
              </w:rPr>
            </w:pPr>
          </w:p>
          <w:p w14:paraId="38461CC5">
            <w:pPr>
              <w:pStyle w:val="22"/>
              <w:adjustRightInd w:val="0"/>
              <w:snapToGrid w:val="0"/>
              <w:spacing w:before="0" w:beforeAutospacing="0" w:after="0" w:afterAutospacing="0" w:line="440" w:lineRule="exact"/>
              <w:jc w:val="center"/>
              <w:rPr>
                <w:rFonts w:ascii="Times New Roman" w:hAnsi="Times New Roman"/>
                <w:b/>
                <w:color w:val="auto"/>
                <w:sz w:val="21"/>
                <w:szCs w:val="21"/>
                <w:highlight w:val="none"/>
              </w:rPr>
            </w:pPr>
            <w:r>
              <w:rPr>
                <w:rFonts w:hint="eastAsia" w:ascii="Times New Roman" w:hAnsi="Times New Roman"/>
                <w:b/>
                <w:color w:val="auto"/>
                <w:sz w:val="21"/>
                <w:szCs w:val="21"/>
                <w:highlight w:val="none"/>
                <w:lang w:val="en-US" w:eastAsia="zh-CN"/>
              </w:rPr>
              <w:t>续</w:t>
            </w:r>
            <w:r>
              <w:rPr>
                <w:rFonts w:hint="eastAsia" w:ascii="Times New Roman" w:hAnsi="Times New Roman"/>
                <w:b/>
                <w:color w:val="auto"/>
                <w:sz w:val="21"/>
                <w:szCs w:val="21"/>
                <w:highlight w:val="none"/>
              </w:rPr>
              <w:t>表</w:t>
            </w:r>
            <w:r>
              <w:rPr>
                <w:rFonts w:hint="eastAsia" w:ascii="Times New Roman" w:hAnsi="Times New Roman"/>
                <w:b/>
                <w:color w:val="auto"/>
                <w:sz w:val="21"/>
                <w:szCs w:val="21"/>
                <w:highlight w:val="none"/>
                <w:lang w:val="en-US" w:eastAsia="zh-CN"/>
              </w:rPr>
              <w:t>11</w:t>
            </w:r>
            <w:r>
              <w:rPr>
                <w:rFonts w:hint="eastAsia" w:ascii="Times New Roman" w:hAnsi="Times New Roman"/>
                <w:b/>
                <w:color w:val="auto"/>
                <w:sz w:val="21"/>
                <w:szCs w:val="21"/>
                <w:highlight w:val="none"/>
              </w:rPr>
              <w:t xml:space="preserve"> 项目污染源及污染防治措施一览表</w:t>
            </w:r>
          </w:p>
          <w:tbl>
            <w:tblPr>
              <w:tblStyle w:val="26"/>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12"/>
              <w:gridCol w:w="543"/>
              <w:gridCol w:w="1607"/>
              <w:gridCol w:w="1247"/>
              <w:gridCol w:w="2892"/>
              <w:gridCol w:w="837"/>
            </w:tblGrid>
            <w:tr w14:paraId="3C1204C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5" w:hRule="atLeast"/>
                <w:jc w:val="center"/>
              </w:trPr>
              <w:tc>
                <w:tcPr>
                  <w:tcW w:w="511" w:type="pct"/>
                  <w:tcBorders>
                    <w:tl2br w:val="nil"/>
                    <w:tr2bl w:val="nil"/>
                  </w:tcBorders>
                  <w:vAlign w:val="center"/>
                </w:tcPr>
                <w:p w14:paraId="03AB6F0A">
                  <w:pPr>
                    <w:jc w:val="center"/>
                    <w:rPr>
                      <w:color w:val="auto"/>
                      <w:spacing w:val="-10"/>
                      <w:sz w:val="18"/>
                      <w:szCs w:val="18"/>
                      <w:highlight w:val="none"/>
                    </w:rPr>
                  </w:pPr>
                  <w:r>
                    <w:rPr>
                      <w:rFonts w:hint="eastAsia"/>
                      <w:color w:val="auto"/>
                      <w:spacing w:val="-10"/>
                      <w:sz w:val="18"/>
                      <w:szCs w:val="18"/>
                      <w:highlight w:val="none"/>
                    </w:rPr>
                    <w:t>污染类别</w:t>
                  </w:r>
                </w:p>
              </w:tc>
              <w:tc>
                <w:tcPr>
                  <w:tcW w:w="342" w:type="pct"/>
                  <w:tcBorders>
                    <w:tl2br w:val="nil"/>
                    <w:tr2bl w:val="nil"/>
                  </w:tcBorders>
                  <w:vAlign w:val="center"/>
                </w:tcPr>
                <w:p w14:paraId="6DC6502A">
                  <w:pPr>
                    <w:jc w:val="center"/>
                    <w:rPr>
                      <w:color w:val="auto"/>
                      <w:spacing w:val="-10"/>
                      <w:sz w:val="18"/>
                      <w:szCs w:val="18"/>
                      <w:highlight w:val="none"/>
                    </w:rPr>
                  </w:pPr>
                  <w:r>
                    <w:rPr>
                      <w:rFonts w:hint="eastAsia"/>
                      <w:color w:val="auto"/>
                      <w:spacing w:val="-10"/>
                      <w:sz w:val="18"/>
                      <w:szCs w:val="18"/>
                      <w:highlight w:val="none"/>
                    </w:rPr>
                    <w:t>序号</w:t>
                  </w:r>
                </w:p>
              </w:tc>
              <w:tc>
                <w:tcPr>
                  <w:tcW w:w="1012" w:type="pct"/>
                  <w:tcBorders>
                    <w:tl2br w:val="nil"/>
                    <w:tr2bl w:val="nil"/>
                  </w:tcBorders>
                  <w:vAlign w:val="center"/>
                </w:tcPr>
                <w:p w14:paraId="627E748A">
                  <w:pPr>
                    <w:jc w:val="center"/>
                    <w:rPr>
                      <w:color w:val="auto"/>
                      <w:spacing w:val="-10"/>
                      <w:sz w:val="18"/>
                      <w:szCs w:val="18"/>
                      <w:highlight w:val="none"/>
                    </w:rPr>
                  </w:pPr>
                  <w:r>
                    <w:rPr>
                      <w:rFonts w:hint="eastAsia"/>
                      <w:color w:val="auto"/>
                      <w:spacing w:val="-10"/>
                      <w:sz w:val="18"/>
                      <w:szCs w:val="18"/>
                      <w:highlight w:val="none"/>
                    </w:rPr>
                    <w:t>污染源</w:t>
                  </w:r>
                </w:p>
              </w:tc>
              <w:tc>
                <w:tcPr>
                  <w:tcW w:w="785" w:type="pct"/>
                  <w:tcBorders>
                    <w:tl2br w:val="nil"/>
                    <w:tr2bl w:val="nil"/>
                  </w:tcBorders>
                  <w:vAlign w:val="center"/>
                </w:tcPr>
                <w:p w14:paraId="68C6E339">
                  <w:pPr>
                    <w:jc w:val="center"/>
                    <w:rPr>
                      <w:color w:val="auto"/>
                      <w:spacing w:val="-10"/>
                      <w:sz w:val="18"/>
                      <w:szCs w:val="18"/>
                      <w:highlight w:val="none"/>
                    </w:rPr>
                  </w:pPr>
                  <w:r>
                    <w:rPr>
                      <w:rFonts w:hint="eastAsia"/>
                      <w:color w:val="auto"/>
                      <w:spacing w:val="-10"/>
                      <w:sz w:val="18"/>
                      <w:szCs w:val="18"/>
                      <w:highlight w:val="none"/>
                    </w:rPr>
                    <w:t>污染因子</w:t>
                  </w:r>
                </w:p>
              </w:tc>
              <w:tc>
                <w:tcPr>
                  <w:tcW w:w="1821" w:type="pct"/>
                  <w:tcBorders>
                    <w:tl2br w:val="nil"/>
                    <w:tr2bl w:val="nil"/>
                  </w:tcBorders>
                  <w:vAlign w:val="center"/>
                </w:tcPr>
                <w:p w14:paraId="04A4C4A9">
                  <w:pPr>
                    <w:jc w:val="center"/>
                    <w:rPr>
                      <w:color w:val="auto"/>
                      <w:spacing w:val="-10"/>
                      <w:sz w:val="18"/>
                      <w:szCs w:val="18"/>
                      <w:highlight w:val="none"/>
                    </w:rPr>
                  </w:pPr>
                  <w:r>
                    <w:rPr>
                      <w:rFonts w:hint="eastAsia"/>
                      <w:color w:val="auto"/>
                      <w:spacing w:val="-10"/>
                      <w:sz w:val="18"/>
                      <w:szCs w:val="18"/>
                      <w:highlight w:val="none"/>
                    </w:rPr>
                    <w:t>治理措施</w:t>
                  </w:r>
                </w:p>
              </w:tc>
              <w:tc>
                <w:tcPr>
                  <w:tcW w:w="527" w:type="pct"/>
                  <w:tcBorders>
                    <w:tl2br w:val="nil"/>
                    <w:tr2bl w:val="nil"/>
                  </w:tcBorders>
                  <w:vAlign w:val="center"/>
                </w:tcPr>
                <w:p w14:paraId="3E8ACB62">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排放去向</w:t>
                  </w:r>
                </w:p>
              </w:tc>
            </w:tr>
            <w:tr w14:paraId="1ADA8C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36" w:hRule="exact"/>
                <w:jc w:val="center"/>
              </w:trPr>
              <w:tc>
                <w:tcPr>
                  <w:tcW w:w="511" w:type="pct"/>
                  <w:vMerge w:val="restart"/>
                  <w:tcBorders>
                    <w:tl2br w:val="nil"/>
                    <w:tr2bl w:val="nil"/>
                  </w:tcBorders>
                  <w:vAlign w:val="center"/>
                </w:tcPr>
                <w:p w14:paraId="55D2AA79">
                  <w:pPr>
                    <w:jc w:val="center"/>
                    <w:rPr>
                      <w:rFonts w:hint="eastAsia"/>
                      <w:color w:val="auto"/>
                      <w:spacing w:val="-10"/>
                      <w:sz w:val="18"/>
                      <w:szCs w:val="18"/>
                      <w:highlight w:val="none"/>
                    </w:rPr>
                  </w:pPr>
                  <w:r>
                    <w:rPr>
                      <w:rFonts w:hint="eastAsia"/>
                      <w:color w:val="auto"/>
                      <w:spacing w:val="-10"/>
                      <w:sz w:val="18"/>
                      <w:szCs w:val="18"/>
                      <w:highlight w:val="none"/>
                    </w:rPr>
                    <w:t>固体废物</w:t>
                  </w:r>
                </w:p>
              </w:tc>
              <w:tc>
                <w:tcPr>
                  <w:tcW w:w="342" w:type="pct"/>
                  <w:tcBorders>
                    <w:tl2br w:val="nil"/>
                    <w:tr2bl w:val="nil"/>
                  </w:tcBorders>
                  <w:shd w:val="clear" w:color="auto" w:fill="auto"/>
                  <w:vAlign w:val="center"/>
                </w:tcPr>
                <w:p w14:paraId="51815E3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S5</w:t>
                  </w:r>
                </w:p>
              </w:tc>
              <w:tc>
                <w:tcPr>
                  <w:tcW w:w="1012" w:type="pct"/>
                  <w:vMerge w:val="restart"/>
                  <w:tcBorders>
                    <w:tl2br w:val="nil"/>
                    <w:tr2bl w:val="nil"/>
                  </w:tcBorders>
                  <w:vAlign w:val="center"/>
                </w:tcPr>
                <w:p w14:paraId="7F4D1297">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实验过程</w:t>
                  </w:r>
                </w:p>
              </w:tc>
              <w:tc>
                <w:tcPr>
                  <w:tcW w:w="785" w:type="pct"/>
                  <w:tcBorders>
                    <w:tl2br w:val="nil"/>
                    <w:tr2bl w:val="nil"/>
                  </w:tcBorders>
                  <w:vAlign w:val="center"/>
                </w:tcPr>
                <w:p w14:paraId="5E705166">
                  <w:pPr>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实验废液</w:t>
                  </w:r>
                </w:p>
              </w:tc>
              <w:tc>
                <w:tcPr>
                  <w:tcW w:w="1821" w:type="pct"/>
                  <w:vMerge w:val="restart"/>
                  <w:tcBorders>
                    <w:tl2br w:val="nil"/>
                    <w:tr2bl w:val="nil"/>
                  </w:tcBorders>
                  <w:vAlign w:val="center"/>
                </w:tcPr>
                <w:p w14:paraId="7DA2930E">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危险废物暂存间分区暂存，委托有资质单位处置</w:t>
                  </w:r>
                </w:p>
              </w:tc>
              <w:tc>
                <w:tcPr>
                  <w:tcW w:w="527" w:type="pct"/>
                  <w:vMerge w:val="restart"/>
                  <w:tcBorders>
                    <w:tl2br w:val="nil"/>
                    <w:tr2bl w:val="nil"/>
                  </w:tcBorders>
                  <w:vAlign w:val="center"/>
                </w:tcPr>
                <w:p w14:paraId="14E7CCB1">
                  <w:pPr>
                    <w:jc w:val="center"/>
                    <w:rPr>
                      <w:rFonts w:hint="eastAsia"/>
                      <w:color w:val="auto"/>
                      <w:spacing w:val="-10"/>
                      <w:sz w:val="18"/>
                      <w:szCs w:val="18"/>
                      <w:highlight w:val="none"/>
                    </w:rPr>
                  </w:pPr>
                  <w:r>
                    <w:rPr>
                      <w:rFonts w:hint="eastAsia"/>
                      <w:color w:val="auto"/>
                      <w:spacing w:val="-10"/>
                      <w:sz w:val="18"/>
                      <w:szCs w:val="18"/>
                      <w:highlight w:val="none"/>
                    </w:rPr>
                    <w:t>全部综合利用或妥善处置</w:t>
                  </w:r>
                  <w:r>
                    <w:rPr>
                      <w:rFonts w:hint="eastAsia"/>
                      <w:color w:val="auto"/>
                      <w:spacing w:val="-10"/>
                      <w:sz w:val="18"/>
                      <w:szCs w:val="18"/>
                      <w:highlight w:val="none"/>
                      <w:lang w:eastAsia="zh-CN"/>
                    </w:rPr>
                    <w:t>，</w:t>
                  </w:r>
                  <w:r>
                    <w:rPr>
                      <w:rFonts w:hint="eastAsia"/>
                      <w:color w:val="auto"/>
                      <w:spacing w:val="-10"/>
                      <w:sz w:val="18"/>
                      <w:szCs w:val="18"/>
                      <w:highlight w:val="none"/>
                      <w:lang w:val="en-US" w:eastAsia="zh-CN"/>
                    </w:rPr>
                    <w:t>不外排</w:t>
                  </w:r>
                </w:p>
              </w:tc>
            </w:tr>
            <w:tr w14:paraId="114AA7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3A31507E">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0383188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S6</w:t>
                  </w:r>
                </w:p>
              </w:tc>
              <w:tc>
                <w:tcPr>
                  <w:tcW w:w="1012" w:type="pct"/>
                  <w:vMerge w:val="continue"/>
                  <w:tcBorders>
                    <w:tl2br w:val="nil"/>
                    <w:tr2bl w:val="nil"/>
                  </w:tcBorders>
                  <w:vAlign w:val="center"/>
                </w:tcPr>
                <w:p w14:paraId="34D72740">
                  <w:pPr>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vAlign w:val="center"/>
                </w:tcPr>
                <w:p w14:paraId="0463591B">
                  <w:pPr>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实验残渣及残留样品</w:t>
                  </w:r>
                </w:p>
              </w:tc>
              <w:tc>
                <w:tcPr>
                  <w:tcW w:w="1821" w:type="pct"/>
                  <w:vMerge w:val="continue"/>
                  <w:tcBorders>
                    <w:tl2br w:val="nil"/>
                    <w:tr2bl w:val="nil"/>
                  </w:tcBorders>
                  <w:vAlign w:val="center"/>
                </w:tcPr>
                <w:p w14:paraId="7738E595">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68512AF3">
                  <w:pPr>
                    <w:jc w:val="center"/>
                    <w:rPr>
                      <w:rFonts w:hint="eastAsia"/>
                      <w:color w:val="auto"/>
                      <w:spacing w:val="-10"/>
                      <w:sz w:val="18"/>
                      <w:szCs w:val="18"/>
                      <w:highlight w:val="none"/>
                    </w:rPr>
                  </w:pPr>
                </w:p>
              </w:tc>
            </w:tr>
            <w:tr w14:paraId="03324C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511" w:type="pct"/>
                  <w:vMerge w:val="continue"/>
                  <w:tcBorders>
                    <w:tl2br w:val="nil"/>
                    <w:tr2bl w:val="nil"/>
                  </w:tcBorders>
                  <w:vAlign w:val="center"/>
                </w:tcPr>
                <w:p w14:paraId="49BA2A72">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4DA25A5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S7</w:t>
                  </w:r>
                </w:p>
              </w:tc>
              <w:tc>
                <w:tcPr>
                  <w:tcW w:w="1012" w:type="pct"/>
                  <w:vMerge w:val="continue"/>
                  <w:tcBorders>
                    <w:tl2br w:val="nil"/>
                    <w:tr2bl w:val="nil"/>
                  </w:tcBorders>
                  <w:vAlign w:val="center"/>
                </w:tcPr>
                <w:p w14:paraId="6C9488BD">
                  <w:pPr>
                    <w:jc w:val="center"/>
                    <w:rPr>
                      <w:rFonts w:hint="eastAsia"/>
                      <w:color w:val="auto"/>
                      <w:spacing w:val="-10"/>
                      <w:sz w:val="18"/>
                      <w:szCs w:val="18"/>
                      <w:highlight w:val="none"/>
                      <w:lang w:val="en-US" w:eastAsia="zh-CN"/>
                    </w:rPr>
                  </w:pPr>
                </w:p>
              </w:tc>
              <w:tc>
                <w:tcPr>
                  <w:tcW w:w="785" w:type="pct"/>
                  <w:tcBorders>
                    <w:tl2br w:val="nil"/>
                    <w:tr2bl w:val="nil"/>
                  </w:tcBorders>
                  <w:vAlign w:val="center"/>
                </w:tcPr>
                <w:p w14:paraId="27FD44FF">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过期试剂药品</w:t>
                  </w:r>
                </w:p>
              </w:tc>
              <w:tc>
                <w:tcPr>
                  <w:tcW w:w="1821" w:type="pct"/>
                  <w:vMerge w:val="continue"/>
                  <w:tcBorders>
                    <w:tl2br w:val="nil"/>
                    <w:tr2bl w:val="nil"/>
                  </w:tcBorders>
                  <w:vAlign w:val="center"/>
                </w:tcPr>
                <w:p w14:paraId="23501734">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2F258557">
                  <w:pPr>
                    <w:jc w:val="center"/>
                    <w:rPr>
                      <w:rFonts w:hint="eastAsia"/>
                      <w:color w:val="auto"/>
                      <w:spacing w:val="-10"/>
                      <w:sz w:val="18"/>
                      <w:szCs w:val="18"/>
                      <w:highlight w:val="none"/>
                    </w:rPr>
                  </w:pPr>
                </w:p>
              </w:tc>
            </w:tr>
            <w:tr w14:paraId="150168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2B0543DF">
                  <w:pPr>
                    <w:jc w:val="center"/>
                    <w:rPr>
                      <w:rFonts w:hint="eastAsia"/>
                      <w:color w:val="auto"/>
                      <w:spacing w:val="-10"/>
                      <w:sz w:val="18"/>
                      <w:szCs w:val="18"/>
                      <w:highlight w:val="none"/>
                    </w:rPr>
                  </w:pPr>
                </w:p>
              </w:tc>
              <w:tc>
                <w:tcPr>
                  <w:tcW w:w="342" w:type="pct"/>
                  <w:tcBorders>
                    <w:tl2br w:val="nil"/>
                    <w:tr2bl w:val="nil"/>
                  </w:tcBorders>
                  <w:shd w:val="clear" w:color="auto" w:fill="auto"/>
                  <w:vAlign w:val="center"/>
                </w:tcPr>
                <w:p w14:paraId="35921762">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S8</w:t>
                  </w:r>
                </w:p>
              </w:tc>
              <w:tc>
                <w:tcPr>
                  <w:tcW w:w="1012" w:type="pct"/>
                  <w:vMerge w:val="continue"/>
                  <w:tcBorders>
                    <w:tl2br w:val="nil"/>
                    <w:tr2bl w:val="nil"/>
                  </w:tcBorders>
                  <w:shd w:val="clear" w:color="auto" w:fill="auto"/>
                  <w:vAlign w:val="center"/>
                </w:tcPr>
                <w:p w14:paraId="6CF180A7">
                  <w:pPr>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785" w:type="pct"/>
                  <w:tcBorders>
                    <w:tl2br w:val="nil"/>
                    <w:tr2bl w:val="nil"/>
                  </w:tcBorders>
                  <w:shd w:val="clear" w:color="auto" w:fill="auto"/>
                  <w:vAlign w:val="center"/>
                </w:tcPr>
                <w:p w14:paraId="22BAA30F">
                  <w:pPr>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废实验药品包装物</w:t>
                  </w:r>
                </w:p>
              </w:tc>
              <w:tc>
                <w:tcPr>
                  <w:tcW w:w="1821" w:type="pct"/>
                  <w:vMerge w:val="continue"/>
                  <w:tcBorders>
                    <w:tl2br w:val="nil"/>
                    <w:tr2bl w:val="nil"/>
                  </w:tcBorders>
                  <w:vAlign w:val="center"/>
                </w:tcPr>
                <w:p w14:paraId="32B2C742">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072670E">
                  <w:pPr>
                    <w:jc w:val="center"/>
                    <w:rPr>
                      <w:rFonts w:hint="eastAsia"/>
                      <w:color w:val="auto"/>
                      <w:spacing w:val="-10"/>
                      <w:sz w:val="18"/>
                      <w:szCs w:val="18"/>
                      <w:highlight w:val="none"/>
                    </w:rPr>
                  </w:pPr>
                </w:p>
              </w:tc>
            </w:tr>
            <w:tr w14:paraId="12ED001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76" w:hRule="exact"/>
                <w:jc w:val="center"/>
              </w:trPr>
              <w:tc>
                <w:tcPr>
                  <w:tcW w:w="511" w:type="pct"/>
                  <w:vMerge w:val="continue"/>
                  <w:tcBorders>
                    <w:tl2br w:val="nil"/>
                    <w:tr2bl w:val="nil"/>
                  </w:tcBorders>
                  <w:vAlign w:val="center"/>
                </w:tcPr>
                <w:p w14:paraId="51D2E138">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25898AC0">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S9</w:t>
                  </w:r>
                </w:p>
              </w:tc>
              <w:tc>
                <w:tcPr>
                  <w:tcW w:w="1012" w:type="pct"/>
                  <w:vMerge w:val="continue"/>
                  <w:tcBorders>
                    <w:tl2br w:val="nil"/>
                    <w:tr2bl w:val="nil"/>
                  </w:tcBorders>
                  <w:vAlign w:val="center"/>
                </w:tcPr>
                <w:p w14:paraId="78663B97">
                  <w:pPr>
                    <w:jc w:val="center"/>
                    <w:rPr>
                      <w:rFonts w:hint="default" w:ascii="Times New Roman" w:hAnsi="Times New Roman" w:eastAsia="宋体" w:cs="Times New Roman"/>
                      <w:color w:val="auto"/>
                      <w:spacing w:val="-10"/>
                      <w:sz w:val="18"/>
                      <w:szCs w:val="18"/>
                      <w:highlight w:val="none"/>
                      <w:lang w:val="en-US" w:eastAsia="zh-CN"/>
                    </w:rPr>
                  </w:pPr>
                </w:p>
              </w:tc>
              <w:tc>
                <w:tcPr>
                  <w:tcW w:w="785" w:type="pct"/>
                  <w:tcBorders>
                    <w:tl2br w:val="nil"/>
                    <w:tr2bl w:val="nil"/>
                  </w:tcBorders>
                  <w:vAlign w:val="center"/>
                </w:tcPr>
                <w:p w14:paraId="378C478E">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废弃的一次性实验用品</w:t>
                  </w:r>
                </w:p>
                <w:p w14:paraId="33A2F302">
                  <w:pPr>
                    <w:jc w:val="center"/>
                    <w:rPr>
                      <w:rFonts w:hint="default"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04B01768">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1EF48A7">
                  <w:pPr>
                    <w:spacing w:line="0" w:lineRule="atLeast"/>
                    <w:jc w:val="center"/>
                    <w:rPr>
                      <w:rFonts w:hAnsi="宋体"/>
                      <w:color w:val="auto"/>
                      <w:spacing w:val="-14"/>
                      <w:sz w:val="23"/>
                      <w:szCs w:val="23"/>
                      <w:highlight w:val="none"/>
                    </w:rPr>
                  </w:pPr>
                </w:p>
              </w:tc>
            </w:tr>
            <w:tr w14:paraId="465B0C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728" w:hRule="exact"/>
                <w:jc w:val="center"/>
              </w:trPr>
              <w:tc>
                <w:tcPr>
                  <w:tcW w:w="511" w:type="pct"/>
                  <w:vMerge w:val="continue"/>
                  <w:tcBorders>
                    <w:tl2br w:val="nil"/>
                    <w:tr2bl w:val="nil"/>
                  </w:tcBorders>
                  <w:vAlign w:val="center"/>
                </w:tcPr>
                <w:p w14:paraId="6381681B">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45F3FDE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S10</w:t>
                  </w:r>
                </w:p>
              </w:tc>
              <w:tc>
                <w:tcPr>
                  <w:tcW w:w="1012" w:type="pct"/>
                  <w:vMerge w:val="continue"/>
                  <w:tcBorders>
                    <w:tl2br w:val="nil"/>
                    <w:tr2bl w:val="nil"/>
                  </w:tcBorders>
                  <w:vAlign w:val="center"/>
                </w:tcPr>
                <w:p w14:paraId="354F15F7">
                  <w:pPr>
                    <w:jc w:val="center"/>
                    <w:rPr>
                      <w:rFonts w:hint="eastAsia" w:ascii="Times New Roman" w:hAnsi="Times New Roman" w:eastAsia="宋体" w:cs="Times New Roman"/>
                      <w:color w:val="auto"/>
                      <w:spacing w:val="-10"/>
                      <w:sz w:val="18"/>
                      <w:szCs w:val="18"/>
                      <w:highlight w:val="none"/>
                      <w:lang w:val="en-US" w:eastAsia="zh-CN"/>
                    </w:rPr>
                  </w:pPr>
                </w:p>
              </w:tc>
              <w:tc>
                <w:tcPr>
                  <w:tcW w:w="785" w:type="pct"/>
                  <w:tcBorders>
                    <w:tl2br w:val="nil"/>
                    <w:tr2bl w:val="nil"/>
                  </w:tcBorders>
                  <w:vAlign w:val="center"/>
                </w:tcPr>
                <w:p w14:paraId="3E24F3D3">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含有毒有害物质的废玻璃器皿及玻璃试剂瓶</w:t>
                  </w:r>
                </w:p>
                <w:p w14:paraId="7273F2C3">
                  <w:pPr>
                    <w:jc w:val="center"/>
                    <w:rPr>
                      <w:rFonts w:hint="eastAsia" w:cs="Times New Roman"/>
                      <w:color w:val="auto"/>
                      <w:spacing w:val="-10"/>
                      <w:kern w:val="2"/>
                      <w:sz w:val="18"/>
                      <w:szCs w:val="18"/>
                      <w:highlight w:val="none"/>
                      <w:lang w:val="en-US" w:eastAsia="zh-CN" w:bidi="ar-SA"/>
                    </w:rPr>
                  </w:pPr>
                </w:p>
              </w:tc>
              <w:tc>
                <w:tcPr>
                  <w:tcW w:w="1821" w:type="pct"/>
                  <w:vMerge w:val="continue"/>
                  <w:tcBorders>
                    <w:tl2br w:val="nil"/>
                    <w:tr2bl w:val="nil"/>
                  </w:tcBorders>
                  <w:vAlign w:val="center"/>
                </w:tcPr>
                <w:p w14:paraId="05CF22AE">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09014AC">
                  <w:pPr>
                    <w:spacing w:line="0" w:lineRule="atLeast"/>
                    <w:jc w:val="center"/>
                    <w:rPr>
                      <w:rFonts w:hAnsi="宋体"/>
                      <w:color w:val="auto"/>
                      <w:spacing w:val="-14"/>
                      <w:sz w:val="23"/>
                      <w:szCs w:val="23"/>
                      <w:highlight w:val="none"/>
                    </w:rPr>
                  </w:pPr>
                </w:p>
              </w:tc>
            </w:tr>
            <w:tr w14:paraId="742136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42" w:hRule="exact"/>
                <w:jc w:val="center"/>
              </w:trPr>
              <w:tc>
                <w:tcPr>
                  <w:tcW w:w="511" w:type="pct"/>
                  <w:vMerge w:val="continue"/>
                  <w:tcBorders>
                    <w:tl2br w:val="nil"/>
                    <w:tr2bl w:val="nil"/>
                  </w:tcBorders>
                  <w:vAlign w:val="center"/>
                </w:tcPr>
                <w:p w14:paraId="4F793F39">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3825494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S11</w:t>
                  </w:r>
                </w:p>
              </w:tc>
              <w:tc>
                <w:tcPr>
                  <w:tcW w:w="1012" w:type="pct"/>
                  <w:tcBorders>
                    <w:tl2br w:val="nil"/>
                    <w:tr2bl w:val="nil"/>
                  </w:tcBorders>
                  <w:shd w:val="clear" w:color="auto" w:fill="auto"/>
                  <w:vAlign w:val="center"/>
                </w:tcPr>
                <w:p w14:paraId="7D334F8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活性炭吸附装置</w:t>
                  </w:r>
                </w:p>
              </w:tc>
              <w:tc>
                <w:tcPr>
                  <w:tcW w:w="785" w:type="pct"/>
                  <w:tcBorders>
                    <w:tl2br w:val="nil"/>
                    <w:tr2bl w:val="nil"/>
                  </w:tcBorders>
                  <w:shd w:val="clear" w:color="auto" w:fill="auto"/>
                  <w:vAlign w:val="center"/>
                </w:tcPr>
                <w:p w14:paraId="66F513A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废</w:t>
                  </w:r>
                  <w:r>
                    <w:rPr>
                      <w:rFonts w:hint="eastAsia" w:cs="Times New Roman"/>
                      <w:color w:val="auto"/>
                      <w:spacing w:val="-10"/>
                      <w:sz w:val="18"/>
                      <w:szCs w:val="18"/>
                      <w:highlight w:val="none"/>
                      <w:lang w:val="en-US" w:eastAsia="zh-CN"/>
                    </w:rPr>
                    <w:t>活性炭</w:t>
                  </w:r>
                </w:p>
              </w:tc>
              <w:tc>
                <w:tcPr>
                  <w:tcW w:w="1821" w:type="pct"/>
                  <w:vMerge w:val="continue"/>
                  <w:tcBorders>
                    <w:tl2br w:val="nil"/>
                    <w:tr2bl w:val="nil"/>
                  </w:tcBorders>
                  <w:vAlign w:val="center"/>
                </w:tcPr>
                <w:p w14:paraId="428BB229">
                  <w:pPr>
                    <w:jc w:val="center"/>
                    <w:rPr>
                      <w:rFonts w:hint="eastAsia" w:ascii="Times New Roman" w:hAnsi="Times New Roman" w:eastAsia="宋体" w:cs="Times New Roman"/>
                      <w:color w:val="auto"/>
                      <w:spacing w:val="-10"/>
                      <w:sz w:val="18"/>
                      <w:szCs w:val="18"/>
                      <w:highlight w:val="none"/>
                      <w:lang w:val="en-US" w:eastAsia="zh-CN"/>
                    </w:rPr>
                  </w:pPr>
                </w:p>
              </w:tc>
              <w:tc>
                <w:tcPr>
                  <w:tcW w:w="527" w:type="pct"/>
                  <w:vMerge w:val="continue"/>
                  <w:tcBorders>
                    <w:tl2br w:val="nil"/>
                    <w:tr2bl w:val="nil"/>
                  </w:tcBorders>
                  <w:vAlign w:val="center"/>
                </w:tcPr>
                <w:p w14:paraId="516EC488">
                  <w:pPr>
                    <w:spacing w:line="0" w:lineRule="atLeast"/>
                    <w:jc w:val="center"/>
                    <w:rPr>
                      <w:rFonts w:hAnsi="宋体"/>
                      <w:color w:val="auto"/>
                      <w:spacing w:val="-14"/>
                      <w:sz w:val="23"/>
                      <w:szCs w:val="23"/>
                      <w:highlight w:val="none"/>
                    </w:rPr>
                  </w:pPr>
                </w:p>
              </w:tc>
            </w:tr>
            <w:tr w14:paraId="2A030A5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511" w:type="pct"/>
                  <w:vMerge w:val="continue"/>
                  <w:tcBorders>
                    <w:tl2br w:val="nil"/>
                    <w:tr2bl w:val="nil"/>
                  </w:tcBorders>
                  <w:vAlign w:val="center"/>
                </w:tcPr>
                <w:p w14:paraId="65E4725F">
                  <w:pPr>
                    <w:spacing w:line="0" w:lineRule="atLeast"/>
                    <w:jc w:val="center"/>
                    <w:rPr>
                      <w:rFonts w:hAnsi="宋体"/>
                      <w:color w:val="auto"/>
                      <w:spacing w:val="-14"/>
                      <w:sz w:val="23"/>
                      <w:szCs w:val="23"/>
                      <w:highlight w:val="none"/>
                    </w:rPr>
                  </w:pPr>
                </w:p>
              </w:tc>
              <w:tc>
                <w:tcPr>
                  <w:tcW w:w="342" w:type="pct"/>
                  <w:tcBorders>
                    <w:tl2br w:val="nil"/>
                    <w:tr2bl w:val="nil"/>
                  </w:tcBorders>
                  <w:shd w:val="clear" w:color="auto" w:fill="auto"/>
                  <w:vAlign w:val="center"/>
                </w:tcPr>
                <w:p w14:paraId="4550FD54">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S12</w:t>
                  </w:r>
                </w:p>
              </w:tc>
              <w:tc>
                <w:tcPr>
                  <w:tcW w:w="1012" w:type="pct"/>
                  <w:tcBorders>
                    <w:tl2br w:val="nil"/>
                    <w:tr2bl w:val="nil"/>
                  </w:tcBorders>
                  <w:shd w:val="clear" w:color="auto" w:fill="auto"/>
                  <w:vAlign w:val="center"/>
                </w:tcPr>
                <w:p w14:paraId="6D1C874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职工生活</w:t>
                  </w:r>
                </w:p>
              </w:tc>
              <w:tc>
                <w:tcPr>
                  <w:tcW w:w="785" w:type="pct"/>
                  <w:tcBorders>
                    <w:tl2br w:val="nil"/>
                    <w:tr2bl w:val="nil"/>
                  </w:tcBorders>
                  <w:shd w:val="clear" w:color="auto" w:fill="auto"/>
                  <w:vAlign w:val="center"/>
                </w:tcPr>
                <w:p w14:paraId="0C18F0E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生活垃圾</w:t>
                  </w:r>
                </w:p>
              </w:tc>
              <w:tc>
                <w:tcPr>
                  <w:tcW w:w="1821" w:type="pct"/>
                  <w:tcBorders>
                    <w:tl2br w:val="nil"/>
                    <w:tr2bl w:val="nil"/>
                  </w:tcBorders>
                  <w:shd w:val="clear" w:color="auto" w:fill="auto"/>
                  <w:vAlign w:val="center"/>
                </w:tcPr>
                <w:p w14:paraId="411212AB">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集中收集、定点存放，由环卫部门处理</w:t>
                  </w:r>
                </w:p>
              </w:tc>
              <w:tc>
                <w:tcPr>
                  <w:tcW w:w="527" w:type="pct"/>
                  <w:vMerge w:val="continue"/>
                  <w:tcBorders>
                    <w:tl2br w:val="nil"/>
                    <w:tr2bl w:val="nil"/>
                  </w:tcBorders>
                  <w:vAlign w:val="center"/>
                </w:tcPr>
                <w:p w14:paraId="173EF26E">
                  <w:pPr>
                    <w:spacing w:line="0" w:lineRule="atLeast"/>
                    <w:jc w:val="center"/>
                    <w:rPr>
                      <w:rFonts w:hAnsi="宋体"/>
                      <w:color w:val="auto"/>
                      <w:spacing w:val="-14"/>
                      <w:sz w:val="23"/>
                      <w:szCs w:val="23"/>
                      <w:highlight w:val="none"/>
                    </w:rPr>
                  </w:pPr>
                </w:p>
              </w:tc>
            </w:tr>
          </w:tbl>
          <w:p w14:paraId="489E2CED">
            <w:pPr>
              <w:pStyle w:val="37"/>
              <w:rPr>
                <w:color w:val="auto"/>
                <w:highlight w:val="none"/>
              </w:rPr>
            </w:pPr>
          </w:p>
        </w:tc>
      </w:tr>
      <w:tr w14:paraId="195110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6" w:hRule="atLeast"/>
          <w:jc w:val="center"/>
        </w:trPr>
        <w:tc>
          <w:tcPr>
            <w:tcW w:w="823" w:type="dxa"/>
            <w:vAlign w:val="center"/>
          </w:tcPr>
          <w:p w14:paraId="3031DCFB">
            <w:pPr>
              <w:pStyle w:val="22"/>
              <w:adjustRightInd w:val="0"/>
              <w:snapToGrid w:val="0"/>
              <w:spacing w:before="0" w:beforeAutospacing="0" w:after="0" w:afterAutospacing="0"/>
              <w:jc w:val="center"/>
              <w:rPr>
                <w:rFonts w:cs="宋体"/>
                <w:color w:val="auto"/>
                <w:sz w:val="21"/>
                <w:szCs w:val="21"/>
                <w:highlight w:val="none"/>
              </w:rPr>
            </w:pPr>
            <w:r>
              <w:rPr>
                <w:rFonts w:hint="eastAsia" w:cs="宋体"/>
                <w:bCs/>
                <w:color w:val="auto"/>
                <w:kern w:val="2"/>
                <w:sz w:val="21"/>
                <w:szCs w:val="21"/>
                <w:highlight w:val="none"/>
              </w:rPr>
              <w:t>与项目有关的原有环境污染问题</w:t>
            </w:r>
          </w:p>
        </w:tc>
        <w:tc>
          <w:tcPr>
            <w:tcW w:w="8161" w:type="dxa"/>
            <w:vAlign w:val="center"/>
          </w:tcPr>
          <w:p w14:paraId="560F7EE2">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6626FC46">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7826E483">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547AA51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657D2938">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4801287A">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70F218F0">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0ABF75DA">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7F7F19E0">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p>
          <w:p w14:paraId="0CCF8BA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r>
              <w:rPr>
                <w:rFonts w:ascii="Times New Roman" w:hAnsi="Times New Roman"/>
                <w:color w:val="auto"/>
                <w:sz w:val="21"/>
                <w:szCs w:val="21"/>
              </w:rPr>
              <w:t>本项目为新建项目，不存在与本项目有关的原有环境污染问题</w:t>
            </w:r>
            <w:r>
              <w:rPr>
                <w:rFonts w:hint="eastAsia" w:ascii="Times New Roman" w:hAnsi="Times New Roman"/>
                <w:color w:val="auto"/>
                <w:sz w:val="21"/>
                <w:szCs w:val="21"/>
                <w:lang w:eastAsia="zh-CN"/>
              </w:rPr>
              <w:t>。</w:t>
            </w:r>
          </w:p>
          <w:p w14:paraId="7B6820C1">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0EEF53D6">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63A546C">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69BE171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1D711717">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1D45660">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C703E9C">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7DA5B92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0C849A9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p w14:paraId="1A4C04E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lang w:eastAsia="zh-CN"/>
              </w:rPr>
            </w:pPr>
          </w:p>
        </w:tc>
      </w:tr>
    </w:tbl>
    <w:p w14:paraId="4A4ED4FC">
      <w:pPr>
        <w:pStyle w:val="22"/>
        <w:jc w:val="center"/>
        <w:rPr>
          <w:rFonts w:ascii="黑体" w:hAnsi="黑体" w:eastAsia="黑体"/>
          <w:snapToGrid w:val="0"/>
          <w:color w:val="auto"/>
          <w:sz w:val="36"/>
          <w:szCs w:val="36"/>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79131E4B">
      <w:pPr>
        <w:pStyle w:val="22"/>
        <w:adjustRightInd w:val="0"/>
        <w:snapToGrid w:val="0"/>
        <w:spacing w:before="0" w:beforeAutospacing="0" w:after="0" w:afterAutospacing="0" w:line="14" w:lineRule="auto"/>
        <w:jc w:val="center"/>
        <w:rPr>
          <w:rFonts w:ascii="黑体" w:hAnsi="黑体" w:eastAsia="黑体"/>
          <w:snapToGrid w:val="0"/>
          <w:color w:val="auto"/>
          <w:sz w:val="30"/>
          <w:szCs w:val="30"/>
          <w:highlight w:val="none"/>
        </w:rPr>
      </w:pPr>
    </w:p>
    <w:p w14:paraId="0A16B8D3">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三、区域环境质量现状、环境保护目标及评价标准</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14:paraId="2044E8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800" w:type="dxa"/>
            <w:vAlign w:val="center"/>
          </w:tcPr>
          <w:p w14:paraId="7C89D2D8">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区域</w:t>
            </w:r>
          </w:p>
          <w:p w14:paraId="4262EAF5">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环境</w:t>
            </w:r>
          </w:p>
          <w:p w14:paraId="4A80F5F5">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质量</w:t>
            </w:r>
          </w:p>
          <w:p w14:paraId="5504CEB6">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现状</w:t>
            </w:r>
          </w:p>
        </w:tc>
        <w:tc>
          <w:tcPr>
            <w:tcW w:w="8190" w:type="dxa"/>
            <w:vAlign w:val="center"/>
          </w:tcPr>
          <w:p w14:paraId="6694C8A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w:t>
            </w:r>
            <w:r>
              <w:rPr>
                <w:rFonts w:ascii="Times New Roman" w:hAnsi="Times New Roman"/>
                <w:b/>
                <w:color w:val="auto"/>
                <w:sz w:val="21"/>
                <w:szCs w:val="21"/>
                <w:highlight w:val="none"/>
              </w:rPr>
              <w:t>环境空气</w:t>
            </w:r>
          </w:p>
          <w:p w14:paraId="3B91CCE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（1）基本污染物环境质量现状</w:t>
            </w:r>
          </w:p>
          <w:p w14:paraId="5C1DAA58">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本项目基本染物环境质量现状数据使用</w:t>
            </w:r>
            <w:r>
              <w:rPr>
                <w:rFonts w:hint="eastAsia" w:ascii="Times New Roman" w:hAnsi="Times New Roman" w:eastAsia="宋体" w:cs="Times New Roman"/>
                <w:color w:val="auto"/>
                <w:sz w:val="21"/>
                <w:szCs w:val="21"/>
                <w:highlight w:val="none"/>
                <w:lang w:val="en-US" w:eastAsia="zh-CN"/>
              </w:rPr>
              <w:t>河北省</w:t>
            </w:r>
            <w:r>
              <w:rPr>
                <w:rFonts w:hint="eastAsia" w:ascii="Times New Roman" w:hAnsi="Times New Roman" w:eastAsia="宋体" w:cs="Times New Roman"/>
                <w:color w:val="auto"/>
                <w:sz w:val="21"/>
                <w:szCs w:val="21"/>
                <w:highlight w:val="none"/>
              </w:rPr>
              <w:t>生态环境</w:t>
            </w:r>
            <w:r>
              <w:rPr>
                <w:rFonts w:hint="eastAsia" w:ascii="Times New Roman" w:hAnsi="Times New Roman" w:eastAsia="宋体" w:cs="Times New Roman"/>
                <w:color w:val="auto"/>
                <w:sz w:val="21"/>
                <w:szCs w:val="21"/>
                <w:highlight w:val="none"/>
                <w:lang w:val="en-US" w:eastAsia="zh-CN"/>
              </w:rPr>
              <w:t>厅</w:t>
            </w:r>
            <w:r>
              <w:rPr>
                <w:rFonts w:hint="eastAsia" w:ascii="Times New Roman" w:hAnsi="Times New Roman" w:eastAsia="宋体" w:cs="Times New Roman"/>
                <w:color w:val="auto"/>
                <w:sz w:val="21"/>
                <w:szCs w:val="21"/>
                <w:highlight w:val="none"/>
              </w:rPr>
              <w:t>发布的《202</w:t>
            </w:r>
            <w:r>
              <w:rPr>
                <w:rFonts w:hint="eastAsia" w:ascii="Times New Roman" w:hAnsi="Times New Roman" w:eastAsia="宋体"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rPr>
              <w:t>年</w:t>
            </w:r>
            <w:r>
              <w:rPr>
                <w:rFonts w:hint="eastAsia" w:ascii="Times New Roman" w:hAnsi="Times New Roman" w:eastAsia="宋体" w:cs="Times New Roman"/>
                <w:color w:val="auto"/>
                <w:sz w:val="21"/>
                <w:szCs w:val="21"/>
                <w:highlight w:val="none"/>
                <w:lang w:val="en-US" w:eastAsia="zh-CN"/>
              </w:rPr>
              <w:t>河北省生态</w:t>
            </w:r>
            <w:r>
              <w:rPr>
                <w:rFonts w:hint="eastAsia" w:ascii="Times New Roman" w:hAnsi="Times New Roman" w:eastAsia="宋体" w:cs="Times New Roman"/>
                <w:color w:val="auto"/>
                <w:sz w:val="21"/>
                <w:szCs w:val="21"/>
                <w:highlight w:val="none"/>
              </w:rPr>
              <w:t>环境状况公报》中对</w:t>
            </w:r>
            <w:r>
              <w:rPr>
                <w:rFonts w:hint="eastAsia" w:ascii="Times New Roman" w:hAnsi="Times New Roman" w:eastAsia="宋体" w:cs="Times New Roman"/>
                <w:color w:val="auto"/>
                <w:sz w:val="21"/>
                <w:szCs w:val="21"/>
                <w:highlight w:val="none"/>
                <w:lang w:val="en-US" w:eastAsia="zh-CN"/>
              </w:rPr>
              <w:t>唐山市</w:t>
            </w:r>
            <w:r>
              <w:rPr>
                <w:rFonts w:hint="eastAsia" w:ascii="Times New Roman" w:hAnsi="Times New Roman" w:eastAsia="宋体" w:cs="Times New Roman"/>
                <w:color w:val="auto"/>
                <w:sz w:val="21"/>
                <w:szCs w:val="21"/>
                <w:highlight w:val="none"/>
              </w:rPr>
              <w:t>的监测数据</w:t>
            </w:r>
            <w:r>
              <w:rPr>
                <w:rFonts w:hint="eastAsia" w:ascii="Times New Roman" w:hAnsi="Times New Roman" w:eastAsia="宋体" w:cs="Times New Roman"/>
                <w:color w:val="auto"/>
                <w:sz w:val="21"/>
                <w:szCs w:val="21"/>
                <w:highlight w:val="none"/>
                <w:lang w:val="en-US" w:eastAsia="zh-CN"/>
              </w:rPr>
              <w:t>进行判定</w:t>
            </w:r>
            <w:r>
              <w:rPr>
                <w:rFonts w:hint="eastAsia" w:ascii="Times New Roman" w:hAnsi="Times New Roman" w:eastAsia="宋体" w:cs="Times New Roman"/>
                <w:color w:val="auto"/>
                <w:sz w:val="21"/>
                <w:szCs w:val="21"/>
                <w:highlight w:val="none"/>
              </w:rPr>
              <w:t>，具体情况见下表</w:t>
            </w:r>
            <w:r>
              <w:rPr>
                <w:rFonts w:hint="eastAsia"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rPr>
              <w:t>。</w:t>
            </w:r>
          </w:p>
          <w:p w14:paraId="2DE40F14">
            <w:pPr>
              <w:tabs>
                <w:tab w:val="left" w:pos="4253"/>
              </w:tabs>
              <w:spacing w:line="440" w:lineRule="exact"/>
              <w:jc w:val="center"/>
              <w:rPr>
                <w:b/>
                <w:color w:val="auto"/>
                <w:szCs w:val="21"/>
                <w:highlight w:val="none"/>
                <w:lang w:bidi="ar"/>
              </w:rPr>
            </w:pPr>
            <w:r>
              <w:rPr>
                <w:b/>
                <w:color w:val="auto"/>
                <w:szCs w:val="21"/>
                <w:highlight w:val="none"/>
                <w:lang w:bidi="ar"/>
              </w:rPr>
              <w:t>表</w:t>
            </w:r>
            <w:r>
              <w:rPr>
                <w:rFonts w:hint="eastAsia"/>
                <w:b/>
                <w:color w:val="auto"/>
                <w:szCs w:val="21"/>
                <w:highlight w:val="none"/>
                <w:lang w:val="en-US" w:eastAsia="zh-CN" w:bidi="ar"/>
              </w:rPr>
              <w:t>12</w:t>
            </w:r>
            <w:r>
              <w:rPr>
                <w:b/>
                <w:color w:val="auto"/>
                <w:szCs w:val="21"/>
                <w:highlight w:val="none"/>
                <w:lang w:bidi="ar"/>
              </w:rPr>
              <w:t xml:space="preserve">  202</w:t>
            </w:r>
            <w:r>
              <w:rPr>
                <w:rFonts w:hint="eastAsia"/>
                <w:b/>
                <w:color w:val="auto"/>
                <w:szCs w:val="21"/>
                <w:highlight w:val="none"/>
                <w:lang w:val="en-US" w:eastAsia="zh-CN" w:bidi="ar"/>
              </w:rPr>
              <w:t>3</w:t>
            </w:r>
            <w:r>
              <w:rPr>
                <w:b/>
                <w:color w:val="auto"/>
                <w:szCs w:val="21"/>
                <w:highlight w:val="none"/>
                <w:lang w:bidi="ar"/>
              </w:rPr>
              <w:t>年</w:t>
            </w:r>
            <w:r>
              <w:rPr>
                <w:rFonts w:hint="eastAsia"/>
                <w:b/>
                <w:color w:val="auto"/>
                <w:szCs w:val="21"/>
                <w:highlight w:val="none"/>
                <w:lang w:bidi="ar"/>
              </w:rPr>
              <w:t>唐山市</w:t>
            </w:r>
            <w:r>
              <w:rPr>
                <w:b/>
                <w:color w:val="auto"/>
                <w:szCs w:val="21"/>
                <w:highlight w:val="none"/>
                <w:lang w:bidi="ar"/>
              </w:rPr>
              <w:t>环境空气质量监测结果</w:t>
            </w:r>
          </w:p>
          <w:tbl>
            <w:tblPr>
              <w:tblStyle w:val="26"/>
              <w:tblW w:w="4998"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15" w:type="dxa"/>
                <w:left w:w="15" w:type="dxa"/>
                <w:bottom w:w="15" w:type="dxa"/>
                <w:right w:w="15" w:type="dxa"/>
              </w:tblCellMar>
            </w:tblPr>
            <w:tblGrid>
              <w:gridCol w:w="854"/>
              <w:gridCol w:w="2642"/>
              <w:gridCol w:w="1269"/>
              <w:gridCol w:w="1210"/>
              <w:gridCol w:w="898"/>
              <w:gridCol w:w="1098"/>
            </w:tblGrid>
            <w:tr w14:paraId="138111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585" w:hRule="atLeast"/>
              </w:trPr>
              <w:tc>
                <w:tcPr>
                  <w:tcW w:w="535" w:type="pct"/>
                  <w:vAlign w:val="center"/>
                </w:tcPr>
                <w:p w14:paraId="126B12EF">
                  <w:pPr>
                    <w:jc w:val="center"/>
                    <w:rPr>
                      <w:color w:val="auto"/>
                      <w:sz w:val="18"/>
                      <w:szCs w:val="18"/>
                      <w:highlight w:val="none"/>
                    </w:rPr>
                  </w:pPr>
                  <w:r>
                    <w:rPr>
                      <w:color w:val="auto"/>
                      <w:sz w:val="18"/>
                      <w:szCs w:val="18"/>
                      <w:highlight w:val="none"/>
                    </w:rPr>
                    <w:t>污染物</w:t>
                  </w:r>
                </w:p>
              </w:tc>
              <w:tc>
                <w:tcPr>
                  <w:tcW w:w="1656" w:type="pct"/>
                  <w:vAlign w:val="center"/>
                </w:tcPr>
                <w:p w14:paraId="6B89A349">
                  <w:pPr>
                    <w:jc w:val="center"/>
                    <w:rPr>
                      <w:color w:val="auto"/>
                      <w:sz w:val="18"/>
                      <w:szCs w:val="18"/>
                      <w:highlight w:val="none"/>
                    </w:rPr>
                  </w:pPr>
                  <w:r>
                    <w:rPr>
                      <w:color w:val="auto"/>
                      <w:sz w:val="18"/>
                      <w:szCs w:val="18"/>
                      <w:highlight w:val="none"/>
                    </w:rPr>
                    <w:t>年评价指标</w:t>
                  </w:r>
                </w:p>
              </w:tc>
              <w:tc>
                <w:tcPr>
                  <w:tcW w:w="796" w:type="pct"/>
                  <w:vAlign w:val="center"/>
                </w:tcPr>
                <w:p w14:paraId="67557003">
                  <w:pPr>
                    <w:jc w:val="center"/>
                    <w:rPr>
                      <w:color w:val="auto"/>
                      <w:sz w:val="18"/>
                      <w:szCs w:val="18"/>
                      <w:highlight w:val="none"/>
                    </w:rPr>
                  </w:pPr>
                  <w:r>
                    <w:rPr>
                      <w:color w:val="auto"/>
                      <w:sz w:val="18"/>
                      <w:szCs w:val="18"/>
                      <w:highlight w:val="none"/>
                    </w:rPr>
                    <w:t>现状浓度/（µg/m</w:t>
                  </w:r>
                  <w:r>
                    <w:rPr>
                      <w:color w:val="auto"/>
                      <w:sz w:val="18"/>
                      <w:szCs w:val="18"/>
                      <w:highlight w:val="none"/>
                      <w:vertAlign w:val="superscript"/>
                    </w:rPr>
                    <w:t>3</w:t>
                  </w:r>
                  <w:r>
                    <w:rPr>
                      <w:color w:val="auto"/>
                      <w:sz w:val="18"/>
                      <w:szCs w:val="18"/>
                      <w:highlight w:val="none"/>
                    </w:rPr>
                    <w:t>）</w:t>
                  </w:r>
                </w:p>
              </w:tc>
              <w:tc>
                <w:tcPr>
                  <w:tcW w:w="759" w:type="pct"/>
                  <w:vAlign w:val="center"/>
                </w:tcPr>
                <w:p w14:paraId="19CD26DE">
                  <w:pPr>
                    <w:jc w:val="center"/>
                    <w:rPr>
                      <w:color w:val="auto"/>
                      <w:sz w:val="18"/>
                      <w:szCs w:val="18"/>
                      <w:highlight w:val="none"/>
                    </w:rPr>
                  </w:pPr>
                  <w:r>
                    <w:rPr>
                      <w:color w:val="auto"/>
                      <w:sz w:val="18"/>
                      <w:szCs w:val="18"/>
                      <w:highlight w:val="none"/>
                    </w:rPr>
                    <w:t>标准值/（µg/m</w:t>
                  </w:r>
                  <w:r>
                    <w:rPr>
                      <w:color w:val="auto"/>
                      <w:sz w:val="18"/>
                      <w:szCs w:val="18"/>
                      <w:highlight w:val="none"/>
                      <w:vertAlign w:val="superscript"/>
                    </w:rPr>
                    <w:t>3</w:t>
                  </w:r>
                  <w:r>
                    <w:rPr>
                      <w:color w:val="auto"/>
                      <w:sz w:val="18"/>
                      <w:szCs w:val="18"/>
                      <w:highlight w:val="none"/>
                    </w:rPr>
                    <w:t>）</w:t>
                  </w:r>
                </w:p>
              </w:tc>
              <w:tc>
                <w:tcPr>
                  <w:tcW w:w="563" w:type="pct"/>
                  <w:vAlign w:val="center"/>
                </w:tcPr>
                <w:p w14:paraId="2A5C1694">
                  <w:pPr>
                    <w:jc w:val="center"/>
                    <w:rPr>
                      <w:color w:val="auto"/>
                      <w:sz w:val="18"/>
                      <w:szCs w:val="18"/>
                      <w:highlight w:val="none"/>
                    </w:rPr>
                  </w:pPr>
                  <w:r>
                    <w:rPr>
                      <w:color w:val="auto"/>
                      <w:sz w:val="18"/>
                      <w:szCs w:val="18"/>
                      <w:highlight w:val="none"/>
                    </w:rPr>
                    <w:t>占标率/%</w:t>
                  </w:r>
                </w:p>
              </w:tc>
              <w:tc>
                <w:tcPr>
                  <w:tcW w:w="689" w:type="pct"/>
                  <w:vAlign w:val="center"/>
                </w:tcPr>
                <w:p w14:paraId="1CA31E4D">
                  <w:pPr>
                    <w:jc w:val="center"/>
                    <w:rPr>
                      <w:color w:val="auto"/>
                      <w:sz w:val="18"/>
                      <w:szCs w:val="18"/>
                      <w:highlight w:val="none"/>
                    </w:rPr>
                  </w:pPr>
                  <w:r>
                    <w:rPr>
                      <w:color w:val="auto"/>
                      <w:sz w:val="18"/>
                      <w:szCs w:val="18"/>
                      <w:highlight w:val="none"/>
                    </w:rPr>
                    <w:t>达标情况</w:t>
                  </w:r>
                </w:p>
              </w:tc>
            </w:tr>
            <w:tr w14:paraId="2543C8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0EE89489">
                  <w:pPr>
                    <w:jc w:val="center"/>
                    <w:rPr>
                      <w:color w:val="auto"/>
                      <w:sz w:val="18"/>
                      <w:szCs w:val="18"/>
                      <w:highlight w:val="none"/>
                    </w:rPr>
                  </w:pPr>
                  <w:r>
                    <w:rPr>
                      <w:color w:val="auto"/>
                      <w:sz w:val="18"/>
                      <w:szCs w:val="18"/>
                      <w:highlight w:val="none"/>
                    </w:rPr>
                    <w:t>SO</w:t>
                  </w:r>
                  <w:r>
                    <w:rPr>
                      <w:color w:val="auto"/>
                      <w:sz w:val="18"/>
                      <w:szCs w:val="18"/>
                      <w:highlight w:val="none"/>
                      <w:vertAlign w:val="subscript"/>
                    </w:rPr>
                    <w:t>2</w:t>
                  </w:r>
                </w:p>
              </w:tc>
              <w:tc>
                <w:tcPr>
                  <w:tcW w:w="1656" w:type="pct"/>
                  <w:vAlign w:val="center"/>
                </w:tcPr>
                <w:p w14:paraId="1F86B363">
                  <w:pPr>
                    <w:jc w:val="center"/>
                    <w:rPr>
                      <w:color w:val="auto"/>
                      <w:sz w:val="18"/>
                      <w:szCs w:val="18"/>
                      <w:highlight w:val="none"/>
                    </w:rPr>
                  </w:pPr>
                  <w:r>
                    <w:rPr>
                      <w:color w:val="auto"/>
                      <w:sz w:val="18"/>
                      <w:szCs w:val="18"/>
                      <w:highlight w:val="none"/>
                    </w:rPr>
                    <w:t>年平均质量浓度</w:t>
                  </w:r>
                </w:p>
              </w:tc>
              <w:tc>
                <w:tcPr>
                  <w:tcW w:w="796" w:type="pct"/>
                  <w:vAlign w:val="center"/>
                </w:tcPr>
                <w:p w14:paraId="00C0624F">
                  <w:pPr>
                    <w:jc w:val="center"/>
                    <w:rPr>
                      <w:rFonts w:hint="eastAsia" w:eastAsia="宋体"/>
                      <w:color w:val="auto"/>
                      <w:sz w:val="18"/>
                      <w:szCs w:val="18"/>
                      <w:highlight w:val="none"/>
                      <w:lang w:eastAsia="zh-CN"/>
                    </w:rPr>
                  </w:pPr>
                  <w:r>
                    <w:rPr>
                      <w:rFonts w:hint="eastAsia"/>
                      <w:color w:val="auto"/>
                      <w:sz w:val="18"/>
                      <w:szCs w:val="18"/>
                      <w:highlight w:val="none"/>
                      <w:lang w:val="en-US" w:eastAsia="zh-CN"/>
                    </w:rPr>
                    <w:t>7</w:t>
                  </w:r>
                </w:p>
              </w:tc>
              <w:tc>
                <w:tcPr>
                  <w:tcW w:w="759" w:type="pct"/>
                  <w:vAlign w:val="center"/>
                </w:tcPr>
                <w:p w14:paraId="3868259F">
                  <w:pPr>
                    <w:jc w:val="center"/>
                    <w:rPr>
                      <w:color w:val="auto"/>
                      <w:sz w:val="18"/>
                      <w:szCs w:val="18"/>
                      <w:highlight w:val="none"/>
                    </w:rPr>
                  </w:pPr>
                  <w:r>
                    <w:rPr>
                      <w:color w:val="auto"/>
                      <w:sz w:val="18"/>
                      <w:szCs w:val="18"/>
                      <w:highlight w:val="none"/>
                    </w:rPr>
                    <w:t>60</w:t>
                  </w:r>
                </w:p>
              </w:tc>
              <w:tc>
                <w:tcPr>
                  <w:tcW w:w="899" w:type="dxa"/>
                  <w:vAlign w:val="center"/>
                </w:tcPr>
                <w:p w14:paraId="57E3EDB9">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11.67</w:t>
                  </w:r>
                </w:p>
              </w:tc>
              <w:tc>
                <w:tcPr>
                  <w:tcW w:w="689" w:type="pct"/>
                  <w:vAlign w:val="center"/>
                </w:tcPr>
                <w:p w14:paraId="44CF52C2">
                  <w:pPr>
                    <w:jc w:val="center"/>
                    <w:rPr>
                      <w:color w:val="auto"/>
                      <w:sz w:val="18"/>
                      <w:szCs w:val="18"/>
                      <w:highlight w:val="none"/>
                    </w:rPr>
                  </w:pPr>
                  <w:r>
                    <w:rPr>
                      <w:color w:val="auto"/>
                      <w:sz w:val="18"/>
                      <w:szCs w:val="18"/>
                      <w:highlight w:val="none"/>
                    </w:rPr>
                    <w:t>达标</w:t>
                  </w:r>
                </w:p>
              </w:tc>
            </w:tr>
            <w:tr w14:paraId="4E60C0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5DFCB65C">
                  <w:pPr>
                    <w:jc w:val="center"/>
                    <w:rPr>
                      <w:color w:val="auto"/>
                      <w:sz w:val="18"/>
                      <w:szCs w:val="18"/>
                      <w:highlight w:val="none"/>
                    </w:rPr>
                  </w:pPr>
                  <w:r>
                    <w:rPr>
                      <w:color w:val="auto"/>
                      <w:sz w:val="18"/>
                      <w:szCs w:val="18"/>
                      <w:highlight w:val="none"/>
                    </w:rPr>
                    <w:t>NO</w:t>
                  </w:r>
                  <w:r>
                    <w:rPr>
                      <w:color w:val="auto"/>
                      <w:sz w:val="18"/>
                      <w:szCs w:val="18"/>
                      <w:highlight w:val="none"/>
                      <w:vertAlign w:val="subscript"/>
                    </w:rPr>
                    <w:t>2</w:t>
                  </w:r>
                </w:p>
              </w:tc>
              <w:tc>
                <w:tcPr>
                  <w:tcW w:w="1656" w:type="pct"/>
                  <w:vAlign w:val="center"/>
                </w:tcPr>
                <w:p w14:paraId="4074E055">
                  <w:pPr>
                    <w:jc w:val="center"/>
                    <w:rPr>
                      <w:color w:val="auto"/>
                      <w:sz w:val="18"/>
                      <w:szCs w:val="18"/>
                      <w:highlight w:val="none"/>
                    </w:rPr>
                  </w:pPr>
                  <w:r>
                    <w:rPr>
                      <w:color w:val="auto"/>
                      <w:sz w:val="18"/>
                      <w:szCs w:val="18"/>
                      <w:highlight w:val="none"/>
                    </w:rPr>
                    <w:t>年平均质量浓度</w:t>
                  </w:r>
                </w:p>
              </w:tc>
              <w:tc>
                <w:tcPr>
                  <w:tcW w:w="796" w:type="pct"/>
                  <w:vAlign w:val="center"/>
                </w:tcPr>
                <w:p w14:paraId="2AD3A994">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33</w:t>
                  </w:r>
                </w:p>
              </w:tc>
              <w:tc>
                <w:tcPr>
                  <w:tcW w:w="759" w:type="pct"/>
                  <w:vAlign w:val="center"/>
                </w:tcPr>
                <w:p w14:paraId="7F997AE9">
                  <w:pPr>
                    <w:jc w:val="center"/>
                    <w:rPr>
                      <w:color w:val="auto"/>
                      <w:sz w:val="18"/>
                      <w:szCs w:val="18"/>
                      <w:highlight w:val="none"/>
                    </w:rPr>
                  </w:pPr>
                  <w:r>
                    <w:rPr>
                      <w:color w:val="auto"/>
                      <w:sz w:val="18"/>
                      <w:szCs w:val="18"/>
                      <w:highlight w:val="none"/>
                    </w:rPr>
                    <w:t>40</w:t>
                  </w:r>
                </w:p>
              </w:tc>
              <w:tc>
                <w:tcPr>
                  <w:tcW w:w="899" w:type="dxa"/>
                  <w:vAlign w:val="center"/>
                </w:tcPr>
                <w:p w14:paraId="35A534CB">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82.5</w:t>
                  </w:r>
                </w:p>
              </w:tc>
              <w:tc>
                <w:tcPr>
                  <w:tcW w:w="689" w:type="pct"/>
                  <w:vAlign w:val="center"/>
                </w:tcPr>
                <w:p w14:paraId="464984CA">
                  <w:pPr>
                    <w:jc w:val="center"/>
                    <w:rPr>
                      <w:color w:val="auto"/>
                      <w:sz w:val="18"/>
                      <w:szCs w:val="18"/>
                      <w:highlight w:val="none"/>
                    </w:rPr>
                  </w:pPr>
                  <w:r>
                    <w:rPr>
                      <w:color w:val="auto"/>
                      <w:sz w:val="18"/>
                      <w:szCs w:val="18"/>
                      <w:highlight w:val="none"/>
                    </w:rPr>
                    <w:t>达标</w:t>
                  </w:r>
                </w:p>
              </w:tc>
            </w:tr>
            <w:tr w14:paraId="31C1FE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22C356DA">
                  <w:pPr>
                    <w:jc w:val="center"/>
                    <w:rPr>
                      <w:color w:val="auto"/>
                      <w:sz w:val="18"/>
                      <w:szCs w:val="18"/>
                      <w:highlight w:val="none"/>
                    </w:rPr>
                  </w:pPr>
                  <w:r>
                    <w:rPr>
                      <w:color w:val="auto"/>
                      <w:sz w:val="18"/>
                      <w:szCs w:val="18"/>
                      <w:highlight w:val="none"/>
                    </w:rPr>
                    <w:t>PM</w:t>
                  </w:r>
                  <w:r>
                    <w:rPr>
                      <w:color w:val="auto"/>
                      <w:sz w:val="18"/>
                      <w:szCs w:val="18"/>
                      <w:highlight w:val="none"/>
                      <w:vertAlign w:val="subscript"/>
                    </w:rPr>
                    <w:t>10</w:t>
                  </w:r>
                </w:p>
              </w:tc>
              <w:tc>
                <w:tcPr>
                  <w:tcW w:w="1656" w:type="pct"/>
                  <w:vAlign w:val="center"/>
                </w:tcPr>
                <w:p w14:paraId="1C6594C7">
                  <w:pPr>
                    <w:jc w:val="center"/>
                    <w:rPr>
                      <w:color w:val="auto"/>
                      <w:sz w:val="18"/>
                      <w:szCs w:val="18"/>
                      <w:highlight w:val="none"/>
                    </w:rPr>
                  </w:pPr>
                  <w:r>
                    <w:rPr>
                      <w:color w:val="auto"/>
                      <w:sz w:val="18"/>
                      <w:szCs w:val="18"/>
                      <w:highlight w:val="none"/>
                    </w:rPr>
                    <w:t>年平均质量浓度</w:t>
                  </w:r>
                </w:p>
              </w:tc>
              <w:tc>
                <w:tcPr>
                  <w:tcW w:w="796" w:type="pct"/>
                  <w:vAlign w:val="center"/>
                </w:tcPr>
                <w:p w14:paraId="12E82BC0">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74</w:t>
                  </w:r>
                </w:p>
              </w:tc>
              <w:tc>
                <w:tcPr>
                  <w:tcW w:w="759" w:type="pct"/>
                  <w:vAlign w:val="center"/>
                </w:tcPr>
                <w:p w14:paraId="2C0041EF">
                  <w:pPr>
                    <w:jc w:val="center"/>
                    <w:rPr>
                      <w:color w:val="auto"/>
                      <w:sz w:val="18"/>
                      <w:szCs w:val="18"/>
                      <w:highlight w:val="none"/>
                    </w:rPr>
                  </w:pPr>
                  <w:r>
                    <w:rPr>
                      <w:color w:val="auto"/>
                      <w:sz w:val="18"/>
                      <w:szCs w:val="18"/>
                      <w:highlight w:val="none"/>
                    </w:rPr>
                    <w:t>70</w:t>
                  </w:r>
                </w:p>
              </w:tc>
              <w:tc>
                <w:tcPr>
                  <w:tcW w:w="899" w:type="dxa"/>
                  <w:vAlign w:val="center"/>
                </w:tcPr>
                <w:p w14:paraId="798249F5">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105.71</w:t>
                  </w:r>
                </w:p>
              </w:tc>
              <w:tc>
                <w:tcPr>
                  <w:tcW w:w="689" w:type="pct"/>
                  <w:vAlign w:val="center"/>
                </w:tcPr>
                <w:p w14:paraId="73FEE12B">
                  <w:pPr>
                    <w:jc w:val="center"/>
                    <w:rPr>
                      <w:color w:val="auto"/>
                      <w:sz w:val="18"/>
                      <w:szCs w:val="18"/>
                      <w:highlight w:val="none"/>
                    </w:rPr>
                  </w:pPr>
                  <w:r>
                    <w:rPr>
                      <w:color w:val="auto"/>
                      <w:sz w:val="18"/>
                      <w:szCs w:val="18"/>
                      <w:highlight w:val="none"/>
                    </w:rPr>
                    <w:t>超标</w:t>
                  </w:r>
                </w:p>
              </w:tc>
            </w:tr>
            <w:tr w14:paraId="27FBCB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571FFD50">
                  <w:pPr>
                    <w:jc w:val="center"/>
                    <w:rPr>
                      <w:color w:val="auto"/>
                      <w:sz w:val="18"/>
                      <w:szCs w:val="18"/>
                      <w:highlight w:val="none"/>
                    </w:rPr>
                  </w:pPr>
                  <w:r>
                    <w:rPr>
                      <w:color w:val="auto"/>
                      <w:sz w:val="18"/>
                      <w:szCs w:val="18"/>
                      <w:highlight w:val="none"/>
                    </w:rPr>
                    <w:t>PM</w:t>
                  </w:r>
                  <w:r>
                    <w:rPr>
                      <w:color w:val="auto"/>
                      <w:sz w:val="18"/>
                      <w:szCs w:val="18"/>
                      <w:highlight w:val="none"/>
                      <w:vertAlign w:val="subscript"/>
                    </w:rPr>
                    <w:t>2.5</w:t>
                  </w:r>
                </w:p>
              </w:tc>
              <w:tc>
                <w:tcPr>
                  <w:tcW w:w="1656" w:type="pct"/>
                  <w:vAlign w:val="center"/>
                </w:tcPr>
                <w:p w14:paraId="72E2DAC8">
                  <w:pPr>
                    <w:jc w:val="center"/>
                    <w:rPr>
                      <w:color w:val="auto"/>
                      <w:sz w:val="18"/>
                      <w:szCs w:val="18"/>
                      <w:highlight w:val="none"/>
                    </w:rPr>
                  </w:pPr>
                  <w:r>
                    <w:rPr>
                      <w:color w:val="auto"/>
                      <w:sz w:val="18"/>
                      <w:szCs w:val="18"/>
                      <w:highlight w:val="none"/>
                    </w:rPr>
                    <w:t>年平均质量浓度</w:t>
                  </w:r>
                </w:p>
              </w:tc>
              <w:tc>
                <w:tcPr>
                  <w:tcW w:w="796" w:type="pct"/>
                  <w:vAlign w:val="center"/>
                </w:tcPr>
                <w:p w14:paraId="69AB2157">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40</w:t>
                  </w:r>
                </w:p>
              </w:tc>
              <w:tc>
                <w:tcPr>
                  <w:tcW w:w="759" w:type="pct"/>
                  <w:vAlign w:val="center"/>
                </w:tcPr>
                <w:p w14:paraId="33EFB192">
                  <w:pPr>
                    <w:jc w:val="center"/>
                    <w:rPr>
                      <w:color w:val="auto"/>
                      <w:sz w:val="18"/>
                      <w:szCs w:val="18"/>
                      <w:highlight w:val="none"/>
                    </w:rPr>
                  </w:pPr>
                  <w:r>
                    <w:rPr>
                      <w:color w:val="auto"/>
                      <w:sz w:val="18"/>
                      <w:szCs w:val="18"/>
                      <w:highlight w:val="none"/>
                    </w:rPr>
                    <w:t>35</w:t>
                  </w:r>
                </w:p>
              </w:tc>
              <w:tc>
                <w:tcPr>
                  <w:tcW w:w="899" w:type="dxa"/>
                  <w:vAlign w:val="center"/>
                </w:tcPr>
                <w:p w14:paraId="47EB67F2">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114.29</w:t>
                  </w:r>
                </w:p>
              </w:tc>
              <w:tc>
                <w:tcPr>
                  <w:tcW w:w="689" w:type="pct"/>
                  <w:vAlign w:val="center"/>
                </w:tcPr>
                <w:p w14:paraId="31875FCE">
                  <w:pPr>
                    <w:jc w:val="center"/>
                    <w:rPr>
                      <w:color w:val="auto"/>
                      <w:sz w:val="18"/>
                      <w:szCs w:val="18"/>
                      <w:highlight w:val="none"/>
                    </w:rPr>
                  </w:pPr>
                  <w:r>
                    <w:rPr>
                      <w:color w:val="auto"/>
                      <w:sz w:val="18"/>
                      <w:szCs w:val="18"/>
                      <w:highlight w:val="none"/>
                    </w:rPr>
                    <w:t>超标</w:t>
                  </w:r>
                </w:p>
              </w:tc>
            </w:tr>
            <w:tr w14:paraId="632FAA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28E3CD3E">
                  <w:pPr>
                    <w:jc w:val="center"/>
                    <w:rPr>
                      <w:color w:val="auto"/>
                      <w:sz w:val="18"/>
                      <w:szCs w:val="18"/>
                      <w:highlight w:val="none"/>
                    </w:rPr>
                  </w:pPr>
                  <w:r>
                    <w:rPr>
                      <w:color w:val="auto"/>
                      <w:sz w:val="18"/>
                      <w:szCs w:val="18"/>
                      <w:highlight w:val="none"/>
                    </w:rPr>
                    <w:t>CO</w:t>
                  </w:r>
                </w:p>
              </w:tc>
              <w:tc>
                <w:tcPr>
                  <w:tcW w:w="1656" w:type="pct"/>
                  <w:vAlign w:val="center"/>
                </w:tcPr>
                <w:p w14:paraId="0140B98F">
                  <w:pPr>
                    <w:jc w:val="center"/>
                    <w:rPr>
                      <w:color w:val="auto"/>
                      <w:sz w:val="18"/>
                      <w:szCs w:val="18"/>
                      <w:highlight w:val="none"/>
                    </w:rPr>
                  </w:pPr>
                  <w:r>
                    <w:rPr>
                      <w:color w:val="auto"/>
                      <w:sz w:val="18"/>
                      <w:szCs w:val="18"/>
                      <w:highlight w:val="none"/>
                    </w:rPr>
                    <w:t>24小时平均第95百分位数</w:t>
                  </w:r>
                </w:p>
              </w:tc>
              <w:tc>
                <w:tcPr>
                  <w:tcW w:w="796" w:type="pct"/>
                  <w:vAlign w:val="center"/>
                </w:tcPr>
                <w:p w14:paraId="54D2AA2A">
                  <w:pPr>
                    <w:jc w:val="center"/>
                    <w:rPr>
                      <w:color w:val="auto"/>
                      <w:sz w:val="18"/>
                      <w:szCs w:val="18"/>
                      <w:highlight w:val="none"/>
                    </w:rPr>
                  </w:pPr>
                  <w:r>
                    <w:rPr>
                      <w:rFonts w:hint="eastAsia"/>
                      <w:color w:val="auto"/>
                      <w:sz w:val="18"/>
                      <w:szCs w:val="18"/>
                      <w:highlight w:val="none"/>
                      <w:lang w:val="en-US" w:eastAsia="zh-CN"/>
                    </w:rPr>
                    <w:t>1.5</w:t>
                  </w:r>
                  <w:r>
                    <w:rPr>
                      <w:color w:val="auto"/>
                      <w:sz w:val="18"/>
                      <w:szCs w:val="18"/>
                      <w:highlight w:val="none"/>
                    </w:rPr>
                    <w:t>mg/m</w:t>
                  </w:r>
                  <w:r>
                    <w:rPr>
                      <w:color w:val="auto"/>
                      <w:sz w:val="18"/>
                      <w:szCs w:val="18"/>
                      <w:highlight w:val="none"/>
                      <w:vertAlign w:val="superscript"/>
                    </w:rPr>
                    <w:t>3</w:t>
                  </w:r>
                </w:p>
              </w:tc>
              <w:tc>
                <w:tcPr>
                  <w:tcW w:w="759" w:type="pct"/>
                  <w:vAlign w:val="center"/>
                </w:tcPr>
                <w:p w14:paraId="4D6324F0">
                  <w:pPr>
                    <w:jc w:val="center"/>
                    <w:rPr>
                      <w:color w:val="auto"/>
                      <w:sz w:val="18"/>
                      <w:szCs w:val="18"/>
                      <w:highlight w:val="none"/>
                    </w:rPr>
                  </w:pPr>
                  <w:r>
                    <w:rPr>
                      <w:color w:val="auto"/>
                      <w:sz w:val="18"/>
                      <w:szCs w:val="18"/>
                      <w:highlight w:val="none"/>
                    </w:rPr>
                    <w:t>4.0mg/m</w:t>
                  </w:r>
                  <w:r>
                    <w:rPr>
                      <w:color w:val="auto"/>
                      <w:sz w:val="18"/>
                      <w:szCs w:val="18"/>
                      <w:highlight w:val="none"/>
                      <w:vertAlign w:val="superscript"/>
                    </w:rPr>
                    <w:t>3</w:t>
                  </w:r>
                </w:p>
              </w:tc>
              <w:tc>
                <w:tcPr>
                  <w:tcW w:w="899" w:type="dxa"/>
                  <w:vAlign w:val="center"/>
                </w:tcPr>
                <w:p w14:paraId="3D8F3B1D">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37.5</w:t>
                  </w:r>
                </w:p>
              </w:tc>
              <w:tc>
                <w:tcPr>
                  <w:tcW w:w="689" w:type="pct"/>
                  <w:vAlign w:val="center"/>
                </w:tcPr>
                <w:p w14:paraId="1182E599">
                  <w:pPr>
                    <w:jc w:val="center"/>
                    <w:rPr>
                      <w:color w:val="auto"/>
                      <w:sz w:val="18"/>
                      <w:szCs w:val="18"/>
                      <w:highlight w:val="none"/>
                    </w:rPr>
                  </w:pPr>
                  <w:r>
                    <w:rPr>
                      <w:color w:val="auto"/>
                      <w:sz w:val="18"/>
                      <w:szCs w:val="18"/>
                      <w:highlight w:val="none"/>
                    </w:rPr>
                    <w:t>达标</w:t>
                  </w:r>
                </w:p>
              </w:tc>
            </w:tr>
            <w:tr w14:paraId="42C01F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40" w:hRule="exact"/>
              </w:trPr>
              <w:tc>
                <w:tcPr>
                  <w:tcW w:w="535" w:type="pct"/>
                  <w:vAlign w:val="center"/>
                </w:tcPr>
                <w:p w14:paraId="1FBEDAE4">
                  <w:pPr>
                    <w:jc w:val="center"/>
                    <w:rPr>
                      <w:color w:val="auto"/>
                      <w:sz w:val="18"/>
                      <w:szCs w:val="18"/>
                      <w:highlight w:val="none"/>
                      <w:vertAlign w:val="subscript"/>
                    </w:rPr>
                  </w:pPr>
                  <w:r>
                    <w:rPr>
                      <w:color w:val="auto"/>
                      <w:sz w:val="18"/>
                      <w:szCs w:val="18"/>
                      <w:highlight w:val="none"/>
                    </w:rPr>
                    <w:t>O</w:t>
                  </w:r>
                  <w:r>
                    <w:rPr>
                      <w:color w:val="auto"/>
                      <w:sz w:val="18"/>
                      <w:szCs w:val="18"/>
                      <w:highlight w:val="none"/>
                      <w:vertAlign w:val="subscript"/>
                    </w:rPr>
                    <w:t>3</w:t>
                  </w:r>
                </w:p>
              </w:tc>
              <w:tc>
                <w:tcPr>
                  <w:tcW w:w="1656" w:type="pct"/>
                  <w:vAlign w:val="center"/>
                </w:tcPr>
                <w:p w14:paraId="1BD667B9">
                  <w:pPr>
                    <w:jc w:val="center"/>
                    <w:rPr>
                      <w:color w:val="auto"/>
                      <w:sz w:val="18"/>
                      <w:szCs w:val="18"/>
                      <w:highlight w:val="none"/>
                    </w:rPr>
                  </w:pPr>
                  <w:r>
                    <w:rPr>
                      <w:color w:val="auto"/>
                      <w:sz w:val="18"/>
                      <w:szCs w:val="18"/>
                      <w:highlight w:val="none"/>
                    </w:rPr>
                    <w:t>日最大8小时平均第90百分位数</w:t>
                  </w:r>
                </w:p>
              </w:tc>
              <w:tc>
                <w:tcPr>
                  <w:tcW w:w="796" w:type="pct"/>
                  <w:vAlign w:val="center"/>
                </w:tcPr>
                <w:p w14:paraId="541975AC">
                  <w:pPr>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181</w:t>
                  </w:r>
                </w:p>
              </w:tc>
              <w:tc>
                <w:tcPr>
                  <w:tcW w:w="759" w:type="pct"/>
                  <w:vAlign w:val="center"/>
                </w:tcPr>
                <w:p w14:paraId="5046FAA3">
                  <w:pPr>
                    <w:jc w:val="center"/>
                    <w:rPr>
                      <w:color w:val="auto"/>
                      <w:sz w:val="18"/>
                      <w:szCs w:val="18"/>
                      <w:highlight w:val="none"/>
                    </w:rPr>
                  </w:pPr>
                  <w:r>
                    <w:rPr>
                      <w:color w:val="auto"/>
                      <w:sz w:val="18"/>
                      <w:szCs w:val="18"/>
                      <w:highlight w:val="none"/>
                    </w:rPr>
                    <w:t>160</w:t>
                  </w:r>
                </w:p>
              </w:tc>
              <w:tc>
                <w:tcPr>
                  <w:tcW w:w="899" w:type="dxa"/>
                  <w:vAlign w:val="center"/>
                </w:tcPr>
                <w:p w14:paraId="4AF49637">
                  <w:pPr>
                    <w:jc w:val="center"/>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113.3</w:t>
                  </w:r>
                </w:p>
              </w:tc>
              <w:tc>
                <w:tcPr>
                  <w:tcW w:w="689" w:type="pct"/>
                  <w:vAlign w:val="center"/>
                </w:tcPr>
                <w:p w14:paraId="1CAE7011">
                  <w:pPr>
                    <w:jc w:val="center"/>
                    <w:rPr>
                      <w:color w:val="auto"/>
                      <w:sz w:val="18"/>
                      <w:szCs w:val="18"/>
                      <w:highlight w:val="none"/>
                    </w:rPr>
                  </w:pPr>
                  <w:r>
                    <w:rPr>
                      <w:color w:val="auto"/>
                      <w:sz w:val="18"/>
                      <w:szCs w:val="18"/>
                      <w:highlight w:val="none"/>
                    </w:rPr>
                    <w:t>超标</w:t>
                  </w:r>
                </w:p>
              </w:tc>
            </w:tr>
          </w:tbl>
          <w:p w14:paraId="44265797">
            <w:pPr>
              <w:tabs>
                <w:tab w:val="left" w:pos="4253"/>
              </w:tabs>
              <w:spacing w:line="440" w:lineRule="exact"/>
              <w:ind w:firstLine="482"/>
              <w:rPr>
                <w:rFonts w:eastAsiaTheme="minorEastAsia"/>
                <w:color w:val="auto"/>
                <w:szCs w:val="21"/>
                <w:highlight w:val="none"/>
              </w:rPr>
            </w:pPr>
            <w:r>
              <w:rPr>
                <w:rFonts w:eastAsiaTheme="minorEastAsia"/>
                <w:color w:val="auto"/>
                <w:szCs w:val="21"/>
                <w:highlight w:val="none"/>
              </w:rPr>
              <w:t>由上表可知，SO</w:t>
            </w:r>
            <w:r>
              <w:rPr>
                <w:rFonts w:eastAsiaTheme="minorEastAsia"/>
                <w:color w:val="auto"/>
                <w:szCs w:val="21"/>
                <w:highlight w:val="none"/>
                <w:vertAlign w:val="subscript"/>
              </w:rPr>
              <w:t>2</w:t>
            </w:r>
            <w:r>
              <w:rPr>
                <w:rFonts w:eastAsiaTheme="minorEastAsia"/>
                <w:color w:val="auto"/>
                <w:szCs w:val="21"/>
                <w:highlight w:val="none"/>
              </w:rPr>
              <w:t>、NO</w:t>
            </w:r>
            <w:r>
              <w:rPr>
                <w:rFonts w:eastAsiaTheme="minorEastAsia"/>
                <w:color w:val="auto"/>
                <w:szCs w:val="21"/>
                <w:highlight w:val="none"/>
                <w:vertAlign w:val="subscript"/>
              </w:rPr>
              <w:t>2</w:t>
            </w:r>
            <w:r>
              <w:rPr>
                <w:rFonts w:eastAsiaTheme="minorEastAsia"/>
                <w:color w:val="auto"/>
                <w:szCs w:val="21"/>
                <w:highlight w:val="none"/>
              </w:rPr>
              <w:t>的年平均质量浓度、CO的24小时平均第95百分位数质量浓度均满足《环境空气质量标准》（GB3095-2012）及其修改单中二级标准；PM</w:t>
            </w:r>
            <w:r>
              <w:rPr>
                <w:rFonts w:eastAsiaTheme="minorEastAsia"/>
                <w:color w:val="auto"/>
                <w:szCs w:val="21"/>
                <w:highlight w:val="none"/>
                <w:vertAlign w:val="subscript"/>
              </w:rPr>
              <w:t>2.5</w:t>
            </w:r>
            <w:r>
              <w:rPr>
                <w:rFonts w:eastAsiaTheme="minorEastAsia"/>
                <w:color w:val="auto"/>
                <w:szCs w:val="21"/>
                <w:highlight w:val="none"/>
              </w:rPr>
              <w:t>、PM</w:t>
            </w:r>
            <w:r>
              <w:rPr>
                <w:rFonts w:eastAsiaTheme="minorEastAsia"/>
                <w:color w:val="auto"/>
                <w:szCs w:val="21"/>
                <w:highlight w:val="none"/>
                <w:vertAlign w:val="subscript"/>
              </w:rPr>
              <w:t>10</w:t>
            </w:r>
            <w:r>
              <w:rPr>
                <w:rFonts w:eastAsiaTheme="minorEastAsia"/>
                <w:color w:val="auto"/>
                <w:szCs w:val="21"/>
                <w:highlight w:val="none"/>
              </w:rPr>
              <w:t>的年平均质量浓度和O</w:t>
            </w:r>
            <w:r>
              <w:rPr>
                <w:rFonts w:eastAsiaTheme="minorEastAsia"/>
                <w:color w:val="auto"/>
                <w:szCs w:val="21"/>
                <w:highlight w:val="none"/>
                <w:vertAlign w:val="subscript"/>
              </w:rPr>
              <w:t>3</w:t>
            </w:r>
            <w:r>
              <w:rPr>
                <w:rFonts w:eastAsiaTheme="minorEastAsia"/>
                <w:color w:val="auto"/>
                <w:szCs w:val="21"/>
                <w:highlight w:val="none"/>
              </w:rPr>
              <w:t>的日最大8小时平均第90百分位数质量浓度均不满足《环境空气质量标准》（GB3095-2012）及其修改单中二级标准，根据《环境影响评价技术导则 大气环境》</w:t>
            </w:r>
            <w:r>
              <w:rPr>
                <w:rFonts w:hint="eastAsia" w:eastAsiaTheme="minorEastAsia"/>
                <w:color w:val="auto"/>
                <w:szCs w:val="21"/>
                <w:highlight w:val="none"/>
              </w:rPr>
              <w:t>（</w:t>
            </w:r>
            <w:r>
              <w:rPr>
                <w:rFonts w:eastAsiaTheme="minorEastAsia"/>
                <w:color w:val="auto"/>
                <w:szCs w:val="21"/>
                <w:highlight w:val="none"/>
              </w:rPr>
              <w:t>HJ2.2-2018</w:t>
            </w:r>
            <w:r>
              <w:rPr>
                <w:rFonts w:hint="eastAsia" w:eastAsiaTheme="minorEastAsia"/>
                <w:color w:val="auto"/>
                <w:szCs w:val="21"/>
                <w:highlight w:val="none"/>
              </w:rPr>
              <w:t>）</w:t>
            </w:r>
            <w:r>
              <w:rPr>
                <w:rFonts w:eastAsiaTheme="minorEastAsia"/>
                <w:color w:val="auto"/>
                <w:szCs w:val="21"/>
                <w:highlight w:val="none"/>
              </w:rPr>
              <w:t>，城市环境空气质量达标情况评价指标为SO</w:t>
            </w:r>
            <w:r>
              <w:rPr>
                <w:rFonts w:eastAsiaTheme="minorEastAsia"/>
                <w:color w:val="auto"/>
                <w:szCs w:val="21"/>
                <w:highlight w:val="none"/>
                <w:vertAlign w:val="subscript"/>
              </w:rPr>
              <w:t>2</w:t>
            </w:r>
            <w:r>
              <w:rPr>
                <w:rFonts w:eastAsiaTheme="minorEastAsia"/>
                <w:color w:val="auto"/>
                <w:szCs w:val="21"/>
                <w:highlight w:val="none"/>
              </w:rPr>
              <w:t>、NO</w:t>
            </w:r>
            <w:r>
              <w:rPr>
                <w:rFonts w:eastAsiaTheme="minorEastAsia"/>
                <w:color w:val="auto"/>
                <w:szCs w:val="21"/>
                <w:highlight w:val="none"/>
                <w:vertAlign w:val="subscript"/>
              </w:rPr>
              <w:t>2</w:t>
            </w:r>
            <w:r>
              <w:rPr>
                <w:rFonts w:eastAsiaTheme="minorEastAsia"/>
                <w:color w:val="auto"/>
                <w:szCs w:val="21"/>
                <w:highlight w:val="none"/>
              </w:rPr>
              <w:t>、PM</w:t>
            </w:r>
            <w:r>
              <w:rPr>
                <w:rFonts w:eastAsiaTheme="minorEastAsia"/>
                <w:color w:val="auto"/>
                <w:szCs w:val="21"/>
                <w:highlight w:val="none"/>
                <w:vertAlign w:val="subscript"/>
              </w:rPr>
              <w:t>10</w:t>
            </w:r>
            <w:r>
              <w:rPr>
                <w:rFonts w:eastAsiaTheme="minorEastAsia"/>
                <w:color w:val="auto"/>
                <w:szCs w:val="21"/>
                <w:highlight w:val="none"/>
              </w:rPr>
              <w:t>、PM</w:t>
            </w:r>
            <w:r>
              <w:rPr>
                <w:rFonts w:eastAsiaTheme="minorEastAsia"/>
                <w:color w:val="auto"/>
                <w:szCs w:val="21"/>
                <w:highlight w:val="none"/>
                <w:vertAlign w:val="subscript"/>
              </w:rPr>
              <w:t>2.5</w:t>
            </w:r>
            <w:r>
              <w:rPr>
                <w:rFonts w:eastAsiaTheme="minorEastAsia"/>
                <w:color w:val="auto"/>
                <w:szCs w:val="21"/>
                <w:highlight w:val="none"/>
              </w:rPr>
              <w:t>、CO和O</w:t>
            </w:r>
            <w:r>
              <w:rPr>
                <w:rFonts w:eastAsiaTheme="minorEastAsia"/>
                <w:color w:val="auto"/>
                <w:szCs w:val="21"/>
                <w:highlight w:val="none"/>
                <w:vertAlign w:val="subscript"/>
              </w:rPr>
              <w:t>3</w:t>
            </w:r>
            <w:r>
              <w:rPr>
                <w:rFonts w:eastAsiaTheme="minorEastAsia"/>
                <w:color w:val="auto"/>
                <w:szCs w:val="21"/>
                <w:highlight w:val="none"/>
              </w:rPr>
              <w:t>，六项污染物全部达标即为城市环境空气质量达标。通过以上数据判定，项目所在区域环境空气质量不达标，属于不达标区。</w:t>
            </w:r>
          </w:p>
          <w:p w14:paraId="6494E60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rPr>
              <w:t>（2）其他</w:t>
            </w:r>
            <w:r>
              <w:rPr>
                <w:rFonts w:ascii="Times New Roman" w:hAnsi="Times New Roman"/>
                <w:color w:val="auto"/>
                <w:sz w:val="21"/>
                <w:szCs w:val="21"/>
                <w:highlight w:val="none"/>
              </w:rPr>
              <w:t>污染物环境质量现状</w:t>
            </w:r>
          </w:p>
          <w:p w14:paraId="43A85927">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color w:val="auto"/>
                <w:sz w:val="21"/>
                <w:szCs w:val="21"/>
              </w:rPr>
              <w:t>①监测因子、点位、频次</w:t>
            </w:r>
          </w:p>
          <w:p w14:paraId="138BBADD">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ascii="Times New Roman" w:hAnsi="Times New Roman"/>
                <w:color w:val="auto"/>
                <w:sz w:val="21"/>
                <w:szCs w:val="21"/>
              </w:rPr>
              <w:t>根据工程建设情况及环境特点，本项目特征污染物</w:t>
            </w:r>
            <w:r>
              <w:rPr>
                <w:rFonts w:hint="eastAsia" w:ascii="Times New Roman" w:hAnsi="Times New Roman"/>
                <w:color w:val="auto"/>
                <w:sz w:val="21"/>
                <w:szCs w:val="21"/>
                <w:lang w:val="en-US" w:eastAsia="zh-CN"/>
              </w:rPr>
              <w:t>TSP、非甲烷总烃</w:t>
            </w:r>
            <w:r>
              <w:rPr>
                <w:rFonts w:hint="eastAsia" w:ascii="Times New Roman" w:hAnsi="Times New Roman"/>
                <w:color w:val="auto"/>
                <w:sz w:val="21"/>
                <w:szCs w:val="21"/>
              </w:rPr>
              <w:t>引用《</w:t>
            </w:r>
            <w:r>
              <w:rPr>
                <w:rFonts w:hint="eastAsia" w:ascii="Times New Roman" w:hAnsi="Times New Roman"/>
                <w:color w:val="auto"/>
                <w:sz w:val="21"/>
                <w:szCs w:val="21"/>
                <w:lang w:val="en-US" w:eastAsia="zh-CN"/>
              </w:rPr>
              <w:t>河北兆惠恒美检测技术有限公司环境空气检测</w:t>
            </w:r>
            <w:r>
              <w:rPr>
                <w:rFonts w:hint="eastAsia" w:ascii="Times New Roman" w:hAnsi="Times New Roman"/>
                <w:color w:val="auto"/>
                <w:sz w:val="21"/>
                <w:szCs w:val="21"/>
              </w:rPr>
              <w:t>》</w:t>
            </w:r>
            <w:r>
              <w:rPr>
                <w:rFonts w:hint="eastAsia" w:ascii="Times New Roman" w:hAnsi="Times New Roman"/>
                <w:color w:val="auto"/>
                <w:sz w:val="21"/>
                <w:szCs w:val="21"/>
                <w:highlight w:val="none"/>
              </w:rPr>
              <w:t>中监测</w:t>
            </w:r>
            <w:r>
              <w:rPr>
                <w:rFonts w:hint="eastAsia" w:ascii="Times New Roman" w:hAnsi="Times New Roman" w:cs="Times New Roman"/>
                <w:color w:val="auto"/>
                <w:sz w:val="21"/>
                <w:szCs w:val="21"/>
                <w:highlight w:val="none"/>
              </w:rPr>
              <w:t>数据</w:t>
            </w:r>
            <w:r>
              <w:rPr>
                <w:rFonts w:hint="eastAsia" w:ascii="Times New Roman" w:hAnsi="Times New Roman"/>
                <w:color w:val="auto"/>
                <w:sz w:val="21"/>
                <w:szCs w:val="21"/>
                <w:highlight w:val="none"/>
              </w:rPr>
              <w:t>，监测点位为</w:t>
            </w:r>
            <w:r>
              <w:rPr>
                <w:rFonts w:hint="eastAsia" w:ascii="Times New Roman" w:hAnsi="Times New Roman"/>
                <w:color w:val="auto"/>
                <w:sz w:val="21"/>
                <w:szCs w:val="21"/>
                <w:highlight w:val="none"/>
                <w:lang w:val="en-US" w:eastAsia="zh-CN"/>
              </w:rPr>
              <w:t>迁安</w:t>
            </w:r>
            <w:r>
              <w:rPr>
                <w:rFonts w:hint="eastAsia" w:ascii="Times New Roman" w:hAnsi="Times New Roman"/>
                <w:color w:val="auto"/>
                <w:sz w:val="21"/>
                <w:szCs w:val="21"/>
                <w:highlight w:val="none"/>
              </w:rPr>
              <w:t>市</w:t>
            </w:r>
            <w:r>
              <w:rPr>
                <w:rFonts w:hint="eastAsia" w:ascii="Times New Roman" w:hAnsi="Times New Roman"/>
                <w:color w:val="auto"/>
                <w:sz w:val="21"/>
                <w:szCs w:val="21"/>
                <w:highlight w:val="none"/>
                <w:lang w:val="en-US" w:eastAsia="zh-CN"/>
              </w:rPr>
              <w:t>合理村</w:t>
            </w:r>
            <w:r>
              <w:rPr>
                <w:rFonts w:ascii="Times New Roman" w:hAnsi="Times New Roman"/>
                <w:color w:val="auto"/>
                <w:sz w:val="21"/>
                <w:szCs w:val="21"/>
                <w:highlight w:val="none"/>
              </w:rPr>
              <w:t>，</w:t>
            </w:r>
            <w:r>
              <w:rPr>
                <w:rFonts w:hint="eastAsia" w:ascii="Times New Roman" w:hAnsi="Times New Roman"/>
                <w:color w:val="auto"/>
                <w:sz w:val="21"/>
                <w:szCs w:val="21"/>
                <w:highlight w:val="none"/>
              </w:rPr>
              <w:t>监测点</w:t>
            </w:r>
            <w:r>
              <w:rPr>
                <w:rFonts w:hint="eastAsia" w:ascii="Times New Roman" w:hAnsi="Times New Roman"/>
                <w:color w:val="auto"/>
                <w:sz w:val="21"/>
                <w:szCs w:val="21"/>
                <w:highlight w:val="none"/>
                <w:lang w:val="en-US" w:eastAsia="zh-CN"/>
              </w:rPr>
              <w:t>位于</w:t>
            </w:r>
            <w:r>
              <w:rPr>
                <w:rFonts w:hint="eastAsia" w:ascii="Times New Roman" w:hAnsi="Times New Roman"/>
                <w:color w:val="auto"/>
                <w:sz w:val="21"/>
                <w:szCs w:val="21"/>
                <w:highlight w:val="none"/>
              </w:rPr>
              <w:t>本项目</w:t>
            </w:r>
            <w:r>
              <w:rPr>
                <w:rFonts w:hint="eastAsia" w:ascii="Times New Roman" w:hAnsi="Times New Roman"/>
                <w:color w:val="auto"/>
                <w:sz w:val="21"/>
                <w:szCs w:val="21"/>
                <w:highlight w:val="none"/>
                <w:lang w:val="en-US" w:eastAsia="zh-CN"/>
              </w:rPr>
              <w:t>西</w:t>
            </w:r>
            <w:r>
              <w:rPr>
                <w:rFonts w:hint="eastAsia" w:ascii="Times New Roman" w:hAnsi="Times New Roman"/>
                <w:color w:val="auto"/>
                <w:sz w:val="21"/>
                <w:szCs w:val="21"/>
                <w:highlight w:val="none"/>
              </w:rPr>
              <w:t>侧，距离本项目</w:t>
            </w:r>
            <w:r>
              <w:rPr>
                <w:rFonts w:hint="eastAsia" w:ascii="Times New Roman" w:hAnsi="Times New Roman"/>
                <w:color w:val="auto"/>
                <w:sz w:val="21"/>
                <w:szCs w:val="21"/>
                <w:highlight w:val="none"/>
                <w:lang w:val="en-US" w:eastAsia="zh-CN"/>
              </w:rPr>
              <w:t>220</w:t>
            </w:r>
            <w:r>
              <w:rPr>
                <w:rFonts w:hint="eastAsia" w:ascii="Times New Roman" w:hAnsi="Times New Roman"/>
                <w:color w:val="auto"/>
                <w:sz w:val="21"/>
                <w:szCs w:val="21"/>
                <w:highlight w:val="none"/>
              </w:rPr>
              <w:t>m，监</w:t>
            </w:r>
            <w:r>
              <w:rPr>
                <w:rFonts w:hint="eastAsia" w:ascii="Times New Roman" w:hAnsi="Times New Roman"/>
                <w:color w:val="auto"/>
                <w:sz w:val="21"/>
                <w:szCs w:val="21"/>
              </w:rPr>
              <w:t>测时间为202</w:t>
            </w:r>
            <w:r>
              <w:rPr>
                <w:rFonts w:hint="eastAsia" w:ascii="Times New Roman" w:hAnsi="Times New Roman"/>
                <w:color w:val="auto"/>
                <w:sz w:val="21"/>
                <w:szCs w:val="21"/>
                <w:lang w:val="en-US" w:eastAsia="zh-CN"/>
              </w:rPr>
              <w:t>4</w:t>
            </w:r>
            <w:r>
              <w:rPr>
                <w:rFonts w:hint="eastAsia" w:ascii="Times New Roman" w:hAnsi="Times New Roman"/>
                <w:color w:val="auto"/>
                <w:sz w:val="21"/>
                <w:szCs w:val="21"/>
              </w:rPr>
              <w:t>年</w:t>
            </w:r>
            <w:r>
              <w:rPr>
                <w:rFonts w:hint="eastAsia" w:ascii="Times New Roman" w:hAnsi="Times New Roman"/>
                <w:color w:val="auto"/>
                <w:sz w:val="21"/>
                <w:szCs w:val="21"/>
                <w:lang w:val="en-US" w:eastAsia="zh-CN"/>
              </w:rPr>
              <w:t>2</w:t>
            </w:r>
            <w:r>
              <w:rPr>
                <w:rFonts w:hint="eastAsia" w:ascii="Times New Roman" w:hAnsi="Times New Roman"/>
                <w:color w:val="auto"/>
                <w:sz w:val="21"/>
                <w:szCs w:val="21"/>
              </w:rPr>
              <w:t>月</w:t>
            </w:r>
            <w:r>
              <w:rPr>
                <w:rFonts w:hint="eastAsia" w:ascii="Times New Roman" w:hAnsi="Times New Roman"/>
                <w:color w:val="auto"/>
                <w:sz w:val="21"/>
                <w:szCs w:val="21"/>
                <w:lang w:val="en-US" w:eastAsia="zh-CN"/>
              </w:rPr>
              <w:t>27</w:t>
            </w:r>
            <w:r>
              <w:rPr>
                <w:rFonts w:hint="eastAsia" w:ascii="Times New Roman" w:hAnsi="Times New Roman"/>
                <w:color w:val="auto"/>
                <w:sz w:val="21"/>
                <w:szCs w:val="21"/>
              </w:rPr>
              <w:t>日至202</w:t>
            </w:r>
            <w:r>
              <w:rPr>
                <w:rFonts w:hint="eastAsia" w:ascii="Times New Roman" w:hAnsi="Times New Roman"/>
                <w:color w:val="auto"/>
                <w:sz w:val="21"/>
                <w:szCs w:val="21"/>
                <w:lang w:val="en-US" w:eastAsia="zh-CN"/>
              </w:rPr>
              <w:t>4</w:t>
            </w:r>
            <w:r>
              <w:rPr>
                <w:rFonts w:hint="eastAsia" w:ascii="Times New Roman" w:hAnsi="Times New Roman"/>
                <w:color w:val="auto"/>
                <w:sz w:val="21"/>
                <w:szCs w:val="21"/>
              </w:rPr>
              <w:t>年</w:t>
            </w:r>
            <w:r>
              <w:rPr>
                <w:rFonts w:hint="eastAsia" w:ascii="Times New Roman" w:hAnsi="Times New Roman"/>
                <w:color w:val="auto"/>
                <w:sz w:val="21"/>
                <w:szCs w:val="21"/>
                <w:lang w:val="en-US" w:eastAsia="zh-CN"/>
              </w:rPr>
              <w:t>3</w:t>
            </w:r>
            <w:r>
              <w:rPr>
                <w:rFonts w:hint="eastAsia" w:ascii="Times New Roman" w:hAnsi="Times New Roman"/>
                <w:color w:val="auto"/>
                <w:sz w:val="21"/>
                <w:szCs w:val="21"/>
              </w:rPr>
              <w:t>月</w:t>
            </w:r>
            <w:r>
              <w:rPr>
                <w:rFonts w:hint="eastAsia" w:ascii="Times New Roman" w:hAnsi="Times New Roman"/>
                <w:color w:val="auto"/>
                <w:sz w:val="21"/>
                <w:szCs w:val="21"/>
                <w:lang w:val="en-US" w:eastAsia="zh-CN"/>
              </w:rPr>
              <w:t>1</w:t>
            </w:r>
            <w:r>
              <w:rPr>
                <w:rFonts w:hint="eastAsia" w:ascii="Times New Roman" w:hAnsi="Times New Roman"/>
                <w:color w:val="auto"/>
                <w:sz w:val="21"/>
                <w:szCs w:val="21"/>
              </w:rPr>
              <w:t>日，连续监测3天，非甲烷总烃小时平均浓度每天监测4次，时间为：2:00、8:00、14:00、20:00。</w:t>
            </w:r>
          </w:p>
          <w:p w14:paraId="33A5BD44">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color w:val="auto"/>
                <w:sz w:val="21"/>
                <w:szCs w:val="21"/>
              </w:rPr>
              <w:t>②</w:t>
            </w:r>
            <w:r>
              <w:rPr>
                <w:rFonts w:hint="eastAsia" w:ascii="Times New Roman" w:hAnsi="Times New Roman"/>
                <w:color w:val="auto"/>
                <w:sz w:val="21"/>
                <w:szCs w:val="21"/>
              </w:rPr>
              <w:t>评价结果</w:t>
            </w:r>
          </w:p>
          <w:p w14:paraId="4D3E295B">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rPr>
            </w:pPr>
            <w:r>
              <w:rPr>
                <w:rFonts w:hint="eastAsia" w:ascii="Times New Roman" w:hAnsi="Times New Roman"/>
                <w:color w:val="auto"/>
                <w:sz w:val="21"/>
                <w:szCs w:val="21"/>
              </w:rPr>
              <w:t>根据评价方法及评价标准，进行环境现状评价，评价结果见表1</w:t>
            </w:r>
            <w:r>
              <w:rPr>
                <w:rFonts w:hint="eastAsia" w:ascii="Times New Roman" w:hAnsi="Times New Roman"/>
                <w:color w:val="auto"/>
                <w:sz w:val="21"/>
                <w:szCs w:val="21"/>
                <w:lang w:val="en-US" w:eastAsia="zh-CN"/>
              </w:rPr>
              <w:t>3</w:t>
            </w:r>
            <w:r>
              <w:rPr>
                <w:rFonts w:hint="eastAsia" w:ascii="Times New Roman" w:hAnsi="Times New Roman"/>
                <w:color w:val="auto"/>
                <w:sz w:val="21"/>
                <w:szCs w:val="21"/>
              </w:rPr>
              <w:t>。</w:t>
            </w:r>
          </w:p>
          <w:p w14:paraId="5017D2BD">
            <w:pPr>
              <w:tabs>
                <w:tab w:val="left" w:pos="4253"/>
              </w:tabs>
              <w:spacing w:line="440" w:lineRule="exact"/>
              <w:jc w:val="center"/>
              <w:rPr>
                <w:b/>
                <w:color w:val="auto"/>
                <w:szCs w:val="21"/>
                <w:lang w:bidi="ar"/>
              </w:rPr>
            </w:pPr>
            <w:r>
              <w:rPr>
                <w:b/>
                <w:color w:val="auto"/>
                <w:szCs w:val="21"/>
                <w:lang w:bidi="ar"/>
              </w:rPr>
              <w:t>表</w:t>
            </w:r>
            <w:r>
              <w:rPr>
                <w:rFonts w:hint="eastAsia"/>
                <w:b/>
                <w:color w:val="auto"/>
                <w:szCs w:val="21"/>
                <w:lang w:bidi="ar"/>
              </w:rPr>
              <w:t>1</w:t>
            </w:r>
            <w:r>
              <w:rPr>
                <w:rFonts w:hint="eastAsia"/>
                <w:b/>
                <w:color w:val="auto"/>
                <w:szCs w:val="21"/>
                <w:lang w:val="en-US" w:eastAsia="zh-CN" w:bidi="ar"/>
              </w:rPr>
              <w:t>3</w:t>
            </w:r>
            <w:r>
              <w:rPr>
                <w:rFonts w:hint="eastAsia"/>
                <w:b/>
                <w:color w:val="auto"/>
                <w:szCs w:val="21"/>
                <w:lang w:bidi="ar"/>
              </w:rPr>
              <w:t xml:space="preserve">  </w:t>
            </w:r>
            <w:r>
              <w:rPr>
                <w:b/>
                <w:color w:val="auto"/>
                <w:szCs w:val="21"/>
                <w:lang w:bidi="ar"/>
              </w:rPr>
              <w:t>其他污染物环境质量现状监测结果</w:t>
            </w:r>
          </w:p>
          <w:tbl>
            <w:tblPr>
              <w:tblStyle w:val="26"/>
              <w:tblW w:w="8017" w:type="dxa"/>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931"/>
              <w:gridCol w:w="866"/>
              <w:gridCol w:w="1400"/>
              <w:gridCol w:w="1120"/>
              <w:gridCol w:w="1227"/>
              <w:gridCol w:w="992"/>
              <w:gridCol w:w="821"/>
              <w:gridCol w:w="660"/>
            </w:tblGrid>
            <w:tr w14:paraId="6E4A4BD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69" w:hRule="atLeast"/>
              </w:trPr>
              <w:tc>
                <w:tcPr>
                  <w:tcW w:w="931" w:type="dxa"/>
                  <w:tcBorders>
                    <w:tl2br w:val="nil"/>
                    <w:tr2bl w:val="nil"/>
                  </w:tcBorders>
                  <w:vAlign w:val="center"/>
                </w:tcPr>
                <w:p w14:paraId="2133949D">
                  <w:pPr>
                    <w:jc w:val="center"/>
                    <w:rPr>
                      <w:color w:val="auto"/>
                      <w:sz w:val="18"/>
                      <w:szCs w:val="18"/>
                    </w:rPr>
                  </w:pPr>
                  <w:r>
                    <w:rPr>
                      <w:color w:val="auto"/>
                      <w:sz w:val="18"/>
                      <w:szCs w:val="18"/>
                    </w:rPr>
                    <w:t>监测点位</w:t>
                  </w:r>
                </w:p>
              </w:tc>
              <w:tc>
                <w:tcPr>
                  <w:tcW w:w="866" w:type="dxa"/>
                  <w:tcBorders>
                    <w:tl2br w:val="nil"/>
                    <w:tr2bl w:val="nil"/>
                  </w:tcBorders>
                  <w:vAlign w:val="center"/>
                </w:tcPr>
                <w:p w14:paraId="4ADA2A6A">
                  <w:pPr>
                    <w:jc w:val="center"/>
                    <w:rPr>
                      <w:color w:val="auto"/>
                      <w:sz w:val="18"/>
                      <w:szCs w:val="18"/>
                    </w:rPr>
                  </w:pPr>
                  <w:r>
                    <w:rPr>
                      <w:color w:val="auto"/>
                      <w:sz w:val="18"/>
                      <w:szCs w:val="18"/>
                    </w:rPr>
                    <w:t>污染物</w:t>
                  </w:r>
                </w:p>
              </w:tc>
              <w:tc>
                <w:tcPr>
                  <w:tcW w:w="1400" w:type="dxa"/>
                  <w:tcBorders>
                    <w:tl2br w:val="nil"/>
                    <w:tr2bl w:val="nil"/>
                  </w:tcBorders>
                  <w:vAlign w:val="center"/>
                </w:tcPr>
                <w:p w14:paraId="21E526D0">
                  <w:pPr>
                    <w:jc w:val="center"/>
                    <w:rPr>
                      <w:color w:val="auto"/>
                      <w:sz w:val="18"/>
                      <w:szCs w:val="18"/>
                    </w:rPr>
                  </w:pPr>
                  <w:r>
                    <w:rPr>
                      <w:color w:val="auto"/>
                      <w:sz w:val="18"/>
                      <w:szCs w:val="18"/>
                    </w:rPr>
                    <w:t>平均时间</w:t>
                  </w:r>
                </w:p>
              </w:tc>
              <w:tc>
                <w:tcPr>
                  <w:tcW w:w="1120" w:type="dxa"/>
                  <w:tcBorders>
                    <w:tl2br w:val="nil"/>
                    <w:tr2bl w:val="nil"/>
                  </w:tcBorders>
                  <w:vAlign w:val="center"/>
                </w:tcPr>
                <w:p w14:paraId="266468FF">
                  <w:pPr>
                    <w:jc w:val="center"/>
                    <w:rPr>
                      <w:color w:val="auto"/>
                      <w:sz w:val="18"/>
                      <w:szCs w:val="18"/>
                    </w:rPr>
                  </w:pPr>
                  <w:r>
                    <w:rPr>
                      <w:color w:val="auto"/>
                      <w:sz w:val="18"/>
                      <w:szCs w:val="18"/>
                    </w:rPr>
                    <w:t>评价标准</w:t>
                  </w:r>
                </w:p>
                <w:p w14:paraId="00825744">
                  <w:pPr>
                    <w:jc w:val="center"/>
                    <w:rPr>
                      <w:color w:val="auto"/>
                      <w:sz w:val="18"/>
                      <w:szCs w:val="18"/>
                    </w:rPr>
                  </w:pPr>
                  <w:r>
                    <w:rPr>
                      <w:color w:val="auto"/>
                      <w:sz w:val="18"/>
                      <w:szCs w:val="18"/>
                    </w:rPr>
                    <w:t>/μg/m</w:t>
                  </w:r>
                  <w:r>
                    <w:rPr>
                      <w:color w:val="auto"/>
                      <w:sz w:val="18"/>
                      <w:szCs w:val="18"/>
                      <w:vertAlign w:val="superscript"/>
                    </w:rPr>
                    <w:t>3</w:t>
                  </w:r>
                </w:p>
              </w:tc>
              <w:tc>
                <w:tcPr>
                  <w:tcW w:w="1227" w:type="dxa"/>
                  <w:tcBorders>
                    <w:tl2br w:val="nil"/>
                    <w:tr2bl w:val="nil"/>
                  </w:tcBorders>
                  <w:vAlign w:val="center"/>
                </w:tcPr>
                <w:p w14:paraId="23256989">
                  <w:pPr>
                    <w:jc w:val="center"/>
                    <w:rPr>
                      <w:color w:val="auto"/>
                      <w:sz w:val="18"/>
                      <w:szCs w:val="18"/>
                    </w:rPr>
                  </w:pPr>
                  <w:r>
                    <w:rPr>
                      <w:color w:val="auto"/>
                      <w:sz w:val="18"/>
                      <w:szCs w:val="18"/>
                    </w:rPr>
                    <w:t>监测浓度范围</w:t>
                  </w:r>
                </w:p>
                <w:p w14:paraId="752131BA">
                  <w:pPr>
                    <w:jc w:val="center"/>
                    <w:rPr>
                      <w:color w:val="auto"/>
                      <w:sz w:val="18"/>
                      <w:szCs w:val="18"/>
                    </w:rPr>
                  </w:pPr>
                  <w:r>
                    <w:rPr>
                      <w:color w:val="auto"/>
                      <w:sz w:val="18"/>
                      <w:szCs w:val="18"/>
                    </w:rPr>
                    <w:t>/μg/m</w:t>
                  </w:r>
                  <w:r>
                    <w:rPr>
                      <w:color w:val="auto"/>
                      <w:sz w:val="18"/>
                      <w:szCs w:val="18"/>
                      <w:vertAlign w:val="superscript"/>
                    </w:rPr>
                    <w:t>3</w:t>
                  </w:r>
                </w:p>
              </w:tc>
              <w:tc>
                <w:tcPr>
                  <w:tcW w:w="992" w:type="dxa"/>
                  <w:tcBorders>
                    <w:tl2br w:val="nil"/>
                    <w:tr2bl w:val="nil"/>
                  </w:tcBorders>
                  <w:vAlign w:val="center"/>
                </w:tcPr>
                <w:p w14:paraId="4EB10855">
                  <w:pPr>
                    <w:jc w:val="center"/>
                    <w:rPr>
                      <w:color w:val="auto"/>
                      <w:sz w:val="18"/>
                      <w:szCs w:val="18"/>
                    </w:rPr>
                  </w:pPr>
                  <w:r>
                    <w:rPr>
                      <w:color w:val="auto"/>
                      <w:sz w:val="18"/>
                      <w:szCs w:val="18"/>
                    </w:rPr>
                    <w:t>最大浓度占标率/%</w:t>
                  </w:r>
                </w:p>
              </w:tc>
              <w:tc>
                <w:tcPr>
                  <w:tcW w:w="821" w:type="dxa"/>
                  <w:tcBorders>
                    <w:tl2br w:val="nil"/>
                    <w:tr2bl w:val="nil"/>
                  </w:tcBorders>
                  <w:vAlign w:val="center"/>
                </w:tcPr>
                <w:p w14:paraId="40543C26">
                  <w:pPr>
                    <w:jc w:val="center"/>
                    <w:rPr>
                      <w:color w:val="auto"/>
                      <w:sz w:val="18"/>
                      <w:szCs w:val="18"/>
                    </w:rPr>
                  </w:pPr>
                  <w:r>
                    <w:rPr>
                      <w:color w:val="auto"/>
                      <w:sz w:val="18"/>
                      <w:szCs w:val="18"/>
                    </w:rPr>
                    <w:t>超标率/%</w:t>
                  </w:r>
                </w:p>
              </w:tc>
              <w:tc>
                <w:tcPr>
                  <w:tcW w:w="660" w:type="dxa"/>
                  <w:tcBorders>
                    <w:tl2br w:val="nil"/>
                    <w:tr2bl w:val="nil"/>
                  </w:tcBorders>
                  <w:vAlign w:val="center"/>
                </w:tcPr>
                <w:p w14:paraId="61940FED">
                  <w:pPr>
                    <w:jc w:val="center"/>
                    <w:rPr>
                      <w:color w:val="auto"/>
                      <w:sz w:val="18"/>
                      <w:szCs w:val="18"/>
                    </w:rPr>
                  </w:pPr>
                  <w:r>
                    <w:rPr>
                      <w:color w:val="auto"/>
                      <w:sz w:val="18"/>
                      <w:szCs w:val="18"/>
                    </w:rPr>
                    <w:t>达标</w:t>
                  </w:r>
                </w:p>
                <w:p w14:paraId="1DF01718">
                  <w:pPr>
                    <w:jc w:val="center"/>
                    <w:rPr>
                      <w:color w:val="auto"/>
                      <w:sz w:val="18"/>
                      <w:szCs w:val="18"/>
                    </w:rPr>
                  </w:pPr>
                  <w:r>
                    <w:rPr>
                      <w:color w:val="auto"/>
                      <w:sz w:val="18"/>
                      <w:szCs w:val="18"/>
                    </w:rPr>
                    <w:t>情况</w:t>
                  </w:r>
                </w:p>
              </w:tc>
            </w:tr>
            <w:tr w14:paraId="4D7BDA0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06" w:hRule="atLeast"/>
              </w:trPr>
              <w:tc>
                <w:tcPr>
                  <w:tcW w:w="931" w:type="dxa"/>
                  <w:vMerge w:val="restart"/>
                  <w:tcBorders>
                    <w:tl2br w:val="nil"/>
                    <w:tr2bl w:val="nil"/>
                  </w:tcBorders>
                  <w:vAlign w:val="center"/>
                </w:tcPr>
                <w:p w14:paraId="29E7B29D">
                  <w:pPr>
                    <w:jc w:val="center"/>
                    <w:rPr>
                      <w:rFonts w:hint="eastAsia" w:eastAsia="宋体"/>
                      <w:color w:val="auto"/>
                      <w:sz w:val="18"/>
                      <w:szCs w:val="18"/>
                      <w:lang w:eastAsia="zh-CN"/>
                    </w:rPr>
                  </w:pPr>
                  <w:r>
                    <w:rPr>
                      <w:rFonts w:hint="eastAsia"/>
                      <w:color w:val="auto"/>
                      <w:sz w:val="18"/>
                      <w:szCs w:val="18"/>
                      <w:lang w:val="en-US" w:eastAsia="zh-CN"/>
                    </w:rPr>
                    <w:t>合理村</w:t>
                  </w:r>
                </w:p>
              </w:tc>
              <w:tc>
                <w:tcPr>
                  <w:tcW w:w="866" w:type="dxa"/>
                  <w:tcBorders>
                    <w:tl2br w:val="nil"/>
                    <w:tr2bl w:val="nil"/>
                  </w:tcBorders>
                  <w:vAlign w:val="center"/>
                </w:tcPr>
                <w:p w14:paraId="31D3B7B5">
                  <w:pPr>
                    <w:pStyle w:val="60"/>
                    <w:spacing w:before="45"/>
                    <w:ind w:left="42" w:leftChars="0" w:right="16" w:rightChars="0"/>
                    <w:rPr>
                      <w:rFonts w:hint="default" w:ascii="Times New Roman" w:hAnsi="Times New Roman" w:eastAsia="宋体" w:cs="Times New Roman"/>
                      <w:color w:val="auto"/>
                      <w:kern w:val="2"/>
                      <w:sz w:val="18"/>
                      <w:szCs w:val="18"/>
                      <w:lang w:val="en-US" w:eastAsia="zh-CN" w:bidi="ar-SA"/>
                    </w:rPr>
                  </w:pPr>
                  <w:r>
                    <w:rPr>
                      <w:rFonts w:hint="eastAsia" w:eastAsia="宋体"/>
                      <w:color w:val="auto"/>
                      <w:kern w:val="2"/>
                      <w:sz w:val="18"/>
                      <w:szCs w:val="18"/>
                      <w:lang w:val="en-US" w:bidi="ar-SA"/>
                    </w:rPr>
                    <w:t>TSP</w:t>
                  </w:r>
                </w:p>
              </w:tc>
              <w:tc>
                <w:tcPr>
                  <w:tcW w:w="1400" w:type="dxa"/>
                  <w:tcBorders>
                    <w:tl2br w:val="nil"/>
                    <w:tr2bl w:val="nil"/>
                  </w:tcBorders>
                  <w:vAlign w:val="center"/>
                </w:tcPr>
                <w:p w14:paraId="72919CA6">
                  <w:pPr>
                    <w:pStyle w:val="60"/>
                    <w:spacing w:before="45"/>
                    <w:ind w:left="42" w:leftChars="0" w:right="16" w:rightChars="0"/>
                    <w:rPr>
                      <w:rFonts w:hint="eastAsia" w:ascii="Times New Roman" w:hAnsi="Times New Roman" w:eastAsia="宋体" w:cs="Times New Roman"/>
                      <w:color w:val="auto"/>
                      <w:kern w:val="2"/>
                      <w:sz w:val="18"/>
                      <w:szCs w:val="18"/>
                      <w:lang w:val="en-US" w:eastAsia="zh-CN" w:bidi="ar-SA"/>
                    </w:rPr>
                  </w:pPr>
                  <w:r>
                    <w:rPr>
                      <w:rFonts w:hint="eastAsia" w:eastAsia="宋体"/>
                      <w:color w:val="auto"/>
                      <w:kern w:val="2"/>
                      <w:sz w:val="18"/>
                      <w:szCs w:val="18"/>
                      <w:lang w:val="en-US" w:bidi="ar-SA"/>
                    </w:rPr>
                    <w:t>24</w:t>
                  </w:r>
                  <w:r>
                    <w:rPr>
                      <w:rFonts w:eastAsia="宋体"/>
                      <w:color w:val="auto"/>
                      <w:kern w:val="2"/>
                      <w:sz w:val="18"/>
                      <w:szCs w:val="18"/>
                      <w:lang w:val="en-US" w:bidi="ar-SA"/>
                    </w:rPr>
                    <w:t>小时平均浓度</w:t>
                  </w:r>
                </w:p>
              </w:tc>
              <w:tc>
                <w:tcPr>
                  <w:tcW w:w="1120" w:type="dxa"/>
                  <w:tcBorders>
                    <w:tl2br w:val="nil"/>
                    <w:tr2bl w:val="nil"/>
                  </w:tcBorders>
                  <w:vAlign w:val="center"/>
                </w:tcPr>
                <w:p w14:paraId="3CA33723">
                  <w:pPr>
                    <w:jc w:val="center"/>
                    <w:rPr>
                      <w:rFonts w:hint="default" w:ascii="Times New Roman" w:hAnsi="Times New Roman" w:eastAsia="宋体" w:cs="Times New Roman"/>
                      <w:color w:val="auto"/>
                      <w:kern w:val="2"/>
                      <w:sz w:val="18"/>
                      <w:szCs w:val="18"/>
                      <w:lang w:val="en-US" w:eastAsia="zh-CN" w:bidi="ar-SA"/>
                    </w:rPr>
                  </w:pPr>
                  <w:r>
                    <w:rPr>
                      <w:rFonts w:hint="eastAsia"/>
                      <w:color w:val="auto"/>
                      <w:sz w:val="18"/>
                      <w:szCs w:val="18"/>
                    </w:rPr>
                    <w:t>300</w:t>
                  </w:r>
                </w:p>
              </w:tc>
              <w:tc>
                <w:tcPr>
                  <w:tcW w:w="1227" w:type="dxa"/>
                  <w:tcBorders>
                    <w:tl2br w:val="nil"/>
                    <w:tr2bl w:val="nil"/>
                  </w:tcBorders>
                  <w:vAlign w:val="center"/>
                </w:tcPr>
                <w:p w14:paraId="111198DE">
                  <w:pPr>
                    <w:jc w:val="center"/>
                    <w:rPr>
                      <w:rFonts w:hint="default"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131</w:t>
                  </w:r>
                  <w:r>
                    <w:rPr>
                      <w:rFonts w:hint="eastAsia"/>
                      <w:color w:val="auto"/>
                      <w:sz w:val="18"/>
                      <w:szCs w:val="18"/>
                    </w:rPr>
                    <w:t>-</w:t>
                  </w:r>
                  <w:r>
                    <w:rPr>
                      <w:rFonts w:hint="eastAsia"/>
                      <w:color w:val="auto"/>
                      <w:sz w:val="18"/>
                      <w:szCs w:val="18"/>
                      <w:lang w:val="en-US" w:eastAsia="zh-CN"/>
                    </w:rPr>
                    <w:t>177</w:t>
                  </w:r>
                </w:p>
              </w:tc>
              <w:tc>
                <w:tcPr>
                  <w:tcW w:w="992" w:type="dxa"/>
                  <w:tcBorders>
                    <w:tl2br w:val="nil"/>
                    <w:tr2bl w:val="nil"/>
                  </w:tcBorders>
                  <w:vAlign w:val="center"/>
                </w:tcPr>
                <w:p w14:paraId="35616C60">
                  <w:pPr>
                    <w:jc w:val="center"/>
                    <w:rPr>
                      <w:rFonts w:hint="default" w:ascii="Times New Roman" w:hAnsi="Times New Roman" w:eastAsia="宋体" w:cs="Times New Roman"/>
                      <w:color w:val="auto"/>
                      <w:kern w:val="2"/>
                      <w:sz w:val="18"/>
                      <w:szCs w:val="18"/>
                      <w:lang w:val="en-US" w:eastAsia="zh-CN" w:bidi="ar-SA"/>
                    </w:rPr>
                  </w:pPr>
                  <w:r>
                    <w:rPr>
                      <w:rFonts w:hint="eastAsia" w:cs="Times New Roman"/>
                      <w:color w:val="auto"/>
                      <w:kern w:val="2"/>
                      <w:sz w:val="18"/>
                      <w:szCs w:val="18"/>
                      <w:lang w:val="en-US" w:eastAsia="zh-CN" w:bidi="ar-SA"/>
                    </w:rPr>
                    <w:t>59</w:t>
                  </w:r>
                </w:p>
              </w:tc>
              <w:tc>
                <w:tcPr>
                  <w:tcW w:w="821" w:type="dxa"/>
                  <w:tcBorders>
                    <w:tl2br w:val="nil"/>
                    <w:tr2bl w:val="nil"/>
                  </w:tcBorders>
                  <w:vAlign w:val="center"/>
                </w:tcPr>
                <w:p w14:paraId="4D25B107">
                  <w:pPr>
                    <w:jc w:val="center"/>
                    <w:rPr>
                      <w:rFonts w:hint="eastAsia" w:ascii="Times New Roman" w:hAnsi="Times New Roman" w:eastAsia="宋体" w:cs="Times New Roman"/>
                      <w:color w:val="auto"/>
                      <w:kern w:val="2"/>
                      <w:sz w:val="18"/>
                      <w:szCs w:val="18"/>
                      <w:lang w:val="en-US" w:eastAsia="zh-CN" w:bidi="ar-SA"/>
                    </w:rPr>
                  </w:pPr>
                  <w:r>
                    <w:rPr>
                      <w:color w:val="auto"/>
                      <w:sz w:val="18"/>
                      <w:szCs w:val="18"/>
                    </w:rPr>
                    <w:t>0</w:t>
                  </w:r>
                </w:p>
              </w:tc>
              <w:tc>
                <w:tcPr>
                  <w:tcW w:w="660" w:type="dxa"/>
                  <w:tcBorders>
                    <w:tl2br w:val="nil"/>
                    <w:tr2bl w:val="nil"/>
                  </w:tcBorders>
                  <w:vAlign w:val="center"/>
                </w:tcPr>
                <w:p w14:paraId="6D114DC2">
                  <w:pPr>
                    <w:jc w:val="center"/>
                    <w:rPr>
                      <w:rFonts w:ascii="Times New Roman" w:hAnsi="Times New Roman" w:eastAsia="宋体" w:cs="Times New Roman"/>
                      <w:color w:val="auto"/>
                      <w:kern w:val="2"/>
                      <w:sz w:val="18"/>
                      <w:szCs w:val="18"/>
                      <w:lang w:val="en-US" w:eastAsia="zh-CN" w:bidi="ar-SA"/>
                    </w:rPr>
                  </w:pPr>
                  <w:r>
                    <w:rPr>
                      <w:color w:val="auto"/>
                      <w:sz w:val="18"/>
                      <w:szCs w:val="18"/>
                    </w:rPr>
                    <w:t>达标</w:t>
                  </w:r>
                </w:p>
              </w:tc>
            </w:tr>
            <w:tr w14:paraId="4466123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06" w:hRule="atLeast"/>
              </w:trPr>
              <w:tc>
                <w:tcPr>
                  <w:tcW w:w="931" w:type="dxa"/>
                  <w:vMerge w:val="continue"/>
                  <w:tcBorders>
                    <w:tl2br w:val="nil"/>
                    <w:tr2bl w:val="nil"/>
                  </w:tcBorders>
                  <w:vAlign w:val="center"/>
                </w:tcPr>
                <w:p w14:paraId="23394CF6">
                  <w:pPr>
                    <w:jc w:val="center"/>
                    <w:rPr>
                      <w:rFonts w:hint="eastAsia"/>
                      <w:color w:val="auto"/>
                      <w:sz w:val="18"/>
                      <w:szCs w:val="18"/>
                      <w:lang w:val="en-US" w:eastAsia="zh-CN"/>
                    </w:rPr>
                  </w:pPr>
                </w:p>
              </w:tc>
              <w:tc>
                <w:tcPr>
                  <w:tcW w:w="866" w:type="dxa"/>
                  <w:tcBorders>
                    <w:tl2br w:val="nil"/>
                    <w:tr2bl w:val="nil"/>
                  </w:tcBorders>
                  <w:vAlign w:val="center"/>
                </w:tcPr>
                <w:p w14:paraId="25A21938">
                  <w:pPr>
                    <w:pStyle w:val="60"/>
                    <w:spacing w:before="45"/>
                    <w:ind w:left="42" w:leftChars="0" w:right="16" w:rightChars="0"/>
                    <w:rPr>
                      <w:rFonts w:hint="eastAsia" w:ascii="Times New Roman" w:hAnsi="Times New Roman" w:eastAsia="宋体" w:cs="Times New Roman"/>
                      <w:color w:val="auto"/>
                      <w:kern w:val="2"/>
                      <w:sz w:val="18"/>
                      <w:szCs w:val="18"/>
                      <w:lang w:val="en-US" w:eastAsia="zh-CN" w:bidi="ar-SA"/>
                    </w:rPr>
                  </w:pPr>
                  <w:r>
                    <w:rPr>
                      <w:rFonts w:eastAsia="宋体"/>
                      <w:color w:val="auto"/>
                      <w:kern w:val="2"/>
                      <w:sz w:val="18"/>
                      <w:szCs w:val="18"/>
                      <w:lang w:val="en-US" w:bidi="ar-SA"/>
                    </w:rPr>
                    <w:t>NMHC</w:t>
                  </w:r>
                </w:p>
              </w:tc>
              <w:tc>
                <w:tcPr>
                  <w:tcW w:w="1400" w:type="dxa"/>
                  <w:tcBorders>
                    <w:tl2br w:val="nil"/>
                    <w:tr2bl w:val="nil"/>
                  </w:tcBorders>
                  <w:vAlign w:val="center"/>
                </w:tcPr>
                <w:p w14:paraId="479066F3">
                  <w:pPr>
                    <w:pStyle w:val="60"/>
                    <w:spacing w:before="45"/>
                    <w:ind w:left="42" w:leftChars="0" w:right="16" w:rightChars="0"/>
                    <w:rPr>
                      <w:rFonts w:hint="eastAsia" w:ascii="Times New Roman" w:hAnsi="Times New Roman" w:eastAsia="宋体" w:cs="Times New Roman"/>
                      <w:color w:val="auto"/>
                      <w:kern w:val="2"/>
                      <w:sz w:val="18"/>
                      <w:szCs w:val="18"/>
                      <w:lang w:val="en-US" w:eastAsia="zh-CN" w:bidi="ar-SA"/>
                    </w:rPr>
                  </w:pPr>
                  <w:r>
                    <w:rPr>
                      <w:rFonts w:eastAsia="宋体"/>
                      <w:color w:val="auto"/>
                      <w:kern w:val="2"/>
                      <w:sz w:val="18"/>
                      <w:szCs w:val="18"/>
                      <w:lang w:val="en-US" w:bidi="ar-SA"/>
                    </w:rPr>
                    <w:t>1小时平均浓度</w:t>
                  </w:r>
                </w:p>
              </w:tc>
              <w:tc>
                <w:tcPr>
                  <w:tcW w:w="1120" w:type="dxa"/>
                  <w:tcBorders>
                    <w:tl2br w:val="nil"/>
                    <w:tr2bl w:val="nil"/>
                  </w:tcBorders>
                  <w:vAlign w:val="center"/>
                </w:tcPr>
                <w:p w14:paraId="64E7D5E7">
                  <w:pPr>
                    <w:jc w:val="center"/>
                    <w:rPr>
                      <w:rFonts w:hint="eastAsia"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2000</w:t>
                  </w:r>
                </w:p>
              </w:tc>
              <w:tc>
                <w:tcPr>
                  <w:tcW w:w="1227" w:type="dxa"/>
                  <w:tcBorders>
                    <w:tl2br w:val="nil"/>
                    <w:tr2bl w:val="nil"/>
                  </w:tcBorders>
                  <w:vAlign w:val="center"/>
                </w:tcPr>
                <w:p w14:paraId="3DBECCD6">
                  <w:pPr>
                    <w:jc w:val="center"/>
                    <w:rPr>
                      <w:rFonts w:hint="default"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150-420</w:t>
                  </w:r>
                </w:p>
              </w:tc>
              <w:tc>
                <w:tcPr>
                  <w:tcW w:w="992" w:type="dxa"/>
                  <w:tcBorders>
                    <w:tl2br w:val="nil"/>
                    <w:tr2bl w:val="nil"/>
                  </w:tcBorders>
                  <w:vAlign w:val="center"/>
                </w:tcPr>
                <w:p w14:paraId="30A6EE71">
                  <w:pPr>
                    <w:jc w:val="center"/>
                    <w:rPr>
                      <w:rFonts w:hint="default" w:ascii="Times New Roman" w:hAnsi="Times New Roman" w:eastAsia="宋体" w:cs="Times New Roman"/>
                      <w:color w:val="auto"/>
                      <w:kern w:val="2"/>
                      <w:sz w:val="18"/>
                      <w:szCs w:val="18"/>
                      <w:lang w:val="en-US" w:eastAsia="zh-CN" w:bidi="ar-SA"/>
                    </w:rPr>
                  </w:pPr>
                  <w:r>
                    <w:rPr>
                      <w:rFonts w:hint="eastAsia" w:cs="Times New Roman"/>
                      <w:color w:val="auto"/>
                      <w:kern w:val="2"/>
                      <w:sz w:val="18"/>
                      <w:szCs w:val="18"/>
                      <w:lang w:val="en-US" w:eastAsia="zh-CN" w:bidi="ar-SA"/>
                    </w:rPr>
                    <w:t>21</w:t>
                  </w:r>
                </w:p>
              </w:tc>
              <w:tc>
                <w:tcPr>
                  <w:tcW w:w="821" w:type="dxa"/>
                  <w:tcBorders>
                    <w:tl2br w:val="nil"/>
                    <w:tr2bl w:val="nil"/>
                  </w:tcBorders>
                  <w:vAlign w:val="center"/>
                </w:tcPr>
                <w:p w14:paraId="124E8282">
                  <w:pPr>
                    <w:jc w:val="center"/>
                    <w:rPr>
                      <w:rFonts w:hint="eastAsia" w:ascii="Times New Roman" w:hAnsi="Times New Roman" w:eastAsia="宋体" w:cs="Times New Roman"/>
                      <w:color w:val="auto"/>
                      <w:kern w:val="2"/>
                      <w:sz w:val="18"/>
                      <w:szCs w:val="18"/>
                      <w:lang w:val="en-US" w:eastAsia="zh-CN" w:bidi="ar-SA"/>
                    </w:rPr>
                  </w:pPr>
                  <w:r>
                    <w:rPr>
                      <w:rFonts w:hint="eastAsia"/>
                      <w:color w:val="auto"/>
                      <w:sz w:val="18"/>
                      <w:szCs w:val="18"/>
                      <w:lang w:val="en-US" w:eastAsia="zh-CN"/>
                    </w:rPr>
                    <w:t>0</w:t>
                  </w:r>
                </w:p>
              </w:tc>
              <w:tc>
                <w:tcPr>
                  <w:tcW w:w="660" w:type="dxa"/>
                  <w:tcBorders>
                    <w:tl2br w:val="nil"/>
                    <w:tr2bl w:val="nil"/>
                  </w:tcBorders>
                  <w:vAlign w:val="center"/>
                </w:tcPr>
                <w:p w14:paraId="505921DB">
                  <w:pPr>
                    <w:jc w:val="center"/>
                    <w:rPr>
                      <w:rFonts w:ascii="Times New Roman" w:hAnsi="Times New Roman" w:eastAsia="宋体" w:cs="Times New Roman"/>
                      <w:color w:val="auto"/>
                      <w:kern w:val="2"/>
                      <w:sz w:val="18"/>
                      <w:szCs w:val="18"/>
                      <w:lang w:val="en-US" w:eastAsia="zh-CN" w:bidi="ar-SA"/>
                    </w:rPr>
                  </w:pPr>
                  <w:r>
                    <w:rPr>
                      <w:color w:val="auto"/>
                      <w:sz w:val="18"/>
                      <w:szCs w:val="18"/>
                    </w:rPr>
                    <w:t>达标</w:t>
                  </w:r>
                </w:p>
              </w:tc>
            </w:tr>
          </w:tbl>
          <w:p w14:paraId="4C9DD29B">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ascii="Times New Roman" w:hAnsi="Times New Roman"/>
                <w:color w:val="auto"/>
                <w:sz w:val="21"/>
                <w:szCs w:val="21"/>
              </w:rPr>
              <w:t>由表</w:t>
            </w:r>
            <w:r>
              <w:rPr>
                <w:rFonts w:hint="eastAsia" w:ascii="Times New Roman" w:hAnsi="Times New Roman"/>
                <w:color w:val="auto"/>
                <w:sz w:val="21"/>
                <w:szCs w:val="21"/>
                <w:lang w:val="en-US" w:eastAsia="zh-CN"/>
              </w:rPr>
              <w:t>13</w:t>
            </w:r>
            <w:r>
              <w:rPr>
                <w:rFonts w:ascii="Times New Roman" w:hAnsi="Times New Roman"/>
                <w:color w:val="auto"/>
                <w:sz w:val="21"/>
                <w:szCs w:val="21"/>
              </w:rPr>
              <w:t>分析可知，监测点位TSP 24小时平均浓度均满足《环境空气质量标准》（GB3095- 2012）中二级标准及其修改单要求；NMHC 1小时平均浓度满足《非甲烷总烃环境空气质量标准》（DB13/1577-2012）中二级标准要求。</w:t>
            </w:r>
          </w:p>
          <w:p w14:paraId="7290C63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2.2地表水环境</w:t>
            </w:r>
          </w:p>
          <w:p w14:paraId="682CE663">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cyan"/>
                <w:lang w:val="en-US" w:eastAsia="zh-CN"/>
              </w:rPr>
            </w:pPr>
            <w:r>
              <w:rPr>
                <w:rFonts w:hint="eastAsia" w:ascii="Times New Roman" w:hAnsi="Times New Roman"/>
                <w:color w:val="auto"/>
                <w:sz w:val="21"/>
                <w:szCs w:val="21"/>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p>
          <w:p w14:paraId="269ACF85">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根据《</w:t>
            </w:r>
            <w:r>
              <w:rPr>
                <w:rFonts w:hint="default" w:ascii="Times New Roman" w:hAnsi="Times New Roman"/>
                <w:color w:val="auto"/>
                <w:sz w:val="21"/>
                <w:szCs w:val="21"/>
                <w:highlight w:val="none"/>
                <w:lang w:val="en-US" w:eastAsia="zh-CN"/>
              </w:rPr>
              <w:t>2023</w:t>
            </w:r>
            <w:r>
              <w:rPr>
                <w:rFonts w:hint="eastAsia" w:ascii="Times New Roman" w:hAnsi="Times New Roman"/>
                <w:color w:val="auto"/>
                <w:sz w:val="21"/>
                <w:szCs w:val="21"/>
                <w:highlight w:val="none"/>
                <w:lang w:val="en-US" w:eastAsia="zh-CN"/>
              </w:rPr>
              <w:t>年唐山市环境质量公报》，全市共有地表水国、省考监测断面</w:t>
            </w:r>
            <w:r>
              <w:rPr>
                <w:rFonts w:hint="default" w:ascii="Times New Roman" w:hAnsi="Times New Roman"/>
                <w:color w:val="auto"/>
                <w:sz w:val="21"/>
                <w:szCs w:val="21"/>
                <w:highlight w:val="none"/>
                <w:lang w:val="en-US" w:eastAsia="zh-CN"/>
              </w:rPr>
              <w:t>14</w:t>
            </w:r>
            <w:r>
              <w:rPr>
                <w:rFonts w:hint="eastAsia" w:ascii="Times New Roman" w:hAnsi="Times New Roman"/>
                <w:color w:val="auto"/>
                <w:sz w:val="21"/>
                <w:szCs w:val="21"/>
                <w:highlight w:val="none"/>
                <w:lang w:val="en-US" w:eastAsia="zh-CN"/>
              </w:rPr>
              <w:t>个，其中国考监测断面</w:t>
            </w:r>
            <w:r>
              <w:rPr>
                <w:rFonts w:hint="default" w:ascii="Times New Roman" w:hAnsi="Times New Roman"/>
                <w:color w:val="auto"/>
                <w:sz w:val="21"/>
                <w:szCs w:val="21"/>
                <w:highlight w:val="none"/>
                <w:lang w:val="en-US" w:eastAsia="zh-CN"/>
              </w:rPr>
              <w:t>12</w:t>
            </w:r>
            <w:r>
              <w:rPr>
                <w:rFonts w:hint="eastAsia" w:ascii="Times New Roman" w:hAnsi="Times New Roman"/>
                <w:color w:val="auto"/>
                <w:sz w:val="21"/>
                <w:szCs w:val="21"/>
                <w:highlight w:val="none"/>
                <w:lang w:val="en-US" w:eastAsia="zh-CN"/>
              </w:rPr>
              <w:t>个，省考监测断面</w:t>
            </w:r>
            <w:r>
              <w:rPr>
                <w:rFonts w:hint="default" w:ascii="Times New Roman" w:hAnsi="Times New Roman"/>
                <w:color w:val="auto"/>
                <w:sz w:val="21"/>
                <w:szCs w:val="21"/>
                <w:highlight w:val="none"/>
                <w:lang w:val="en-US" w:eastAsia="zh-CN"/>
              </w:rPr>
              <w:t>2</w:t>
            </w:r>
            <w:r>
              <w:rPr>
                <w:rFonts w:hint="eastAsia" w:ascii="Times New Roman" w:hAnsi="Times New Roman"/>
                <w:color w:val="auto"/>
                <w:sz w:val="21"/>
                <w:szCs w:val="21"/>
                <w:highlight w:val="none"/>
                <w:lang w:val="en-US" w:eastAsia="zh-CN"/>
              </w:rPr>
              <w:t>个，分别布于滦河</w:t>
            </w:r>
            <w:r>
              <w:rPr>
                <w:rFonts w:hint="default" w:ascii="Times New Roman" w:hAnsi="Times New Roman"/>
                <w:color w:val="auto"/>
                <w:sz w:val="21"/>
                <w:szCs w:val="21"/>
                <w:highlight w:val="none"/>
                <w:lang w:val="en-US" w:eastAsia="zh-CN"/>
              </w:rPr>
              <w:t>4</w:t>
            </w:r>
            <w:r>
              <w:rPr>
                <w:rFonts w:hint="eastAsia" w:ascii="Times New Roman" w:hAnsi="Times New Roman"/>
                <w:color w:val="auto"/>
                <w:sz w:val="21"/>
                <w:szCs w:val="21"/>
                <w:highlight w:val="none"/>
                <w:lang w:val="en-US" w:eastAsia="zh-CN"/>
              </w:rPr>
              <w:t>个、还乡河</w:t>
            </w:r>
            <w:r>
              <w:rPr>
                <w:rFonts w:hint="default" w:ascii="Times New Roman" w:hAnsi="Times New Roman"/>
                <w:color w:val="auto"/>
                <w:sz w:val="21"/>
                <w:szCs w:val="21"/>
                <w:highlight w:val="none"/>
                <w:lang w:val="en-US" w:eastAsia="zh-CN"/>
              </w:rPr>
              <w:t>2</w:t>
            </w:r>
            <w:r>
              <w:rPr>
                <w:rFonts w:hint="eastAsia" w:ascii="Times New Roman" w:hAnsi="Times New Roman"/>
                <w:color w:val="auto"/>
                <w:sz w:val="21"/>
                <w:szCs w:val="21"/>
                <w:highlight w:val="none"/>
                <w:lang w:val="en-US" w:eastAsia="zh-CN"/>
              </w:rPr>
              <w:t>个、陡河</w:t>
            </w:r>
            <w:r>
              <w:rPr>
                <w:rFonts w:hint="default" w:ascii="Times New Roman" w:hAnsi="Times New Roman"/>
                <w:color w:val="auto"/>
                <w:sz w:val="21"/>
                <w:szCs w:val="21"/>
                <w:highlight w:val="none"/>
                <w:lang w:val="en-US" w:eastAsia="zh-CN"/>
              </w:rPr>
              <w:t xml:space="preserve">2 </w:t>
            </w:r>
            <w:r>
              <w:rPr>
                <w:rFonts w:hint="eastAsia" w:ascii="Times New Roman" w:hAnsi="Times New Roman"/>
                <w:color w:val="auto"/>
                <w:sz w:val="21"/>
                <w:szCs w:val="21"/>
                <w:highlight w:val="none"/>
                <w:lang w:val="en-US" w:eastAsia="zh-CN"/>
              </w:rPr>
              <w:t>个、青龙河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个、蓟运河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个、煤河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个、淋河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个、黎河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个、沙河</w:t>
            </w:r>
            <w:r>
              <w:rPr>
                <w:rFonts w:hint="default" w:ascii="Times New Roman" w:hAnsi="Times New Roman"/>
                <w:color w:val="auto"/>
                <w:sz w:val="21"/>
                <w:szCs w:val="21"/>
                <w:highlight w:val="none"/>
                <w:lang w:val="en-US" w:eastAsia="zh-CN"/>
              </w:rPr>
              <w:t>1</w:t>
            </w:r>
            <w:r>
              <w:rPr>
                <w:rFonts w:hint="eastAsia" w:ascii="Times New Roman" w:hAnsi="Times New Roman"/>
                <w:color w:val="auto"/>
                <w:sz w:val="21"/>
                <w:szCs w:val="21"/>
                <w:highlight w:val="none"/>
                <w:lang w:val="en-US" w:eastAsia="zh-CN"/>
              </w:rPr>
              <w:t>个。</w:t>
            </w:r>
            <w:r>
              <w:rPr>
                <w:rFonts w:hint="default" w:ascii="Times New Roman" w:hAnsi="Times New Roman"/>
                <w:color w:val="auto"/>
                <w:sz w:val="21"/>
                <w:szCs w:val="21"/>
                <w:highlight w:val="none"/>
                <w:lang w:val="en-US" w:eastAsia="zh-CN"/>
              </w:rPr>
              <w:t>2023</w:t>
            </w:r>
            <w:r>
              <w:rPr>
                <w:rFonts w:hint="eastAsia" w:ascii="Times New Roman" w:hAnsi="Times New Roman"/>
                <w:color w:val="auto"/>
                <w:sz w:val="21"/>
                <w:szCs w:val="21"/>
                <w:highlight w:val="none"/>
                <w:lang w:val="en-US" w:eastAsia="zh-CN"/>
              </w:rPr>
              <w:t>年全市国、省考核</w:t>
            </w:r>
            <w:r>
              <w:rPr>
                <w:rFonts w:hint="default" w:ascii="Times New Roman" w:hAnsi="Times New Roman"/>
                <w:color w:val="auto"/>
                <w:sz w:val="21"/>
                <w:szCs w:val="21"/>
                <w:highlight w:val="none"/>
                <w:lang w:val="en-US" w:eastAsia="zh-CN"/>
              </w:rPr>
              <w:t>9</w:t>
            </w:r>
            <w:r>
              <w:rPr>
                <w:rFonts w:hint="eastAsia" w:ascii="Times New Roman" w:hAnsi="Times New Roman"/>
                <w:color w:val="auto"/>
                <w:sz w:val="21"/>
                <w:szCs w:val="21"/>
                <w:highlight w:val="none"/>
                <w:lang w:val="en-US" w:eastAsia="zh-CN"/>
              </w:rPr>
              <w:t>条河流、</w:t>
            </w:r>
            <w:r>
              <w:rPr>
                <w:rFonts w:hint="default" w:ascii="Times New Roman" w:hAnsi="Times New Roman"/>
                <w:color w:val="auto"/>
                <w:sz w:val="21"/>
                <w:szCs w:val="21"/>
                <w:highlight w:val="none"/>
                <w:lang w:val="en-US" w:eastAsia="zh-CN"/>
              </w:rPr>
              <w:t>2</w:t>
            </w:r>
            <w:r>
              <w:rPr>
                <w:rFonts w:hint="eastAsia" w:ascii="Times New Roman" w:hAnsi="Times New Roman"/>
                <w:color w:val="auto"/>
                <w:sz w:val="21"/>
                <w:szCs w:val="21"/>
                <w:highlight w:val="none"/>
                <w:lang w:val="en-US" w:eastAsia="zh-CN"/>
              </w:rPr>
              <w:t>个湖库的</w:t>
            </w:r>
            <w:r>
              <w:rPr>
                <w:rFonts w:hint="default" w:ascii="Times New Roman" w:hAnsi="Times New Roman"/>
                <w:color w:val="auto"/>
                <w:sz w:val="21"/>
                <w:szCs w:val="21"/>
                <w:highlight w:val="none"/>
                <w:lang w:val="en-US" w:eastAsia="zh-CN"/>
              </w:rPr>
              <w:t>14</w:t>
            </w:r>
            <w:r>
              <w:rPr>
                <w:rFonts w:hint="eastAsia" w:ascii="Times New Roman" w:hAnsi="Times New Roman"/>
                <w:color w:val="auto"/>
                <w:sz w:val="21"/>
                <w:szCs w:val="21"/>
                <w:highlight w:val="none"/>
                <w:lang w:val="en-US" w:eastAsia="zh-CN"/>
              </w:rPr>
              <w:t>个断面伏良</w:t>
            </w:r>
            <w:r>
              <w:rPr>
                <w:rFonts w:hint="default" w:ascii="Times New Roman" w:hAnsi="Times New Roman"/>
                <w:color w:val="auto"/>
                <w:sz w:val="21"/>
                <w:szCs w:val="21"/>
                <w:highlight w:val="none"/>
                <w:lang w:val="en-US" w:eastAsia="zh-CN"/>
              </w:rPr>
              <w:t>(I~</w:t>
            </w:r>
            <w:r>
              <w:rPr>
                <w:rFonts w:hint="eastAsia" w:ascii="Times New Roman" w:hAnsi="Times New Roman"/>
                <w:color w:val="auto"/>
                <w:sz w:val="21"/>
                <w:szCs w:val="21"/>
                <w:highlight w:val="none"/>
                <w:lang w:val="en-US" w:eastAsia="zh-CN"/>
              </w:rPr>
              <w:t>Ⅲ</w:t>
            </w:r>
            <w:r>
              <w:rPr>
                <w:rFonts w:hint="default" w:ascii="Times New Roman" w:hAnsi="Times New Roman"/>
                <w:color w:val="auto"/>
                <w:sz w:val="21"/>
                <w:szCs w:val="21"/>
                <w:highlight w:val="none"/>
                <w:lang w:val="en-US" w:eastAsia="zh-CN"/>
              </w:rPr>
              <w:t>)</w:t>
            </w:r>
            <w:r>
              <w:rPr>
                <w:rFonts w:hint="eastAsia" w:ascii="Times New Roman" w:hAnsi="Times New Roman"/>
                <w:color w:val="auto"/>
                <w:sz w:val="21"/>
                <w:szCs w:val="21"/>
                <w:highlight w:val="none"/>
                <w:lang w:val="en-US" w:eastAsia="zh-CN"/>
              </w:rPr>
              <w:t>比例为</w:t>
            </w:r>
            <w:r>
              <w:rPr>
                <w:rFonts w:hint="default" w:ascii="Times New Roman" w:hAnsi="Times New Roman"/>
                <w:color w:val="auto"/>
                <w:sz w:val="21"/>
                <w:szCs w:val="21"/>
                <w:highlight w:val="none"/>
                <w:lang w:val="en-US" w:eastAsia="zh-CN"/>
              </w:rPr>
              <w:t>85.71%</w:t>
            </w:r>
            <w:r>
              <w:rPr>
                <w:rFonts w:hint="eastAsia" w:ascii="Times New Roman" w:hAnsi="Times New Roman"/>
                <w:color w:val="auto"/>
                <w:sz w:val="21"/>
                <w:szCs w:val="21"/>
                <w:highlight w:val="none"/>
                <w:lang w:val="en-US" w:eastAsia="zh-CN"/>
              </w:rPr>
              <w:t>，完成省达目标要求。</w:t>
            </w:r>
          </w:p>
          <w:p w14:paraId="5294A04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2.3声环境</w:t>
            </w:r>
          </w:p>
          <w:p w14:paraId="47AEDEE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rFonts w:hint="eastAsia" w:ascii="Times New Roman" w:hAnsi="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拟建</w:t>
            </w:r>
            <w:r>
              <w:rPr>
                <w:rFonts w:hint="eastAsia" w:ascii="Times New Roman" w:hAnsi="Times New Roman" w:cs="Times New Roman"/>
                <w:color w:val="auto"/>
                <w:sz w:val="21"/>
                <w:szCs w:val="21"/>
                <w:highlight w:val="none"/>
              </w:rPr>
              <w:t>项目</w:t>
            </w:r>
            <w:r>
              <w:rPr>
                <w:rFonts w:hint="eastAsia" w:ascii="Times New Roman" w:hAnsi="Times New Roman" w:cs="Times New Roman"/>
                <w:color w:val="auto"/>
                <w:sz w:val="21"/>
                <w:szCs w:val="21"/>
                <w:highlight w:val="none"/>
                <w:lang w:val="en-US" w:eastAsia="zh-CN"/>
              </w:rPr>
              <w:t>厂界</w:t>
            </w:r>
            <w:r>
              <w:rPr>
                <w:rFonts w:hint="eastAsia" w:ascii="Times New Roman" w:hAnsi="Times New Roman" w:cs="Times New Roman"/>
                <w:color w:val="auto"/>
                <w:sz w:val="21"/>
                <w:szCs w:val="21"/>
                <w:highlight w:val="none"/>
              </w:rPr>
              <w:t>周边50m范围内</w:t>
            </w:r>
            <w:r>
              <w:rPr>
                <w:rFonts w:hint="eastAsia" w:ascii="Times New Roman" w:hAnsi="Times New Roman"/>
                <w:color w:val="auto"/>
                <w:sz w:val="21"/>
                <w:szCs w:val="21"/>
                <w:highlight w:val="none"/>
              </w:rPr>
              <w:t>，无声环境保护目标。</w:t>
            </w:r>
          </w:p>
          <w:p w14:paraId="2DEB36B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2.4生态环境</w:t>
            </w:r>
          </w:p>
          <w:p w14:paraId="1AF39F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rFonts w:hint="eastAsia" w:ascii="Times New Roman" w:hAnsi="Times New Roman" w:cs="Times New Roman"/>
                <w:color w:val="auto"/>
                <w:sz w:val="21"/>
                <w:szCs w:val="21"/>
                <w:highlight w:val="none"/>
                <w:lang w:eastAsia="zh-CN"/>
              </w:rPr>
              <w:t>，</w:t>
            </w:r>
            <w:r>
              <w:rPr>
                <w:rFonts w:hint="eastAsia" w:ascii="Times New Roman" w:hAnsi="Times New Roman" w:eastAsia="宋体" w:cs="Times New Roman"/>
                <w:color w:val="auto"/>
                <w:kern w:val="0"/>
                <w:sz w:val="21"/>
                <w:szCs w:val="21"/>
                <w:highlight w:val="none"/>
                <w:lang w:val="en-US" w:eastAsia="zh-CN" w:bidi="ar-SA"/>
              </w:rPr>
              <w:t>租用商业服务楼</w:t>
            </w:r>
            <w:r>
              <w:rPr>
                <w:rFonts w:hint="eastAsia" w:ascii="Times New Roman" w:hAnsi="Times New Roman" w:eastAsia="宋体" w:cs="Times New Roman"/>
                <w:color w:val="auto"/>
                <w:sz w:val="21"/>
                <w:szCs w:val="21"/>
                <w:highlight w:val="none"/>
                <w:lang w:val="zh-TW" w:eastAsia="zh-CN"/>
              </w:rPr>
              <w:t>，用地范围内无生态环境保护目标，</w:t>
            </w:r>
            <w:r>
              <w:rPr>
                <w:rFonts w:hint="eastAsia" w:ascii="Times New Roman" w:hAnsi="Times New Roman"/>
                <w:color w:val="auto"/>
                <w:sz w:val="21"/>
                <w:szCs w:val="21"/>
                <w:highlight w:val="none"/>
              </w:rPr>
              <w:t>无需开展生态现状调查。</w:t>
            </w:r>
          </w:p>
          <w:p w14:paraId="23A4FA6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2.5电磁辐射</w:t>
            </w:r>
          </w:p>
          <w:p w14:paraId="12394F9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w:t>
            </w:r>
            <w:r>
              <w:rPr>
                <w:rFonts w:hint="eastAsia" w:ascii="Times New Roman" w:hAnsi="Times New Roman"/>
                <w:color w:val="auto"/>
                <w:sz w:val="21"/>
                <w:szCs w:val="21"/>
                <w:highlight w:val="none"/>
                <w:lang w:val="en-US" w:eastAsia="zh-CN"/>
              </w:rPr>
              <w:t>目不</w:t>
            </w:r>
            <w:r>
              <w:rPr>
                <w:rFonts w:hint="eastAsia" w:ascii="Times New Roman" w:hAnsi="Times New Roman"/>
                <w:color w:val="auto"/>
                <w:sz w:val="21"/>
                <w:szCs w:val="21"/>
                <w:highlight w:val="none"/>
              </w:rPr>
              <w:t>属于</w:t>
            </w:r>
            <w:r>
              <w:rPr>
                <w:rFonts w:ascii="Times New Roman" w:hAnsi="Times New Roman"/>
                <w:color w:val="auto"/>
                <w:sz w:val="21"/>
                <w:szCs w:val="21"/>
                <w:highlight w:val="none"/>
              </w:rPr>
              <w:t>电磁辐射类项目。</w:t>
            </w:r>
            <w:r>
              <w:rPr>
                <w:rFonts w:hint="eastAsia" w:ascii="Times New Roman" w:hAnsi="Times New Roman"/>
                <w:color w:val="auto"/>
                <w:sz w:val="21"/>
                <w:szCs w:val="21"/>
                <w:highlight w:val="none"/>
              </w:rPr>
              <w:t>因此项目无需开展电磁辐射现状监测。</w:t>
            </w:r>
          </w:p>
          <w:p w14:paraId="5BC7E1C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2.6地下水环境</w:t>
            </w:r>
          </w:p>
          <w:p w14:paraId="6FE7D4E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w:t>
            </w:r>
            <w:r>
              <w:rPr>
                <w:rFonts w:hint="eastAsia" w:ascii="Times New Roman" w:hAnsi="Times New Roman"/>
                <w:color w:val="auto"/>
                <w:sz w:val="21"/>
                <w:szCs w:val="21"/>
                <w:highlight w:val="none"/>
                <w:lang w:val="en-US" w:eastAsia="zh-CN"/>
              </w:rPr>
              <w:t>目位于河北省迁安市永顺昌盛路与兴安大街交叉口620号</w:t>
            </w:r>
            <w:r>
              <w:rPr>
                <w:rFonts w:hint="eastAsia" w:ascii="Times New Roman" w:hAnsi="Times New Roman"/>
                <w:color w:val="auto"/>
                <w:sz w:val="21"/>
                <w:szCs w:val="21"/>
                <w:highlight w:val="none"/>
              </w:rPr>
              <w:t>，</w:t>
            </w:r>
            <w:r>
              <w:rPr>
                <w:rFonts w:hint="eastAsia" w:ascii="Times New Roman" w:hAnsi="Times New Roman" w:eastAsia="宋体" w:cs="Times New Roman"/>
                <w:color w:val="auto"/>
                <w:kern w:val="0"/>
                <w:sz w:val="21"/>
                <w:szCs w:val="21"/>
                <w:highlight w:val="none"/>
                <w:lang w:val="en-US" w:eastAsia="zh-CN" w:bidi="ar-SA"/>
              </w:rPr>
              <w:t>租用商业服务楼</w:t>
            </w:r>
            <w:r>
              <w:rPr>
                <w:rFonts w:hint="eastAsia" w:ascii="Times New Roman" w:hAnsi="Times New Roman" w:cs="Times New Roman"/>
                <w:color w:val="auto"/>
                <w:sz w:val="21"/>
                <w:szCs w:val="21"/>
                <w:highlight w:val="none"/>
                <w:lang w:val="en-US" w:eastAsia="zh-CN"/>
              </w:rPr>
              <w:t>，拟建项目厂界周边500m范围内，无地下水集中式饮用水水源和热水、矿泉水、温泉等特殊地下水资源，且拟建项目采取了严格的分区防渗措施，防渗措施符合《环境影响评价技术导则 地下水环境》（HJ610-2016）相关要求，阻断了污染途径，因此拟建项目无需开展地下水环境质量现状监测。</w:t>
            </w:r>
          </w:p>
          <w:p w14:paraId="062A2D2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2.7土壤环境</w:t>
            </w:r>
          </w:p>
          <w:p w14:paraId="7156445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rFonts w:hint="eastAsia" w:ascii="Times New Roman" w:hAnsi="Times New Roman"/>
                <w:color w:val="auto"/>
                <w:sz w:val="21"/>
                <w:szCs w:val="21"/>
                <w:highlight w:val="none"/>
              </w:rPr>
              <w:t>，</w:t>
            </w:r>
            <w:r>
              <w:rPr>
                <w:rFonts w:hint="eastAsia" w:ascii="Times New Roman" w:hAnsi="Times New Roman" w:eastAsia="宋体" w:cs="Times New Roman"/>
                <w:color w:val="auto"/>
                <w:kern w:val="0"/>
                <w:sz w:val="21"/>
                <w:szCs w:val="21"/>
                <w:highlight w:val="none"/>
                <w:lang w:val="en-US" w:eastAsia="zh-CN" w:bidi="ar-SA"/>
              </w:rPr>
              <w:t>租用商业服务楼</w:t>
            </w:r>
            <w:r>
              <w:rPr>
                <w:rFonts w:hint="eastAsia" w:ascii="Times New Roman" w:hAnsi="Times New Roman"/>
                <w:color w:val="auto"/>
                <w:sz w:val="21"/>
                <w:szCs w:val="21"/>
                <w:highlight w:val="none"/>
              </w:rPr>
              <w:t>。</w:t>
            </w:r>
            <w:r>
              <w:rPr>
                <w:rFonts w:hint="eastAsia" w:ascii="Times New Roman" w:hAnsi="Times New Roman"/>
                <w:color w:val="auto"/>
                <w:sz w:val="21"/>
                <w:szCs w:val="21"/>
                <w:highlight w:val="none"/>
                <w:lang w:val="en-US" w:eastAsia="zh-CN"/>
              </w:rPr>
              <w:t>拟建</w:t>
            </w:r>
            <w:r>
              <w:rPr>
                <w:rFonts w:hint="eastAsia" w:ascii="Times New Roman" w:hAnsi="Times New Roman"/>
                <w:color w:val="auto"/>
                <w:sz w:val="21"/>
                <w:szCs w:val="21"/>
                <w:highlight w:val="none"/>
              </w:rPr>
              <w:t>项目</w:t>
            </w:r>
            <w:r>
              <w:rPr>
                <w:rFonts w:hint="eastAsia" w:ascii="Times New Roman" w:hAnsi="Times New Roman"/>
                <w:color w:val="auto"/>
                <w:sz w:val="21"/>
                <w:szCs w:val="21"/>
                <w:highlight w:val="none"/>
                <w:lang w:val="en-US" w:eastAsia="zh-CN"/>
              </w:rPr>
              <w:t>采取了严格的分区防渗措施，</w:t>
            </w:r>
            <w:r>
              <w:rPr>
                <w:rFonts w:hint="eastAsia" w:ascii="Times New Roman" w:hAnsi="Times New Roman"/>
                <w:color w:val="auto"/>
                <w:sz w:val="21"/>
                <w:szCs w:val="21"/>
                <w:highlight w:val="none"/>
              </w:rPr>
              <w:t>阻断了污染途径，</w:t>
            </w:r>
            <w:r>
              <w:rPr>
                <w:rFonts w:hint="eastAsia" w:ascii="Times New Roman" w:hAnsi="Times New Roman"/>
                <w:color w:val="auto"/>
                <w:sz w:val="21"/>
                <w:szCs w:val="21"/>
                <w:highlight w:val="none"/>
                <w:lang w:val="en-US" w:eastAsia="zh-CN"/>
              </w:rPr>
              <w:t>因此</w:t>
            </w:r>
            <w:r>
              <w:rPr>
                <w:rFonts w:hint="eastAsia" w:ascii="Times New Roman" w:hAnsi="Times New Roman"/>
                <w:color w:val="auto"/>
                <w:sz w:val="21"/>
                <w:szCs w:val="21"/>
                <w:highlight w:val="none"/>
              </w:rPr>
              <w:t>无需开展现状监测。</w:t>
            </w:r>
          </w:p>
        </w:tc>
      </w:tr>
      <w:tr w14:paraId="29E713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2" w:hRule="atLeast"/>
          <w:jc w:val="center"/>
        </w:trPr>
        <w:tc>
          <w:tcPr>
            <w:tcW w:w="800" w:type="dxa"/>
            <w:vAlign w:val="center"/>
          </w:tcPr>
          <w:p w14:paraId="58D27F09">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环境</w:t>
            </w:r>
          </w:p>
          <w:p w14:paraId="5CE5CE06">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保护</w:t>
            </w:r>
          </w:p>
          <w:p w14:paraId="49976381">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目标</w:t>
            </w:r>
          </w:p>
        </w:tc>
        <w:tc>
          <w:tcPr>
            <w:tcW w:w="8190" w:type="dxa"/>
            <w:vAlign w:val="center"/>
          </w:tcPr>
          <w:p w14:paraId="4C07DD9B">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r>
              <w:rPr>
                <w:rFonts w:hint="eastAsia"/>
                <w:color w:val="auto"/>
                <w:szCs w:val="21"/>
                <w:highlight w:val="none"/>
              </w:rPr>
              <w:t>项目位于</w:t>
            </w:r>
            <w:r>
              <w:rPr>
                <w:rFonts w:hint="eastAsia" w:ascii="Times New Roman" w:hAnsi="Times New Roman"/>
                <w:color w:val="auto"/>
                <w:sz w:val="21"/>
                <w:szCs w:val="21"/>
                <w:highlight w:val="none"/>
                <w:lang w:val="en-US" w:eastAsia="zh-CN"/>
              </w:rPr>
              <w:t>河北省迁安市永顺昌盛路与兴安大街交叉口620号</w:t>
            </w:r>
            <w:r>
              <w:rPr>
                <w:color w:val="auto"/>
                <w:highlight w:val="none"/>
              </w:rPr>
              <w:t>，</w:t>
            </w:r>
            <w:r>
              <w:rPr>
                <w:rFonts w:hint="eastAsia"/>
                <w:color w:val="auto"/>
                <w:szCs w:val="21"/>
                <w:highlight w:val="none"/>
                <w:lang w:val="en-US" w:eastAsia="zh-CN"/>
              </w:rPr>
              <w:t>项目厂界</w:t>
            </w:r>
            <w:r>
              <w:rPr>
                <w:rFonts w:hint="eastAsia"/>
                <w:color w:val="auto"/>
                <w:highlight w:val="none"/>
              </w:rPr>
              <w:t>周边500m内存在</w:t>
            </w:r>
            <w:r>
              <w:rPr>
                <w:rFonts w:hint="eastAsia" w:cs="Times New Roman"/>
                <w:color w:val="auto"/>
                <w:sz w:val="21"/>
                <w:szCs w:val="21"/>
                <w:highlight w:val="none"/>
                <w:lang w:val="en-US" w:eastAsia="zh-CN"/>
              </w:rPr>
              <w:t>村庄、小区、医院等</w:t>
            </w:r>
            <w:r>
              <w:rPr>
                <w:rFonts w:hint="eastAsia" w:ascii="Times New Roman" w:hAnsi="Times New Roman" w:cs="Times New Roman"/>
                <w:color w:val="auto"/>
                <w:sz w:val="21"/>
                <w:szCs w:val="21"/>
                <w:highlight w:val="none"/>
                <w:lang w:val="en-US" w:eastAsia="zh-CN"/>
              </w:rPr>
              <w:t>，</w:t>
            </w:r>
            <w:r>
              <w:rPr>
                <w:rFonts w:hint="eastAsia"/>
                <w:color w:val="auto"/>
                <w:highlight w:val="none"/>
              </w:rPr>
              <w:t>无自然保护区、风景名胜区</w:t>
            </w:r>
            <w:r>
              <w:rPr>
                <w:color w:val="auto"/>
                <w:highlight w:val="none"/>
              </w:rPr>
              <w:t>及重点文物等环境敏感区；</w:t>
            </w:r>
            <w:r>
              <w:rPr>
                <w:rFonts w:hint="eastAsia"/>
                <w:color w:val="auto"/>
                <w:szCs w:val="21"/>
                <w:highlight w:val="none"/>
                <w:lang w:val="en-US" w:eastAsia="zh-CN"/>
              </w:rPr>
              <w:t>项目厂界</w:t>
            </w:r>
            <w:r>
              <w:rPr>
                <w:rFonts w:hint="eastAsia"/>
                <w:color w:val="auto"/>
                <w:highlight w:val="none"/>
              </w:rPr>
              <w:t>周边500m范围内无地下水集中式饮用水水源和热水、矿泉水、温泉等特殊地下水资源</w:t>
            </w:r>
            <w:r>
              <w:rPr>
                <w:rFonts w:hint="eastAsia"/>
                <w:color w:val="auto"/>
                <w:highlight w:val="none"/>
                <w:lang w:eastAsia="zh-CN"/>
              </w:rPr>
              <w:t>；</w:t>
            </w:r>
            <w:r>
              <w:rPr>
                <w:rFonts w:hint="eastAsia"/>
                <w:color w:val="auto"/>
                <w:szCs w:val="21"/>
                <w:highlight w:val="none"/>
                <w:lang w:val="en-US" w:eastAsia="zh-CN"/>
              </w:rPr>
              <w:t>项目厂界</w:t>
            </w:r>
            <w:r>
              <w:rPr>
                <w:rFonts w:hint="eastAsia"/>
                <w:color w:val="auto"/>
                <w:highlight w:val="none"/>
              </w:rPr>
              <w:t>周边50m范围内无声环境保护目标。</w:t>
            </w:r>
            <w:r>
              <w:rPr>
                <w:rFonts w:hint="eastAsia"/>
                <w:color w:val="auto"/>
                <w:spacing w:val="4"/>
                <w:kern w:val="0"/>
                <w:szCs w:val="21"/>
                <w:highlight w:val="none"/>
              </w:rPr>
              <w:t>本项目用地范围内无生态环境保护目标。</w:t>
            </w:r>
            <w:r>
              <w:rPr>
                <w:color w:val="auto"/>
                <w:highlight w:val="none"/>
              </w:rPr>
              <w:t>主要保护对象及目标见表</w:t>
            </w:r>
            <w:r>
              <w:rPr>
                <w:rFonts w:hint="eastAsia"/>
                <w:color w:val="auto"/>
                <w:highlight w:val="none"/>
                <w:lang w:val="en-US" w:eastAsia="zh-CN"/>
              </w:rPr>
              <w:t>14</w:t>
            </w:r>
            <w:r>
              <w:rPr>
                <w:color w:val="auto"/>
                <w:highlight w:val="none"/>
              </w:rPr>
              <w:t>。</w:t>
            </w:r>
          </w:p>
          <w:p w14:paraId="7475102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b/>
                <w:color w:val="auto"/>
                <w:highlight w:val="none"/>
              </w:rPr>
            </w:pPr>
            <w:r>
              <w:rPr>
                <w:b/>
                <w:color w:val="auto"/>
                <w:highlight w:val="none"/>
              </w:rPr>
              <w:t>表</w:t>
            </w:r>
            <w:r>
              <w:rPr>
                <w:rFonts w:hint="eastAsia"/>
                <w:b/>
                <w:color w:val="auto"/>
                <w:highlight w:val="none"/>
                <w:lang w:val="en-US" w:eastAsia="zh-CN"/>
              </w:rPr>
              <w:t>14</w:t>
            </w:r>
            <w:r>
              <w:rPr>
                <w:rFonts w:hint="eastAsia"/>
                <w:b/>
                <w:color w:val="auto"/>
                <w:highlight w:val="none"/>
              </w:rPr>
              <w:t xml:space="preserve"> 环</w:t>
            </w:r>
            <w:r>
              <w:rPr>
                <w:b/>
                <w:color w:val="auto"/>
                <w:highlight w:val="none"/>
              </w:rPr>
              <w:t>境保护对象及保护目标</w:t>
            </w:r>
          </w:p>
          <w:tbl>
            <w:tblPr>
              <w:tblStyle w:val="26"/>
              <w:tblW w:w="8052"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51"/>
              <w:gridCol w:w="1487"/>
              <w:gridCol w:w="1330"/>
              <w:gridCol w:w="853"/>
              <w:gridCol w:w="537"/>
              <w:gridCol w:w="1759"/>
              <w:gridCol w:w="688"/>
              <w:gridCol w:w="838"/>
              <w:gridCol w:w="9"/>
            </w:tblGrid>
            <w:tr w14:paraId="624504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52" w:hRule="atLeast"/>
              </w:trPr>
              <w:tc>
                <w:tcPr>
                  <w:tcW w:w="551" w:type="dxa"/>
                  <w:vMerge w:val="restart"/>
                  <w:tcBorders>
                    <w:tl2br w:val="nil"/>
                    <w:tr2bl w:val="nil"/>
                  </w:tcBorders>
                  <w:vAlign w:val="center"/>
                </w:tcPr>
                <w:p w14:paraId="2A855C97">
                  <w:pPr>
                    <w:spacing w:line="0" w:lineRule="atLeast"/>
                    <w:jc w:val="center"/>
                    <w:rPr>
                      <w:color w:val="auto"/>
                      <w:spacing w:val="-20"/>
                      <w:szCs w:val="21"/>
                      <w:highlight w:val="none"/>
                    </w:rPr>
                  </w:pPr>
                  <w:r>
                    <w:rPr>
                      <w:rFonts w:hint="eastAsia"/>
                      <w:color w:val="auto"/>
                      <w:spacing w:val="-20"/>
                      <w:szCs w:val="21"/>
                      <w:highlight w:val="none"/>
                    </w:rPr>
                    <w:t>名称</w:t>
                  </w:r>
                </w:p>
              </w:tc>
              <w:tc>
                <w:tcPr>
                  <w:tcW w:w="2817" w:type="dxa"/>
                  <w:gridSpan w:val="2"/>
                  <w:tcBorders>
                    <w:tl2br w:val="nil"/>
                    <w:tr2bl w:val="nil"/>
                  </w:tcBorders>
                  <w:vAlign w:val="center"/>
                </w:tcPr>
                <w:p w14:paraId="69EF4A68">
                  <w:pPr>
                    <w:spacing w:line="0" w:lineRule="atLeast"/>
                    <w:jc w:val="center"/>
                    <w:rPr>
                      <w:color w:val="auto"/>
                      <w:spacing w:val="-20"/>
                      <w:szCs w:val="21"/>
                      <w:highlight w:val="none"/>
                    </w:rPr>
                  </w:pPr>
                  <w:r>
                    <w:rPr>
                      <w:rFonts w:hint="eastAsia"/>
                      <w:color w:val="auto"/>
                      <w:spacing w:val="-20"/>
                      <w:szCs w:val="21"/>
                      <w:highlight w:val="none"/>
                    </w:rPr>
                    <w:t>坐标</w:t>
                  </w:r>
                </w:p>
              </w:tc>
              <w:tc>
                <w:tcPr>
                  <w:tcW w:w="853" w:type="dxa"/>
                  <w:vMerge w:val="restart"/>
                  <w:tcBorders>
                    <w:tl2br w:val="nil"/>
                    <w:tr2bl w:val="nil"/>
                  </w:tcBorders>
                  <w:vAlign w:val="center"/>
                </w:tcPr>
                <w:p w14:paraId="63992A28">
                  <w:pPr>
                    <w:spacing w:line="0" w:lineRule="atLeast"/>
                    <w:jc w:val="center"/>
                    <w:rPr>
                      <w:color w:val="auto"/>
                      <w:spacing w:val="-20"/>
                      <w:szCs w:val="21"/>
                      <w:highlight w:val="none"/>
                    </w:rPr>
                  </w:pPr>
                  <w:r>
                    <w:rPr>
                      <w:rFonts w:hint="eastAsia"/>
                      <w:color w:val="auto"/>
                      <w:spacing w:val="-20"/>
                      <w:szCs w:val="21"/>
                      <w:highlight w:val="none"/>
                    </w:rPr>
                    <w:t>保护对象</w:t>
                  </w:r>
                </w:p>
              </w:tc>
              <w:tc>
                <w:tcPr>
                  <w:tcW w:w="537" w:type="dxa"/>
                  <w:vMerge w:val="restart"/>
                  <w:tcBorders>
                    <w:tl2br w:val="nil"/>
                    <w:tr2bl w:val="nil"/>
                  </w:tcBorders>
                  <w:vAlign w:val="center"/>
                </w:tcPr>
                <w:p w14:paraId="4D11BB92">
                  <w:pPr>
                    <w:spacing w:line="0" w:lineRule="atLeast"/>
                    <w:jc w:val="center"/>
                    <w:rPr>
                      <w:rFonts w:hint="eastAsia"/>
                      <w:color w:val="auto"/>
                      <w:spacing w:val="-20"/>
                      <w:szCs w:val="21"/>
                      <w:highlight w:val="none"/>
                    </w:rPr>
                  </w:pPr>
                  <w:r>
                    <w:rPr>
                      <w:rFonts w:hint="eastAsia"/>
                      <w:color w:val="auto"/>
                      <w:spacing w:val="-20"/>
                      <w:szCs w:val="21"/>
                      <w:highlight w:val="none"/>
                    </w:rPr>
                    <w:t>保护</w:t>
                  </w:r>
                </w:p>
                <w:p w14:paraId="11DC57F6">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rPr>
                    <w:t>内容</w:t>
                  </w:r>
                </w:p>
              </w:tc>
              <w:tc>
                <w:tcPr>
                  <w:tcW w:w="1759" w:type="dxa"/>
                  <w:vMerge w:val="restart"/>
                  <w:tcBorders>
                    <w:tl2br w:val="nil"/>
                    <w:tr2bl w:val="nil"/>
                  </w:tcBorders>
                  <w:vAlign w:val="center"/>
                </w:tcPr>
                <w:p w14:paraId="480DD04C">
                  <w:pPr>
                    <w:spacing w:line="0" w:lineRule="atLeast"/>
                    <w:jc w:val="center"/>
                    <w:rPr>
                      <w:color w:val="auto"/>
                      <w:spacing w:val="-20"/>
                      <w:szCs w:val="21"/>
                      <w:highlight w:val="none"/>
                    </w:rPr>
                  </w:pPr>
                  <w:r>
                    <w:rPr>
                      <w:rFonts w:hint="eastAsia"/>
                      <w:color w:val="auto"/>
                      <w:spacing w:val="-20"/>
                      <w:szCs w:val="21"/>
                      <w:highlight w:val="none"/>
                    </w:rPr>
                    <w:t>环境功能区</w:t>
                  </w:r>
                </w:p>
              </w:tc>
              <w:tc>
                <w:tcPr>
                  <w:tcW w:w="688" w:type="dxa"/>
                  <w:vMerge w:val="restart"/>
                  <w:tcBorders>
                    <w:tl2br w:val="nil"/>
                    <w:tr2bl w:val="nil"/>
                  </w:tcBorders>
                  <w:vAlign w:val="center"/>
                </w:tcPr>
                <w:p w14:paraId="76551735">
                  <w:pPr>
                    <w:spacing w:line="0" w:lineRule="atLeast"/>
                    <w:jc w:val="center"/>
                    <w:rPr>
                      <w:color w:val="auto"/>
                      <w:spacing w:val="-20"/>
                      <w:szCs w:val="21"/>
                      <w:highlight w:val="none"/>
                    </w:rPr>
                  </w:pPr>
                  <w:r>
                    <w:rPr>
                      <w:rFonts w:hint="eastAsia"/>
                      <w:color w:val="auto"/>
                      <w:spacing w:val="-20"/>
                      <w:szCs w:val="21"/>
                      <w:highlight w:val="none"/>
                    </w:rPr>
                    <w:t>相对项目方位</w:t>
                  </w:r>
                </w:p>
              </w:tc>
              <w:tc>
                <w:tcPr>
                  <w:tcW w:w="838" w:type="dxa"/>
                  <w:vMerge w:val="restart"/>
                  <w:tcBorders>
                    <w:tl2br w:val="nil"/>
                    <w:tr2bl w:val="nil"/>
                  </w:tcBorders>
                  <w:vAlign w:val="center"/>
                </w:tcPr>
                <w:p w14:paraId="3EE9C05F">
                  <w:pPr>
                    <w:spacing w:line="0" w:lineRule="atLeast"/>
                    <w:jc w:val="center"/>
                    <w:rPr>
                      <w:color w:val="auto"/>
                      <w:spacing w:val="-20"/>
                      <w:szCs w:val="21"/>
                      <w:highlight w:val="none"/>
                    </w:rPr>
                  </w:pPr>
                  <w:r>
                    <w:rPr>
                      <w:rFonts w:hint="eastAsia"/>
                      <w:color w:val="auto"/>
                      <w:spacing w:val="-20"/>
                      <w:szCs w:val="21"/>
                      <w:highlight w:val="none"/>
                    </w:rPr>
                    <w:t>相对项目距离/m</w:t>
                  </w:r>
                </w:p>
              </w:tc>
            </w:tr>
            <w:tr w14:paraId="03E57C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88" w:hRule="atLeast"/>
              </w:trPr>
              <w:tc>
                <w:tcPr>
                  <w:tcW w:w="551" w:type="dxa"/>
                  <w:vMerge w:val="continue"/>
                  <w:tcBorders>
                    <w:tl2br w:val="nil"/>
                    <w:tr2bl w:val="nil"/>
                  </w:tcBorders>
                  <w:vAlign w:val="center"/>
                </w:tcPr>
                <w:p w14:paraId="72AE3EA0">
                  <w:pPr>
                    <w:spacing w:line="0" w:lineRule="atLeast"/>
                    <w:jc w:val="center"/>
                    <w:rPr>
                      <w:color w:val="auto"/>
                      <w:spacing w:val="-20"/>
                      <w:szCs w:val="21"/>
                      <w:highlight w:val="none"/>
                    </w:rPr>
                  </w:pPr>
                </w:p>
              </w:tc>
              <w:tc>
                <w:tcPr>
                  <w:tcW w:w="1487" w:type="dxa"/>
                  <w:tcBorders>
                    <w:tl2br w:val="nil"/>
                    <w:tr2bl w:val="nil"/>
                  </w:tcBorders>
                  <w:vAlign w:val="center"/>
                </w:tcPr>
                <w:p w14:paraId="1ABE839A">
                  <w:pPr>
                    <w:spacing w:line="0" w:lineRule="atLeast"/>
                    <w:jc w:val="center"/>
                    <w:rPr>
                      <w:color w:val="auto"/>
                      <w:spacing w:val="-20"/>
                      <w:szCs w:val="21"/>
                      <w:highlight w:val="none"/>
                    </w:rPr>
                  </w:pPr>
                  <w:r>
                    <w:rPr>
                      <w:rFonts w:hint="eastAsia"/>
                      <w:color w:val="auto"/>
                      <w:spacing w:val="-20"/>
                      <w:szCs w:val="21"/>
                      <w:highlight w:val="none"/>
                    </w:rPr>
                    <w:t>X</w:t>
                  </w:r>
                </w:p>
              </w:tc>
              <w:tc>
                <w:tcPr>
                  <w:tcW w:w="1330" w:type="dxa"/>
                  <w:tcBorders>
                    <w:tl2br w:val="nil"/>
                    <w:tr2bl w:val="nil"/>
                  </w:tcBorders>
                  <w:vAlign w:val="center"/>
                </w:tcPr>
                <w:p w14:paraId="3E0BCEC3">
                  <w:pPr>
                    <w:spacing w:line="0" w:lineRule="atLeast"/>
                    <w:jc w:val="center"/>
                    <w:rPr>
                      <w:color w:val="auto"/>
                      <w:spacing w:val="-20"/>
                      <w:szCs w:val="21"/>
                      <w:highlight w:val="none"/>
                    </w:rPr>
                  </w:pPr>
                  <w:r>
                    <w:rPr>
                      <w:rFonts w:hint="eastAsia"/>
                      <w:color w:val="auto"/>
                      <w:spacing w:val="-20"/>
                      <w:szCs w:val="21"/>
                      <w:highlight w:val="none"/>
                    </w:rPr>
                    <w:t>Y</w:t>
                  </w:r>
                </w:p>
              </w:tc>
              <w:tc>
                <w:tcPr>
                  <w:tcW w:w="853" w:type="dxa"/>
                  <w:vMerge w:val="continue"/>
                  <w:tcBorders>
                    <w:tl2br w:val="nil"/>
                    <w:tr2bl w:val="nil"/>
                  </w:tcBorders>
                  <w:vAlign w:val="center"/>
                </w:tcPr>
                <w:p w14:paraId="1A7A4139">
                  <w:pPr>
                    <w:spacing w:line="0" w:lineRule="atLeast"/>
                    <w:jc w:val="center"/>
                    <w:rPr>
                      <w:color w:val="auto"/>
                      <w:spacing w:val="-20"/>
                      <w:szCs w:val="21"/>
                      <w:highlight w:val="none"/>
                    </w:rPr>
                  </w:pPr>
                </w:p>
              </w:tc>
              <w:tc>
                <w:tcPr>
                  <w:tcW w:w="537" w:type="dxa"/>
                  <w:vMerge w:val="continue"/>
                  <w:tcBorders>
                    <w:tl2br w:val="nil"/>
                    <w:tr2bl w:val="nil"/>
                  </w:tcBorders>
                  <w:vAlign w:val="center"/>
                </w:tcPr>
                <w:p w14:paraId="51BF424A">
                  <w:pPr>
                    <w:spacing w:line="0" w:lineRule="atLeast"/>
                    <w:jc w:val="center"/>
                    <w:rPr>
                      <w:color w:val="auto"/>
                      <w:spacing w:val="-20"/>
                      <w:szCs w:val="21"/>
                      <w:highlight w:val="none"/>
                    </w:rPr>
                  </w:pPr>
                </w:p>
              </w:tc>
              <w:tc>
                <w:tcPr>
                  <w:tcW w:w="1759" w:type="dxa"/>
                  <w:vMerge w:val="continue"/>
                  <w:tcBorders>
                    <w:tl2br w:val="nil"/>
                    <w:tr2bl w:val="nil"/>
                  </w:tcBorders>
                  <w:vAlign w:val="center"/>
                </w:tcPr>
                <w:p w14:paraId="3C8AAE3D">
                  <w:pPr>
                    <w:spacing w:line="0" w:lineRule="atLeast"/>
                    <w:jc w:val="center"/>
                    <w:rPr>
                      <w:color w:val="auto"/>
                      <w:spacing w:val="-20"/>
                      <w:szCs w:val="21"/>
                      <w:highlight w:val="none"/>
                    </w:rPr>
                  </w:pPr>
                </w:p>
              </w:tc>
              <w:tc>
                <w:tcPr>
                  <w:tcW w:w="688" w:type="dxa"/>
                  <w:vMerge w:val="continue"/>
                  <w:tcBorders>
                    <w:tl2br w:val="nil"/>
                    <w:tr2bl w:val="nil"/>
                  </w:tcBorders>
                  <w:vAlign w:val="center"/>
                </w:tcPr>
                <w:p w14:paraId="125BCA91">
                  <w:pPr>
                    <w:spacing w:line="0" w:lineRule="atLeast"/>
                    <w:jc w:val="center"/>
                    <w:rPr>
                      <w:color w:val="auto"/>
                      <w:spacing w:val="-20"/>
                      <w:szCs w:val="21"/>
                      <w:highlight w:val="none"/>
                    </w:rPr>
                  </w:pPr>
                </w:p>
              </w:tc>
              <w:tc>
                <w:tcPr>
                  <w:tcW w:w="838" w:type="dxa"/>
                  <w:vMerge w:val="continue"/>
                  <w:tcBorders>
                    <w:tl2br w:val="nil"/>
                    <w:tr2bl w:val="nil"/>
                  </w:tcBorders>
                  <w:vAlign w:val="center"/>
                </w:tcPr>
                <w:p w14:paraId="7B584F19">
                  <w:pPr>
                    <w:spacing w:line="0" w:lineRule="atLeast"/>
                    <w:jc w:val="center"/>
                    <w:rPr>
                      <w:color w:val="auto"/>
                      <w:spacing w:val="-20"/>
                      <w:szCs w:val="21"/>
                      <w:highlight w:val="none"/>
                    </w:rPr>
                  </w:pPr>
                </w:p>
              </w:tc>
            </w:tr>
            <w:tr w14:paraId="76213B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restart"/>
                  <w:tcBorders>
                    <w:tl2br w:val="nil"/>
                    <w:tr2bl w:val="nil"/>
                  </w:tcBorders>
                  <w:vAlign w:val="center"/>
                </w:tcPr>
                <w:p w14:paraId="0F2CBF89">
                  <w:pPr>
                    <w:spacing w:line="0" w:lineRule="atLeast"/>
                    <w:jc w:val="center"/>
                    <w:rPr>
                      <w:rFonts w:hAnsi="宋体"/>
                      <w:color w:val="auto"/>
                      <w:spacing w:val="-20"/>
                      <w:szCs w:val="21"/>
                      <w:highlight w:val="none"/>
                    </w:rPr>
                  </w:pPr>
                  <w:r>
                    <w:rPr>
                      <w:rFonts w:hAnsi="宋体"/>
                      <w:color w:val="auto"/>
                      <w:spacing w:val="-20"/>
                      <w:szCs w:val="21"/>
                      <w:highlight w:val="none"/>
                    </w:rPr>
                    <w:t>环境空气</w:t>
                  </w:r>
                </w:p>
              </w:tc>
              <w:tc>
                <w:tcPr>
                  <w:tcW w:w="1487" w:type="dxa"/>
                  <w:tcBorders>
                    <w:tl2br w:val="nil"/>
                    <w:tr2bl w:val="nil"/>
                  </w:tcBorders>
                  <w:vAlign w:val="center"/>
                </w:tcPr>
                <w:p w14:paraId="1F303FD8">
                  <w:pPr>
                    <w:spacing w:line="0" w:lineRule="atLeast"/>
                    <w:jc w:val="center"/>
                    <w:rPr>
                      <w:color w:val="auto"/>
                      <w:spacing w:val="-20"/>
                      <w:szCs w:val="21"/>
                      <w:highlight w:val="none"/>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17.209</w:t>
                  </w:r>
                  <w:r>
                    <w:rPr>
                      <w:rFonts w:hint="eastAsia"/>
                      <w:color w:val="auto"/>
                      <w:spacing w:val="-20"/>
                      <w:szCs w:val="21"/>
                      <w:highlight w:val="none"/>
                    </w:rPr>
                    <w:t>″</w:t>
                  </w:r>
                </w:p>
              </w:tc>
              <w:tc>
                <w:tcPr>
                  <w:tcW w:w="1330" w:type="dxa"/>
                  <w:tcBorders>
                    <w:tl2br w:val="nil"/>
                    <w:tr2bl w:val="nil"/>
                  </w:tcBorders>
                  <w:vAlign w:val="center"/>
                </w:tcPr>
                <w:p w14:paraId="5E8D1A54">
                  <w:pPr>
                    <w:spacing w:line="0" w:lineRule="atLeast"/>
                    <w:jc w:val="center"/>
                    <w:rPr>
                      <w:color w:val="auto"/>
                      <w:spacing w:val="-20"/>
                      <w:szCs w:val="21"/>
                      <w:highlight w:val="none"/>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54.645</w:t>
                  </w:r>
                  <w:r>
                    <w:rPr>
                      <w:rFonts w:hint="eastAsia"/>
                      <w:color w:val="auto"/>
                      <w:spacing w:val="-20"/>
                      <w:szCs w:val="21"/>
                      <w:highlight w:val="none"/>
                    </w:rPr>
                    <w:t>″</w:t>
                  </w:r>
                </w:p>
              </w:tc>
              <w:tc>
                <w:tcPr>
                  <w:tcW w:w="853" w:type="dxa"/>
                  <w:tcBorders>
                    <w:tl2br w:val="nil"/>
                    <w:tr2bl w:val="nil"/>
                  </w:tcBorders>
                  <w:shd w:val="clear" w:color="auto" w:fill="auto"/>
                  <w:vAlign w:val="center"/>
                </w:tcPr>
                <w:p w14:paraId="0BDC9233">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合理村</w:t>
                  </w:r>
                </w:p>
              </w:tc>
              <w:tc>
                <w:tcPr>
                  <w:tcW w:w="537" w:type="dxa"/>
                  <w:tcBorders>
                    <w:tl2br w:val="nil"/>
                    <w:tr2bl w:val="nil"/>
                  </w:tcBorders>
                  <w:vAlign w:val="center"/>
                </w:tcPr>
                <w:p w14:paraId="4CB33F0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restart"/>
                  <w:tcBorders>
                    <w:tl2br w:val="nil"/>
                    <w:tr2bl w:val="nil"/>
                  </w:tcBorders>
                  <w:vAlign w:val="center"/>
                </w:tcPr>
                <w:p w14:paraId="05F3083A">
                  <w:pPr>
                    <w:spacing w:line="0" w:lineRule="atLeast"/>
                    <w:jc w:val="center"/>
                    <w:rPr>
                      <w:rFonts w:hAnsi="宋体"/>
                      <w:color w:val="auto"/>
                      <w:spacing w:val="-20"/>
                      <w:szCs w:val="21"/>
                      <w:highlight w:val="none"/>
                    </w:rPr>
                  </w:pPr>
                  <w:r>
                    <w:rPr>
                      <w:rFonts w:hAnsi="宋体"/>
                      <w:color w:val="auto"/>
                      <w:spacing w:val="-20"/>
                      <w:szCs w:val="21"/>
                      <w:highlight w:val="none"/>
                    </w:rPr>
                    <w:t>《环境空气质量标准》</w:t>
                  </w:r>
                </w:p>
                <w:p w14:paraId="01237D79">
                  <w:pPr>
                    <w:spacing w:line="0" w:lineRule="atLeast"/>
                    <w:jc w:val="center"/>
                    <w:rPr>
                      <w:rFonts w:hAnsi="宋体"/>
                      <w:color w:val="auto"/>
                      <w:spacing w:val="-20"/>
                      <w:szCs w:val="21"/>
                      <w:highlight w:val="none"/>
                    </w:rPr>
                  </w:pPr>
                  <w:r>
                    <w:rPr>
                      <w:rFonts w:hAnsi="宋体"/>
                      <w:color w:val="auto"/>
                      <w:spacing w:val="-20"/>
                      <w:szCs w:val="21"/>
                      <w:highlight w:val="none"/>
                    </w:rPr>
                    <w:t>(GB3095</w:t>
                  </w:r>
                  <w:r>
                    <w:rPr>
                      <w:rFonts w:hint="eastAsia" w:hAnsi="宋体"/>
                      <w:color w:val="auto"/>
                      <w:spacing w:val="-20"/>
                      <w:szCs w:val="21"/>
                      <w:highlight w:val="none"/>
                      <w:lang w:val="en-US" w:eastAsia="zh-CN"/>
                    </w:rPr>
                    <w:t>-</w:t>
                  </w:r>
                  <w:r>
                    <w:rPr>
                      <w:rFonts w:hAnsi="宋体"/>
                      <w:color w:val="auto"/>
                      <w:spacing w:val="-20"/>
                      <w:szCs w:val="21"/>
                      <w:highlight w:val="none"/>
                    </w:rPr>
                    <w:t>2012)二级标准</w:t>
                  </w:r>
                  <w:r>
                    <w:rPr>
                      <w:rFonts w:hint="eastAsia" w:hAnsi="宋体"/>
                      <w:color w:val="auto"/>
                      <w:spacing w:val="-20"/>
                      <w:szCs w:val="21"/>
                      <w:highlight w:val="none"/>
                    </w:rPr>
                    <w:t>及其修改单</w:t>
                  </w:r>
                </w:p>
              </w:tc>
              <w:tc>
                <w:tcPr>
                  <w:tcW w:w="688" w:type="dxa"/>
                  <w:tcBorders>
                    <w:tl2br w:val="nil"/>
                    <w:tr2bl w:val="nil"/>
                  </w:tcBorders>
                  <w:vAlign w:val="center"/>
                </w:tcPr>
                <w:p w14:paraId="0E38AB7A">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lang w:val="en-US" w:eastAsia="zh-CN"/>
                    </w:rPr>
                    <w:t>NW</w:t>
                  </w:r>
                </w:p>
              </w:tc>
              <w:tc>
                <w:tcPr>
                  <w:tcW w:w="838" w:type="dxa"/>
                  <w:tcBorders>
                    <w:tl2br w:val="nil"/>
                    <w:tr2bl w:val="nil"/>
                  </w:tcBorders>
                  <w:vAlign w:val="center"/>
                </w:tcPr>
                <w:p w14:paraId="697106A9">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lang w:val="en-US" w:eastAsia="zh-CN"/>
                    </w:rPr>
                    <w:t>150</w:t>
                  </w:r>
                </w:p>
              </w:tc>
            </w:tr>
            <w:tr w14:paraId="366C18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EAF0D70">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77E9541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26.305</w:t>
                  </w:r>
                  <w:r>
                    <w:rPr>
                      <w:rFonts w:hint="eastAsia"/>
                      <w:color w:val="auto"/>
                      <w:spacing w:val="-20"/>
                      <w:szCs w:val="21"/>
                      <w:highlight w:val="none"/>
                    </w:rPr>
                    <w:t>″</w:t>
                  </w:r>
                </w:p>
              </w:tc>
              <w:tc>
                <w:tcPr>
                  <w:tcW w:w="1330" w:type="dxa"/>
                  <w:tcBorders>
                    <w:tl2br w:val="nil"/>
                    <w:tr2bl w:val="nil"/>
                  </w:tcBorders>
                  <w:shd w:val="clear" w:color="auto" w:fill="auto"/>
                  <w:vAlign w:val="center"/>
                </w:tcPr>
                <w:p w14:paraId="39E9AECB">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56.317</w:t>
                  </w:r>
                  <w:r>
                    <w:rPr>
                      <w:rFonts w:hint="eastAsia"/>
                      <w:color w:val="auto"/>
                      <w:spacing w:val="-20"/>
                      <w:szCs w:val="21"/>
                      <w:highlight w:val="none"/>
                    </w:rPr>
                    <w:t>″</w:t>
                  </w:r>
                </w:p>
              </w:tc>
              <w:tc>
                <w:tcPr>
                  <w:tcW w:w="853" w:type="dxa"/>
                  <w:tcBorders>
                    <w:tl2br w:val="nil"/>
                    <w:tr2bl w:val="nil"/>
                  </w:tcBorders>
                  <w:shd w:val="clear" w:color="auto" w:fill="auto"/>
                  <w:vAlign w:val="center"/>
                </w:tcPr>
                <w:p w14:paraId="25033889">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阳光花苑</w:t>
                  </w:r>
                </w:p>
              </w:tc>
              <w:tc>
                <w:tcPr>
                  <w:tcW w:w="537" w:type="dxa"/>
                  <w:tcBorders>
                    <w:tl2br w:val="nil"/>
                    <w:tr2bl w:val="nil"/>
                  </w:tcBorders>
                  <w:vAlign w:val="center"/>
                </w:tcPr>
                <w:p w14:paraId="17F41FE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71C07E92">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0C411C3A">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w:t>
                  </w:r>
                </w:p>
              </w:tc>
              <w:tc>
                <w:tcPr>
                  <w:tcW w:w="838" w:type="dxa"/>
                  <w:tcBorders>
                    <w:tl2br w:val="nil"/>
                    <w:tr2bl w:val="nil"/>
                  </w:tcBorders>
                  <w:vAlign w:val="center"/>
                </w:tcPr>
                <w:p w14:paraId="7C6F9B8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140</w:t>
                  </w:r>
                </w:p>
              </w:tc>
            </w:tr>
            <w:tr w14:paraId="6B350A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7A87F3CE">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5819E246">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27.705</w:t>
                  </w:r>
                  <w:r>
                    <w:rPr>
                      <w:rFonts w:hint="eastAsia"/>
                      <w:color w:val="auto"/>
                      <w:spacing w:val="-20"/>
                      <w:szCs w:val="21"/>
                      <w:highlight w:val="none"/>
                    </w:rPr>
                    <w:t>″</w:t>
                  </w:r>
                </w:p>
              </w:tc>
              <w:tc>
                <w:tcPr>
                  <w:tcW w:w="1330" w:type="dxa"/>
                  <w:tcBorders>
                    <w:tl2br w:val="nil"/>
                    <w:tr2bl w:val="nil"/>
                  </w:tcBorders>
                  <w:shd w:val="clear" w:color="auto" w:fill="auto"/>
                  <w:vAlign w:val="center"/>
                </w:tcPr>
                <w:p w14:paraId="54FCCB75">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58.432</w:t>
                  </w:r>
                  <w:r>
                    <w:rPr>
                      <w:rFonts w:hint="eastAsia"/>
                      <w:color w:val="auto"/>
                      <w:spacing w:val="-20"/>
                      <w:szCs w:val="21"/>
                      <w:highlight w:val="none"/>
                    </w:rPr>
                    <w:t>″</w:t>
                  </w:r>
                </w:p>
              </w:tc>
              <w:tc>
                <w:tcPr>
                  <w:tcW w:w="853" w:type="dxa"/>
                  <w:tcBorders>
                    <w:tl2br w:val="nil"/>
                    <w:tr2bl w:val="nil"/>
                  </w:tcBorders>
                  <w:shd w:val="clear" w:color="auto" w:fill="auto"/>
                  <w:vAlign w:val="center"/>
                </w:tcPr>
                <w:p w14:paraId="2D1AD409">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昌安小区</w:t>
                  </w:r>
                </w:p>
              </w:tc>
              <w:tc>
                <w:tcPr>
                  <w:tcW w:w="537" w:type="dxa"/>
                  <w:tcBorders>
                    <w:tl2br w:val="nil"/>
                    <w:tr2bl w:val="nil"/>
                  </w:tcBorders>
                  <w:vAlign w:val="center"/>
                </w:tcPr>
                <w:p w14:paraId="1A889D0C">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6C2A6B39">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010DDB63">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w:t>
                  </w:r>
                </w:p>
              </w:tc>
              <w:tc>
                <w:tcPr>
                  <w:tcW w:w="838" w:type="dxa"/>
                  <w:tcBorders>
                    <w:tl2br w:val="nil"/>
                    <w:tr2bl w:val="nil"/>
                  </w:tcBorders>
                  <w:vAlign w:val="center"/>
                </w:tcPr>
                <w:p w14:paraId="37F2D1F3">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260</w:t>
                  </w:r>
                </w:p>
              </w:tc>
            </w:tr>
            <w:tr w14:paraId="2A4E473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3A1C7D2F">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74E4C73A">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23.119</w:t>
                  </w:r>
                  <w:r>
                    <w:rPr>
                      <w:rFonts w:hint="eastAsia"/>
                      <w:color w:val="auto"/>
                      <w:spacing w:val="-20"/>
                      <w:szCs w:val="21"/>
                      <w:highlight w:val="none"/>
                    </w:rPr>
                    <w:t>″</w:t>
                  </w:r>
                </w:p>
              </w:tc>
              <w:tc>
                <w:tcPr>
                  <w:tcW w:w="1330" w:type="dxa"/>
                  <w:tcBorders>
                    <w:tl2br w:val="nil"/>
                    <w:tr2bl w:val="nil"/>
                  </w:tcBorders>
                  <w:shd w:val="clear" w:color="auto" w:fill="auto"/>
                  <w:vAlign w:val="center"/>
                </w:tcPr>
                <w:p w14:paraId="788EA445">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1</w:t>
                  </w:r>
                  <w:r>
                    <w:rPr>
                      <w:rFonts w:hint="eastAsia"/>
                      <w:color w:val="auto"/>
                      <w:spacing w:val="-20"/>
                      <w:szCs w:val="21"/>
                      <w:highlight w:val="none"/>
                    </w:rPr>
                    <w:t>′</w:t>
                  </w:r>
                  <w:r>
                    <w:rPr>
                      <w:rFonts w:hint="eastAsia"/>
                      <w:color w:val="auto"/>
                      <w:spacing w:val="-20"/>
                      <w:szCs w:val="21"/>
                      <w:highlight w:val="none"/>
                      <w:lang w:val="en-US" w:eastAsia="zh-CN"/>
                    </w:rPr>
                    <w:t>1.907</w:t>
                  </w:r>
                  <w:r>
                    <w:rPr>
                      <w:rFonts w:hint="eastAsia"/>
                      <w:color w:val="auto"/>
                      <w:spacing w:val="-20"/>
                      <w:szCs w:val="21"/>
                      <w:highlight w:val="none"/>
                    </w:rPr>
                    <w:t>″</w:t>
                  </w:r>
                </w:p>
              </w:tc>
              <w:tc>
                <w:tcPr>
                  <w:tcW w:w="853" w:type="dxa"/>
                  <w:tcBorders>
                    <w:tl2br w:val="nil"/>
                    <w:tr2bl w:val="nil"/>
                  </w:tcBorders>
                  <w:shd w:val="clear" w:color="auto" w:fill="auto"/>
                  <w:vAlign w:val="center"/>
                </w:tcPr>
                <w:p w14:paraId="3CE32C00">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吴纸庄村</w:t>
                  </w:r>
                </w:p>
              </w:tc>
              <w:tc>
                <w:tcPr>
                  <w:tcW w:w="537" w:type="dxa"/>
                  <w:tcBorders>
                    <w:tl2br w:val="nil"/>
                    <w:tr2bl w:val="nil"/>
                  </w:tcBorders>
                  <w:vAlign w:val="center"/>
                </w:tcPr>
                <w:p w14:paraId="2A022C23">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5BC604F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C3141B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w:t>
                  </w:r>
                </w:p>
              </w:tc>
              <w:tc>
                <w:tcPr>
                  <w:tcW w:w="838" w:type="dxa"/>
                  <w:tcBorders>
                    <w:tl2br w:val="nil"/>
                    <w:tr2bl w:val="nil"/>
                  </w:tcBorders>
                  <w:vAlign w:val="center"/>
                </w:tcPr>
                <w:p w14:paraId="677605A7">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310</w:t>
                  </w:r>
                </w:p>
              </w:tc>
            </w:tr>
            <w:tr w14:paraId="11E9ADF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07EB2BC4">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90ECBF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34.513</w:t>
                  </w:r>
                  <w:r>
                    <w:rPr>
                      <w:rFonts w:hint="eastAsia"/>
                      <w:color w:val="auto"/>
                      <w:spacing w:val="-20"/>
                      <w:szCs w:val="21"/>
                      <w:highlight w:val="none"/>
                    </w:rPr>
                    <w:t>″</w:t>
                  </w:r>
                </w:p>
              </w:tc>
              <w:tc>
                <w:tcPr>
                  <w:tcW w:w="1330" w:type="dxa"/>
                  <w:tcBorders>
                    <w:tl2br w:val="nil"/>
                    <w:tr2bl w:val="nil"/>
                  </w:tcBorders>
                  <w:shd w:val="clear" w:color="auto" w:fill="auto"/>
                  <w:vAlign w:val="center"/>
                </w:tcPr>
                <w:p w14:paraId="43779C0B">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1</w:t>
                  </w:r>
                  <w:r>
                    <w:rPr>
                      <w:rFonts w:hint="eastAsia"/>
                      <w:color w:val="auto"/>
                      <w:spacing w:val="-20"/>
                      <w:szCs w:val="21"/>
                      <w:highlight w:val="none"/>
                    </w:rPr>
                    <w:t>′</w:t>
                  </w:r>
                  <w:r>
                    <w:rPr>
                      <w:rFonts w:hint="eastAsia"/>
                      <w:color w:val="auto"/>
                      <w:spacing w:val="-20"/>
                      <w:szCs w:val="21"/>
                      <w:highlight w:val="none"/>
                      <w:lang w:val="en-US" w:eastAsia="zh-CN"/>
                    </w:rPr>
                    <w:t>1.656</w:t>
                  </w:r>
                  <w:r>
                    <w:rPr>
                      <w:rFonts w:hint="eastAsia"/>
                      <w:color w:val="auto"/>
                      <w:spacing w:val="-20"/>
                      <w:szCs w:val="21"/>
                      <w:highlight w:val="none"/>
                    </w:rPr>
                    <w:t>″</w:t>
                  </w:r>
                </w:p>
              </w:tc>
              <w:tc>
                <w:tcPr>
                  <w:tcW w:w="853" w:type="dxa"/>
                  <w:tcBorders>
                    <w:tl2br w:val="nil"/>
                    <w:tr2bl w:val="nil"/>
                  </w:tcBorders>
                  <w:shd w:val="clear" w:color="auto" w:fill="auto"/>
                  <w:vAlign w:val="center"/>
                </w:tcPr>
                <w:p w14:paraId="2D24BC1D">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北关村</w:t>
                  </w:r>
                </w:p>
              </w:tc>
              <w:tc>
                <w:tcPr>
                  <w:tcW w:w="537" w:type="dxa"/>
                  <w:tcBorders>
                    <w:tl2br w:val="nil"/>
                    <w:tr2bl w:val="nil"/>
                  </w:tcBorders>
                  <w:vAlign w:val="center"/>
                </w:tcPr>
                <w:p w14:paraId="497DCB42">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75C7D291">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77D7FA67">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NE</w:t>
                  </w:r>
                </w:p>
              </w:tc>
              <w:tc>
                <w:tcPr>
                  <w:tcW w:w="838" w:type="dxa"/>
                  <w:tcBorders>
                    <w:tl2br w:val="nil"/>
                    <w:tr2bl w:val="nil"/>
                  </w:tcBorders>
                  <w:vAlign w:val="center"/>
                </w:tcPr>
                <w:p w14:paraId="53A61BF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310</w:t>
                  </w:r>
                </w:p>
              </w:tc>
            </w:tr>
            <w:tr w14:paraId="554C6FE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72898ED9">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95680B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42.431</w:t>
                  </w:r>
                  <w:r>
                    <w:rPr>
                      <w:rFonts w:hint="eastAsia"/>
                      <w:color w:val="auto"/>
                      <w:spacing w:val="-20"/>
                      <w:szCs w:val="21"/>
                      <w:highlight w:val="none"/>
                    </w:rPr>
                    <w:t>″</w:t>
                  </w:r>
                </w:p>
              </w:tc>
              <w:tc>
                <w:tcPr>
                  <w:tcW w:w="1330" w:type="dxa"/>
                  <w:tcBorders>
                    <w:tl2br w:val="nil"/>
                    <w:tr2bl w:val="nil"/>
                  </w:tcBorders>
                  <w:shd w:val="clear" w:color="auto" w:fill="auto"/>
                  <w:vAlign w:val="center"/>
                </w:tcPr>
                <w:p w14:paraId="485F60B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57.086</w:t>
                  </w:r>
                  <w:r>
                    <w:rPr>
                      <w:rFonts w:hint="eastAsia"/>
                      <w:color w:val="auto"/>
                      <w:spacing w:val="-20"/>
                      <w:szCs w:val="21"/>
                      <w:highlight w:val="none"/>
                    </w:rPr>
                    <w:t>″</w:t>
                  </w:r>
                </w:p>
              </w:tc>
              <w:tc>
                <w:tcPr>
                  <w:tcW w:w="853" w:type="dxa"/>
                  <w:tcBorders>
                    <w:tl2br w:val="nil"/>
                    <w:tr2bl w:val="nil"/>
                  </w:tcBorders>
                  <w:shd w:val="clear" w:color="auto" w:fill="auto"/>
                  <w:vAlign w:val="center"/>
                </w:tcPr>
                <w:p w14:paraId="6BC6E2DD">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花园新区</w:t>
                  </w:r>
                </w:p>
              </w:tc>
              <w:tc>
                <w:tcPr>
                  <w:tcW w:w="537" w:type="dxa"/>
                  <w:tcBorders>
                    <w:tl2br w:val="nil"/>
                    <w:tr2bl w:val="nil"/>
                  </w:tcBorders>
                  <w:vAlign w:val="center"/>
                </w:tcPr>
                <w:p w14:paraId="4FAECB48">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17114358">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4A1F6E8">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NE</w:t>
                  </w:r>
                </w:p>
              </w:tc>
              <w:tc>
                <w:tcPr>
                  <w:tcW w:w="838" w:type="dxa"/>
                  <w:tcBorders>
                    <w:tl2br w:val="nil"/>
                    <w:tr2bl w:val="nil"/>
                  </w:tcBorders>
                  <w:vAlign w:val="center"/>
                </w:tcPr>
                <w:p w14:paraId="21C82D8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335</w:t>
                  </w:r>
                </w:p>
              </w:tc>
            </w:tr>
            <w:tr w14:paraId="630F38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31223616">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4B40D8E">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40.137</w:t>
                  </w:r>
                  <w:r>
                    <w:rPr>
                      <w:rFonts w:hint="eastAsia"/>
                      <w:color w:val="auto"/>
                      <w:spacing w:val="-20"/>
                      <w:szCs w:val="21"/>
                      <w:highlight w:val="none"/>
                    </w:rPr>
                    <w:t>″</w:t>
                  </w:r>
                </w:p>
              </w:tc>
              <w:tc>
                <w:tcPr>
                  <w:tcW w:w="1330" w:type="dxa"/>
                  <w:tcBorders>
                    <w:tl2br w:val="nil"/>
                    <w:tr2bl w:val="nil"/>
                  </w:tcBorders>
                  <w:shd w:val="clear" w:color="auto" w:fill="auto"/>
                  <w:vAlign w:val="center"/>
                </w:tcPr>
                <w:p w14:paraId="0EF46DD1">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53.850</w:t>
                  </w:r>
                  <w:r>
                    <w:rPr>
                      <w:rFonts w:hint="eastAsia"/>
                      <w:color w:val="auto"/>
                      <w:spacing w:val="-20"/>
                      <w:szCs w:val="21"/>
                      <w:highlight w:val="none"/>
                    </w:rPr>
                    <w:t>″</w:t>
                  </w:r>
                </w:p>
              </w:tc>
              <w:tc>
                <w:tcPr>
                  <w:tcW w:w="853" w:type="dxa"/>
                  <w:tcBorders>
                    <w:tl2br w:val="nil"/>
                    <w:tr2bl w:val="nil"/>
                  </w:tcBorders>
                  <w:shd w:val="clear" w:color="auto" w:fill="auto"/>
                  <w:vAlign w:val="center"/>
                </w:tcPr>
                <w:p w14:paraId="1FA96738">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公平村</w:t>
                  </w:r>
                </w:p>
              </w:tc>
              <w:tc>
                <w:tcPr>
                  <w:tcW w:w="537" w:type="dxa"/>
                  <w:tcBorders>
                    <w:tl2br w:val="nil"/>
                    <w:tr2bl w:val="nil"/>
                  </w:tcBorders>
                  <w:vAlign w:val="center"/>
                </w:tcPr>
                <w:p w14:paraId="55A4718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286AB56E">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AF1A1D9">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NE</w:t>
                  </w:r>
                </w:p>
              </w:tc>
              <w:tc>
                <w:tcPr>
                  <w:tcW w:w="838" w:type="dxa"/>
                  <w:tcBorders>
                    <w:tl2br w:val="nil"/>
                    <w:tr2bl w:val="nil"/>
                  </w:tcBorders>
                  <w:vAlign w:val="center"/>
                </w:tcPr>
                <w:p w14:paraId="439899C7">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105</w:t>
                  </w:r>
                </w:p>
              </w:tc>
            </w:tr>
            <w:tr w14:paraId="517D09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61452B7">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5764B92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37.661</w:t>
                  </w:r>
                  <w:r>
                    <w:rPr>
                      <w:rFonts w:hint="eastAsia"/>
                      <w:color w:val="auto"/>
                      <w:spacing w:val="-20"/>
                      <w:szCs w:val="21"/>
                      <w:highlight w:val="none"/>
                    </w:rPr>
                    <w:t>″</w:t>
                  </w:r>
                </w:p>
              </w:tc>
              <w:tc>
                <w:tcPr>
                  <w:tcW w:w="1330" w:type="dxa"/>
                  <w:tcBorders>
                    <w:tl2br w:val="nil"/>
                    <w:tr2bl w:val="nil"/>
                  </w:tcBorders>
                  <w:shd w:val="clear" w:color="auto" w:fill="auto"/>
                  <w:vAlign w:val="center"/>
                </w:tcPr>
                <w:p w14:paraId="36C1250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41.149</w:t>
                  </w:r>
                  <w:r>
                    <w:rPr>
                      <w:rFonts w:hint="eastAsia"/>
                      <w:color w:val="auto"/>
                      <w:spacing w:val="-20"/>
                      <w:szCs w:val="21"/>
                      <w:highlight w:val="none"/>
                    </w:rPr>
                    <w:t>″</w:t>
                  </w:r>
                </w:p>
              </w:tc>
              <w:tc>
                <w:tcPr>
                  <w:tcW w:w="853" w:type="dxa"/>
                  <w:tcBorders>
                    <w:tl2br w:val="nil"/>
                    <w:tr2bl w:val="nil"/>
                  </w:tcBorders>
                  <w:shd w:val="clear" w:color="auto" w:fill="auto"/>
                  <w:vAlign w:val="center"/>
                </w:tcPr>
                <w:p w14:paraId="06A0CDE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时代花园</w:t>
                  </w:r>
                </w:p>
              </w:tc>
              <w:tc>
                <w:tcPr>
                  <w:tcW w:w="537" w:type="dxa"/>
                  <w:tcBorders>
                    <w:tl2br w:val="nil"/>
                    <w:tr2bl w:val="nil"/>
                  </w:tcBorders>
                  <w:vAlign w:val="center"/>
                </w:tcPr>
                <w:p w14:paraId="45110C9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33024C5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23BE3CA">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SE</w:t>
                  </w:r>
                </w:p>
              </w:tc>
              <w:tc>
                <w:tcPr>
                  <w:tcW w:w="838" w:type="dxa"/>
                  <w:tcBorders>
                    <w:tl2br w:val="nil"/>
                    <w:tr2bl w:val="nil"/>
                  </w:tcBorders>
                  <w:vAlign w:val="center"/>
                </w:tcPr>
                <w:p w14:paraId="399FED54">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235</w:t>
                  </w:r>
                </w:p>
              </w:tc>
            </w:tr>
            <w:tr w14:paraId="332B29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gridAfter w:val="1"/>
                <w:wAfter w:w="9" w:type="dxa"/>
                <w:trHeight w:val="397" w:hRule="exact"/>
              </w:trPr>
              <w:tc>
                <w:tcPr>
                  <w:tcW w:w="551" w:type="dxa"/>
                  <w:vMerge w:val="continue"/>
                  <w:tcBorders>
                    <w:tl2br w:val="nil"/>
                    <w:tr2bl w:val="nil"/>
                  </w:tcBorders>
                  <w:vAlign w:val="center"/>
                </w:tcPr>
                <w:p w14:paraId="7BDA0DCC">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22DCB3E4">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33.547</w:t>
                  </w:r>
                  <w:r>
                    <w:rPr>
                      <w:rFonts w:hint="eastAsia"/>
                      <w:color w:val="auto"/>
                      <w:spacing w:val="-20"/>
                      <w:szCs w:val="21"/>
                      <w:highlight w:val="none"/>
                    </w:rPr>
                    <w:t>″</w:t>
                  </w:r>
                </w:p>
              </w:tc>
              <w:tc>
                <w:tcPr>
                  <w:tcW w:w="1330" w:type="dxa"/>
                  <w:tcBorders>
                    <w:tl2br w:val="nil"/>
                    <w:tr2bl w:val="nil"/>
                  </w:tcBorders>
                  <w:shd w:val="clear" w:color="auto" w:fill="auto"/>
                  <w:vAlign w:val="center"/>
                </w:tcPr>
                <w:p w14:paraId="7CD6F83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40.579</w:t>
                  </w:r>
                  <w:r>
                    <w:rPr>
                      <w:rFonts w:hint="eastAsia"/>
                      <w:color w:val="auto"/>
                      <w:spacing w:val="-20"/>
                      <w:szCs w:val="21"/>
                      <w:highlight w:val="none"/>
                    </w:rPr>
                    <w:t>″</w:t>
                  </w:r>
                </w:p>
              </w:tc>
              <w:tc>
                <w:tcPr>
                  <w:tcW w:w="853" w:type="dxa"/>
                  <w:tcBorders>
                    <w:tl2br w:val="nil"/>
                    <w:tr2bl w:val="nil"/>
                  </w:tcBorders>
                  <w:shd w:val="clear" w:color="auto" w:fill="auto"/>
                  <w:vAlign w:val="center"/>
                </w:tcPr>
                <w:p w14:paraId="270C80A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发展村</w:t>
                  </w:r>
                </w:p>
              </w:tc>
              <w:tc>
                <w:tcPr>
                  <w:tcW w:w="537" w:type="dxa"/>
                  <w:tcBorders>
                    <w:tl2br w:val="nil"/>
                    <w:tr2bl w:val="nil"/>
                  </w:tcBorders>
                  <w:vAlign w:val="center"/>
                </w:tcPr>
                <w:p w14:paraId="32B56C5B">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7C121BC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161B130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SE</w:t>
                  </w:r>
                </w:p>
              </w:tc>
              <w:tc>
                <w:tcPr>
                  <w:tcW w:w="838" w:type="dxa"/>
                  <w:tcBorders>
                    <w:tl2br w:val="nil"/>
                    <w:tr2bl w:val="nil"/>
                  </w:tcBorders>
                  <w:vAlign w:val="center"/>
                </w:tcPr>
                <w:p w14:paraId="5F41AA3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105</w:t>
                  </w:r>
                </w:p>
              </w:tc>
            </w:tr>
            <w:tr w14:paraId="42F1E7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3523BF5">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0F5219D1">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32.813</w:t>
                  </w:r>
                  <w:r>
                    <w:rPr>
                      <w:rFonts w:hint="eastAsia"/>
                      <w:color w:val="auto"/>
                      <w:spacing w:val="-20"/>
                      <w:szCs w:val="21"/>
                      <w:highlight w:val="none"/>
                    </w:rPr>
                    <w:t>″</w:t>
                  </w:r>
                </w:p>
              </w:tc>
              <w:tc>
                <w:tcPr>
                  <w:tcW w:w="1330" w:type="dxa"/>
                  <w:tcBorders>
                    <w:tl2br w:val="nil"/>
                    <w:tr2bl w:val="nil"/>
                  </w:tcBorders>
                  <w:shd w:val="clear" w:color="auto" w:fill="auto"/>
                  <w:vAlign w:val="center"/>
                </w:tcPr>
                <w:p w14:paraId="6CB29BB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34.307</w:t>
                  </w:r>
                  <w:r>
                    <w:rPr>
                      <w:rFonts w:hint="eastAsia"/>
                      <w:color w:val="auto"/>
                      <w:spacing w:val="-20"/>
                      <w:szCs w:val="21"/>
                      <w:highlight w:val="none"/>
                    </w:rPr>
                    <w:t>″</w:t>
                  </w:r>
                </w:p>
              </w:tc>
              <w:tc>
                <w:tcPr>
                  <w:tcW w:w="853" w:type="dxa"/>
                  <w:tcBorders>
                    <w:tl2br w:val="nil"/>
                    <w:tr2bl w:val="nil"/>
                  </w:tcBorders>
                  <w:shd w:val="clear" w:color="auto" w:fill="auto"/>
                  <w:vAlign w:val="center"/>
                </w:tcPr>
                <w:p w14:paraId="420ED671">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安盛花苑</w:t>
                  </w:r>
                </w:p>
              </w:tc>
              <w:tc>
                <w:tcPr>
                  <w:tcW w:w="537" w:type="dxa"/>
                  <w:tcBorders>
                    <w:tl2br w:val="nil"/>
                    <w:tr2bl w:val="nil"/>
                  </w:tcBorders>
                  <w:vAlign w:val="center"/>
                </w:tcPr>
                <w:p w14:paraId="40CD5996">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016E415E">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0FBAAF24">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SE</w:t>
                  </w:r>
                </w:p>
              </w:tc>
              <w:tc>
                <w:tcPr>
                  <w:tcW w:w="838" w:type="dxa"/>
                  <w:tcBorders>
                    <w:tl2br w:val="nil"/>
                    <w:tr2bl w:val="nil"/>
                  </w:tcBorders>
                  <w:vAlign w:val="center"/>
                </w:tcPr>
                <w:p w14:paraId="1F2D3058">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420</w:t>
                  </w:r>
                </w:p>
              </w:tc>
            </w:tr>
            <w:tr w14:paraId="19D017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8" w:hRule="atLeast"/>
              </w:trPr>
              <w:tc>
                <w:tcPr>
                  <w:tcW w:w="551" w:type="dxa"/>
                  <w:vMerge w:val="continue"/>
                  <w:tcBorders>
                    <w:tl2br w:val="nil"/>
                    <w:tr2bl w:val="nil"/>
                  </w:tcBorders>
                  <w:vAlign w:val="center"/>
                </w:tcPr>
                <w:p w14:paraId="759EB272">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8BC66D7">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26.460</w:t>
                  </w:r>
                  <w:r>
                    <w:rPr>
                      <w:rFonts w:hint="eastAsia"/>
                      <w:color w:val="auto"/>
                      <w:spacing w:val="-20"/>
                      <w:szCs w:val="21"/>
                      <w:highlight w:val="none"/>
                    </w:rPr>
                    <w:t>″</w:t>
                  </w:r>
                </w:p>
              </w:tc>
              <w:tc>
                <w:tcPr>
                  <w:tcW w:w="1330" w:type="dxa"/>
                  <w:tcBorders>
                    <w:tl2br w:val="nil"/>
                    <w:tr2bl w:val="nil"/>
                  </w:tcBorders>
                  <w:shd w:val="clear" w:color="auto" w:fill="auto"/>
                  <w:vAlign w:val="center"/>
                </w:tcPr>
                <w:p w14:paraId="1D9C5781">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40.720</w:t>
                  </w:r>
                  <w:r>
                    <w:rPr>
                      <w:rFonts w:hint="eastAsia"/>
                      <w:color w:val="auto"/>
                      <w:spacing w:val="-20"/>
                      <w:szCs w:val="21"/>
                      <w:highlight w:val="none"/>
                    </w:rPr>
                    <w:t>″</w:t>
                  </w:r>
                </w:p>
              </w:tc>
              <w:tc>
                <w:tcPr>
                  <w:tcW w:w="853" w:type="dxa"/>
                  <w:tcBorders>
                    <w:tl2br w:val="nil"/>
                    <w:tr2bl w:val="nil"/>
                  </w:tcBorders>
                  <w:shd w:val="clear" w:color="auto" w:fill="auto"/>
                  <w:vAlign w:val="center"/>
                </w:tcPr>
                <w:p w14:paraId="63D27A6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五金昌宇小区</w:t>
                  </w:r>
                </w:p>
              </w:tc>
              <w:tc>
                <w:tcPr>
                  <w:tcW w:w="537" w:type="dxa"/>
                  <w:tcBorders>
                    <w:tl2br w:val="nil"/>
                    <w:tr2bl w:val="nil"/>
                  </w:tcBorders>
                  <w:vAlign w:val="center"/>
                </w:tcPr>
                <w:p w14:paraId="29067D8A">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6AE1D0F4">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C3E6B2B">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w:t>
                  </w:r>
                </w:p>
              </w:tc>
              <w:tc>
                <w:tcPr>
                  <w:tcW w:w="838" w:type="dxa"/>
                  <w:tcBorders>
                    <w:tl2br w:val="nil"/>
                    <w:tr2bl w:val="nil"/>
                  </w:tcBorders>
                  <w:vAlign w:val="center"/>
                </w:tcPr>
                <w:p w14:paraId="158CD74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200</w:t>
                  </w:r>
                </w:p>
              </w:tc>
            </w:tr>
            <w:tr w14:paraId="559E23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06A3A6E7">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7AB6F9BF">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22.810</w:t>
                  </w:r>
                  <w:r>
                    <w:rPr>
                      <w:rFonts w:hint="eastAsia"/>
                      <w:color w:val="auto"/>
                      <w:spacing w:val="-20"/>
                      <w:szCs w:val="21"/>
                      <w:highlight w:val="none"/>
                    </w:rPr>
                    <w:t>″</w:t>
                  </w:r>
                </w:p>
              </w:tc>
              <w:tc>
                <w:tcPr>
                  <w:tcW w:w="1330" w:type="dxa"/>
                  <w:tcBorders>
                    <w:tl2br w:val="nil"/>
                    <w:tr2bl w:val="nil"/>
                  </w:tcBorders>
                  <w:shd w:val="clear" w:color="auto" w:fill="auto"/>
                  <w:vAlign w:val="center"/>
                </w:tcPr>
                <w:p w14:paraId="2BFF10F2">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41.962</w:t>
                  </w:r>
                  <w:r>
                    <w:rPr>
                      <w:rFonts w:hint="eastAsia"/>
                      <w:color w:val="auto"/>
                      <w:spacing w:val="-20"/>
                      <w:szCs w:val="21"/>
                      <w:highlight w:val="none"/>
                    </w:rPr>
                    <w:t>″</w:t>
                  </w:r>
                </w:p>
              </w:tc>
              <w:tc>
                <w:tcPr>
                  <w:tcW w:w="853" w:type="dxa"/>
                  <w:tcBorders>
                    <w:tl2br w:val="nil"/>
                    <w:tr2bl w:val="nil"/>
                  </w:tcBorders>
                  <w:shd w:val="clear" w:color="auto" w:fill="auto"/>
                  <w:vAlign w:val="center"/>
                </w:tcPr>
                <w:p w14:paraId="41F5AB31">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建设村</w:t>
                  </w:r>
                </w:p>
              </w:tc>
              <w:tc>
                <w:tcPr>
                  <w:tcW w:w="537" w:type="dxa"/>
                  <w:tcBorders>
                    <w:tl2br w:val="nil"/>
                    <w:tr2bl w:val="nil"/>
                  </w:tcBorders>
                  <w:vAlign w:val="center"/>
                </w:tcPr>
                <w:p w14:paraId="49E91D67">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0E5FB11C">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59F455A9">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3D78D61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80</w:t>
                  </w:r>
                </w:p>
              </w:tc>
            </w:tr>
            <w:tr w14:paraId="782552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14856ED0">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34416F5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12.111</w:t>
                  </w:r>
                  <w:r>
                    <w:rPr>
                      <w:rFonts w:hint="eastAsia"/>
                      <w:color w:val="auto"/>
                      <w:spacing w:val="-20"/>
                      <w:szCs w:val="21"/>
                      <w:highlight w:val="none"/>
                    </w:rPr>
                    <w:t>″</w:t>
                  </w:r>
                </w:p>
              </w:tc>
              <w:tc>
                <w:tcPr>
                  <w:tcW w:w="1330" w:type="dxa"/>
                  <w:tcBorders>
                    <w:tl2br w:val="nil"/>
                    <w:tr2bl w:val="nil"/>
                  </w:tcBorders>
                  <w:shd w:val="clear" w:color="auto" w:fill="auto"/>
                  <w:vAlign w:val="center"/>
                </w:tcPr>
                <w:p w14:paraId="7A2835AC">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43.449</w:t>
                  </w:r>
                  <w:r>
                    <w:rPr>
                      <w:rFonts w:hint="eastAsia"/>
                      <w:color w:val="auto"/>
                      <w:spacing w:val="-20"/>
                      <w:szCs w:val="21"/>
                      <w:highlight w:val="none"/>
                    </w:rPr>
                    <w:t>″</w:t>
                  </w:r>
                </w:p>
              </w:tc>
              <w:tc>
                <w:tcPr>
                  <w:tcW w:w="853" w:type="dxa"/>
                  <w:tcBorders>
                    <w:tl2br w:val="nil"/>
                    <w:tr2bl w:val="nil"/>
                  </w:tcBorders>
                  <w:shd w:val="clear" w:color="auto" w:fill="auto"/>
                  <w:vAlign w:val="center"/>
                </w:tcPr>
                <w:p w14:paraId="5FF81FDE">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黄纸庄村</w:t>
                  </w:r>
                </w:p>
              </w:tc>
              <w:tc>
                <w:tcPr>
                  <w:tcW w:w="537" w:type="dxa"/>
                  <w:tcBorders>
                    <w:tl2br w:val="nil"/>
                    <w:tr2bl w:val="nil"/>
                  </w:tcBorders>
                  <w:shd w:val="clear" w:color="auto" w:fill="auto"/>
                  <w:vAlign w:val="center"/>
                </w:tcPr>
                <w:p w14:paraId="3221473F">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4CF6D2F0">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288DCE1B">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2CF3DB3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280</w:t>
                  </w:r>
                </w:p>
              </w:tc>
            </w:tr>
            <w:tr w14:paraId="6B0944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6C1E030E">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67094C69">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7.167</w:t>
                  </w:r>
                  <w:r>
                    <w:rPr>
                      <w:rFonts w:hint="eastAsia"/>
                      <w:color w:val="auto"/>
                      <w:spacing w:val="-20"/>
                      <w:szCs w:val="21"/>
                      <w:highlight w:val="none"/>
                    </w:rPr>
                    <w:t>″</w:t>
                  </w:r>
                </w:p>
              </w:tc>
              <w:tc>
                <w:tcPr>
                  <w:tcW w:w="1330" w:type="dxa"/>
                  <w:tcBorders>
                    <w:tl2br w:val="nil"/>
                    <w:tr2bl w:val="nil"/>
                  </w:tcBorders>
                  <w:shd w:val="clear" w:color="auto" w:fill="auto"/>
                  <w:vAlign w:val="center"/>
                </w:tcPr>
                <w:p w14:paraId="40855A02">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44.159</w:t>
                  </w:r>
                  <w:r>
                    <w:rPr>
                      <w:rFonts w:hint="eastAsia"/>
                      <w:color w:val="auto"/>
                      <w:spacing w:val="-20"/>
                      <w:szCs w:val="21"/>
                      <w:highlight w:val="none"/>
                    </w:rPr>
                    <w:t>″</w:t>
                  </w:r>
                </w:p>
              </w:tc>
              <w:tc>
                <w:tcPr>
                  <w:tcW w:w="853" w:type="dxa"/>
                  <w:tcBorders>
                    <w:tl2br w:val="nil"/>
                    <w:tr2bl w:val="nil"/>
                  </w:tcBorders>
                  <w:shd w:val="clear" w:color="auto" w:fill="auto"/>
                  <w:vAlign w:val="center"/>
                </w:tcPr>
                <w:p w14:paraId="776DC37F">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安顺小区</w:t>
                  </w:r>
                </w:p>
              </w:tc>
              <w:tc>
                <w:tcPr>
                  <w:tcW w:w="537" w:type="dxa"/>
                  <w:tcBorders>
                    <w:tl2br w:val="nil"/>
                    <w:tr2bl w:val="nil"/>
                  </w:tcBorders>
                  <w:shd w:val="clear" w:color="auto" w:fill="auto"/>
                  <w:vAlign w:val="center"/>
                </w:tcPr>
                <w:p w14:paraId="12F1D618">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5591A54F">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58A8F21">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24D9C97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460</w:t>
                  </w:r>
                </w:p>
              </w:tc>
            </w:tr>
            <w:tr w14:paraId="642342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397" w:hRule="exact"/>
              </w:trPr>
              <w:tc>
                <w:tcPr>
                  <w:tcW w:w="551" w:type="dxa"/>
                  <w:vMerge w:val="continue"/>
                  <w:tcBorders>
                    <w:tl2br w:val="nil"/>
                    <w:tr2bl w:val="nil"/>
                  </w:tcBorders>
                  <w:vAlign w:val="center"/>
                </w:tcPr>
                <w:p w14:paraId="40B5E040">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35308F60">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11.276</w:t>
                  </w:r>
                  <w:r>
                    <w:rPr>
                      <w:rFonts w:hint="eastAsia"/>
                      <w:color w:val="auto"/>
                      <w:spacing w:val="-20"/>
                      <w:szCs w:val="21"/>
                      <w:highlight w:val="none"/>
                    </w:rPr>
                    <w:t>″</w:t>
                  </w:r>
                </w:p>
              </w:tc>
              <w:tc>
                <w:tcPr>
                  <w:tcW w:w="1330" w:type="dxa"/>
                  <w:tcBorders>
                    <w:tl2br w:val="nil"/>
                    <w:tr2bl w:val="nil"/>
                  </w:tcBorders>
                  <w:shd w:val="clear" w:color="auto" w:fill="auto"/>
                  <w:vAlign w:val="center"/>
                </w:tcPr>
                <w:p w14:paraId="2F71E633">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29.770</w:t>
                  </w:r>
                  <w:r>
                    <w:rPr>
                      <w:rFonts w:hint="eastAsia"/>
                      <w:color w:val="auto"/>
                      <w:spacing w:val="-20"/>
                      <w:szCs w:val="21"/>
                      <w:highlight w:val="none"/>
                    </w:rPr>
                    <w:t>″</w:t>
                  </w:r>
                </w:p>
              </w:tc>
              <w:tc>
                <w:tcPr>
                  <w:tcW w:w="853" w:type="dxa"/>
                  <w:tcBorders>
                    <w:tl2br w:val="nil"/>
                    <w:tr2bl w:val="nil"/>
                  </w:tcBorders>
                  <w:shd w:val="clear" w:color="auto" w:fill="auto"/>
                  <w:vAlign w:val="center"/>
                </w:tcPr>
                <w:p w14:paraId="3A57BC52">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西关村</w:t>
                  </w:r>
                </w:p>
              </w:tc>
              <w:tc>
                <w:tcPr>
                  <w:tcW w:w="537" w:type="dxa"/>
                  <w:tcBorders>
                    <w:tl2br w:val="nil"/>
                    <w:tr2bl w:val="nil"/>
                  </w:tcBorders>
                  <w:shd w:val="clear" w:color="auto" w:fill="auto"/>
                  <w:vAlign w:val="center"/>
                </w:tcPr>
                <w:p w14:paraId="45AAFA93">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居民</w:t>
                  </w:r>
                </w:p>
              </w:tc>
              <w:tc>
                <w:tcPr>
                  <w:tcW w:w="1759" w:type="dxa"/>
                  <w:vMerge w:val="continue"/>
                  <w:tcBorders>
                    <w:tl2br w:val="nil"/>
                    <w:tr2bl w:val="nil"/>
                  </w:tcBorders>
                  <w:vAlign w:val="center"/>
                </w:tcPr>
                <w:p w14:paraId="2B32924D">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4F77370">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38" w:type="dxa"/>
                  <w:tcBorders>
                    <w:tl2br w:val="nil"/>
                    <w:tr2bl w:val="nil"/>
                  </w:tcBorders>
                  <w:vAlign w:val="center"/>
                </w:tcPr>
                <w:p w14:paraId="1A6675C5">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420</w:t>
                  </w:r>
                </w:p>
              </w:tc>
            </w:tr>
            <w:tr w14:paraId="1D96F2E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8" w:hRule="atLeast"/>
              </w:trPr>
              <w:tc>
                <w:tcPr>
                  <w:tcW w:w="551" w:type="dxa"/>
                  <w:vMerge w:val="continue"/>
                  <w:tcBorders>
                    <w:tl2br w:val="nil"/>
                    <w:tr2bl w:val="nil"/>
                  </w:tcBorders>
                  <w:vAlign w:val="center"/>
                </w:tcPr>
                <w:p w14:paraId="1ECE2B8B">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3310896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33.861</w:t>
                  </w:r>
                  <w:r>
                    <w:rPr>
                      <w:rFonts w:hint="eastAsia"/>
                      <w:color w:val="auto"/>
                      <w:spacing w:val="-20"/>
                      <w:szCs w:val="21"/>
                      <w:highlight w:val="none"/>
                    </w:rPr>
                    <w:t>″</w:t>
                  </w:r>
                </w:p>
              </w:tc>
              <w:tc>
                <w:tcPr>
                  <w:tcW w:w="1330" w:type="dxa"/>
                  <w:tcBorders>
                    <w:tl2br w:val="nil"/>
                    <w:tr2bl w:val="nil"/>
                  </w:tcBorders>
                  <w:shd w:val="clear" w:color="auto" w:fill="auto"/>
                  <w:vAlign w:val="center"/>
                </w:tcPr>
                <w:p w14:paraId="7980EFC2">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48.759</w:t>
                  </w:r>
                  <w:r>
                    <w:rPr>
                      <w:rFonts w:hint="eastAsia"/>
                      <w:color w:val="auto"/>
                      <w:spacing w:val="-20"/>
                      <w:szCs w:val="21"/>
                      <w:highlight w:val="none"/>
                    </w:rPr>
                    <w:t>″</w:t>
                  </w:r>
                </w:p>
              </w:tc>
              <w:tc>
                <w:tcPr>
                  <w:tcW w:w="853" w:type="dxa"/>
                  <w:tcBorders>
                    <w:tl2br w:val="nil"/>
                    <w:tr2bl w:val="nil"/>
                  </w:tcBorders>
                  <w:shd w:val="clear" w:color="auto" w:fill="auto"/>
                  <w:vAlign w:val="center"/>
                </w:tcPr>
                <w:p w14:paraId="1575869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晨曦妇产医院</w:t>
                  </w:r>
                </w:p>
              </w:tc>
              <w:tc>
                <w:tcPr>
                  <w:tcW w:w="537" w:type="dxa"/>
                  <w:tcBorders>
                    <w:tl2br w:val="nil"/>
                    <w:tr2bl w:val="nil"/>
                  </w:tcBorders>
                  <w:vAlign w:val="center"/>
                </w:tcPr>
                <w:p w14:paraId="106674B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医院</w:t>
                  </w:r>
                </w:p>
              </w:tc>
              <w:tc>
                <w:tcPr>
                  <w:tcW w:w="1759" w:type="dxa"/>
                  <w:vMerge w:val="continue"/>
                  <w:tcBorders>
                    <w:tl2br w:val="nil"/>
                    <w:tr2bl w:val="nil"/>
                  </w:tcBorders>
                  <w:vAlign w:val="center"/>
                </w:tcPr>
                <w:p w14:paraId="178BDA4F">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65425481">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E</w:t>
                  </w:r>
                </w:p>
              </w:tc>
              <w:tc>
                <w:tcPr>
                  <w:tcW w:w="838" w:type="dxa"/>
                  <w:tcBorders>
                    <w:tl2br w:val="nil"/>
                    <w:tr2bl w:val="nil"/>
                  </w:tcBorders>
                  <w:vAlign w:val="center"/>
                </w:tcPr>
                <w:p w14:paraId="1057605B">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105</w:t>
                  </w:r>
                </w:p>
              </w:tc>
            </w:tr>
            <w:tr w14:paraId="0B165B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8" w:hRule="atLeast"/>
              </w:trPr>
              <w:tc>
                <w:tcPr>
                  <w:tcW w:w="551" w:type="dxa"/>
                  <w:vMerge w:val="continue"/>
                  <w:tcBorders>
                    <w:tl2br w:val="nil"/>
                    <w:tr2bl w:val="nil"/>
                  </w:tcBorders>
                  <w:vAlign w:val="center"/>
                </w:tcPr>
                <w:p w14:paraId="01D2305E">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2DA92819">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35.758</w:t>
                  </w:r>
                  <w:r>
                    <w:rPr>
                      <w:rFonts w:hint="eastAsia"/>
                      <w:color w:val="auto"/>
                      <w:spacing w:val="-20"/>
                      <w:szCs w:val="21"/>
                      <w:highlight w:val="none"/>
                    </w:rPr>
                    <w:t>″</w:t>
                  </w:r>
                </w:p>
              </w:tc>
              <w:tc>
                <w:tcPr>
                  <w:tcW w:w="1330" w:type="dxa"/>
                  <w:tcBorders>
                    <w:tl2br w:val="nil"/>
                    <w:tr2bl w:val="nil"/>
                  </w:tcBorders>
                  <w:shd w:val="clear" w:color="auto" w:fill="auto"/>
                  <w:vAlign w:val="center"/>
                </w:tcPr>
                <w:p w14:paraId="6FE9DA38">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48.969</w:t>
                  </w:r>
                  <w:r>
                    <w:rPr>
                      <w:rFonts w:hint="eastAsia"/>
                      <w:color w:val="auto"/>
                      <w:spacing w:val="-20"/>
                      <w:szCs w:val="21"/>
                      <w:highlight w:val="none"/>
                    </w:rPr>
                    <w:t>″</w:t>
                  </w:r>
                </w:p>
              </w:tc>
              <w:tc>
                <w:tcPr>
                  <w:tcW w:w="853" w:type="dxa"/>
                  <w:tcBorders>
                    <w:tl2br w:val="nil"/>
                    <w:tr2bl w:val="nil"/>
                  </w:tcBorders>
                  <w:vAlign w:val="center"/>
                </w:tcPr>
                <w:p w14:paraId="291BC296">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华仁骨科医院</w:t>
                  </w:r>
                </w:p>
              </w:tc>
              <w:tc>
                <w:tcPr>
                  <w:tcW w:w="537" w:type="dxa"/>
                  <w:tcBorders>
                    <w:tl2br w:val="nil"/>
                    <w:tr2bl w:val="nil"/>
                  </w:tcBorders>
                  <w:vAlign w:val="center"/>
                </w:tcPr>
                <w:p w14:paraId="69B3E14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医院</w:t>
                  </w:r>
                </w:p>
              </w:tc>
              <w:tc>
                <w:tcPr>
                  <w:tcW w:w="1759" w:type="dxa"/>
                  <w:vMerge w:val="continue"/>
                  <w:tcBorders>
                    <w:tl2br w:val="nil"/>
                    <w:tr2bl w:val="nil"/>
                  </w:tcBorders>
                  <w:vAlign w:val="center"/>
                </w:tcPr>
                <w:p w14:paraId="32312B3C">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4C5627A0">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E</w:t>
                  </w:r>
                </w:p>
              </w:tc>
              <w:tc>
                <w:tcPr>
                  <w:tcW w:w="847" w:type="dxa"/>
                  <w:gridSpan w:val="2"/>
                  <w:tcBorders>
                    <w:tl2br w:val="nil"/>
                    <w:tr2bl w:val="nil"/>
                  </w:tcBorders>
                  <w:vAlign w:val="center"/>
                </w:tcPr>
                <w:p w14:paraId="136D409D">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135</w:t>
                  </w:r>
                </w:p>
              </w:tc>
            </w:tr>
            <w:tr w14:paraId="3A1AFC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8" w:hRule="atLeast"/>
              </w:trPr>
              <w:tc>
                <w:tcPr>
                  <w:tcW w:w="551" w:type="dxa"/>
                  <w:vMerge w:val="continue"/>
                  <w:tcBorders>
                    <w:tl2br w:val="nil"/>
                    <w:tr2bl w:val="nil"/>
                  </w:tcBorders>
                  <w:vAlign w:val="center"/>
                </w:tcPr>
                <w:p w14:paraId="7B922D61">
                  <w:pPr>
                    <w:spacing w:line="0" w:lineRule="atLeast"/>
                    <w:jc w:val="center"/>
                    <w:rPr>
                      <w:rFonts w:hAnsi="宋体"/>
                      <w:color w:val="auto"/>
                      <w:spacing w:val="-20"/>
                      <w:szCs w:val="21"/>
                      <w:highlight w:val="none"/>
                    </w:rPr>
                  </w:pPr>
                </w:p>
              </w:tc>
              <w:tc>
                <w:tcPr>
                  <w:tcW w:w="1487" w:type="dxa"/>
                  <w:tcBorders>
                    <w:tl2br w:val="nil"/>
                    <w:tr2bl w:val="nil"/>
                  </w:tcBorders>
                  <w:shd w:val="clear" w:color="auto" w:fill="auto"/>
                  <w:vAlign w:val="center"/>
                </w:tcPr>
                <w:p w14:paraId="1848714A">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25.369</w:t>
                  </w:r>
                  <w:r>
                    <w:rPr>
                      <w:rFonts w:hint="eastAsia"/>
                      <w:color w:val="auto"/>
                      <w:spacing w:val="-20"/>
                      <w:szCs w:val="21"/>
                      <w:highlight w:val="none"/>
                    </w:rPr>
                    <w:t>″</w:t>
                  </w:r>
                </w:p>
              </w:tc>
              <w:tc>
                <w:tcPr>
                  <w:tcW w:w="1330" w:type="dxa"/>
                  <w:tcBorders>
                    <w:tl2br w:val="nil"/>
                    <w:tr2bl w:val="nil"/>
                  </w:tcBorders>
                  <w:shd w:val="clear" w:color="auto" w:fill="auto"/>
                  <w:vAlign w:val="center"/>
                </w:tcPr>
                <w:p w14:paraId="06A5945D">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43.999</w:t>
                  </w:r>
                  <w:r>
                    <w:rPr>
                      <w:rFonts w:hint="eastAsia"/>
                      <w:color w:val="auto"/>
                      <w:spacing w:val="-20"/>
                      <w:szCs w:val="21"/>
                      <w:highlight w:val="none"/>
                    </w:rPr>
                    <w:t>″</w:t>
                  </w:r>
                </w:p>
              </w:tc>
              <w:tc>
                <w:tcPr>
                  <w:tcW w:w="853" w:type="dxa"/>
                  <w:tcBorders>
                    <w:tl2br w:val="nil"/>
                    <w:tr2bl w:val="nil"/>
                  </w:tcBorders>
                  <w:vAlign w:val="center"/>
                </w:tcPr>
                <w:p w14:paraId="2C37B2AE">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迁安镇卫生院口腔医院</w:t>
                  </w:r>
                </w:p>
              </w:tc>
              <w:tc>
                <w:tcPr>
                  <w:tcW w:w="537" w:type="dxa"/>
                  <w:tcBorders>
                    <w:tl2br w:val="nil"/>
                    <w:tr2bl w:val="nil"/>
                  </w:tcBorders>
                  <w:vAlign w:val="center"/>
                </w:tcPr>
                <w:p w14:paraId="04436A45">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医院</w:t>
                  </w:r>
                </w:p>
              </w:tc>
              <w:tc>
                <w:tcPr>
                  <w:tcW w:w="1759" w:type="dxa"/>
                  <w:vMerge w:val="continue"/>
                  <w:tcBorders>
                    <w:tl2br w:val="nil"/>
                    <w:tr2bl w:val="nil"/>
                  </w:tcBorders>
                  <w:vAlign w:val="center"/>
                </w:tcPr>
                <w:p w14:paraId="6FFABD27">
                  <w:pPr>
                    <w:spacing w:line="0" w:lineRule="atLeast"/>
                    <w:jc w:val="center"/>
                    <w:rPr>
                      <w:rFonts w:hAnsi="宋体"/>
                      <w:color w:val="auto"/>
                      <w:spacing w:val="-20"/>
                      <w:szCs w:val="21"/>
                      <w:highlight w:val="none"/>
                    </w:rPr>
                  </w:pPr>
                </w:p>
              </w:tc>
              <w:tc>
                <w:tcPr>
                  <w:tcW w:w="688" w:type="dxa"/>
                  <w:tcBorders>
                    <w:tl2br w:val="nil"/>
                    <w:tr2bl w:val="nil"/>
                  </w:tcBorders>
                  <w:vAlign w:val="center"/>
                </w:tcPr>
                <w:p w14:paraId="75B8066F">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SW</w:t>
                  </w:r>
                </w:p>
              </w:tc>
              <w:tc>
                <w:tcPr>
                  <w:tcW w:w="847" w:type="dxa"/>
                  <w:gridSpan w:val="2"/>
                  <w:tcBorders>
                    <w:tl2br w:val="nil"/>
                    <w:tr2bl w:val="nil"/>
                  </w:tcBorders>
                  <w:vAlign w:val="center"/>
                </w:tcPr>
                <w:p w14:paraId="22C3F064">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130</w:t>
                  </w:r>
                </w:p>
              </w:tc>
            </w:tr>
          </w:tbl>
          <w:p w14:paraId="78BA2D4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b/>
                <w:color w:val="auto"/>
                <w:highlight w:val="none"/>
              </w:rPr>
            </w:pPr>
            <w:r>
              <w:rPr>
                <w:rFonts w:hint="eastAsia"/>
                <w:b/>
                <w:color w:val="auto"/>
                <w:highlight w:val="none"/>
                <w:lang w:val="en-US" w:eastAsia="zh-CN"/>
              </w:rPr>
              <w:t>续</w:t>
            </w:r>
            <w:r>
              <w:rPr>
                <w:b/>
                <w:color w:val="auto"/>
                <w:highlight w:val="none"/>
              </w:rPr>
              <w:t>表</w:t>
            </w:r>
            <w:r>
              <w:rPr>
                <w:rFonts w:hint="eastAsia"/>
                <w:b/>
                <w:color w:val="auto"/>
                <w:highlight w:val="none"/>
                <w:lang w:val="en-US" w:eastAsia="zh-CN"/>
              </w:rPr>
              <w:t>14</w:t>
            </w:r>
            <w:r>
              <w:rPr>
                <w:rFonts w:hint="eastAsia"/>
                <w:b/>
                <w:color w:val="auto"/>
                <w:highlight w:val="none"/>
              </w:rPr>
              <w:t xml:space="preserve"> 环</w:t>
            </w:r>
            <w:r>
              <w:rPr>
                <w:b/>
                <w:color w:val="auto"/>
                <w:highlight w:val="none"/>
              </w:rPr>
              <w:t>境保护对象及保护目标</w:t>
            </w:r>
          </w:p>
          <w:tbl>
            <w:tblPr>
              <w:tblStyle w:val="26"/>
              <w:tblW w:w="8052"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51"/>
              <w:gridCol w:w="1487"/>
              <w:gridCol w:w="1330"/>
              <w:gridCol w:w="853"/>
              <w:gridCol w:w="537"/>
              <w:gridCol w:w="1759"/>
              <w:gridCol w:w="688"/>
              <w:gridCol w:w="838"/>
              <w:gridCol w:w="9"/>
            </w:tblGrid>
            <w:tr w14:paraId="7B1AFC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52" w:hRule="atLeast"/>
              </w:trPr>
              <w:tc>
                <w:tcPr>
                  <w:tcW w:w="551" w:type="dxa"/>
                  <w:vMerge w:val="restart"/>
                  <w:tcBorders>
                    <w:tl2br w:val="nil"/>
                    <w:tr2bl w:val="nil"/>
                  </w:tcBorders>
                  <w:vAlign w:val="center"/>
                </w:tcPr>
                <w:p w14:paraId="5458008E">
                  <w:pPr>
                    <w:spacing w:line="0" w:lineRule="atLeast"/>
                    <w:jc w:val="center"/>
                    <w:rPr>
                      <w:color w:val="auto"/>
                      <w:spacing w:val="-20"/>
                      <w:szCs w:val="21"/>
                      <w:highlight w:val="none"/>
                    </w:rPr>
                  </w:pPr>
                  <w:r>
                    <w:rPr>
                      <w:rFonts w:hint="eastAsia"/>
                      <w:color w:val="auto"/>
                      <w:spacing w:val="-20"/>
                      <w:szCs w:val="21"/>
                      <w:highlight w:val="none"/>
                    </w:rPr>
                    <w:t>名称</w:t>
                  </w:r>
                </w:p>
              </w:tc>
              <w:tc>
                <w:tcPr>
                  <w:tcW w:w="2817" w:type="dxa"/>
                  <w:gridSpan w:val="2"/>
                  <w:tcBorders>
                    <w:tl2br w:val="nil"/>
                    <w:tr2bl w:val="nil"/>
                  </w:tcBorders>
                  <w:vAlign w:val="center"/>
                </w:tcPr>
                <w:p w14:paraId="436947E4">
                  <w:pPr>
                    <w:spacing w:line="0" w:lineRule="atLeast"/>
                    <w:jc w:val="center"/>
                    <w:rPr>
                      <w:color w:val="auto"/>
                      <w:spacing w:val="-20"/>
                      <w:szCs w:val="21"/>
                      <w:highlight w:val="none"/>
                    </w:rPr>
                  </w:pPr>
                  <w:r>
                    <w:rPr>
                      <w:rFonts w:hint="eastAsia"/>
                      <w:color w:val="auto"/>
                      <w:spacing w:val="-20"/>
                      <w:szCs w:val="21"/>
                      <w:highlight w:val="none"/>
                    </w:rPr>
                    <w:t>坐标</w:t>
                  </w:r>
                </w:p>
              </w:tc>
              <w:tc>
                <w:tcPr>
                  <w:tcW w:w="853" w:type="dxa"/>
                  <w:vMerge w:val="restart"/>
                  <w:tcBorders>
                    <w:tl2br w:val="nil"/>
                    <w:tr2bl w:val="nil"/>
                  </w:tcBorders>
                  <w:vAlign w:val="center"/>
                </w:tcPr>
                <w:p w14:paraId="1202D9B6">
                  <w:pPr>
                    <w:spacing w:line="0" w:lineRule="atLeast"/>
                    <w:jc w:val="center"/>
                    <w:rPr>
                      <w:color w:val="auto"/>
                      <w:spacing w:val="-20"/>
                      <w:szCs w:val="21"/>
                      <w:highlight w:val="none"/>
                    </w:rPr>
                  </w:pPr>
                  <w:r>
                    <w:rPr>
                      <w:rFonts w:hint="eastAsia"/>
                      <w:color w:val="auto"/>
                      <w:spacing w:val="-20"/>
                      <w:szCs w:val="21"/>
                      <w:highlight w:val="none"/>
                    </w:rPr>
                    <w:t>保护对象</w:t>
                  </w:r>
                </w:p>
              </w:tc>
              <w:tc>
                <w:tcPr>
                  <w:tcW w:w="537" w:type="dxa"/>
                  <w:vMerge w:val="restart"/>
                  <w:tcBorders>
                    <w:tl2br w:val="nil"/>
                    <w:tr2bl w:val="nil"/>
                  </w:tcBorders>
                  <w:vAlign w:val="center"/>
                </w:tcPr>
                <w:p w14:paraId="4515F9F2">
                  <w:pPr>
                    <w:spacing w:line="0" w:lineRule="atLeast"/>
                    <w:jc w:val="center"/>
                    <w:rPr>
                      <w:rFonts w:hint="eastAsia"/>
                      <w:color w:val="auto"/>
                      <w:spacing w:val="-20"/>
                      <w:szCs w:val="21"/>
                      <w:highlight w:val="none"/>
                    </w:rPr>
                  </w:pPr>
                  <w:r>
                    <w:rPr>
                      <w:rFonts w:hint="eastAsia"/>
                      <w:color w:val="auto"/>
                      <w:spacing w:val="-20"/>
                      <w:szCs w:val="21"/>
                      <w:highlight w:val="none"/>
                    </w:rPr>
                    <w:t>保护</w:t>
                  </w:r>
                </w:p>
                <w:p w14:paraId="7C070339">
                  <w:pPr>
                    <w:spacing w:line="0" w:lineRule="atLeast"/>
                    <w:jc w:val="center"/>
                    <w:rPr>
                      <w:rFonts w:hint="default" w:eastAsia="宋体"/>
                      <w:color w:val="auto"/>
                      <w:spacing w:val="-20"/>
                      <w:szCs w:val="21"/>
                      <w:highlight w:val="none"/>
                      <w:lang w:val="en-US" w:eastAsia="zh-CN"/>
                    </w:rPr>
                  </w:pPr>
                  <w:r>
                    <w:rPr>
                      <w:rFonts w:hint="eastAsia"/>
                      <w:color w:val="auto"/>
                      <w:spacing w:val="-20"/>
                      <w:szCs w:val="21"/>
                      <w:highlight w:val="none"/>
                    </w:rPr>
                    <w:t>内容</w:t>
                  </w:r>
                </w:p>
              </w:tc>
              <w:tc>
                <w:tcPr>
                  <w:tcW w:w="1759" w:type="dxa"/>
                  <w:vMerge w:val="restart"/>
                  <w:tcBorders>
                    <w:tl2br w:val="nil"/>
                    <w:tr2bl w:val="nil"/>
                  </w:tcBorders>
                  <w:vAlign w:val="center"/>
                </w:tcPr>
                <w:p w14:paraId="7402C1FE">
                  <w:pPr>
                    <w:spacing w:line="0" w:lineRule="atLeast"/>
                    <w:jc w:val="center"/>
                    <w:rPr>
                      <w:color w:val="auto"/>
                      <w:spacing w:val="-20"/>
                      <w:szCs w:val="21"/>
                      <w:highlight w:val="none"/>
                    </w:rPr>
                  </w:pPr>
                  <w:r>
                    <w:rPr>
                      <w:rFonts w:hint="eastAsia"/>
                      <w:color w:val="auto"/>
                      <w:spacing w:val="-20"/>
                      <w:szCs w:val="21"/>
                      <w:highlight w:val="none"/>
                    </w:rPr>
                    <w:t>环境功能区</w:t>
                  </w:r>
                </w:p>
              </w:tc>
              <w:tc>
                <w:tcPr>
                  <w:tcW w:w="688" w:type="dxa"/>
                  <w:vMerge w:val="restart"/>
                  <w:tcBorders>
                    <w:tl2br w:val="nil"/>
                    <w:tr2bl w:val="nil"/>
                  </w:tcBorders>
                  <w:vAlign w:val="center"/>
                </w:tcPr>
                <w:p w14:paraId="3412D3FC">
                  <w:pPr>
                    <w:spacing w:line="0" w:lineRule="atLeast"/>
                    <w:jc w:val="center"/>
                    <w:rPr>
                      <w:color w:val="auto"/>
                      <w:spacing w:val="-20"/>
                      <w:szCs w:val="21"/>
                      <w:highlight w:val="none"/>
                    </w:rPr>
                  </w:pPr>
                  <w:r>
                    <w:rPr>
                      <w:rFonts w:hint="eastAsia"/>
                      <w:color w:val="auto"/>
                      <w:spacing w:val="-20"/>
                      <w:szCs w:val="21"/>
                      <w:highlight w:val="none"/>
                    </w:rPr>
                    <w:t>相对项目方位</w:t>
                  </w:r>
                </w:p>
              </w:tc>
              <w:tc>
                <w:tcPr>
                  <w:tcW w:w="838" w:type="dxa"/>
                  <w:vMerge w:val="restart"/>
                  <w:tcBorders>
                    <w:tl2br w:val="nil"/>
                    <w:tr2bl w:val="nil"/>
                  </w:tcBorders>
                  <w:vAlign w:val="center"/>
                </w:tcPr>
                <w:p w14:paraId="5E3DBAA5">
                  <w:pPr>
                    <w:spacing w:line="0" w:lineRule="atLeast"/>
                    <w:jc w:val="center"/>
                    <w:rPr>
                      <w:color w:val="auto"/>
                      <w:spacing w:val="-20"/>
                      <w:szCs w:val="21"/>
                      <w:highlight w:val="none"/>
                    </w:rPr>
                  </w:pPr>
                  <w:r>
                    <w:rPr>
                      <w:rFonts w:hint="eastAsia"/>
                      <w:color w:val="auto"/>
                      <w:spacing w:val="-20"/>
                      <w:szCs w:val="21"/>
                      <w:highlight w:val="none"/>
                    </w:rPr>
                    <w:t>相对项目距离/m</w:t>
                  </w:r>
                </w:p>
              </w:tc>
            </w:tr>
            <w:tr w14:paraId="7554DE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288" w:hRule="atLeast"/>
              </w:trPr>
              <w:tc>
                <w:tcPr>
                  <w:tcW w:w="551" w:type="dxa"/>
                  <w:vMerge w:val="continue"/>
                  <w:tcBorders>
                    <w:tl2br w:val="nil"/>
                    <w:tr2bl w:val="nil"/>
                  </w:tcBorders>
                  <w:vAlign w:val="center"/>
                </w:tcPr>
                <w:p w14:paraId="0D96CAE2">
                  <w:pPr>
                    <w:spacing w:line="0" w:lineRule="atLeast"/>
                    <w:jc w:val="center"/>
                    <w:rPr>
                      <w:color w:val="auto"/>
                      <w:spacing w:val="-20"/>
                      <w:szCs w:val="21"/>
                      <w:highlight w:val="none"/>
                    </w:rPr>
                  </w:pPr>
                </w:p>
              </w:tc>
              <w:tc>
                <w:tcPr>
                  <w:tcW w:w="1487" w:type="dxa"/>
                  <w:tcBorders>
                    <w:tl2br w:val="nil"/>
                    <w:tr2bl w:val="nil"/>
                  </w:tcBorders>
                  <w:vAlign w:val="center"/>
                </w:tcPr>
                <w:p w14:paraId="3FCAFF41">
                  <w:pPr>
                    <w:spacing w:line="0" w:lineRule="atLeast"/>
                    <w:jc w:val="center"/>
                    <w:rPr>
                      <w:color w:val="auto"/>
                      <w:spacing w:val="-20"/>
                      <w:szCs w:val="21"/>
                      <w:highlight w:val="none"/>
                    </w:rPr>
                  </w:pPr>
                  <w:r>
                    <w:rPr>
                      <w:rFonts w:hint="eastAsia"/>
                      <w:color w:val="auto"/>
                      <w:spacing w:val="-20"/>
                      <w:szCs w:val="21"/>
                      <w:highlight w:val="none"/>
                    </w:rPr>
                    <w:t>X</w:t>
                  </w:r>
                </w:p>
              </w:tc>
              <w:tc>
                <w:tcPr>
                  <w:tcW w:w="1330" w:type="dxa"/>
                  <w:tcBorders>
                    <w:tl2br w:val="nil"/>
                    <w:tr2bl w:val="nil"/>
                  </w:tcBorders>
                  <w:vAlign w:val="center"/>
                </w:tcPr>
                <w:p w14:paraId="475FF9C6">
                  <w:pPr>
                    <w:spacing w:line="0" w:lineRule="atLeast"/>
                    <w:jc w:val="center"/>
                    <w:rPr>
                      <w:color w:val="auto"/>
                      <w:spacing w:val="-20"/>
                      <w:szCs w:val="21"/>
                      <w:highlight w:val="none"/>
                    </w:rPr>
                  </w:pPr>
                  <w:r>
                    <w:rPr>
                      <w:rFonts w:hint="eastAsia"/>
                      <w:color w:val="auto"/>
                      <w:spacing w:val="-20"/>
                      <w:szCs w:val="21"/>
                      <w:highlight w:val="none"/>
                    </w:rPr>
                    <w:t>Y</w:t>
                  </w:r>
                </w:p>
              </w:tc>
              <w:tc>
                <w:tcPr>
                  <w:tcW w:w="853" w:type="dxa"/>
                  <w:vMerge w:val="continue"/>
                  <w:tcBorders>
                    <w:tl2br w:val="nil"/>
                    <w:tr2bl w:val="nil"/>
                  </w:tcBorders>
                  <w:vAlign w:val="center"/>
                </w:tcPr>
                <w:p w14:paraId="69A026AE">
                  <w:pPr>
                    <w:spacing w:line="0" w:lineRule="atLeast"/>
                    <w:jc w:val="center"/>
                    <w:rPr>
                      <w:color w:val="auto"/>
                      <w:spacing w:val="-20"/>
                      <w:szCs w:val="21"/>
                      <w:highlight w:val="none"/>
                    </w:rPr>
                  </w:pPr>
                </w:p>
              </w:tc>
              <w:tc>
                <w:tcPr>
                  <w:tcW w:w="537" w:type="dxa"/>
                  <w:vMerge w:val="continue"/>
                  <w:tcBorders>
                    <w:tl2br w:val="nil"/>
                    <w:tr2bl w:val="nil"/>
                  </w:tcBorders>
                  <w:vAlign w:val="center"/>
                </w:tcPr>
                <w:p w14:paraId="22FF8EB3">
                  <w:pPr>
                    <w:spacing w:line="0" w:lineRule="atLeast"/>
                    <w:jc w:val="center"/>
                    <w:rPr>
                      <w:color w:val="auto"/>
                      <w:spacing w:val="-20"/>
                      <w:szCs w:val="21"/>
                      <w:highlight w:val="none"/>
                    </w:rPr>
                  </w:pPr>
                </w:p>
              </w:tc>
              <w:tc>
                <w:tcPr>
                  <w:tcW w:w="1759" w:type="dxa"/>
                  <w:vMerge w:val="continue"/>
                  <w:tcBorders>
                    <w:tl2br w:val="nil"/>
                    <w:tr2bl w:val="nil"/>
                  </w:tcBorders>
                  <w:vAlign w:val="center"/>
                </w:tcPr>
                <w:p w14:paraId="1E83C1AA">
                  <w:pPr>
                    <w:spacing w:line="0" w:lineRule="atLeast"/>
                    <w:jc w:val="center"/>
                    <w:rPr>
                      <w:color w:val="auto"/>
                      <w:spacing w:val="-20"/>
                      <w:szCs w:val="21"/>
                      <w:highlight w:val="none"/>
                    </w:rPr>
                  </w:pPr>
                </w:p>
              </w:tc>
              <w:tc>
                <w:tcPr>
                  <w:tcW w:w="688" w:type="dxa"/>
                  <w:vMerge w:val="continue"/>
                  <w:tcBorders>
                    <w:tl2br w:val="nil"/>
                    <w:tr2bl w:val="nil"/>
                  </w:tcBorders>
                  <w:vAlign w:val="center"/>
                </w:tcPr>
                <w:p w14:paraId="6180A86B">
                  <w:pPr>
                    <w:spacing w:line="0" w:lineRule="atLeast"/>
                    <w:jc w:val="center"/>
                    <w:rPr>
                      <w:color w:val="auto"/>
                      <w:spacing w:val="-20"/>
                      <w:szCs w:val="21"/>
                      <w:highlight w:val="none"/>
                    </w:rPr>
                  </w:pPr>
                </w:p>
              </w:tc>
              <w:tc>
                <w:tcPr>
                  <w:tcW w:w="838" w:type="dxa"/>
                  <w:vMerge w:val="continue"/>
                  <w:tcBorders>
                    <w:tl2br w:val="nil"/>
                    <w:tr2bl w:val="nil"/>
                  </w:tcBorders>
                  <w:vAlign w:val="center"/>
                </w:tcPr>
                <w:p w14:paraId="04913AE7">
                  <w:pPr>
                    <w:spacing w:line="0" w:lineRule="atLeast"/>
                    <w:jc w:val="center"/>
                    <w:rPr>
                      <w:color w:val="auto"/>
                      <w:spacing w:val="-20"/>
                      <w:szCs w:val="21"/>
                      <w:highlight w:val="none"/>
                    </w:rPr>
                  </w:pPr>
                </w:p>
              </w:tc>
            </w:tr>
            <w:tr w14:paraId="1DFF772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8" w:hRule="atLeast"/>
              </w:trPr>
              <w:tc>
                <w:tcPr>
                  <w:tcW w:w="551" w:type="dxa"/>
                  <w:tcBorders>
                    <w:tl2br w:val="nil"/>
                    <w:tr2bl w:val="nil"/>
                  </w:tcBorders>
                  <w:vAlign w:val="center"/>
                </w:tcPr>
                <w:p w14:paraId="3E13C88F">
                  <w:pPr>
                    <w:spacing w:line="0" w:lineRule="atLeast"/>
                    <w:jc w:val="center"/>
                    <w:rPr>
                      <w:rFonts w:hAnsi="宋体"/>
                      <w:color w:val="auto"/>
                      <w:spacing w:val="-20"/>
                      <w:szCs w:val="21"/>
                      <w:highlight w:val="none"/>
                    </w:rPr>
                  </w:pPr>
                  <w:r>
                    <w:rPr>
                      <w:rFonts w:hAnsi="宋体"/>
                      <w:color w:val="auto"/>
                      <w:spacing w:val="-20"/>
                      <w:szCs w:val="21"/>
                      <w:highlight w:val="none"/>
                    </w:rPr>
                    <w:t>环境空气</w:t>
                  </w:r>
                </w:p>
              </w:tc>
              <w:tc>
                <w:tcPr>
                  <w:tcW w:w="1487" w:type="dxa"/>
                  <w:tcBorders>
                    <w:tl2br w:val="nil"/>
                    <w:tr2bl w:val="nil"/>
                  </w:tcBorders>
                  <w:shd w:val="clear" w:color="auto" w:fill="auto"/>
                  <w:vAlign w:val="center"/>
                </w:tcPr>
                <w:p w14:paraId="72C9F4D6">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118°</w:t>
                  </w:r>
                  <w:r>
                    <w:rPr>
                      <w:rFonts w:hint="eastAsia"/>
                      <w:color w:val="auto"/>
                      <w:spacing w:val="-20"/>
                      <w:szCs w:val="21"/>
                      <w:highlight w:val="none"/>
                      <w:lang w:val="en-US" w:eastAsia="zh-CN"/>
                    </w:rPr>
                    <w:t>41</w:t>
                  </w:r>
                  <w:r>
                    <w:rPr>
                      <w:rFonts w:hint="eastAsia"/>
                      <w:color w:val="auto"/>
                      <w:spacing w:val="-20"/>
                      <w:szCs w:val="21"/>
                      <w:highlight w:val="none"/>
                    </w:rPr>
                    <w:t>′</w:t>
                  </w:r>
                  <w:r>
                    <w:rPr>
                      <w:rFonts w:hint="eastAsia"/>
                      <w:color w:val="auto"/>
                      <w:spacing w:val="-20"/>
                      <w:szCs w:val="21"/>
                      <w:highlight w:val="none"/>
                      <w:lang w:val="en-US" w:eastAsia="zh-CN"/>
                    </w:rPr>
                    <w:t>17.050</w:t>
                  </w:r>
                  <w:r>
                    <w:rPr>
                      <w:rFonts w:hint="eastAsia"/>
                      <w:color w:val="auto"/>
                      <w:spacing w:val="-20"/>
                      <w:szCs w:val="21"/>
                      <w:highlight w:val="none"/>
                    </w:rPr>
                    <w:t>″</w:t>
                  </w:r>
                </w:p>
              </w:tc>
              <w:tc>
                <w:tcPr>
                  <w:tcW w:w="1330" w:type="dxa"/>
                  <w:tcBorders>
                    <w:tl2br w:val="nil"/>
                    <w:tr2bl w:val="nil"/>
                  </w:tcBorders>
                  <w:shd w:val="clear" w:color="auto" w:fill="auto"/>
                  <w:vAlign w:val="center"/>
                </w:tcPr>
                <w:p w14:paraId="228F9F2B">
                  <w:pPr>
                    <w:spacing w:line="0" w:lineRule="atLeast"/>
                    <w:jc w:val="center"/>
                    <w:rPr>
                      <w:rFonts w:hint="eastAsia"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lang w:val="en-US" w:eastAsia="zh-CN"/>
                    </w:rPr>
                    <w:t>40</w:t>
                  </w:r>
                  <w:r>
                    <w:rPr>
                      <w:rFonts w:hint="eastAsia"/>
                      <w:color w:val="auto"/>
                      <w:spacing w:val="-20"/>
                      <w:szCs w:val="21"/>
                      <w:highlight w:val="none"/>
                    </w:rPr>
                    <w:t>°</w:t>
                  </w:r>
                  <w:r>
                    <w:rPr>
                      <w:rFonts w:hint="eastAsia"/>
                      <w:color w:val="auto"/>
                      <w:spacing w:val="-20"/>
                      <w:szCs w:val="21"/>
                      <w:highlight w:val="none"/>
                      <w:lang w:val="en-US" w:eastAsia="zh-CN"/>
                    </w:rPr>
                    <w:t>0</w:t>
                  </w:r>
                  <w:r>
                    <w:rPr>
                      <w:rFonts w:hint="eastAsia"/>
                      <w:color w:val="auto"/>
                      <w:spacing w:val="-20"/>
                      <w:szCs w:val="21"/>
                      <w:highlight w:val="none"/>
                    </w:rPr>
                    <w:t>′</w:t>
                  </w:r>
                  <w:r>
                    <w:rPr>
                      <w:rFonts w:hint="eastAsia"/>
                      <w:color w:val="auto"/>
                      <w:spacing w:val="-20"/>
                      <w:szCs w:val="21"/>
                      <w:highlight w:val="none"/>
                      <w:lang w:val="en-US" w:eastAsia="zh-CN"/>
                    </w:rPr>
                    <w:t>29.134</w:t>
                  </w:r>
                  <w:r>
                    <w:rPr>
                      <w:rFonts w:hint="eastAsia"/>
                      <w:color w:val="auto"/>
                      <w:spacing w:val="-20"/>
                      <w:szCs w:val="21"/>
                      <w:highlight w:val="none"/>
                    </w:rPr>
                    <w:t>″</w:t>
                  </w:r>
                </w:p>
              </w:tc>
              <w:tc>
                <w:tcPr>
                  <w:tcW w:w="853" w:type="dxa"/>
                  <w:tcBorders>
                    <w:tl2br w:val="nil"/>
                    <w:tr2bl w:val="nil"/>
                  </w:tcBorders>
                  <w:vAlign w:val="center"/>
                </w:tcPr>
                <w:p w14:paraId="498DA52C">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迁安市第二中学</w:t>
                  </w:r>
                </w:p>
              </w:tc>
              <w:tc>
                <w:tcPr>
                  <w:tcW w:w="537" w:type="dxa"/>
                  <w:tcBorders>
                    <w:tl2br w:val="nil"/>
                    <w:tr2bl w:val="nil"/>
                  </w:tcBorders>
                  <w:vAlign w:val="center"/>
                </w:tcPr>
                <w:p w14:paraId="41462FFB">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教育</w:t>
                  </w:r>
                </w:p>
              </w:tc>
              <w:tc>
                <w:tcPr>
                  <w:tcW w:w="1759" w:type="dxa"/>
                  <w:tcBorders>
                    <w:tl2br w:val="nil"/>
                    <w:tr2bl w:val="nil"/>
                  </w:tcBorders>
                  <w:vAlign w:val="center"/>
                </w:tcPr>
                <w:p w14:paraId="681ED084">
                  <w:pPr>
                    <w:spacing w:line="0" w:lineRule="atLeast"/>
                    <w:jc w:val="center"/>
                    <w:rPr>
                      <w:rFonts w:hAnsi="宋体"/>
                      <w:color w:val="auto"/>
                      <w:spacing w:val="-20"/>
                      <w:szCs w:val="21"/>
                      <w:highlight w:val="none"/>
                    </w:rPr>
                  </w:pPr>
                  <w:r>
                    <w:rPr>
                      <w:rFonts w:hAnsi="宋体"/>
                      <w:color w:val="auto"/>
                      <w:spacing w:val="-20"/>
                      <w:szCs w:val="21"/>
                      <w:highlight w:val="none"/>
                    </w:rPr>
                    <w:t>《环境空气质量标准》</w:t>
                  </w:r>
                </w:p>
                <w:p w14:paraId="6876CA68">
                  <w:pPr>
                    <w:spacing w:line="0" w:lineRule="atLeast"/>
                    <w:jc w:val="center"/>
                    <w:rPr>
                      <w:rFonts w:hAnsi="宋体"/>
                      <w:color w:val="auto"/>
                      <w:spacing w:val="-20"/>
                      <w:szCs w:val="21"/>
                      <w:highlight w:val="none"/>
                    </w:rPr>
                  </w:pPr>
                  <w:r>
                    <w:rPr>
                      <w:rFonts w:hAnsi="宋体"/>
                      <w:color w:val="auto"/>
                      <w:spacing w:val="-20"/>
                      <w:szCs w:val="21"/>
                      <w:highlight w:val="none"/>
                    </w:rPr>
                    <w:t>(GB3095</w:t>
                  </w:r>
                  <w:r>
                    <w:rPr>
                      <w:rFonts w:hint="eastAsia" w:hAnsi="宋体"/>
                      <w:color w:val="auto"/>
                      <w:spacing w:val="-20"/>
                      <w:szCs w:val="21"/>
                      <w:highlight w:val="none"/>
                      <w:lang w:val="en-US" w:eastAsia="zh-CN"/>
                    </w:rPr>
                    <w:t>-</w:t>
                  </w:r>
                  <w:r>
                    <w:rPr>
                      <w:rFonts w:hAnsi="宋体"/>
                      <w:color w:val="auto"/>
                      <w:spacing w:val="-20"/>
                      <w:szCs w:val="21"/>
                      <w:highlight w:val="none"/>
                    </w:rPr>
                    <w:t>2012)二级标准</w:t>
                  </w:r>
                  <w:r>
                    <w:rPr>
                      <w:rFonts w:hint="eastAsia" w:hAnsi="宋体"/>
                      <w:color w:val="auto"/>
                      <w:spacing w:val="-20"/>
                      <w:szCs w:val="21"/>
                      <w:highlight w:val="none"/>
                    </w:rPr>
                    <w:t>及其修改单</w:t>
                  </w:r>
                </w:p>
              </w:tc>
              <w:tc>
                <w:tcPr>
                  <w:tcW w:w="688" w:type="dxa"/>
                  <w:tcBorders>
                    <w:tl2br w:val="nil"/>
                    <w:tr2bl w:val="nil"/>
                  </w:tcBorders>
                  <w:vAlign w:val="center"/>
                </w:tcPr>
                <w:p w14:paraId="77510F72">
                  <w:pPr>
                    <w:spacing w:line="0" w:lineRule="atLeast"/>
                    <w:jc w:val="center"/>
                    <w:rPr>
                      <w:rFonts w:hint="eastAsia"/>
                      <w:color w:val="auto"/>
                      <w:spacing w:val="-20"/>
                      <w:szCs w:val="21"/>
                      <w:highlight w:val="none"/>
                      <w:lang w:val="en-US" w:eastAsia="zh-CN"/>
                    </w:rPr>
                  </w:pPr>
                  <w:r>
                    <w:rPr>
                      <w:rFonts w:hint="eastAsia"/>
                      <w:color w:val="auto"/>
                      <w:spacing w:val="-20"/>
                      <w:szCs w:val="21"/>
                      <w:highlight w:val="none"/>
                      <w:lang w:val="en-US" w:eastAsia="zh-CN"/>
                    </w:rPr>
                    <w:t>SW</w:t>
                  </w:r>
                </w:p>
              </w:tc>
              <w:tc>
                <w:tcPr>
                  <w:tcW w:w="847" w:type="dxa"/>
                  <w:gridSpan w:val="2"/>
                  <w:tcBorders>
                    <w:tl2br w:val="nil"/>
                    <w:tr2bl w:val="nil"/>
                  </w:tcBorders>
                  <w:vAlign w:val="center"/>
                </w:tcPr>
                <w:p w14:paraId="2FD643EA">
                  <w:pPr>
                    <w:spacing w:line="0" w:lineRule="atLeast"/>
                    <w:jc w:val="center"/>
                    <w:rPr>
                      <w:rFonts w:hint="default"/>
                      <w:color w:val="auto"/>
                      <w:spacing w:val="-20"/>
                      <w:szCs w:val="21"/>
                      <w:highlight w:val="none"/>
                      <w:lang w:val="en-US" w:eastAsia="zh-CN"/>
                    </w:rPr>
                  </w:pPr>
                  <w:r>
                    <w:rPr>
                      <w:rFonts w:hint="eastAsia"/>
                      <w:color w:val="auto"/>
                      <w:spacing w:val="-20"/>
                      <w:szCs w:val="21"/>
                      <w:highlight w:val="none"/>
                      <w:lang w:val="en-US" w:eastAsia="zh-CN"/>
                    </w:rPr>
                    <w:t>470</w:t>
                  </w:r>
                </w:p>
              </w:tc>
            </w:tr>
            <w:tr w14:paraId="3BEC4E2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7" w:hRule="atLeast"/>
              </w:trPr>
              <w:tc>
                <w:tcPr>
                  <w:tcW w:w="551" w:type="dxa"/>
                  <w:tcBorders>
                    <w:tl2br w:val="nil"/>
                    <w:tr2bl w:val="nil"/>
                  </w:tcBorders>
                  <w:vAlign w:val="center"/>
                </w:tcPr>
                <w:p w14:paraId="515D408A">
                  <w:pPr>
                    <w:spacing w:line="0" w:lineRule="atLeast"/>
                    <w:jc w:val="center"/>
                    <w:rPr>
                      <w:rFonts w:hAnsi="宋体"/>
                      <w:color w:val="auto"/>
                      <w:spacing w:val="-20"/>
                      <w:szCs w:val="21"/>
                      <w:highlight w:val="none"/>
                    </w:rPr>
                  </w:pPr>
                  <w:r>
                    <w:rPr>
                      <w:rFonts w:hAnsi="宋体"/>
                      <w:color w:val="auto"/>
                      <w:spacing w:val="-20"/>
                      <w:szCs w:val="21"/>
                      <w:highlight w:val="none"/>
                    </w:rPr>
                    <w:t>噪声</w:t>
                  </w:r>
                </w:p>
              </w:tc>
              <w:tc>
                <w:tcPr>
                  <w:tcW w:w="1487" w:type="dxa"/>
                  <w:tcBorders>
                    <w:tl2br w:val="nil"/>
                    <w:tr2bl w:val="nil"/>
                  </w:tcBorders>
                  <w:vAlign w:val="center"/>
                </w:tcPr>
                <w:p w14:paraId="0E9027DF">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1330" w:type="dxa"/>
                  <w:tcBorders>
                    <w:tl2br w:val="nil"/>
                    <w:tr2bl w:val="nil"/>
                  </w:tcBorders>
                  <w:vAlign w:val="center"/>
                </w:tcPr>
                <w:p w14:paraId="6B6EC68F">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853" w:type="dxa"/>
                  <w:tcBorders>
                    <w:tl2br w:val="nil"/>
                    <w:tr2bl w:val="nil"/>
                  </w:tcBorders>
                  <w:vAlign w:val="center"/>
                </w:tcPr>
                <w:p w14:paraId="347808C3">
                  <w:pPr>
                    <w:spacing w:line="0" w:lineRule="atLeast"/>
                    <w:jc w:val="center"/>
                    <w:rPr>
                      <w:color w:val="auto"/>
                      <w:spacing w:val="-20"/>
                      <w:szCs w:val="21"/>
                      <w:highlight w:val="none"/>
                    </w:rPr>
                  </w:pPr>
                  <w:r>
                    <w:rPr>
                      <w:rFonts w:hint="eastAsia"/>
                      <w:color w:val="auto"/>
                      <w:spacing w:val="-20"/>
                      <w:szCs w:val="21"/>
                      <w:highlight w:val="none"/>
                    </w:rPr>
                    <w:t>--</w:t>
                  </w:r>
                </w:p>
              </w:tc>
              <w:tc>
                <w:tcPr>
                  <w:tcW w:w="537" w:type="dxa"/>
                  <w:tcBorders>
                    <w:tl2br w:val="nil"/>
                    <w:tr2bl w:val="nil"/>
                  </w:tcBorders>
                  <w:vAlign w:val="center"/>
                </w:tcPr>
                <w:p w14:paraId="6AC04023">
                  <w:pPr>
                    <w:spacing w:line="0" w:lineRule="atLeast"/>
                    <w:jc w:val="center"/>
                    <w:rPr>
                      <w:rFonts w:hint="default"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1759" w:type="dxa"/>
                  <w:tcBorders>
                    <w:tl2br w:val="nil"/>
                    <w:tr2bl w:val="nil"/>
                  </w:tcBorders>
                  <w:vAlign w:val="center"/>
                </w:tcPr>
                <w:p w14:paraId="02881701">
                  <w:pPr>
                    <w:spacing w:line="0" w:lineRule="atLeast"/>
                    <w:jc w:val="center"/>
                    <w:rPr>
                      <w:rFonts w:hAnsi="宋体"/>
                      <w:color w:val="auto"/>
                      <w:spacing w:val="-20"/>
                      <w:szCs w:val="21"/>
                      <w:highlight w:val="none"/>
                    </w:rPr>
                  </w:pPr>
                  <w:r>
                    <w:rPr>
                      <w:rFonts w:hAnsi="宋体"/>
                      <w:color w:val="auto"/>
                      <w:spacing w:val="-20"/>
                      <w:szCs w:val="21"/>
                      <w:highlight w:val="none"/>
                    </w:rPr>
                    <w:t>《声环境质量标准》</w:t>
                  </w:r>
                </w:p>
                <w:p w14:paraId="1EE1F0F9">
                  <w:pPr>
                    <w:spacing w:line="0" w:lineRule="atLeast"/>
                    <w:jc w:val="center"/>
                    <w:rPr>
                      <w:rFonts w:hAnsi="宋体"/>
                      <w:color w:val="auto"/>
                      <w:spacing w:val="-20"/>
                      <w:szCs w:val="21"/>
                      <w:highlight w:val="none"/>
                    </w:rPr>
                  </w:pPr>
                  <w:r>
                    <w:rPr>
                      <w:rFonts w:hAnsi="宋体"/>
                      <w:color w:val="auto"/>
                      <w:spacing w:val="-20"/>
                      <w:szCs w:val="21"/>
                      <w:highlight w:val="none"/>
                    </w:rPr>
                    <w:t>（GB3096-2008）</w:t>
                  </w:r>
                  <w:r>
                    <w:rPr>
                      <w:rFonts w:hint="eastAsia" w:hAnsi="宋体"/>
                      <w:color w:val="auto"/>
                      <w:spacing w:val="-20"/>
                      <w:szCs w:val="21"/>
                      <w:highlight w:val="none"/>
                      <w:lang w:val="en-US" w:eastAsia="zh-CN"/>
                    </w:rPr>
                    <w:t>2</w:t>
                  </w:r>
                  <w:r>
                    <w:rPr>
                      <w:rFonts w:hint="eastAsia" w:hAnsi="宋体"/>
                      <w:color w:val="auto"/>
                      <w:spacing w:val="-20"/>
                      <w:szCs w:val="21"/>
                      <w:highlight w:val="none"/>
                    </w:rPr>
                    <w:t>类</w:t>
                  </w:r>
                </w:p>
              </w:tc>
              <w:tc>
                <w:tcPr>
                  <w:tcW w:w="688" w:type="dxa"/>
                  <w:tcBorders>
                    <w:tl2br w:val="nil"/>
                    <w:tr2bl w:val="nil"/>
                  </w:tcBorders>
                  <w:vAlign w:val="center"/>
                </w:tcPr>
                <w:p w14:paraId="3928CCD7">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c>
                <w:tcPr>
                  <w:tcW w:w="847" w:type="dxa"/>
                  <w:gridSpan w:val="2"/>
                  <w:tcBorders>
                    <w:tl2br w:val="nil"/>
                    <w:tr2bl w:val="nil"/>
                  </w:tcBorders>
                  <w:vAlign w:val="center"/>
                </w:tcPr>
                <w:p w14:paraId="77F2B4EC">
                  <w:pPr>
                    <w:spacing w:line="0" w:lineRule="atLeast"/>
                    <w:jc w:val="center"/>
                    <w:rPr>
                      <w:rFonts w:ascii="Times New Roman" w:hAnsi="Times New Roman" w:eastAsia="宋体" w:cs="Times New Roman"/>
                      <w:color w:val="auto"/>
                      <w:spacing w:val="-20"/>
                      <w:kern w:val="2"/>
                      <w:sz w:val="21"/>
                      <w:szCs w:val="21"/>
                      <w:highlight w:val="none"/>
                      <w:lang w:val="en-US" w:eastAsia="zh-CN" w:bidi="ar-SA"/>
                    </w:rPr>
                  </w:pPr>
                  <w:r>
                    <w:rPr>
                      <w:rFonts w:hint="eastAsia"/>
                      <w:color w:val="auto"/>
                      <w:spacing w:val="-20"/>
                      <w:szCs w:val="21"/>
                      <w:highlight w:val="none"/>
                    </w:rPr>
                    <w:t>--</w:t>
                  </w:r>
                </w:p>
              </w:tc>
            </w:tr>
            <w:tr w14:paraId="6B704F9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7" w:hRule="atLeast"/>
              </w:trPr>
              <w:tc>
                <w:tcPr>
                  <w:tcW w:w="551" w:type="dxa"/>
                  <w:tcBorders>
                    <w:tl2br w:val="nil"/>
                    <w:tr2bl w:val="nil"/>
                  </w:tcBorders>
                  <w:vAlign w:val="center"/>
                </w:tcPr>
                <w:p w14:paraId="7D43253C">
                  <w:pPr>
                    <w:spacing w:line="0" w:lineRule="atLeast"/>
                    <w:jc w:val="center"/>
                    <w:rPr>
                      <w:rFonts w:hAnsi="宋体"/>
                      <w:color w:val="auto"/>
                      <w:spacing w:val="-20"/>
                      <w:szCs w:val="21"/>
                      <w:highlight w:val="none"/>
                    </w:rPr>
                  </w:pPr>
                  <w:r>
                    <w:rPr>
                      <w:rFonts w:hint="eastAsia" w:hAnsi="宋体"/>
                      <w:color w:val="auto"/>
                      <w:spacing w:val="-20"/>
                      <w:szCs w:val="21"/>
                      <w:highlight w:val="none"/>
                    </w:rPr>
                    <w:t>地下水</w:t>
                  </w:r>
                </w:p>
              </w:tc>
              <w:tc>
                <w:tcPr>
                  <w:tcW w:w="1487" w:type="dxa"/>
                  <w:tcBorders>
                    <w:tl2br w:val="nil"/>
                    <w:tr2bl w:val="nil"/>
                  </w:tcBorders>
                  <w:vAlign w:val="center"/>
                </w:tcPr>
                <w:p w14:paraId="452F836F">
                  <w:pPr>
                    <w:spacing w:line="0" w:lineRule="atLeast"/>
                    <w:jc w:val="center"/>
                    <w:rPr>
                      <w:color w:val="auto"/>
                      <w:spacing w:val="-20"/>
                      <w:szCs w:val="21"/>
                      <w:highlight w:val="none"/>
                    </w:rPr>
                  </w:pPr>
                  <w:r>
                    <w:rPr>
                      <w:rFonts w:hint="eastAsia"/>
                      <w:color w:val="auto"/>
                      <w:spacing w:val="-20"/>
                      <w:szCs w:val="21"/>
                      <w:highlight w:val="none"/>
                    </w:rPr>
                    <w:t>--</w:t>
                  </w:r>
                </w:p>
              </w:tc>
              <w:tc>
                <w:tcPr>
                  <w:tcW w:w="1330" w:type="dxa"/>
                  <w:tcBorders>
                    <w:tl2br w:val="nil"/>
                    <w:tr2bl w:val="nil"/>
                  </w:tcBorders>
                  <w:vAlign w:val="center"/>
                </w:tcPr>
                <w:p w14:paraId="515A2DC8">
                  <w:pPr>
                    <w:spacing w:line="0" w:lineRule="atLeast"/>
                    <w:jc w:val="center"/>
                    <w:rPr>
                      <w:color w:val="auto"/>
                      <w:spacing w:val="-20"/>
                      <w:szCs w:val="21"/>
                      <w:highlight w:val="none"/>
                    </w:rPr>
                  </w:pPr>
                  <w:r>
                    <w:rPr>
                      <w:rFonts w:hint="eastAsia"/>
                      <w:color w:val="auto"/>
                      <w:spacing w:val="-20"/>
                      <w:szCs w:val="21"/>
                      <w:highlight w:val="none"/>
                    </w:rPr>
                    <w:t>--</w:t>
                  </w:r>
                </w:p>
              </w:tc>
              <w:tc>
                <w:tcPr>
                  <w:tcW w:w="853" w:type="dxa"/>
                  <w:tcBorders>
                    <w:tl2br w:val="nil"/>
                    <w:tr2bl w:val="nil"/>
                  </w:tcBorders>
                  <w:vAlign w:val="center"/>
                </w:tcPr>
                <w:p w14:paraId="4904EC6F">
                  <w:pPr>
                    <w:spacing w:line="0" w:lineRule="atLeast"/>
                    <w:jc w:val="center"/>
                    <w:rPr>
                      <w:rFonts w:hAnsi="宋体"/>
                      <w:color w:val="auto"/>
                      <w:spacing w:val="-20"/>
                      <w:szCs w:val="21"/>
                      <w:highlight w:val="none"/>
                    </w:rPr>
                  </w:pPr>
                  <w:r>
                    <w:rPr>
                      <w:rFonts w:hint="eastAsia" w:hAnsi="宋体"/>
                      <w:color w:val="auto"/>
                      <w:spacing w:val="-20"/>
                      <w:szCs w:val="21"/>
                      <w:highlight w:val="none"/>
                    </w:rPr>
                    <w:t>项目所在区域</w:t>
                  </w:r>
                </w:p>
              </w:tc>
              <w:tc>
                <w:tcPr>
                  <w:tcW w:w="537" w:type="dxa"/>
                  <w:tcBorders>
                    <w:tl2br w:val="nil"/>
                    <w:tr2bl w:val="nil"/>
                  </w:tcBorders>
                  <w:vAlign w:val="center"/>
                </w:tcPr>
                <w:p w14:paraId="0800E941">
                  <w:pPr>
                    <w:spacing w:line="0" w:lineRule="atLeast"/>
                    <w:jc w:val="center"/>
                    <w:rPr>
                      <w:rFonts w:hAnsi="宋体"/>
                      <w:color w:val="auto"/>
                      <w:spacing w:val="-20"/>
                      <w:szCs w:val="21"/>
                      <w:highlight w:val="none"/>
                    </w:rPr>
                  </w:pPr>
                  <w:r>
                    <w:rPr>
                      <w:rFonts w:hint="eastAsia" w:hAnsi="宋体"/>
                      <w:color w:val="auto"/>
                      <w:spacing w:val="-20"/>
                      <w:szCs w:val="21"/>
                      <w:highlight w:val="none"/>
                    </w:rPr>
                    <w:t>--</w:t>
                  </w:r>
                </w:p>
              </w:tc>
              <w:tc>
                <w:tcPr>
                  <w:tcW w:w="1759" w:type="dxa"/>
                  <w:tcBorders>
                    <w:tl2br w:val="nil"/>
                    <w:tr2bl w:val="nil"/>
                  </w:tcBorders>
                  <w:vAlign w:val="center"/>
                </w:tcPr>
                <w:p w14:paraId="6BE70554">
                  <w:pPr>
                    <w:spacing w:line="0" w:lineRule="atLeast"/>
                    <w:jc w:val="center"/>
                    <w:rPr>
                      <w:rFonts w:hAnsi="宋体"/>
                      <w:color w:val="auto"/>
                      <w:spacing w:val="-20"/>
                      <w:szCs w:val="21"/>
                      <w:highlight w:val="none"/>
                    </w:rPr>
                  </w:pPr>
                  <w:r>
                    <w:rPr>
                      <w:rFonts w:hAnsi="宋体"/>
                      <w:color w:val="auto"/>
                      <w:spacing w:val="-20"/>
                      <w:szCs w:val="21"/>
                      <w:highlight w:val="none"/>
                    </w:rPr>
                    <w:t>《地下水质量标准》</w:t>
                  </w:r>
                </w:p>
                <w:p w14:paraId="075B8A87">
                  <w:pPr>
                    <w:spacing w:line="0" w:lineRule="atLeast"/>
                    <w:jc w:val="center"/>
                    <w:rPr>
                      <w:rFonts w:hAnsi="宋体"/>
                      <w:color w:val="auto"/>
                      <w:spacing w:val="-20"/>
                      <w:szCs w:val="21"/>
                      <w:highlight w:val="none"/>
                    </w:rPr>
                  </w:pPr>
                  <w:r>
                    <w:rPr>
                      <w:rFonts w:hAnsi="宋体"/>
                      <w:color w:val="auto"/>
                      <w:spacing w:val="-20"/>
                      <w:szCs w:val="21"/>
                      <w:highlight w:val="none"/>
                    </w:rPr>
                    <w:t>(GB/T14848</w:t>
                  </w:r>
                  <w:r>
                    <w:rPr>
                      <w:rFonts w:hint="eastAsia" w:hAnsi="宋体"/>
                      <w:color w:val="auto"/>
                      <w:spacing w:val="-20"/>
                      <w:szCs w:val="21"/>
                      <w:highlight w:val="none"/>
                      <w:lang w:val="en-US" w:eastAsia="zh-CN"/>
                    </w:rPr>
                    <w:t>-</w:t>
                  </w:r>
                  <w:r>
                    <w:rPr>
                      <w:rFonts w:hAnsi="宋体"/>
                      <w:color w:val="auto"/>
                      <w:spacing w:val="-20"/>
                      <w:szCs w:val="21"/>
                      <w:highlight w:val="none"/>
                    </w:rPr>
                    <w:t>2017)Ⅲ类</w:t>
                  </w:r>
                </w:p>
              </w:tc>
              <w:tc>
                <w:tcPr>
                  <w:tcW w:w="688" w:type="dxa"/>
                  <w:tcBorders>
                    <w:tl2br w:val="nil"/>
                    <w:tr2bl w:val="nil"/>
                  </w:tcBorders>
                  <w:vAlign w:val="center"/>
                </w:tcPr>
                <w:p w14:paraId="0182402D">
                  <w:pPr>
                    <w:spacing w:line="0" w:lineRule="atLeast"/>
                    <w:jc w:val="center"/>
                    <w:rPr>
                      <w:color w:val="auto"/>
                      <w:spacing w:val="-20"/>
                      <w:szCs w:val="21"/>
                      <w:highlight w:val="none"/>
                    </w:rPr>
                  </w:pPr>
                  <w:r>
                    <w:rPr>
                      <w:rFonts w:hint="eastAsia"/>
                      <w:color w:val="auto"/>
                      <w:spacing w:val="-20"/>
                      <w:szCs w:val="21"/>
                      <w:highlight w:val="none"/>
                    </w:rPr>
                    <w:t>--</w:t>
                  </w:r>
                </w:p>
              </w:tc>
              <w:tc>
                <w:tcPr>
                  <w:tcW w:w="838" w:type="dxa"/>
                  <w:tcBorders>
                    <w:tl2br w:val="nil"/>
                    <w:tr2bl w:val="nil"/>
                  </w:tcBorders>
                  <w:vAlign w:val="center"/>
                </w:tcPr>
                <w:p w14:paraId="64774A70">
                  <w:pPr>
                    <w:spacing w:line="0" w:lineRule="atLeast"/>
                    <w:jc w:val="center"/>
                    <w:rPr>
                      <w:color w:val="auto"/>
                      <w:spacing w:val="-20"/>
                      <w:szCs w:val="21"/>
                      <w:highlight w:val="none"/>
                    </w:rPr>
                  </w:pPr>
                  <w:r>
                    <w:rPr>
                      <w:rFonts w:hint="eastAsia"/>
                      <w:color w:val="auto"/>
                      <w:spacing w:val="-20"/>
                      <w:szCs w:val="21"/>
                      <w:highlight w:val="none"/>
                    </w:rPr>
                    <w:t>--</w:t>
                  </w:r>
                </w:p>
              </w:tc>
            </w:tr>
            <w:tr w14:paraId="117A76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After w:val="1"/>
                <w:wAfter w:w="9" w:type="dxa"/>
                <w:trHeight w:val="517" w:hRule="atLeast"/>
              </w:trPr>
              <w:tc>
                <w:tcPr>
                  <w:tcW w:w="551" w:type="dxa"/>
                  <w:tcBorders>
                    <w:tl2br w:val="nil"/>
                    <w:tr2bl w:val="nil"/>
                  </w:tcBorders>
                  <w:vAlign w:val="center"/>
                </w:tcPr>
                <w:p w14:paraId="56A2DDFF">
                  <w:pPr>
                    <w:spacing w:line="0" w:lineRule="atLeast"/>
                    <w:jc w:val="center"/>
                    <w:rPr>
                      <w:rFonts w:hAnsi="宋体"/>
                      <w:color w:val="auto"/>
                      <w:spacing w:val="-20"/>
                      <w:szCs w:val="21"/>
                      <w:highlight w:val="none"/>
                    </w:rPr>
                  </w:pPr>
                  <w:r>
                    <w:rPr>
                      <w:rFonts w:hint="eastAsia" w:hAnsi="宋体"/>
                      <w:color w:val="auto"/>
                      <w:spacing w:val="-20"/>
                      <w:szCs w:val="21"/>
                      <w:highlight w:val="none"/>
                    </w:rPr>
                    <w:t>生态</w:t>
                  </w:r>
                </w:p>
              </w:tc>
              <w:tc>
                <w:tcPr>
                  <w:tcW w:w="1487" w:type="dxa"/>
                  <w:tcBorders>
                    <w:tl2br w:val="nil"/>
                    <w:tr2bl w:val="nil"/>
                  </w:tcBorders>
                  <w:vAlign w:val="center"/>
                </w:tcPr>
                <w:p w14:paraId="666145D0">
                  <w:pPr>
                    <w:spacing w:line="0" w:lineRule="atLeast"/>
                    <w:jc w:val="center"/>
                    <w:rPr>
                      <w:color w:val="auto"/>
                      <w:spacing w:val="-20"/>
                      <w:szCs w:val="21"/>
                      <w:highlight w:val="none"/>
                    </w:rPr>
                  </w:pPr>
                  <w:r>
                    <w:rPr>
                      <w:rFonts w:hint="eastAsia"/>
                      <w:color w:val="auto"/>
                      <w:spacing w:val="-20"/>
                      <w:szCs w:val="21"/>
                      <w:highlight w:val="none"/>
                    </w:rPr>
                    <w:t>--</w:t>
                  </w:r>
                </w:p>
              </w:tc>
              <w:tc>
                <w:tcPr>
                  <w:tcW w:w="1330" w:type="dxa"/>
                  <w:tcBorders>
                    <w:tl2br w:val="nil"/>
                    <w:tr2bl w:val="nil"/>
                  </w:tcBorders>
                  <w:vAlign w:val="center"/>
                </w:tcPr>
                <w:p w14:paraId="4563FDF5">
                  <w:pPr>
                    <w:spacing w:line="0" w:lineRule="atLeast"/>
                    <w:jc w:val="center"/>
                    <w:rPr>
                      <w:color w:val="auto"/>
                      <w:spacing w:val="-20"/>
                      <w:szCs w:val="21"/>
                      <w:highlight w:val="none"/>
                    </w:rPr>
                  </w:pPr>
                  <w:r>
                    <w:rPr>
                      <w:rFonts w:hint="eastAsia"/>
                      <w:color w:val="auto"/>
                      <w:spacing w:val="-20"/>
                      <w:szCs w:val="21"/>
                      <w:highlight w:val="none"/>
                    </w:rPr>
                    <w:t>--</w:t>
                  </w:r>
                </w:p>
              </w:tc>
              <w:tc>
                <w:tcPr>
                  <w:tcW w:w="853" w:type="dxa"/>
                  <w:tcBorders>
                    <w:tl2br w:val="nil"/>
                    <w:tr2bl w:val="nil"/>
                  </w:tcBorders>
                  <w:vAlign w:val="center"/>
                </w:tcPr>
                <w:p w14:paraId="74E00620">
                  <w:pPr>
                    <w:spacing w:line="0" w:lineRule="atLeast"/>
                    <w:jc w:val="center"/>
                    <w:rPr>
                      <w:color w:val="auto"/>
                      <w:spacing w:val="-20"/>
                      <w:szCs w:val="21"/>
                      <w:highlight w:val="none"/>
                    </w:rPr>
                  </w:pPr>
                  <w:r>
                    <w:rPr>
                      <w:rFonts w:hint="eastAsia"/>
                      <w:color w:val="auto"/>
                      <w:spacing w:val="-20"/>
                      <w:szCs w:val="21"/>
                      <w:highlight w:val="none"/>
                    </w:rPr>
                    <w:t>--</w:t>
                  </w:r>
                </w:p>
              </w:tc>
              <w:tc>
                <w:tcPr>
                  <w:tcW w:w="537" w:type="dxa"/>
                  <w:tcBorders>
                    <w:tl2br w:val="nil"/>
                    <w:tr2bl w:val="nil"/>
                  </w:tcBorders>
                  <w:vAlign w:val="center"/>
                </w:tcPr>
                <w:p w14:paraId="0C5C7DAC">
                  <w:pPr>
                    <w:spacing w:line="0" w:lineRule="atLeast"/>
                    <w:jc w:val="center"/>
                    <w:rPr>
                      <w:color w:val="auto"/>
                      <w:spacing w:val="-20"/>
                      <w:szCs w:val="21"/>
                      <w:highlight w:val="none"/>
                    </w:rPr>
                  </w:pPr>
                  <w:r>
                    <w:rPr>
                      <w:rFonts w:hint="eastAsia"/>
                      <w:color w:val="auto"/>
                      <w:spacing w:val="-20"/>
                      <w:szCs w:val="21"/>
                      <w:highlight w:val="none"/>
                    </w:rPr>
                    <w:t>--</w:t>
                  </w:r>
                </w:p>
              </w:tc>
              <w:tc>
                <w:tcPr>
                  <w:tcW w:w="1759" w:type="dxa"/>
                  <w:tcBorders>
                    <w:tl2br w:val="nil"/>
                    <w:tr2bl w:val="nil"/>
                  </w:tcBorders>
                  <w:vAlign w:val="center"/>
                </w:tcPr>
                <w:p w14:paraId="0581FAE1">
                  <w:pPr>
                    <w:spacing w:line="0" w:lineRule="atLeast"/>
                    <w:jc w:val="center"/>
                    <w:rPr>
                      <w:rFonts w:hAnsi="宋体"/>
                      <w:color w:val="auto"/>
                      <w:spacing w:val="-20"/>
                      <w:szCs w:val="21"/>
                      <w:highlight w:val="none"/>
                    </w:rPr>
                  </w:pPr>
                  <w:r>
                    <w:rPr>
                      <w:rFonts w:hint="eastAsia" w:hAnsi="宋体"/>
                      <w:color w:val="auto"/>
                      <w:spacing w:val="-20"/>
                      <w:szCs w:val="21"/>
                      <w:highlight w:val="none"/>
                    </w:rPr>
                    <w:t>--</w:t>
                  </w:r>
                </w:p>
              </w:tc>
              <w:tc>
                <w:tcPr>
                  <w:tcW w:w="688" w:type="dxa"/>
                  <w:tcBorders>
                    <w:tl2br w:val="nil"/>
                    <w:tr2bl w:val="nil"/>
                  </w:tcBorders>
                  <w:vAlign w:val="center"/>
                </w:tcPr>
                <w:p w14:paraId="63E7F63A">
                  <w:pPr>
                    <w:spacing w:line="0" w:lineRule="atLeast"/>
                    <w:jc w:val="center"/>
                    <w:rPr>
                      <w:color w:val="auto"/>
                      <w:spacing w:val="-20"/>
                      <w:szCs w:val="21"/>
                      <w:highlight w:val="none"/>
                    </w:rPr>
                  </w:pPr>
                  <w:r>
                    <w:rPr>
                      <w:rFonts w:hint="eastAsia"/>
                      <w:color w:val="auto"/>
                      <w:spacing w:val="-20"/>
                      <w:szCs w:val="21"/>
                      <w:highlight w:val="none"/>
                    </w:rPr>
                    <w:t>--</w:t>
                  </w:r>
                </w:p>
              </w:tc>
              <w:tc>
                <w:tcPr>
                  <w:tcW w:w="838" w:type="dxa"/>
                  <w:tcBorders>
                    <w:tl2br w:val="nil"/>
                    <w:tr2bl w:val="nil"/>
                  </w:tcBorders>
                  <w:vAlign w:val="center"/>
                </w:tcPr>
                <w:p w14:paraId="0A3E02F2">
                  <w:pPr>
                    <w:spacing w:line="0" w:lineRule="atLeast"/>
                    <w:jc w:val="center"/>
                    <w:rPr>
                      <w:color w:val="auto"/>
                      <w:spacing w:val="-20"/>
                      <w:szCs w:val="21"/>
                      <w:highlight w:val="none"/>
                    </w:rPr>
                  </w:pPr>
                  <w:r>
                    <w:rPr>
                      <w:rFonts w:hint="eastAsia"/>
                      <w:color w:val="auto"/>
                      <w:spacing w:val="-20"/>
                      <w:szCs w:val="21"/>
                      <w:highlight w:val="none"/>
                    </w:rPr>
                    <w:t>--</w:t>
                  </w:r>
                </w:p>
              </w:tc>
            </w:tr>
          </w:tbl>
          <w:p w14:paraId="17C8F8DC">
            <w:pPr>
              <w:adjustRightInd w:val="0"/>
              <w:snapToGrid w:val="0"/>
              <w:jc w:val="center"/>
              <w:rPr>
                <w:rFonts w:ascii="宋体" w:hAnsi="宋体" w:cs="宋体"/>
                <w:color w:val="auto"/>
                <w:kern w:val="0"/>
                <w:szCs w:val="21"/>
                <w:highlight w:val="none"/>
              </w:rPr>
            </w:pPr>
          </w:p>
        </w:tc>
      </w:tr>
      <w:tr w14:paraId="615BDB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7" w:hRule="atLeast"/>
          <w:jc w:val="center"/>
        </w:trPr>
        <w:tc>
          <w:tcPr>
            <w:tcW w:w="800" w:type="dxa"/>
            <w:tcMar>
              <w:left w:w="28" w:type="dxa"/>
              <w:right w:w="28" w:type="dxa"/>
            </w:tcMar>
            <w:vAlign w:val="center"/>
          </w:tcPr>
          <w:p w14:paraId="22323D25">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污染</w:t>
            </w:r>
          </w:p>
          <w:p w14:paraId="47A9A64A">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物排</w:t>
            </w:r>
          </w:p>
          <w:p w14:paraId="7B2ADAD6">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放控</w:t>
            </w:r>
          </w:p>
          <w:p w14:paraId="5A22B434">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制标</w:t>
            </w:r>
          </w:p>
          <w:p w14:paraId="03B33E73">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准</w:t>
            </w:r>
          </w:p>
        </w:tc>
        <w:tc>
          <w:tcPr>
            <w:tcW w:w="8190" w:type="dxa"/>
            <w:vAlign w:val="center"/>
          </w:tcPr>
          <w:p w14:paraId="1A2AA66C">
            <w:pPr>
              <w:spacing w:line="440" w:lineRule="exact"/>
              <w:ind w:firstLine="422" w:firstLineChars="200"/>
              <w:rPr>
                <w:b/>
                <w:color w:val="auto"/>
                <w:highlight w:val="none"/>
              </w:rPr>
            </w:pPr>
            <w:r>
              <w:rPr>
                <w:rFonts w:hint="eastAsia"/>
                <w:b/>
                <w:color w:val="auto"/>
                <w:highlight w:val="none"/>
              </w:rPr>
              <w:t>1.施工期污染物排放标准</w:t>
            </w:r>
          </w:p>
          <w:p w14:paraId="3177514E">
            <w:pPr>
              <w:spacing w:line="440" w:lineRule="exact"/>
              <w:ind w:firstLine="420" w:firstLineChars="200"/>
              <w:rPr>
                <w:color w:val="auto"/>
                <w:highlight w:val="none"/>
              </w:rPr>
            </w:pPr>
            <w:r>
              <w:rPr>
                <w:color w:val="auto"/>
                <w:highlight w:val="none"/>
              </w:rPr>
              <w:t>（1）扬尘</w:t>
            </w:r>
          </w:p>
          <w:p w14:paraId="1098B31A">
            <w:pPr>
              <w:spacing w:line="440" w:lineRule="exact"/>
              <w:ind w:firstLine="420" w:firstLineChars="200"/>
              <w:rPr>
                <w:color w:val="auto"/>
                <w:highlight w:val="none"/>
              </w:rPr>
            </w:pPr>
            <w:bookmarkStart w:id="2" w:name="_Hlk3212524"/>
            <w:r>
              <w:rPr>
                <w:color w:val="auto"/>
                <w:highlight w:val="none"/>
              </w:rPr>
              <w:t>施工期扬尘（颗粒物）执行《施工场地扬尘排放标准》（DB13/2934-2019）表1中扬尘排放浓度限值，见下表</w:t>
            </w:r>
            <w:r>
              <w:rPr>
                <w:rFonts w:hint="eastAsia"/>
                <w:color w:val="auto"/>
                <w:highlight w:val="none"/>
                <w:lang w:val="en-US" w:eastAsia="zh-CN"/>
              </w:rPr>
              <w:t>15</w:t>
            </w:r>
            <w:r>
              <w:rPr>
                <w:color w:val="auto"/>
                <w:highlight w:val="none"/>
              </w:rPr>
              <w:t>。</w:t>
            </w:r>
          </w:p>
          <w:p w14:paraId="7F5EEC18">
            <w:pPr>
              <w:spacing w:line="460" w:lineRule="exact"/>
              <w:jc w:val="center"/>
              <w:rPr>
                <w:b/>
                <w:color w:val="auto"/>
                <w:highlight w:val="none"/>
              </w:rPr>
            </w:pPr>
            <w:r>
              <w:rPr>
                <w:b/>
                <w:color w:val="auto"/>
                <w:highlight w:val="none"/>
              </w:rPr>
              <w:t>表</w:t>
            </w:r>
            <w:r>
              <w:rPr>
                <w:rFonts w:hint="eastAsia"/>
                <w:b/>
                <w:color w:val="auto"/>
                <w:highlight w:val="none"/>
                <w:lang w:val="en-US" w:eastAsia="zh-CN"/>
              </w:rPr>
              <w:t>15</w:t>
            </w:r>
            <w:r>
              <w:rPr>
                <w:b/>
                <w:color w:val="auto"/>
                <w:highlight w:val="none"/>
              </w:rPr>
              <w:t xml:space="preserve"> 大气污染物排放限值和控制要求</w:t>
            </w:r>
          </w:p>
          <w:tbl>
            <w:tblPr>
              <w:tblStyle w:val="26"/>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41"/>
              <w:gridCol w:w="2300"/>
              <w:gridCol w:w="1334"/>
              <w:gridCol w:w="1879"/>
            </w:tblGrid>
            <w:tr w14:paraId="56E7FF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5" w:hRule="atLeast"/>
              </w:trPr>
              <w:tc>
                <w:tcPr>
                  <w:tcW w:w="2341" w:type="dxa"/>
                  <w:tcBorders>
                    <w:tl2br w:val="nil"/>
                    <w:tr2bl w:val="nil"/>
                  </w:tcBorders>
                  <w:vAlign w:val="center"/>
                </w:tcPr>
                <w:p w14:paraId="1DD39740">
                  <w:pPr>
                    <w:spacing w:line="0" w:lineRule="atLeast"/>
                    <w:jc w:val="center"/>
                    <w:rPr>
                      <w:rFonts w:hAnsi="宋体"/>
                      <w:color w:val="auto"/>
                      <w:spacing w:val="-20"/>
                      <w:szCs w:val="21"/>
                      <w:highlight w:val="none"/>
                    </w:rPr>
                  </w:pPr>
                  <w:r>
                    <w:rPr>
                      <w:rFonts w:hAnsi="宋体"/>
                      <w:color w:val="auto"/>
                      <w:spacing w:val="-20"/>
                      <w:szCs w:val="21"/>
                      <w:highlight w:val="none"/>
                    </w:rPr>
                    <w:t>标准号</w:t>
                  </w:r>
                </w:p>
              </w:tc>
              <w:tc>
                <w:tcPr>
                  <w:tcW w:w="2300" w:type="dxa"/>
                  <w:tcBorders>
                    <w:tl2br w:val="nil"/>
                    <w:tr2bl w:val="nil"/>
                  </w:tcBorders>
                  <w:vAlign w:val="center"/>
                </w:tcPr>
                <w:p w14:paraId="13A3C35A">
                  <w:pPr>
                    <w:spacing w:line="0" w:lineRule="atLeast"/>
                    <w:jc w:val="center"/>
                    <w:rPr>
                      <w:rFonts w:hAnsi="宋体"/>
                      <w:color w:val="auto"/>
                      <w:spacing w:val="-20"/>
                      <w:szCs w:val="21"/>
                      <w:highlight w:val="none"/>
                    </w:rPr>
                  </w:pPr>
                  <w:r>
                    <w:rPr>
                      <w:rFonts w:hAnsi="宋体"/>
                      <w:color w:val="auto"/>
                      <w:spacing w:val="-20"/>
                      <w:szCs w:val="21"/>
                      <w:highlight w:val="none"/>
                    </w:rPr>
                    <w:t>标准名称</w:t>
                  </w:r>
                </w:p>
              </w:tc>
              <w:tc>
                <w:tcPr>
                  <w:tcW w:w="1334" w:type="dxa"/>
                  <w:tcBorders>
                    <w:tl2br w:val="nil"/>
                    <w:tr2bl w:val="nil"/>
                  </w:tcBorders>
                  <w:vAlign w:val="center"/>
                </w:tcPr>
                <w:p w14:paraId="2A4D3203">
                  <w:pPr>
                    <w:spacing w:line="0" w:lineRule="atLeast"/>
                    <w:jc w:val="center"/>
                    <w:rPr>
                      <w:rFonts w:hAnsi="宋体"/>
                      <w:color w:val="auto"/>
                      <w:spacing w:val="-20"/>
                      <w:szCs w:val="21"/>
                      <w:highlight w:val="none"/>
                    </w:rPr>
                  </w:pPr>
                  <w:r>
                    <w:rPr>
                      <w:rFonts w:hAnsi="宋体"/>
                      <w:color w:val="auto"/>
                      <w:spacing w:val="-20"/>
                      <w:szCs w:val="21"/>
                      <w:highlight w:val="none"/>
                    </w:rPr>
                    <w:t>污染物</w:t>
                  </w:r>
                </w:p>
              </w:tc>
              <w:tc>
                <w:tcPr>
                  <w:tcW w:w="1878" w:type="dxa"/>
                  <w:tcBorders>
                    <w:tl2br w:val="nil"/>
                    <w:tr2bl w:val="nil"/>
                  </w:tcBorders>
                  <w:vAlign w:val="center"/>
                </w:tcPr>
                <w:p w14:paraId="0A30E038">
                  <w:pPr>
                    <w:spacing w:line="0" w:lineRule="atLeast"/>
                    <w:jc w:val="center"/>
                    <w:rPr>
                      <w:rFonts w:hAnsi="宋体"/>
                      <w:color w:val="auto"/>
                      <w:spacing w:val="-20"/>
                      <w:szCs w:val="21"/>
                      <w:highlight w:val="none"/>
                    </w:rPr>
                  </w:pPr>
                  <w:r>
                    <w:rPr>
                      <w:rFonts w:hAnsi="宋体"/>
                      <w:color w:val="auto"/>
                      <w:spacing w:val="-20"/>
                      <w:szCs w:val="21"/>
                      <w:highlight w:val="none"/>
                    </w:rPr>
                    <w:t>数值</w:t>
                  </w:r>
                </w:p>
              </w:tc>
            </w:tr>
            <w:tr w14:paraId="74625E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5" w:hRule="atLeast"/>
              </w:trPr>
              <w:tc>
                <w:tcPr>
                  <w:tcW w:w="2341" w:type="dxa"/>
                  <w:tcBorders>
                    <w:tl2br w:val="nil"/>
                    <w:tr2bl w:val="nil"/>
                  </w:tcBorders>
                  <w:vAlign w:val="center"/>
                </w:tcPr>
                <w:p w14:paraId="477A3BC6">
                  <w:pPr>
                    <w:spacing w:line="0" w:lineRule="atLeast"/>
                    <w:jc w:val="center"/>
                    <w:rPr>
                      <w:rFonts w:hAnsi="宋体"/>
                      <w:color w:val="auto"/>
                      <w:spacing w:val="-20"/>
                      <w:szCs w:val="21"/>
                      <w:highlight w:val="none"/>
                    </w:rPr>
                  </w:pPr>
                  <w:r>
                    <w:rPr>
                      <w:rFonts w:hAnsi="宋体"/>
                      <w:color w:val="auto"/>
                      <w:spacing w:val="-20"/>
                      <w:szCs w:val="21"/>
                      <w:highlight w:val="none"/>
                    </w:rPr>
                    <w:t>DB13/2934-2019</w:t>
                  </w:r>
                </w:p>
              </w:tc>
              <w:tc>
                <w:tcPr>
                  <w:tcW w:w="2300" w:type="dxa"/>
                  <w:tcBorders>
                    <w:tl2br w:val="nil"/>
                    <w:tr2bl w:val="nil"/>
                  </w:tcBorders>
                  <w:vAlign w:val="center"/>
                </w:tcPr>
                <w:p w14:paraId="65E8495F">
                  <w:pPr>
                    <w:spacing w:line="0" w:lineRule="atLeast"/>
                    <w:jc w:val="center"/>
                    <w:rPr>
                      <w:rFonts w:hAnsi="宋体"/>
                      <w:color w:val="auto"/>
                      <w:spacing w:val="-20"/>
                      <w:szCs w:val="21"/>
                      <w:highlight w:val="none"/>
                    </w:rPr>
                  </w:pPr>
                  <w:r>
                    <w:rPr>
                      <w:rFonts w:hAnsi="宋体"/>
                      <w:color w:val="auto"/>
                      <w:spacing w:val="-20"/>
                      <w:szCs w:val="21"/>
                      <w:highlight w:val="none"/>
                    </w:rPr>
                    <w:t>施工场地扬尘排放标准</w:t>
                  </w:r>
                </w:p>
              </w:tc>
              <w:tc>
                <w:tcPr>
                  <w:tcW w:w="1334" w:type="dxa"/>
                  <w:tcBorders>
                    <w:tl2br w:val="nil"/>
                    <w:tr2bl w:val="nil"/>
                  </w:tcBorders>
                  <w:vAlign w:val="center"/>
                </w:tcPr>
                <w:p w14:paraId="5C0568FB">
                  <w:pPr>
                    <w:spacing w:line="0" w:lineRule="atLeast"/>
                    <w:jc w:val="center"/>
                    <w:rPr>
                      <w:rFonts w:hAnsi="宋体"/>
                      <w:color w:val="auto"/>
                      <w:spacing w:val="-20"/>
                      <w:szCs w:val="21"/>
                      <w:highlight w:val="none"/>
                    </w:rPr>
                  </w:pPr>
                  <w:r>
                    <w:rPr>
                      <w:rFonts w:hAnsi="宋体"/>
                      <w:color w:val="auto"/>
                      <w:spacing w:val="-20"/>
                      <w:szCs w:val="21"/>
                      <w:highlight w:val="none"/>
                    </w:rPr>
                    <w:t>PM</w:t>
                  </w:r>
                  <w:r>
                    <w:rPr>
                      <w:rFonts w:hAnsi="宋体"/>
                      <w:color w:val="auto"/>
                      <w:spacing w:val="-20"/>
                      <w:szCs w:val="21"/>
                      <w:highlight w:val="none"/>
                      <w:vertAlign w:val="subscript"/>
                    </w:rPr>
                    <w:t>10</w:t>
                  </w:r>
                </w:p>
              </w:tc>
              <w:tc>
                <w:tcPr>
                  <w:tcW w:w="1878" w:type="dxa"/>
                  <w:tcBorders>
                    <w:tl2br w:val="nil"/>
                    <w:tr2bl w:val="nil"/>
                  </w:tcBorders>
                  <w:vAlign w:val="center"/>
                </w:tcPr>
                <w:p w14:paraId="7B718759">
                  <w:pPr>
                    <w:spacing w:line="0" w:lineRule="atLeast"/>
                    <w:jc w:val="center"/>
                    <w:rPr>
                      <w:rFonts w:hAnsi="宋体"/>
                      <w:color w:val="auto"/>
                      <w:spacing w:val="-20"/>
                      <w:szCs w:val="21"/>
                      <w:highlight w:val="none"/>
                    </w:rPr>
                  </w:pPr>
                  <w:r>
                    <w:rPr>
                      <w:rFonts w:hAnsi="宋体"/>
                      <w:color w:val="auto"/>
                      <w:spacing w:val="-20"/>
                      <w:szCs w:val="21"/>
                      <w:highlight w:val="none"/>
                    </w:rPr>
                    <w:t>80μg/m</w:t>
                  </w:r>
                  <w:r>
                    <w:rPr>
                      <w:rFonts w:hAnsi="宋体"/>
                      <w:color w:val="auto"/>
                      <w:spacing w:val="-20"/>
                      <w:szCs w:val="21"/>
                      <w:highlight w:val="none"/>
                      <w:vertAlign w:val="superscript"/>
                    </w:rPr>
                    <w:t>3</w:t>
                  </w:r>
                </w:p>
              </w:tc>
            </w:tr>
            <w:tr w14:paraId="7137324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5" w:hRule="atLeast"/>
              </w:trPr>
              <w:tc>
                <w:tcPr>
                  <w:tcW w:w="7854" w:type="dxa"/>
                  <w:gridSpan w:val="4"/>
                  <w:tcBorders>
                    <w:tl2br w:val="nil"/>
                    <w:tr2bl w:val="nil"/>
                  </w:tcBorders>
                  <w:vAlign w:val="center"/>
                </w:tcPr>
                <w:p w14:paraId="4193F848">
                  <w:pPr>
                    <w:spacing w:line="0" w:lineRule="atLeast"/>
                    <w:jc w:val="center"/>
                    <w:rPr>
                      <w:rFonts w:hAnsi="宋体"/>
                      <w:color w:val="auto"/>
                      <w:spacing w:val="-20"/>
                      <w:szCs w:val="21"/>
                      <w:highlight w:val="none"/>
                    </w:rPr>
                  </w:pPr>
                  <w:r>
                    <w:rPr>
                      <w:rFonts w:hAnsi="宋体"/>
                      <w:color w:val="auto"/>
                      <w:spacing w:val="-20"/>
                      <w:szCs w:val="21"/>
                      <w:highlight w:val="none"/>
                    </w:rPr>
                    <w:t>指监测点PM</w:t>
                  </w:r>
                  <w:r>
                    <w:rPr>
                      <w:rFonts w:hAnsi="宋体"/>
                      <w:color w:val="auto"/>
                      <w:spacing w:val="-20"/>
                      <w:szCs w:val="21"/>
                      <w:highlight w:val="none"/>
                      <w:vertAlign w:val="subscript"/>
                    </w:rPr>
                    <w:t>10</w:t>
                  </w:r>
                  <w:r>
                    <w:rPr>
                      <w:rFonts w:hAnsi="宋体"/>
                      <w:color w:val="auto"/>
                      <w:spacing w:val="-20"/>
                      <w:szCs w:val="21"/>
                      <w:highlight w:val="none"/>
                    </w:rPr>
                    <w:t>小时平均浓度实测值与同时段所属县（市、区）PM</w:t>
                  </w:r>
                  <w:r>
                    <w:rPr>
                      <w:rFonts w:hAnsi="宋体"/>
                      <w:color w:val="auto"/>
                      <w:spacing w:val="-20"/>
                      <w:szCs w:val="21"/>
                      <w:highlight w:val="none"/>
                      <w:vertAlign w:val="subscript"/>
                    </w:rPr>
                    <w:t>10</w:t>
                  </w:r>
                  <w:r>
                    <w:rPr>
                      <w:rFonts w:hAnsi="宋体"/>
                      <w:color w:val="auto"/>
                      <w:spacing w:val="-20"/>
                      <w:szCs w:val="21"/>
                      <w:highlight w:val="none"/>
                    </w:rPr>
                    <w:t>小时平均浓度的差值。当县（市、区）PM</w:t>
                  </w:r>
                  <w:r>
                    <w:rPr>
                      <w:rFonts w:hAnsi="宋体"/>
                      <w:color w:val="auto"/>
                      <w:spacing w:val="-20"/>
                      <w:szCs w:val="21"/>
                      <w:highlight w:val="none"/>
                      <w:vertAlign w:val="subscript"/>
                    </w:rPr>
                    <w:t>10</w:t>
                  </w:r>
                  <w:r>
                    <w:rPr>
                      <w:rFonts w:hAnsi="宋体"/>
                      <w:color w:val="auto"/>
                      <w:spacing w:val="-20"/>
                      <w:szCs w:val="21"/>
                      <w:highlight w:val="none"/>
                    </w:rPr>
                    <w:t>小时平均浓度值大于150μg/m</w:t>
                  </w:r>
                  <w:r>
                    <w:rPr>
                      <w:rFonts w:hAnsi="宋体"/>
                      <w:color w:val="auto"/>
                      <w:spacing w:val="-20"/>
                      <w:szCs w:val="21"/>
                      <w:highlight w:val="none"/>
                      <w:vertAlign w:val="superscript"/>
                    </w:rPr>
                    <w:t>3</w:t>
                  </w:r>
                  <w:r>
                    <w:rPr>
                      <w:rFonts w:hAnsi="宋体"/>
                      <w:color w:val="auto"/>
                      <w:spacing w:val="-20"/>
                      <w:szCs w:val="21"/>
                      <w:highlight w:val="none"/>
                    </w:rPr>
                    <w:t>时，以150μg/m</w:t>
                  </w:r>
                  <w:r>
                    <w:rPr>
                      <w:rFonts w:hAnsi="宋体"/>
                      <w:color w:val="auto"/>
                      <w:spacing w:val="-20"/>
                      <w:szCs w:val="21"/>
                      <w:highlight w:val="none"/>
                      <w:vertAlign w:val="superscript"/>
                    </w:rPr>
                    <w:t>3</w:t>
                  </w:r>
                  <w:r>
                    <w:rPr>
                      <w:rFonts w:hAnsi="宋体"/>
                      <w:color w:val="auto"/>
                      <w:spacing w:val="-20"/>
                      <w:szCs w:val="21"/>
                      <w:highlight w:val="none"/>
                    </w:rPr>
                    <w:t>计。</w:t>
                  </w:r>
                </w:p>
              </w:tc>
            </w:tr>
            <w:bookmarkEnd w:id="2"/>
          </w:tbl>
          <w:p w14:paraId="53D193A0">
            <w:pPr>
              <w:spacing w:line="440" w:lineRule="exact"/>
              <w:ind w:firstLine="420" w:firstLineChars="200"/>
              <w:rPr>
                <w:color w:val="auto"/>
                <w:highlight w:val="none"/>
              </w:rPr>
            </w:pPr>
            <w:r>
              <w:rPr>
                <w:color w:val="auto"/>
                <w:highlight w:val="none"/>
              </w:rPr>
              <w:t>（2）噪声</w:t>
            </w:r>
          </w:p>
          <w:p w14:paraId="611E5592">
            <w:pPr>
              <w:spacing w:line="440" w:lineRule="exact"/>
              <w:ind w:firstLine="420" w:firstLineChars="200"/>
              <w:rPr>
                <w:color w:val="auto"/>
                <w:highlight w:val="none"/>
              </w:rPr>
            </w:pPr>
            <w:r>
              <w:rPr>
                <w:color w:val="auto"/>
                <w:highlight w:val="none"/>
              </w:rPr>
              <w:t>施工期噪声执行《建筑施工场界环境噪声排放标准》（GB12523-2011）中规定的建筑施工场界环境噪声排放限值，详见表</w:t>
            </w:r>
            <w:r>
              <w:rPr>
                <w:rFonts w:hint="eastAsia"/>
                <w:color w:val="auto"/>
                <w:highlight w:val="none"/>
                <w:lang w:val="en-US" w:eastAsia="zh-CN"/>
              </w:rPr>
              <w:t>16</w:t>
            </w:r>
            <w:r>
              <w:rPr>
                <w:color w:val="auto"/>
                <w:highlight w:val="none"/>
              </w:rPr>
              <w:t>。</w:t>
            </w:r>
          </w:p>
          <w:p w14:paraId="63A0A6AF">
            <w:pPr>
              <w:spacing w:line="460" w:lineRule="exact"/>
              <w:jc w:val="center"/>
              <w:rPr>
                <w:b/>
                <w:color w:val="auto"/>
                <w:highlight w:val="none"/>
              </w:rPr>
            </w:pPr>
            <w:r>
              <w:rPr>
                <w:b/>
                <w:color w:val="auto"/>
                <w:highlight w:val="none"/>
              </w:rPr>
              <w:t>表</w:t>
            </w:r>
            <w:r>
              <w:rPr>
                <w:rFonts w:hint="eastAsia"/>
                <w:b/>
                <w:color w:val="auto"/>
                <w:highlight w:val="none"/>
                <w:lang w:val="en-US" w:eastAsia="zh-CN"/>
              </w:rPr>
              <w:t>16</w:t>
            </w:r>
            <w:r>
              <w:rPr>
                <w:rFonts w:hint="eastAsia"/>
                <w:b/>
                <w:color w:val="auto"/>
                <w:highlight w:val="none"/>
              </w:rPr>
              <w:t xml:space="preserve"> </w:t>
            </w:r>
            <w:r>
              <w:rPr>
                <w:b/>
                <w:color w:val="auto"/>
                <w:highlight w:val="none"/>
              </w:rPr>
              <w:t>建筑施工场界环境噪声排放标准  单位：dB(A)</w:t>
            </w:r>
          </w:p>
          <w:tbl>
            <w:tblPr>
              <w:tblStyle w:val="26"/>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540"/>
              <w:gridCol w:w="1306"/>
              <w:gridCol w:w="5015"/>
            </w:tblGrid>
            <w:tr w14:paraId="1CE7BC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1540" w:type="dxa"/>
                  <w:tcBorders>
                    <w:tl2br w:val="nil"/>
                    <w:tr2bl w:val="nil"/>
                  </w:tcBorders>
                  <w:vAlign w:val="center"/>
                </w:tcPr>
                <w:p w14:paraId="660B1B54">
                  <w:pPr>
                    <w:spacing w:line="0" w:lineRule="atLeast"/>
                    <w:jc w:val="center"/>
                    <w:rPr>
                      <w:rFonts w:hAnsi="宋体"/>
                      <w:color w:val="auto"/>
                      <w:spacing w:val="-20"/>
                      <w:szCs w:val="21"/>
                      <w:highlight w:val="none"/>
                    </w:rPr>
                  </w:pPr>
                  <w:r>
                    <w:rPr>
                      <w:rFonts w:hAnsi="宋体"/>
                      <w:color w:val="auto"/>
                      <w:spacing w:val="-20"/>
                      <w:szCs w:val="21"/>
                      <w:highlight w:val="none"/>
                    </w:rPr>
                    <w:t>昼间</w:t>
                  </w:r>
                </w:p>
              </w:tc>
              <w:tc>
                <w:tcPr>
                  <w:tcW w:w="1306" w:type="dxa"/>
                  <w:tcBorders>
                    <w:tl2br w:val="nil"/>
                    <w:tr2bl w:val="nil"/>
                  </w:tcBorders>
                  <w:vAlign w:val="center"/>
                </w:tcPr>
                <w:p w14:paraId="49FF2742">
                  <w:pPr>
                    <w:spacing w:line="0" w:lineRule="atLeast"/>
                    <w:jc w:val="center"/>
                    <w:rPr>
                      <w:rFonts w:hAnsi="宋体"/>
                      <w:color w:val="auto"/>
                      <w:spacing w:val="-20"/>
                      <w:szCs w:val="21"/>
                      <w:highlight w:val="none"/>
                    </w:rPr>
                  </w:pPr>
                  <w:r>
                    <w:rPr>
                      <w:rFonts w:hAnsi="宋体"/>
                      <w:color w:val="auto"/>
                      <w:spacing w:val="-20"/>
                      <w:szCs w:val="21"/>
                      <w:highlight w:val="none"/>
                    </w:rPr>
                    <w:t>夜间</w:t>
                  </w:r>
                </w:p>
              </w:tc>
              <w:tc>
                <w:tcPr>
                  <w:tcW w:w="5015" w:type="dxa"/>
                  <w:tcBorders>
                    <w:tl2br w:val="nil"/>
                    <w:tr2bl w:val="nil"/>
                  </w:tcBorders>
                </w:tcPr>
                <w:p w14:paraId="7766D0DC">
                  <w:pPr>
                    <w:spacing w:line="0" w:lineRule="atLeast"/>
                    <w:jc w:val="center"/>
                    <w:rPr>
                      <w:rFonts w:hAnsi="宋体"/>
                      <w:color w:val="auto"/>
                      <w:spacing w:val="-20"/>
                      <w:szCs w:val="21"/>
                      <w:highlight w:val="none"/>
                    </w:rPr>
                  </w:pPr>
                  <w:r>
                    <w:rPr>
                      <w:rFonts w:hAnsi="宋体"/>
                      <w:color w:val="auto"/>
                      <w:spacing w:val="-20"/>
                      <w:szCs w:val="21"/>
                      <w:highlight w:val="none"/>
                    </w:rPr>
                    <w:t>标准来源</w:t>
                  </w:r>
                </w:p>
              </w:tc>
            </w:tr>
            <w:tr w14:paraId="65831A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52" w:hRule="atLeast"/>
              </w:trPr>
              <w:tc>
                <w:tcPr>
                  <w:tcW w:w="1540" w:type="dxa"/>
                  <w:tcBorders>
                    <w:tl2br w:val="nil"/>
                    <w:tr2bl w:val="nil"/>
                  </w:tcBorders>
                  <w:vAlign w:val="center"/>
                </w:tcPr>
                <w:p w14:paraId="4B994115">
                  <w:pPr>
                    <w:spacing w:line="0" w:lineRule="atLeast"/>
                    <w:jc w:val="center"/>
                    <w:rPr>
                      <w:rFonts w:hAnsi="宋体"/>
                      <w:color w:val="auto"/>
                      <w:spacing w:val="-20"/>
                      <w:szCs w:val="21"/>
                      <w:highlight w:val="none"/>
                    </w:rPr>
                  </w:pPr>
                  <w:r>
                    <w:rPr>
                      <w:rFonts w:hAnsi="宋体"/>
                      <w:color w:val="auto"/>
                      <w:spacing w:val="-20"/>
                      <w:szCs w:val="21"/>
                      <w:highlight w:val="none"/>
                    </w:rPr>
                    <w:t>70</w:t>
                  </w:r>
                </w:p>
              </w:tc>
              <w:tc>
                <w:tcPr>
                  <w:tcW w:w="1306" w:type="dxa"/>
                  <w:tcBorders>
                    <w:tl2br w:val="nil"/>
                    <w:tr2bl w:val="nil"/>
                  </w:tcBorders>
                  <w:vAlign w:val="center"/>
                </w:tcPr>
                <w:p w14:paraId="4EC33673">
                  <w:pPr>
                    <w:spacing w:line="0" w:lineRule="atLeast"/>
                    <w:jc w:val="center"/>
                    <w:rPr>
                      <w:rFonts w:hAnsi="宋体"/>
                      <w:color w:val="auto"/>
                      <w:spacing w:val="-20"/>
                      <w:szCs w:val="21"/>
                      <w:highlight w:val="none"/>
                    </w:rPr>
                  </w:pPr>
                  <w:r>
                    <w:rPr>
                      <w:rFonts w:hAnsi="宋体"/>
                      <w:color w:val="auto"/>
                      <w:spacing w:val="-20"/>
                      <w:szCs w:val="21"/>
                      <w:highlight w:val="none"/>
                    </w:rPr>
                    <w:t>55</w:t>
                  </w:r>
                </w:p>
              </w:tc>
              <w:tc>
                <w:tcPr>
                  <w:tcW w:w="5015" w:type="dxa"/>
                  <w:tcBorders>
                    <w:tl2br w:val="nil"/>
                    <w:tr2bl w:val="nil"/>
                  </w:tcBorders>
                </w:tcPr>
                <w:p w14:paraId="0AC8CD9A">
                  <w:pPr>
                    <w:spacing w:line="0" w:lineRule="atLeast"/>
                    <w:jc w:val="center"/>
                    <w:rPr>
                      <w:rFonts w:hAnsi="宋体"/>
                      <w:color w:val="auto"/>
                      <w:spacing w:val="-20"/>
                      <w:szCs w:val="21"/>
                      <w:highlight w:val="none"/>
                    </w:rPr>
                  </w:pPr>
                  <w:r>
                    <w:rPr>
                      <w:rFonts w:hAnsi="宋体"/>
                      <w:color w:val="auto"/>
                      <w:spacing w:val="-20"/>
                      <w:szCs w:val="21"/>
                      <w:highlight w:val="none"/>
                    </w:rPr>
                    <w:t>《建筑施工场界环境噪声排放标准》（GB12523-2011）</w:t>
                  </w:r>
                </w:p>
              </w:tc>
            </w:tr>
          </w:tbl>
          <w:p w14:paraId="37C85A34">
            <w:pPr>
              <w:spacing w:line="440" w:lineRule="exact"/>
              <w:ind w:firstLine="422" w:firstLineChars="200"/>
              <w:rPr>
                <w:b/>
                <w:color w:val="auto"/>
                <w:highlight w:val="none"/>
              </w:rPr>
            </w:pPr>
            <w:r>
              <w:rPr>
                <w:rFonts w:hint="eastAsia"/>
                <w:b/>
                <w:color w:val="auto"/>
                <w:highlight w:val="none"/>
              </w:rPr>
              <w:t>2.营运期污染物排放标准</w:t>
            </w:r>
          </w:p>
          <w:p w14:paraId="7A45A169">
            <w:pPr>
              <w:spacing w:line="440" w:lineRule="exact"/>
              <w:ind w:firstLine="420" w:firstLineChars="200"/>
              <w:rPr>
                <w:color w:val="auto"/>
                <w:highlight w:val="none"/>
              </w:rPr>
            </w:pPr>
            <w:r>
              <w:rPr>
                <w:color w:val="auto"/>
                <w:highlight w:val="none"/>
              </w:rPr>
              <w:t>（1）</w:t>
            </w:r>
            <w:r>
              <w:rPr>
                <w:rFonts w:hint="eastAsia"/>
                <w:color w:val="auto"/>
                <w:highlight w:val="none"/>
              </w:rPr>
              <w:t>废气</w:t>
            </w:r>
          </w:p>
          <w:p w14:paraId="0954673D">
            <w:pPr>
              <w:spacing w:line="440" w:lineRule="exact"/>
              <w:ind w:firstLine="420" w:firstLineChars="200"/>
              <w:rPr>
                <w:rFonts w:hint="eastAsia"/>
                <w:color w:val="auto"/>
                <w:highlight w:val="none"/>
              </w:rPr>
            </w:pPr>
            <w:r>
              <w:rPr>
                <w:rFonts w:hint="eastAsia" w:cs="Times New Roman"/>
                <w:color w:val="auto"/>
                <w:highlight w:val="none"/>
                <w:lang w:val="en-US" w:eastAsia="zh-CN"/>
              </w:rPr>
              <w:t>项目</w:t>
            </w:r>
            <w:r>
              <w:rPr>
                <w:bCs/>
                <w:color w:val="auto"/>
              </w:rPr>
              <w:t>废气污染物主要为</w:t>
            </w:r>
            <w:r>
              <w:rPr>
                <w:rFonts w:hint="eastAsia"/>
                <w:bCs/>
                <w:color w:val="auto"/>
                <w:lang w:val="en-US" w:eastAsia="zh-CN"/>
              </w:rPr>
              <w:t>颗粒物、</w:t>
            </w:r>
            <w:r>
              <w:rPr>
                <w:bCs/>
                <w:color w:val="auto"/>
              </w:rPr>
              <w:t>硫酸雾、氯化氢、</w:t>
            </w:r>
            <w:r>
              <w:rPr>
                <w:color w:val="auto"/>
                <w:spacing w:val="8"/>
              </w:rPr>
              <w:t>非甲烷总烃</w:t>
            </w:r>
            <w:r>
              <w:rPr>
                <w:rFonts w:hint="eastAsia"/>
                <w:color w:val="auto"/>
                <w:spacing w:val="8"/>
                <w:lang w:eastAsia="zh-CN"/>
              </w:rPr>
              <w:t>。</w:t>
            </w:r>
            <w:r>
              <w:rPr>
                <w:color w:val="auto"/>
                <w:spacing w:val="8"/>
              </w:rPr>
              <w:t>其中</w:t>
            </w:r>
            <w:r>
              <w:rPr>
                <w:rFonts w:hint="eastAsia"/>
                <w:color w:val="auto"/>
                <w:spacing w:val="8"/>
                <w:lang w:val="en-US" w:eastAsia="zh-CN"/>
              </w:rPr>
              <w:t>颗粒物、</w:t>
            </w:r>
            <w:r>
              <w:rPr>
                <w:bCs/>
                <w:color w:val="auto"/>
              </w:rPr>
              <w:t>硫酸雾、氯化氢</w:t>
            </w:r>
            <w:r>
              <w:rPr>
                <w:rFonts w:hint="eastAsia" w:ascii="Times New Roman" w:hAnsi="Times New Roman" w:cs="Times New Roman"/>
                <w:color w:val="auto"/>
                <w:highlight w:val="none"/>
                <w:lang w:val="en-US" w:eastAsia="zh-CN"/>
              </w:rPr>
              <w:t>排放执行 《大气污染物综合排放标准》（GB16297-1996）中二级标准以及无组织排放标准要求；非甲烷总烃排放执行《工业企业挥发性有机物排放控制标准》（DB13/2322-2016）表1中其他行业标准、表2中其他企业边界大气污染物浓度限值及《挥发性有机物无组织排放控制标准》（GB37822-2019）表A.1特别排放限值要求。执行标准见表17。</w:t>
            </w:r>
          </w:p>
          <w:p w14:paraId="75A1DD81">
            <w:pPr>
              <w:spacing w:line="460" w:lineRule="exact"/>
              <w:jc w:val="center"/>
              <w:rPr>
                <w:b/>
                <w:color w:val="auto"/>
                <w:highlight w:val="none"/>
              </w:rPr>
            </w:pPr>
            <w:r>
              <w:rPr>
                <w:b/>
                <w:color w:val="auto"/>
                <w:highlight w:val="none"/>
              </w:rPr>
              <w:t>表</w:t>
            </w:r>
            <w:r>
              <w:rPr>
                <w:rFonts w:hint="eastAsia"/>
                <w:b/>
                <w:color w:val="auto"/>
                <w:highlight w:val="none"/>
                <w:lang w:val="en-US" w:eastAsia="zh-CN"/>
              </w:rPr>
              <w:t>17</w:t>
            </w:r>
            <w:r>
              <w:rPr>
                <w:b/>
                <w:color w:val="auto"/>
                <w:highlight w:val="none"/>
              </w:rPr>
              <w:t xml:space="preserve"> 运营期废气排放标准</w:t>
            </w:r>
          </w:p>
          <w:tbl>
            <w:tblPr>
              <w:tblStyle w:val="27"/>
              <w:tblW w:w="8134" w:type="dxa"/>
              <w:tblInd w:w="-71"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68"/>
              <w:gridCol w:w="939"/>
              <w:gridCol w:w="841"/>
              <w:gridCol w:w="732"/>
              <w:gridCol w:w="598"/>
              <w:gridCol w:w="1622"/>
              <w:gridCol w:w="2634"/>
            </w:tblGrid>
            <w:tr w14:paraId="45D90B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8" w:type="dxa"/>
                  <w:vMerge w:val="restart"/>
                  <w:tcBorders>
                    <w:tl2br w:val="nil"/>
                    <w:tr2bl w:val="nil"/>
                  </w:tcBorders>
                  <w:vAlign w:val="center"/>
                </w:tcPr>
                <w:p w14:paraId="571ED874">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污染物</w:t>
                  </w:r>
                </w:p>
              </w:tc>
              <w:tc>
                <w:tcPr>
                  <w:tcW w:w="2512" w:type="dxa"/>
                  <w:gridSpan w:val="3"/>
                  <w:tcBorders>
                    <w:tl2br w:val="nil"/>
                    <w:tr2bl w:val="nil"/>
                  </w:tcBorders>
                  <w:vAlign w:val="center"/>
                </w:tcPr>
                <w:p w14:paraId="211A91E6">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有组织</w:t>
                  </w:r>
                </w:p>
              </w:tc>
              <w:tc>
                <w:tcPr>
                  <w:tcW w:w="2220" w:type="dxa"/>
                  <w:gridSpan w:val="2"/>
                  <w:tcBorders>
                    <w:tl2br w:val="nil"/>
                    <w:tr2bl w:val="nil"/>
                  </w:tcBorders>
                  <w:vAlign w:val="center"/>
                </w:tcPr>
                <w:p w14:paraId="0C232BA5">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无组织</w:t>
                  </w:r>
                </w:p>
              </w:tc>
              <w:tc>
                <w:tcPr>
                  <w:tcW w:w="2634" w:type="dxa"/>
                  <w:vMerge w:val="restart"/>
                  <w:tcBorders>
                    <w:tl2br w:val="nil"/>
                    <w:tr2bl w:val="nil"/>
                  </w:tcBorders>
                  <w:vAlign w:val="center"/>
                </w:tcPr>
                <w:p w14:paraId="309EBA80">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执行标准</w:t>
                  </w:r>
                </w:p>
              </w:tc>
            </w:tr>
            <w:tr w14:paraId="039F00C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8" w:type="dxa"/>
                  <w:vMerge w:val="continue"/>
                  <w:tcBorders>
                    <w:tl2br w:val="nil"/>
                    <w:tr2bl w:val="nil"/>
                  </w:tcBorders>
                  <w:shd w:val="clear" w:color="auto" w:fill="auto"/>
                  <w:vAlign w:val="center"/>
                </w:tcPr>
                <w:p w14:paraId="5C4DD6BB">
                  <w:pPr>
                    <w:spacing w:line="240" w:lineRule="exac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939" w:type="dxa"/>
                  <w:vMerge w:val="restart"/>
                  <w:tcBorders>
                    <w:tl2br w:val="nil"/>
                    <w:tr2bl w:val="nil"/>
                  </w:tcBorders>
                  <w:shd w:val="clear" w:color="auto" w:fill="auto"/>
                  <w:vAlign w:val="center"/>
                </w:tcPr>
                <w:p w14:paraId="28C2CCB6">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最高允许排放浓度（mg/m</w:t>
                  </w:r>
                  <w:r>
                    <w:rPr>
                      <w:rFonts w:hint="eastAsia" w:ascii="Times New Roman" w:eastAsia="宋体" w:cs="Times New Roman"/>
                      <w:color w:val="auto"/>
                      <w:spacing w:val="-10"/>
                      <w:sz w:val="18"/>
                      <w:szCs w:val="18"/>
                      <w:vertAlign w:val="superscript"/>
                    </w:rPr>
                    <w:t>3</w:t>
                  </w:r>
                  <w:r>
                    <w:rPr>
                      <w:rFonts w:hint="eastAsia" w:ascii="Times New Roman" w:eastAsia="宋体" w:cs="Times New Roman"/>
                      <w:color w:val="auto"/>
                      <w:spacing w:val="-10"/>
                      <w:sz w:val="18"/>
                      <w:szCs w:val="18"/>
                    </w:rPr>
                    <w:t>）</w:t>
                  </w:r>
                </w:p>
              </w:tc>
              <w:tc>
                <w:tcPr>
                  <w:tcW w:w="1573" w:type="dxa"/>
                  <w:gridSpan w:val="2"/>
                  <w:tcBorders>
                    <w:tl2br w:val="nil"/>
                    <w:tr2bl w:val="nil"/>
                  </w:tcBorders>
                  <w:vAlign w:val="center"/>
                </w:tcPr>
                <w:p w14:paraId="1109EF65">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最高允许排放速率（kg/h）</w:t>
                  </w:r>
                </w:p>
              </w:tc>
              <w:tc>
                <w:tcPr>
                  <w:tcW w:w="2220" w:type="dxa"/>
                  <w:gridSpan w:val="2"/>
                  <w:vMerge w:val="restart"/>
                  <w:tcBorders>
                    <w:tl2br w:val="nil"/>
                    <w:tr2bl w:val="nil"/>
                  </w:tcBorders>
                  <w:vAlign w:val="center"/>
                </w:tcPr>
                <w:p w14:paraId="0EB558C5">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无组织排放监控浓度限值mg/m</w:t>
                  </w:r>
                  <w:r>
                    <w:rPr>
                      <w:rFonts w:hint="eastAsia" w:ascii="Times New Roman" w:eastAsia="宋体" w:cs="Times New Roman"/>
                      <w:color w:val="auto"/>
                      <w:spacing w:val="-10"/>
                      <w:sz w:val="18"/>
                      <w:szCs w:val="18"/>
                      <w:vertAlign w:val="superscript"/>
                    </w:rPr>
                    <w:t>3</w:t>
                  </w:r>
                </w:p>
              </w:tc>
              <w:tc>
                <w:tcPr>
                  <w:tcW w:w="2634" w:type="dxa"/>
                  <w:vMerge w:val="continue"/>
                  <w:tcBorders>
                    <w:tl2br w:val="nil"/>
                    <w:tr2bl w:val="nil"/>
                  </w:tcBorders>
                  <w:vAlign w:val="center"/>
                </w:tcPr>
                <w:p w14:paraId="5BF95A69">
                  <w:pPr>
                    <w:pStyle w:val="12"/>
                    <w:spacing w:line="240" w:lineRule="exact"/>
                    <w:jc w:val="center"/>
                    <w:rPr>
                      <w:rFonts w:hint="eastAsia" w:ascii="Times New Roman" w:eastAsia="宋体" w:cs="Times New Roman"/>
                      <w:color w:val="auto"/>
                      <w:spacing w:val="-10"/>
                      <w:sz w:val="18"/>
                      <w:szCs w:val="18"/>
                      <w:lang w:val="en-US" w:eastAsia="zh-CN"/>
                    </w:rPr>
                  </w:pPr>
                </w:p>
              </w:tc>
            </w:tr>
            <w:tr w14:paraId="3DF586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68" w:type="dxa"/>
                  <w:vMerge w:val="continue"/>
                  <w:tcBorders>
                    <w:tl2br w:val="nil"/>
                    <w:tr2bl w:val="nil"/>
                  </w:tcBorders>
                  <w:vAlign w:val="center"/>
                </w:tcPr>
                <w:p w14:paraId="66AC96DF">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939" w:type="dxa"/>
                  <w:vMerge w:val="continue"/>
                  <w:tcBorders>
                    <w:tl2br w:val="nil"/>
                    <w:tr2bl w:val="nil"/>
                  </w:tcBorders>
                  <w:vAlign w:val="center"/>
                </w:tcPr>
                <w:p w14:paraId="7F21BA30">
                  <w:pPr>
                    <w:pStyle w:val="12"/>
                    <w:spacing w:line="240" w:lineRule="exact"/>
                    <w:jc w:val="center"/>
                    <w:rPr>
                      <w:rFonts w:hint="eastAsia" w:ascii="Times New Roman" w:eastAsia="宋体" w:cs="Times New Roman"/>
                      <w:color w:val="auto"/>
                      <w:spacing w:val="-10"/>
                      <w:sz w:val="18"/>
                      <w:szCs w:val="18"/>
                      <w:lang w:val="en-US" w:eastAsia="zh-CN"/>
                    </w:rPr>
                  </w:pPr>
                </w:p>
              </w:tc>
              <w:tc>
                <w:tcPr>
                  <w:tcW w:w="841" w:type="dxa"/>
                  <w:tcBorders>
                    <w:tl2br w:val="nil"/>
                    <w:tr2bl w:val="nil"/>
                  </w:tcBorders>
                  <w:vAlign w:val="center"/>
                </w:tcPr>
                <w:p w14:paraId="0DD3AFDC">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排气筒高度m</w:t>
                  </w:r>
                </w:p>
              </w:tc>
              <w:tc>
                <w:tcPr>
                  <w:tcW w:w="732" w:type="dxa"/>
                  <w:tcBorders>
                    <w:tl2br w:val="nil"/>
                    <w:tr2bl w:val="nil"/>
                  </w:tcBorders>
                  <w:vAlign w:val="center"/>
                </w:tcPr>
                <w:p w14:paraId="4E0C9CB7">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二级</w:t>
                  </w:r>
                </w:p>
              </w:tc>
              <w:tc>
                <w:tcPr>
                  <w:tcW w:w="2220" w:type="dxa"/>
                  <w:gridSpan w:val="2"/>
                  <w:vMerge w:val="continue"/>
                  <w:tcBorders>
                    <w:tl2br w:val="nil"/>
                    <w:tr2bl w:val="nil"/>
                  </w:tcBorders>
                  <w:vAlign w:val="center"/>
                </w:tcPr>
                <w:p w14:paraId="7FA32640">
                  <w:pPr>
                    <w:pStyle w:val="12"/>
                    <w:spacing w:line="240" w:lineRule="exact"/>
                    <w:jc w:val="center"/>
                    <w:rPr>
                      <w:rFonts w:hint="eastAsia" w:ascii="Times New Roman" w:eastAsia="宋体" w:cs="Times New Roman"/>
                      <w:color w:val="auto"/>
                      <w:spacing w:val="-10"/>
                      <w:sz w:val="18"/>
                      <w:szCs w:val="18"/>
                      <w:lang w:val="en-US" w:eastAsia="zh-CN"/>
                    </w:rPr>
                  </w:pPr>
                </w:p>
              </w:tc>
              <w:tc>
                <w:tcPr>
                  <w:tcW w:w="2634" w:type="dxa"/>
                  <w:vMerge w:val="continue"/>
                  <w:tcBorders>
                    <w:tl2br w:val="nil"/>
                    <w:tr2bl w:val="nil"/>
                  </w:tcBorders>
                  <w:vAlign w:val="center"/>
                </w:tcPr>
                <w:p w14:paraId="1F0D1762">
                  <w:pPr>
                    <w:pStyle w:val="12"/>
                    <w:spacing w:line="240" w:lineRule="exact"/>
                    <w:jc w:val="center"/>
                    <w:rPr>
                      <w:rFonts w:hint="eastAsia" w:ascii="Times New Roman" w:eastAsia="宋体" w:cs="Times New Roman"/>
                      <w:color w:val="auto"/>
                      <w:spacing w:val="-10"/>
                      <w:sz w:val="18"/>
                      <w:szCs w:val="18"/>
                      <w:lang w:val="en-US" w:eastAsia="zh-CN"/>
                    </w:rPr>
                  </w:pPr>
                </w:p>
              </w:tc>
            </w:tr>
            <w:tr w14:paraId="473359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68" w:type="dxa"/>
                  <w:tcBorders>
                    <w:tl2br w:val="nil"/>
                    <w:tr2bl w:val="nil"/>
                  </w:tcBorders>
                  <w:vAlign w:val="center"/>
                </w:tcPr>
                <w:p w14:paraId="68B7225C">
                  <w:pPr>
                    <w:spacing w:line="240" w:lineRule="exact"/>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颗粒物</w:t>
                  </w:r>
                </w:p>
              </w:tc>
              <w:tc>
                <w:tcPr>
                  <w:tcW w:w="939" w:type="dxa"/>
                  <w:tcBorders>
                    <w:tl2br w:val="nil"/>
                    <w:tr2bl w:val="nil"/>
                  </w:tcBorders>
                  <w:vAlign w:val="center"/>
                </w:tcPr>
                <w:p w14:paraId="5F07E734">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w:t>
                  </w:r>
                </w:p>
              </w:tc>
              <w:tc>
                <w:tcPr>
                  <w:tcW w:w="841" w:type="dxa"/>
                  <w:tcBorders>
                    <w:tl2br w:val="nil"/>
                    <w:tr2bl w:val="nil"/>
                  </w:tcBorders>
                  <w:vAlign w:val="center"/>
                </w:tcPr>
                <w:p w14:paraId="7B18453A">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w:t>
                  </w:r>
                </w:p>
              </w:tc>
              <w:tc>
                <w:tcPr>
                  <w:tcW w:w="732" w:type="dxa"/>
                  <w:tcBorders>
                    <w:tl2br w:val="nil"/>
                    <w:tr2bl w:val="nil"/>
                  </w:tcBorders>
                  <w:vAlign w:val="center"/>
                </w:tcPr>
                <w:p w14:paraId="68FEDA7A">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w:t>
                  </w:r>
                </w:p>
              </w:tc>
              <w:tc>
                <w:tcPr>
                  <w:tcW w:w="2220" w:type="dxa"/>
                  <w:gridSpan w:val="2"/>
                  <w:tcBorders>
                    <w:tl2br w:val="nil"/>
                    <w:tr2bl w:val="nil"/>
                  </w:tcBorders>
                  <w:vAlign w:val="center"/>
                </w:tcPr>
                <w:p w14:paraId="70626A79">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厂界：1.0</w:t>
                  </w:r>
                </w:p>
              </w:tc>
              <w:tc>
                <w:tcPr>
                  <w:tcW w:w="2634" w:type="dxa"/>
                  <w:vMerge w:val="restart"/>
                  <w:tcBorders>
                    <w:tl2br w:val="nil"/>
                    <w:tr2bl w:val="nil"/>
                  </w:tcBorders>
                  <w:vAlign w:val="center"/>
                </w:tcPr>
                <w:p w14:paraId="71C8E67C">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rPr>
                    <w:t>《大气污染物综合排放标准》（GB16297-1996）中表2二级标准要求</w:t>
                  </w:r>
                </w:p>
              </w:tc>
            </w:tr>
            <w:tr w14:paraId="18048FF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68" w:type="dxa"/>
                  <w:tcBorders>
                    <w:tl2br w:val="nil"/>
                    <w:tr2bl w:val="nil"/>
                  </w:tcBorders>
                  <w:vAlign w:val="center"/>
                </w:tcPr>
                <w:p w14:paraId="2BE157F2">
                  <w:pPr>
                    <w:spacing w:line="24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HCl</w:t>
                  </w:r>
                </w:p>
              </w:tc>
              <w:tc>
                <w:tcPr>
                  <w:tcW w:w="939" w:type="dxa"/>
                  <w:tcBorders>
                    <w:tl2br w:val="nil"/>
                    <w:tr2bl w:val="nil"/>
                  </w:tcBorders>
                  <w:vAlign w:val="center"/>
                </w:tcPr>
                <w:p w14:paraId="61A159F5">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100</w:t>
                  </w:r>
                </w:p>
              </w:tc>
              <w:tc>
                <w:tcPr>
                  <w:tcW w:w="841" w:type="dxa"/>
                  <w:tcBorders>
                    <w:tl2br w:val="nil"/>
                    <w:tr2bl w:val="nil"/>
                  </w:tcBorders>
                  <w:vAlign w:val="center"/>
                </w:tcPr>
                <w:p w14:paraId="687C1875">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20</w:t>
                  </w:r>
                </w:p>
              </w:tc>
              <w:tc>
                <w:tcPr>
                  <w:tcW w:w="732" w:type="dxa"/>
                  <w:tcBorders>
                    <w:tl2br w:val="nil"/>
                    <w:tr2bl w:val="nil"/>
                  </w:tcBorders>
                  <w:vAlign w:val="center"/>
                </w:tcPr>
                <w:p w14:paraId="135D5A67">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0.43</w:t>
                  </w:r>
                </w:p>
              </w:tc>
              <w:tc>
                <w:tcPr>
                  <w:tcW w:w="2220" w:type="dxa"/>
                  <w:gridSpan w:val="2"/>
                  <w:tcBorders>
                    <w:tl2br w:val="nil"/>
                    <w:tr2bl w:val="nil"/>
                  </w:tcBorders>
                  <w:vAlign w:val="center"/>
                </w:tcPr>
                <w:p w14:paraId="056CA107">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w:t>
                  </w:r>
                  <w:r>
                    <w:rPr>
                      <w:rFonts w:hint="eastAsia" w:ascii="Times New Roman" w:eastAsia="宋体" w:cs="Times New Roman"/>
                      <w:color w:val="auto"/>
                      <w:spacing w:val="-10"/>
                      <w:sz w:val="18"/>
                      <w:szCs w:val="18"/>
                      <w:lang w:val="en-US" w:eastAsia="zh-CN"/>
                    </w:rPr>
                    <w:t>0.2</w:t>
                  </w:r>
                </w:p>
              </w:tc>
              <w:tc>
                <w:tcPr>
                  <w:tcW w:w="2634" w:type="dxa"/>
                  <w:vMerge w:val="continue"/>
                  <w:tcBorders>
                    <w:tl2br w:val="nil"/>
                    <w:tr2bl w:val="nil"/>
                  </w:tcBorders>
                  <w:vAlign w:val="center"/>
                </w:tcPr>
                <w:p w14:paraId="0BB4442B">
                  <w:pPr>
                    <w:pStyle w:val="12"/>
                    <w:spacing w:line="240" w:lineRule="exact"/>
                    <w:jc w:val="center"/>
                    <w:rPr>
                      <w:rFonts w:hint="eastAsia" w:ascii="Times New Roman" w:eastAsia="宋体" w:cs="Times New Roman"/>
                      <w:color w:val="auto"/>
                      <w:spacing w:val="-10"/>
                      <w:sz w:val="18"/>
                      <w:szCs w:val="18"/>
                      <w:lang w:val="en-US" w:eastAsia="zh-CN"/>
                    </w:rPr>
                  </w:pPr>
                </w:p>
              </w:tc>
            </w:tr>
            <w:tr w14:paraId="141E6B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68" w:type="dxa"/>
                  <w:tcBorders>
                    <w:tl2br w:val="nil"/>
                    <w:tr2bl w:val="nil"/>
                  </w:tcBorders>
                  <w:vAlign w:val="center"/>
                </w:tcPr>
                <w:p w14:paraId="0BC14AA2">
                  <w:pPr>
                    <w:spacing w:line="24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硫酸雾</w:t>
                  </w:r>
                </w:p>
              </w:tc>
              <w:tc>
                <w:tcPr>
                  <w:tcW w:w="939" w:type="dxa"/>
                  <w:tcBorders>
                    <w:tl2br w:val="nil"/>
                    <w:tr2bl w:val="nil"/>
                  </w:tcBorders>
                  <w:vAlign w:val="center"/>
                </w:tcPr>
                <w:p w14:paraId="375A8B7A">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45</w:t>
                  </w:r>
                </w:p>
              </w:tc>
              <w:tc>
                <w:tcPr>
                  <w:tcW w:w="841" w:type="dxa"/>
                  <w:tcBorders>
                    <w:tl2br w:val="nil"/>
                    <w:tr2bl w:val="nil"/>
                  </w:tcBorders>
                  <w:vAlign w:val="center"/>
                </w:tcPr>
                <w:p w14:paraId="254EAD90">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20</w:t>
                  </w:r>
                </w:p>
              </w:tc>
              <w:tc>
                <w:tcPr>
                  <w:tcW w:w="732" w:type="dxa"/>
                  <w:tcBorders>
                    <w:tl2br w:val="nil"/>
                    <w:tr2bl w:val="nil"/>
                  </w:tcBorders>
                  <w:vAlign w:val="center"/>
                </w:tcPr>
                <w:p w14:paraId="5B88A6B3">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2.6</w:t>
                  </w:r>
                </w:p>
              </w:tc>
              <w:tc>
                <w:tcPr>
                  <w:tcW w:w="2220" w:type="dxa"/>
                  <w:gridSpan w:val="2"/>
                  <w:tcBorders>
                    <w:tl2br w:val="nil"/>
                    <w:tr2bl w:val="nil"/>
                  </w:tcBorders>
                  <w:vAlign w:val="center"/>
                </w:tcPr>
                <w:p w14:paraId="4278549D">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w:t>
                  </w:r>
                  <w:r>
                    <w:rPr>
                      <w:rFonts w:hint="eastAsia" w:ascii="Times New Roman" w:eastAsia="宋体" w:cs="Times New Roman"/>
                      <w:color w:val="auto"/>
                      <w:spacing w:val="-10"/>
                      <w:sz w:val="18"/>
                      <w:szCs w:val="18"/>
                      <w:lang w:val="en-US" w:eastAsia="zh-CN"/>
                    </w:rPr>
                    <w:t>1.2</w:t>
                  </w:r>
                </w:p>
              </w:tc>
              <w:tc>
                <w:tcPr>
                  <w:tcW w:w="2634" w:type="dxa"/>
                  <w:vMerge w:val="continue"/>
                  <w:tcBorders>
                    <w:tl2br w:val="nil"/>
                    <w:tr2bl w:val="nil"/>
                  </w:tcBorders>
                  <w:vAlign w:val="center"/>
                </w:tcPr>
                <w:p w14:paraId="3B125A21">
                  <w:pPr>
                    <w:pStyle w:val="12"/>
                    <w:spacing w:line="240" w:lineRule="exact"/>
                    <w:jc w:val="center"/>
                    <w:rPr>
                      <w:rFonts w:hint="eastAsia" w:ascii="Times New Roman" w:eastAsia="宋体" w:cs="Times New Roman"/>
                      <w:color w:val="auto"/>
                      <w:spacing w:val="-10"/>
                      <w:sz w:val="18"/>
                      <w:szCs w:val="18"/>
                      <w:lang w:val="en-US" w:eastAsia="zh-CN"/>
                    </w:rPr>
                  </w:pPr>
                </w:p>
              </w:tc>
            </w:tr>
            <w:tr w14:paraId="423CAAB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68" w:type="dxa"/>
                  <w:vMerge w:val="restart"/>
                  <w:tcBorders>
                    <w:tl2br w:val="nil"/>
                    <w:tr2bl w:val="nil"/>
                  </w:tcBorders>
                  <w:vAlign w:val="center"/>
                </w:tcPr>
                <w:p w14:paraId="67783B5B">
                  <w:pPr>
                    <w:spacing w:line="24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非甲烷总烃</w:t>
                  </w:r>
                </w:p>
              </w:tc>
              <w:tc>
                <w:tcPr>
                  <w:tcW w:w="939" w:type="dxa"/>
                  <w:vMerge w:val="restart"/>
                  <w:tcBorders>
                    <w:tl2br w:val="nil"/>
                    <w:tr2bl w:val="nil"/>
                  </w:tcBorders>
                  <w:vAlign w:val="center"/>
                </w:tcPr>
                <w:p w14:paraId="671B3C8E">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80</w:t>
                  </w:r>
                </w:p>
              </w:tc>
              <w:tc>
                <w:tcPr>
                  <w:tcW w:w="841" w:type="dxa"/>
                  <w:vMerge w:val="restart"/>
                  <w:tcBorders>
                    <w:tl2br w:val="nil"/>
                    <w:tr2bl w:val="nil"/>
                  </w:tcBorders>
                  <w:vAlign w:val="center"/>
                </w:tcPr>
                <w:p w14:paraId="042D5CE3">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20</w:t>
                  </w:r>
                </w:p>
              </w:tc>
              <w:tc>
                <w:tcPr>
                  <w:tcW w:w="732" w:type="dxa"/>
                  <w:vMerge w:val="restart"/>
                  <w:tcBorders>
                    <w:tl2br w:val="nil"/>
                    <w:tr2bl w:val="nil"/>
                  </w:tcBorders>
                  <w:vAlign w:val="center"/>
                </w:tcPr>
                <w:p w14:paraId="10E4794C">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eastAsia="宋体" w:cs="Times New Roman"/>
                      <w:color w:val="auto"/>
                      <w:spacing w:val="-10"/>
                      <w:sz w:val="18"/>
                      <w:szCs w:val="18"/>
                      <w:lang w:val="en-US" w:eastAsia="zh-CN"/>
                    </w:rPr>
                    <w:t>--</w:t>
                  </w:r>
                </w:p>
              </w:tc>
              <w:tc>
                <w:tcPr>
                  <w:tcW w:w="2220" w:type="dxa"/>
                  <w:gridSpan w:val="2"/>
                  <w:tcBorders>
                    <w:tl2br w:val="nil"/>
                    <w:tr2bl w:val="nil"/>
                  </w:tcBorders>
                  <w:vAlign w:val="center"/>
                </w:tcPr>
                <w:p w14:paraId="285FB486">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厂界：</w:t>
                  </w:r>
                  <w:r>
                    <w:rPr>
                      <w:rFonts w:hint="eastAsia" w:ascii="Times New Roman" w:eastAsia="宋体" w:cs="Times New Roman"/>
                      <w:color w:val="auto"/>
                      <w:spacing w:val="-10"/>
                      <w:sz w:val="18"/>
                      <w:szCs w:val="18"/>
                      <w:lang w:val="en-US" w:eastAsia="zh-CN"/>
                    </w:rPr>
                    <w:t>2.0</w:t>
                  </w:r>
                </w:p>
              </w:tc>
              <w:tc>
                <w:tcPr>
                  <w:tcW w:w="2634" w:type="dxa"/>
                  <w:vMerge w:val="restart"/>
                  <w:tcBorders>
                    <w:tl2br w:val="nil"/>
                    <w:tr2bl w:val="nil"/>
                  </w:tcBorders>
                  <w:vAlign w:val="center"/>
                </w:tcPr>
                <w:p w14:paraId="44BCA237">
                  <w:pPr>
                    <w:pStyle w:val="12"/>
                    <w:spacing w:line="240" w:lineRule="exact"/>
                    <w:jc w:val="center"/>
                    <w:rPr>
                      <w:rFonts w:hint="eastAsia" w:ascii="Times New Roman" w:eastAsia="宋体" w:cs="Times New Roman"/>
                      <w:color w:val="auto"/>
                      <w:spacing w:val="-10"/>
                      <w:sz w:val="18"/>
                      <w:szCs w:val="18"/>
                      <w:lang w:eastAsia="zh-CN"/>
                    </w:rPr>
                  </w:pPr>
                  <w:r>
                    <w:rPr>
                      <w:rFonts w:hint="eastAsia" w:ascii="Times New Roman" w:eastAsia="宋体" w:cs="Times New Roman"/>
                      <w:color w:val="auto"/>
                      <w:spacing w:val="-10"/>
                      <w:sz w:val="18"/>
                      <w:szCs w:val="18"/>
                    </w:rPr>
                    <w:t>《工业企业挥发性有机物排放控制标准》（DB13/2322-2016）表1其他行业</w:t>
                  </w:r>
                  <w:r>
                    <w:rPr>
                      <w:rFonts w:hint="eastAsia" w:ascii="Times New Roman" w:eastAsia="宋体" w:cs="Times New Roman"/>
                      <w:color w:val="auto"/>
                      <w:spacing w:val="-10"/>
                      <w:sz w:val="18"/>
                      <w:szCs w:val="18"/>
                      <w:lang w:eastAsia="zh-CN"/>
                    </w:rPr>
                    <w:t>、</w:t>
                  </w:r>
                  <w:r>
                    <w:rPr>
                      <w:rFonts w:hint="eastAsia" w:ascii="Times New Roman" w:eastAsia="宋体" w:cs="Times New Roman"/>
                      <w:color w:val="auto"/>
                      <w:spacing w:val="-10"/>
                      <w:sz w:val="18"/>
                      <w:szCs w:val="18"/>
                    </w:rPr>
                    <w:t>表2</w:t>
                  </w:r>
                  <w:r>
                    <w:rPr>
                      <w:rFonts w:hint="eastAsia" w:ascii="Times New Roman" w:eastAsia="宋体" w:cs="Times New Roman"/>
                      <w:color w:val="auto"/>
                      <w:spacing w:val="-10"/>
                      <w:sz w:val="18"/>
                      <w:szCs w:val="18"/>
                      <w:lang w:val="en-US" w:eastAsia="zh-CN"/>
                    </w:rPr>
                    <w:t>其他</w:t>
                  </w:r>
                  <w:r>
                    <w:rPr>
                      <w:rFonts w:hint="eastAsia" w:ascii="Times New Roman" w:eastAsia="宋体" w:cs="Times New Roman"/>
                      <w:color w:val="auto"/>
                      <w:spacing w:val="-10"/>
                      <w:sz w:val="18"/>
                      <w:szCs w:val="18"/>
                    </w:rPr>
                    <w:t>企业边界</w:t>
                  </w:r>
                  <w:r>
                    <w:rPr>
                      <w:rFonts w:hint="eastAsia" w:ascii="Times New Roman" w:eastAsia="宋体" w:cs="Times New Roman"/>
                      <w:color w:val="auto"/>
                      <w:spacing w:val="-10"/>
                      <w:sz w:val="18"/>
                      <w:szCs w:val="18"/>
                      <w:lang w:val="en-US" w:eastAsia="zh-CN"/>
                    </w:rPr>
                    <w:t>及《挥发性有机物无组织排放控制标准》（GB37822-2019）表A.1特别排放限值要求</w:t>
                  </w:r>
                </w:p>
              </w:tc>
            </w:tr>
            <w:tr w14:paraId="04CD6C6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768" w:type="dxa"/>
                  <w:vMerge w:val="continue"/>
                  <w:tcBorders>
                    <w:tl2br w:val="nil"/>
                    <w:tr2bl w:val="nil"/>
                  </w:tcBorders>
                  <w:vAlign w:val="center"/>
                </w:tcPr>
                <w:p w14:paraId="03CDE9C5">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939" w:type="dxa"/>
                  <w:vMerge w:val="continue"/>
                  <w:tcBorders>
                    <w:tl2br w:val="nil"/>
                    <w:tr2bl w:val="nil"/>
                  </w:tcBorders>
                  <w:vAlign w:val="center"/>
                </w:tcPr>
                <w:p w14:paraId="0507A404">
                  <w:pPr>
                    <w:pStyle w:val="12"/>
                    <w:spacing w:line="240" w:lineRule="exact"/>
                    <w:jc w:val="center"/>
                    <w:rPr>
                      <w:rFonts w:hint="eastAsia" w:ascii="Times New Roman" w:eastAsia="宋体" w:cs="Times New Roman"/>
                      <w:color w:val="auto"/>
                      <w:spacing w:val="-10"/>
                      <w:sz w:val="18"/>
                      <w:szCs w:val="18"/>
                      <w:lang w:val="en-US" w:eastAsia="zh-CN"/>
                    </w:rPr>
                  </w:pPr>
                </w:p>
              </w:tc>
              <w:tc>
                <w:tcPr>
                  <w:tcW w:w="841" w:type="dxa"/>
                  <w:vMerge w:val="continue"/>
                  <w:tcBorders>
                    <w:tl2br w:val="nil"/>
                    <w:tr2bl w:val="nil"/>
                  </w:tcBorders>
                  <w:vAlign w:val="center"/>
                </w:tcPr>
                <w:p w14:paraId="6C9C6D24">
                  <w:pPr>
                    <w:pStyle w:val="12"/>
                    <w:spacing w:line="240" w:lineRule="exact"/>
                    <w:jc w:val="center"/>
                    <w:rPr>
                      <w:rFonts w:hint="eastAsia" w:ascii="Times New Roman" w:cs="Times New Roman"/>
                      <w:color w:val="auto"/>
                      <w:spacing w:val="-10"/>
                      <w:sz w:val="18"/>
                      <w:szCs w:val="18"/>
                      <w:lang w:val="en-US" w:eastAsia="zh-CN"/>
                    </w:rPr>
                  </w:pPr>
                </w:p>
              </w:tc>
              <w:tc>
                <w:tcPr>
                  <w:tcW w:w="732" w:type="dxa"/>
                  <w:vMerge w:val="continue"/>
                  <w:tcBorders>
                    <w:tl2br w:val="nil"/>
                    <w:tr2bl w:val="nil"/>
                  </w:tcBorders>
                  <w:vAlign w:val="center"/>
                </w:tcPr>
                <w:p w14:paraId="5B30434B">
                  <w:pPr>
                    <w:pStyle w:val="12"/>
                    <w:spacing w:line="240" w:lineRule="exact"/>
                    <w:jc w:val="center"/>
                    <w:rPr>
                      <w:rFonts w:hint="eastAsia" w:ascii="Times New Roman" w:eastAsia="宋体" w:cs="Times New Roman"/>
                      <w:color w:val="auto"/>
                      <w:spacing w:val="-10"/>
                      <w:sz w:val="18"/>
                      <w:szCs w:val="18"/>
                      <w:lang w:val="en-US" w:eastAsia="zh-CN"/>
                    </w:rPr>
                  </w:pPr>
                </w:p>
              </w:tc>
              <w:tc>
                <w:tcPr>
                  <w:tcW w:w="598" w:type="dxa"/>
                  <w:vMerge w:val="restart"/>
                  <w:tcBorders>
                    <w:tl2br w:val="nil"/>
                    <w:tr2bl w:val="nil"/>
                  </w:tcBorders>
                  <w:vAlign w:val="center"/>
                </w:tcPr>
                <w:p w14:paraId="351D6678">
                  <w:pPr>
                    <w:pStyle w:val="12"/>
                    <w:spacing w:line="240" w:lineRule="exact"/>
                    <w:jc w:val="center"/>
                    <w:rPr>
                      <w:rFonts w:hint="default" w:ascii="Times New Roman" w:eastAsia="宋体" w:cs="Times New Roman"/>
                      <w:color w:val="auto"/>
                      <w:spacing w:val="-10"/>
                      <w:sz w:val="18"/>
                      <w:szCs w:val="18"/>
                      <w:lang w:val="en-US" w:eastAsia="zh-CN"/>
                    </w:rPr>
                  </w:pPr>
                  <w:r>
                    <w:rPr>
                      <w:rFonts w:hint="eastAsia" w:ascii="Times New Roman" w:cs="Times New Roman"/>
                      <w:color w:val="auto"/>
                      <w:spacing w:val="-10"/>
                      <w:sz w:val="18"/>
                      <w:szCs w:val="18"/>
                      <w:lang w:val="en-US" w:eastAsia="zh-CN"/>
                    </w:rPr>
                    <w:t>厂区内</w:t>
                  </w:r>
                </w:p>
              </w:tc>
              <w:tc>
                <w:tcPr>
                  <w:tcW w:w="1622" w:type="dxa"/>
                  <w:tcBorders>
                    <w:tl2br w:val="nil"/>
                    <w:tr2bl w:val="nil"/>
                  </w:tcBorders>
                  <w:vAlign w:val="center"/>
                </w:tcPr>
                <w:p w14:paraId="1A02EA4F">
                  <w:pPr>
                    <w:pStyle w:val="12"/>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.0mg/m</w:t>
                  </w:r>
                  <w:r>
                    <w:rPr>
                      <w:rFonts w:hint="eastAsia" w:ascii="Times New Roman" w:hAnsi="Times New Roman" w:eastAsia="宋体" w:cs="Times New Roman"/>
                      <w:color w:val="auto"/>
                      <w:spacing w:val="-10"/>
                      <w:sz w:val="18"/>
                      <w:szCs w:val="18"/>
                      <w:highlight w:val="none"/>
                      <w:vertAlign w:val="superscript"/>
                      <w:lang w:val="en-US" w:eastAsia="zh-CN"/>
                    </w:rPr>
                    <w:t>3</w:t>
                  </w:r>
                </w:p>
                <w:p w14:paraId="7E84A6B6">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highlight w:val="none"/>
                      <w:lang w:val="en-US" w:eastAsia="zh-CN"/>
                    </w:rPr>
                    <w:t>（1h平均浓度值）</w:t>
                  </w:r>
                </w:p>
              </w:tc>
              <w:tc>
                <w:tcPr>
                  <w:tcW w:w="2634" w:type="dxa"/>
                  <w:vMerge w:val="continue"/>
                  <w:tcBorders>
                    <w:tl2br w:val="nil"/>
                    <w:tr2bl w:val="nil"/>
                  </w:tcBorders>
                  <w:vAlign w:val="center"/>
                </w:tcPr>
                <w:p w14:paraId="3D02006E">
                  <w:pPr>
                    <w:pStyle w:val="12"/>
                    <w:spacing w:line="240" w:lineRule="exact"/>
                    <w:jc w:val="center"/>
                    <w:rPr>
                      <w:rFonts w:hint="eastAsia" w:ascii="Times New Roman" w:eastAsia="宋体" w:cs="Times New Roman"/>
                      <w:color w:val="auto"/>
                      <w:spacing w:val="-10"/>
                      <w:sz w:val="18"/>
                      <w:szCs w:val="18"/>
                    </w:rPr>
                  </w:pPr>
                </w:p>
              </w:tc>
            </w:tr>
            <w:tr w14:paraId="2D2690E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4" w:hRule="atLeast"/>
              </w:trPr>
              <w:tc>
                <w:tcPr>
                  <w:tcW w:w="768" w:type="dxa"/>
                  <w:vMerge w:val="continue"/>
                  <w:tcBorders>
                    <w:tl2br w:val="nil"/>
                    <w:tr2bl w:val="nil"/>
                  </w:tcBorders>
                  <w:vAlign w:val="center"/>
                </w:tcPr>
                <w:p w14:paraId="25E036C0">
                  <w:pPr>
                    <w:spacing w:line="240" w:lineRule="exact"/>
                    <w:jc w:val="center"/>
                    <w:rPr>
                      <w:rFonts w:hint="eastAsia" w:ascii="Times New Roman" w:hAnsi="Times New Roman" w:cs="Times New Roman"/>
                      <w:color w:val="auto"/>
                      <w:spacing w:val="-10"/>
                      <w:sz w:val="18"/>
                      <w:szCs w:val="18"/>
                      <w:highlight w:val="none"/>
                      <w:lang w:val="en-US" w:eastAsia="zh-CN"/>
                    </w:rPr>
                  </w:pPr>
                </w:p>
              </w:tc>
              <w:tc>
                <w:tcPr>
                  <w:tcW w:w="939" w:type="dxa"/>
                  <w:vMerge w:val="continue"/>
                  <w:tcBorders>
                    <w:tl2br w:val="nil"/>
                    <w:tr2bl w:val="nil"/>
                  </w:tcBorders>
                  <w:vAlign w:val="center"/>
                </w:tcPr>
                <w:p w14:paraId="3FA11337">
                  <w:pPr>
                    <w:pStyle w:val="12"/>
                    <w:spacing w:line="240" w:lineRule="exact"/>
                    <w:jc w:val="center"/>
                    <w:rPr>
                      <w:rFonts w:hint="eastAsia" w:ascii="Times New Roman" w:eastAsia="宋体" w:cs="Times New Roman"/>
                      <w:color w:val="auto"/>
                      <w:spacing w:val="-10"/>
                      <w:sz w:val="18"/>
                      <w:szCs w:val="18"/>
                      <w:lang w:val="en-US" w:eastAsia="zh-CN"/>
                    </w:rPr>
                  </w:pPr>
                </w:p>
              </w:tc>
              <w:tc>
                <w:tcPr>
                  <w:tcW w:w="841" w:type="dxa"/>
                  <w:vMerge w:val="continue"/>
                  <w:tcBorders>
                    <w:tl2br w:val="nil"/>
                    <w:tr2bl w:val="nil"/>
                  </w:tcBorders>
                  <w:vAlign w:val="center"/>
                </w:tcPr>
                <w:p w14:paraId="7435FD41">
                  <w:pPr>
                    <w:pStyle w:val="12"/>
                    <w:spacing w:line="240" w:lineRule="exact"/>
                    <w:jc w:val="center"/>
                    <w:rPr>
                      <w:rFonts w:hint="eastAsia" w:ascii="Times New Roman" w:cs="Times New Roman"/>
                      <w:color w:val="auto"/>
                      <w:spacing w:val="-10"/>
                      <w:sz w:val="18"/>
                      <w:szCs w:val="18"/>
                      <w:lang w:val="en-US" w:eastAsia="zh-CN"/>
                    </w:rPr>
                  </w:pPr>
                </w:p>
              </w:tc>
              <w:tc>
                <w:tcPr>
                  <w:tcW w:w="732" w:type="dxa"/>
                  <w:vMerge w:val="continue"/>
                  <w:tcBorders>
                    <w:tl2br w:val="nil"/>
                    <w:tr2bl w:val="nil"/>
                  </w:tcBorders>
                  <w:vAlign w:val="center"/>
                </w:tcPr>
                <w:p w14:paraId="100CCAEE">
                  <w:pPr>
                    <w:pStyle w:val="12"/>
                    <w:spacing w:line="240" w:lineRule="exact"/>
                    <w:jc w:val="center"/>
                    <w:rPr>
                      <w:rFonts w:hint="eastAsia" w:ascii="Times New Roman" w:eastAsia="宋体" w:cs="Times New Roman"/>
                      <w:color w:val="auto"/>
                      <w:spacing w:val="-10"/>
                      <w:sz w:val="18"/>
                      <w:szCs w:val="18"/>
                      <w:lang w:val="en-US" w:eastAsia="zh-CN"/>
                    </w:rPr>
                  </w:pPr>
                </w:p>
              </w:tc>
              <w:tc>
                <w:tcPr>
                  <w:tcW w:w="598" w:type="dxa"/>
                  <w:vMerge w:val="continue"/>
                  <w:tcBorders>
                    <w:tl2br w:val="nil"/>
                    <w:tr2bl w:val="nil"/>
                  </w:tcBorders>
                  <w:vAlign w:val="center"/>
                </w:tcPr>
                <w:p w14:paraId="116254C9">
                  <w:pPr>
                    <w:pStyle w:val="12"/>
                    <w:spacing w:line="240" w:lineRule="exact"/>
                    <w:jc w:val="center"/>
                    <w:rPr>
                      <w:rFonts w:hint="eastAsia" w:ascii="Times New Roman" w:eastAsia="宋体" w:cs="Times New Roman"/>
                      <w:color w:val="auto"/>
                      <w:spacing w:val="-10"/>
                      <w:sz w:val="18"/>
                      <w:szCs w:val="18"/>
                      <w:lang w:val="en-US" w:eastAsia="zh-CN"/>
                    </w:rPr>
                  </w:pPr>
                </w:p>
              </w:tc>
              <w:tc>
                <w:tcPr>
                  <w:tcW w:w="1622" w:type="dxa"/>
                  <w:tcBorders>
                    <w:tl2br w:val="nil"/>
                    <w:tr2bl w:val="nil"/>
                  </w:tcBorders>
                  <w:vAlign w:val="center"/>
                </w:tcPr>
                <w:p w14:paraId="21C4B72C">
                  <w:pPr>
                    <w:pStyle w:val="12"/>
                    <w:spacing w:line="24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20mg/m</w:t>
                  </w:r>
                  <w:r>
                    <w:rPr>
                      <w:rFonts w:hint="eastAsia" w:ascii="Times New Roman" w:hAnsi="Times New Roman" w:eastAsia="宋体" w:cs="Times New Roman"/>
                      <w:color w:val="auto"/>
                      <w:spacing w:val="-10"/>
                      <w:sz w:val="18"/>
                      <w:szCs w:val="18"/>
                      <w:highlight w:val="none"/>
                      <w:vertAlign w:val="superscript"/>
                      <w:lang w:val="en-US" w:eastAsia="zh-CN"/>
                    </w:rPr>
                    <w:t>3</w:t>
                  </w:r>
                </w:p>
                <w:p w14:paraId="6EA0918B">
                  <w:pPr>
                    <w:pStyle w:val="12"/>
                    <w:spacing w:line="240" w:lineRule="exact"/>
                    <w:jc w:val="center"/>
                    <w:rPr>
                      <w:rFonts w:hint="eastAsia" w:ascii="Times New Roman" w:eastAsia="宋体" w:cs="Times New Roman"/>
                      <w:color w:val="auto"/>
                      <w:spacing w:val="-10"/>
                      <w:sz w:val="18"/>
                      <w:szCs w:val="18"/>
                      <w:lang w:val="en-US" w:eastAsia="zh-CN"/>
                    </w:rPr>
                  </w:pPr>
                  <w:r>
                    <w:rPr>
                      <w:rFonts w:hint="eastAsia" w:ascii="Times New Roman" w:hAnsi="Times New Roman" w:eastAsia="宋体" w:cs="Times New Roman"/>
                      <w:color w:val="auto"/>
                      <w:spacing w:val="-10"/>
                      <w:sz w:val="18"/>
                      <w:szCs w:val="18"/>
                      <w:highlight w:val="none"/>
                      <w:lang w:val="en-US" w:eastAsia="zh-CN"/>
                    </w:rPr>
                    <w:t>（任意一次浓度值）</w:t>
                  </w:r>
                </w:p>
              </w:tc>
              <w:tc>
                <w:tcPr>
                  <w:tcW w:w="2634" w:type="dxa"/>
                  <w:vMerge w:val="continue"/>
                  <w:tcBorders>
                    <w:tl2br w:val="nil"/>
                    <w:tr2bl w:val="nil"/>
                  </w:tcBorders>
                  <w:vAlign w:val="center"/>
                </w:tcPr>
                <w:p w14:paraId="3B65CF25">
                  <w:pPr>
                    <w:pStyle w:val="12"/>
                    <w:spacing w:line="240" w:lineRule="exact"/>
                    <w:jc w:val="center"/>
                    <w:rPr>
                      <w:rFonts w:hint="eastAsia" w:ascii="Times New Roman" w:eastAsia="宋体" w:cs="Times New Roman"/>
                      <w:color w:val="auto"/>
                      <w:spacing w:val="-10"/>
                      <w:sz w:val="18"/>
                      <w:szCs w:val="18"/>
                    </w:rPr>
                  </w:pPr>
                </w:p>
              </w:tc>
            </w:tr>
          </w:tbl>
          <w:p w14:paraId="6AB35024">
            <w:pPr>
              <w:keepNext w:val="0"/>
              <w:keepLines w:val="0"/>
              <w:pageBreakBefore w:val="0"/>
              <w:widowControl w:val="0"/>
              <w:numPr>
                <w:ilvl w:val="0"/>
                <w:numId w:val="4"/>
              </w:numPr>
              <w:kinsoku/>
              <w:wordWrap/>
              <w:overflowPunct/>
              <w:topLinePunct w:val="0"/>
              <w:autoSpaceDE/>
              <w:autoSpaceDN/>
              <w:bidi w:val="0"/>
              <w:adjustRightInd/>
              <w:snapToGrid/>
              <w:spacing w:line="440" w:lineRule="exact"/>
              <w:ind w:firstLine="420" w:firstLineChars="200"/>
              <w:textAlignment w:val="auto"/>
              <w:rPr>
                <w:rFonts w:hint="eastAsia"/>
                <w:color w:val="auto"/>
                <w:highlight w:val="none"/>
                <w:lang w:val="en-US" w:eastAsia="zh-CN"/>
              </w:rPr>
            </w:pPr>
            <w:r>
              <w:rPr>
                <w:rFonts w:hint="eastAsia"/>
                <w:color w:val="auto"/>
                <w:highlight w:val="none"/>
                <w:lang w:val="en-US" w:eastAsia="zh-CN"/>
              </w:rPr>
              <w:t>废水</w:t>
            </w:r>
          </w:p>
          <w:p w14:paraId="43F125BC">
            <w:pPr>
              <w:spacing w:line="440" w:lineRule="exact"/>
              <w:ind w:firstLine="420" w:firstLineChars="20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本项目综合废水</w:t>
            </w:r>
            <w:r>
              <w:rPr>
                <w:rFonts w:hint="eastAsia" w:ascii="Times New Roman" w:hAnsi="Times New Roman" w:cs="Times New Roman"/>
                <w:color w:val="auto"/>
                <w:highlight w:val="none"/>
              </w:rPr>
              <w:t>排放执行《污水综合排放标准》（GB8978-1996）表4三级标准、《污水排入城镇下水道水质标准》（GB/T 31962-2015）表1A级标准，同时满足</w:t>
            </w:r>
            <w:r>
              <w:rPr>
                <w:rFonts w:hint="eastAsia" w:ascii="Times New Roman" w:hAnsi="Times New Roman" w:eastAsia="宋体" w:cs="Times New Roman"/>
                <w:color w:val="auto"/>
                <w:highlight w:val="none"/>
              </w:rPr>
              <w:t>迁安污水处理厂</w:t>
            </w:r>
            <w:r>
              <w:rPr>
                <w:rFonts w:hint="eastAsia" w:ascii="Times New Roman" w:hAnsi="Times New Roman" w:cs="Times New Roman"/>
                <w:color w:val="auto"/>
                <w:highlight w:val="none"/>
              </w:rPr>
              <w:t>的收水水质标准。</w:t>
            </w:r>
          </w:p>
          <w:p w14:paraId="57C1FD5F">
            <w:pPr>
              <w:spacing w:line="460" w:lineRule="exact"/>
              <w:jc w:val="center"/>
              <w:rPr>
                <w:rFonts w:hint="eastAsia" w:ascii="Times New Roman" w:hAnsi="Times New Roman" w:cs="Times New Roman"/>
                <w:b/>
                <w:color w:val="auto"/>
                <w:highlight w:val="none"/>
              </w:rPr>
            </w:pPr>
            <w:r>
              <w:rPr>
                <w:rFonts w:ascii="Times New Roman" w:hAnsi="Times New Roman" w:cs="Times New Roman"/>
                <w:b/>
                <w:color w:val="auto"/>
                <w:highlight w:val="none"/>
              </w:rPr>
              <w:t>表</w:t>
            </w:r>
            <w:r>
              <w:rPr>
                <w:rFonts w:hint="eastAsia" w:cs="Times New Roman"/>
                <w:b/>
                <w:color w:val="auto"/>
                <w:highlight w:val="none"/>
                <w:lang w:val="en-US" w:eastAsia="zh-CN"/>
              </w:rPr>
              <w:t>18</w:t>
            </w:r>
            <w:r>
              <w:rPr>
                <w:rFonts w:hint="eastAsia" w:ascii="Times New Roman" w:hAnsi="Times New Roman" w:cs="Times New Roman"/>
                <w:b/>
                <w:color w:val="auto"/>
                <w:highlight w:val="none"/>
              </w:rPr>
              <w:t xml:space="preserve"> </w:t>
            </w:r>
            <w:r>
              <w:rPr>
                <w:rFonts w:ascii="Times New Roman" w:hAnsi="Times New Roman" w:cs="Times New Roman"/>
                <w:b/>
                <w:color w:val="auto"/>
                <w:highlight w:val="none"/>
              </w:rPr>
              <w:t>污染物排放标准及限值</w:t>
            </w:r>
          </w:p>
          <w:tbl>
            <w:tblPr>
              <w:tblStyle w:val="26"/>
              <w:tblW w:w="8137"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673"/>
              <w:gridCol w:w="1014"/>
              <w:gridCol w:w="955"/>
              <w:gridCol w:w="1647"/>
              <w:gridCol w:w="1122"/>
              <w:gridCol w:w="2726"/>
            </w:tblGrid>
            <w:tr w14:paraId="5058D70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exact"/>
                <w:jc w:val="center"/>
              </w:trPr>
              <w:tc>
                <w:tcPr>
                  <w:tcW w:w="673" w:type="dxa"/>
                  <w:vMerge w:val="restart"/>
                  <w:noWrap w:val="0"/>
                  <w:tcMar>
                    <w:top w:w="28" w:type="dxa"/>
                    <w:left w:w="28" w:type="dxa"/>
                    <w:bottom w:w="28" w:type="dxa"/>
                    <w:right w:w="28" w:type="dxa"/>
                  </w:tcMar>
                  <w:vAlign w:val="center"/>
                </w:tcPr>
                <w:p w14:paraId="7DA483BD">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类别</w:t>
                  </w:r>
                </w:p>
              </w:tc>
              <w:tc>
                <w:tcPr>
                  <w:tcW w:w="1014" w:type="dxa"/>
                  <w:vMerge w:val="restart"/>
                  <w:noWrap w:val="0"/>
                  <w:tcMar>
                    <w:top w:w="28" w:type="dxa"/>
                    <w:left w:w="28" w:type="dxa"/>
                    <w:bottom w:w="28" w:type="dxa"/>
                    <w:right w:w="28" w:type="dxa"/>
                  </w:tcMar>
                  <w:vAlign w:val="center"/>
                </w:tcPr>
                <w:p w14:paraId="5045962E">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污染源</w:t>
                  </w:r>
                </w:p>
              </w:tc>
              <w:tc>
                <w:tcPr>
                  <w:tcW w:w="955" w:type="dxa"/>
                  <w:vMerge w:val="restart"/>
                  <w:noWrap w:val="0"/>
                  <w:tcMar>
                    <w:top w:w="28" w:type="dxa"/>
                    <w:left w:w="28" w:type="dxa"/>
                    <w:bottom w:w="28" w:type="dxa"/>
                    <w:right w:w="28" w:type="dxa"/>
                  </w:tcMar>
                  <w:vAlign w:val="center"/>
                </w:tcPr>
                <w:p w14:paraId="69946199">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污染物</w:t>
                  </w:r>
                </w:p>
              </w:tc>
              <w:tc>
                <w:tcPr>
                  <w:tcW w:w="2769" w:type="dxa"/>
                  <w:gridSpan w:val="2"/>
                  <w:tcBorders>
                    <w:bottom w:val="single" w:color="auto" w:sz="4" w:space="0"/>
                  </w:tcBorders>
                  <w:noWrap w:val="0"/>
                  <w:tcMar>
                    <w:top w:w="28" w:type="dxa"/>
                    <w:left w:w="28" w:type="dxa"/>
                    <w:bottom w:w="28" w:type="dxa"/>
                    <w:right w:w="28" w:type="dxa"/>
                  </w:tcMar>
                  <w:vAlign w:val="center"/>
                </w:tcPr>
                <w:p w14:paraId="319D78BF">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排放限值</w:t>
                  </w:r>
                </w:p>
              </w:tc>
              <w:tc>
                <w:tcPr>
                  <w:tcW w:w="2726" w:type="dxa"/>
                  <w:vMerge w:val="restart"/>
                  <w:noWrap w:val="0"/>
                  <w:tcMar>
                    <w:top w:w="28" w:type="dxa"/>
                    <w:left w:w="28" w:type="dxa"/>
                    <w:bottom w:w="28" w:type="dxa"/>
                    <w:right w:w="28" w:type="dxa"/>
                  </w:tcMar>
                  <w:vAlign w:val="center"/>
                </w:tcPr>
                <w:p w14:paraId="0754588F">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标准来源</w:t>
                  </w:r>
                </w:p>
              </w:tc>
            </w:tr>
            <w:tr w14:paraId="7EFF83E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exact"/>
                <w:jc w:val="center"/>
              </w:trPr>
              <w:tc>
                <w:tcPr>
                  <w:tcW w:w="673" w:type="dxa"/>
                  <w:vMerge w:val="continue"/>
                  <w:noWrap w:val="0"/>
                  <w:tcMar>
                    <w:top w:w="28" w:type="dxa"/>
                    <w:left w:w="28" w:type="dxa"/>
                    <w:bottom w:w="28" w:type="dxa"/>
                    <w:right w:w="28" w:type="dxa"/>
                  </w:tcMar>
                  <w:vAlign w:val="center"/>
                </w:tcPr>
                <w:p w14:paraId="55EB9323">
                  <w:pPr>
                    <w:spacing w:line="320" w:lineRule="exact"/>
                    <w:jc w:val="center"/>
                    <w:rPr>
                      <w:rFonts w:hint="default" w:ascii="Times New Roman" w:hAnsi="Times New Roman" w:cs="Times New Roman" w:eastAsiaTheme="minorEastAsia"/>
                      <w:color w:val="auto"/>
                      <w:spacing w:val="-20"/>
                      <w:sz w:val="18"/>
                      <w:szCs w:val="18"/>
                    </w:rPr>
                  </w:pPr>
                </w:p>
              </w:tc>
              <w:tc>
                <w:tcPr>
                  <w:tcW w:w="1014" w:type="dxa"/>
                  <w:vMerge w:val="continue"/>
                  <w:noWrap w:val="0"/>
                  <w:tcMar>
                    <w:top w:w="28" w:type="dxa"/>
                    <w:left w:w="28" w:type="dxa"/>
                    <w:bottom w:w="28" w:type="dxa"/>
                    <w:right w:w="28" w:type="dxa"/>
                  </w:tcMar>
                  <w:vAlign w:val="center"/>
                </w:tcPr>
                <w:p w14:paraId="73FFF61E">
                  <w:pPr>
                    <w:spacing w:line="320" w:lineRule="exact"/>
                    <w:jc w:val="center"/>
                    <w:rPr>
                      <w:rFonts w:hint="default" w:ascii="Times New Roman" w:hAnsi="Times New Roman" w:cs="Times New Roman" w:eastAsiaTheme="minorEastAsia"/>
                      <w:color w:val="auto"/>
                      <w:spacing w:val="-20"/>
                      <w:sz w:val="18"/>
                      <w:szCs w:val="18"/>
                    </w:rPr>
                  </w:pPr>
                </w:p>
              </w:tc>
              <w:tc>
                <w:tcPr>
                  <w:tcW w:w="955" w:type="dxa"/>
                  <w:vMerge w:val="continue"/>
                  <w:noWrap w:val="0"/>
                  <w:tcMar>
                    <w:top w:w="28" w:type="dxa"/>
                    <w:left w:w="28" w:type="dxa"/>
                    <w:bottom w:w="28" w:type="dxa"/>
                    <w:right w:w="28" w:type="dxa"/>
                  </w:tcMar>
                  <w:vAlign w:val="center"/>
                </w:tcPr>
                <w:p w14:paraId="2F8F25CF">
                  <w:pPr>
                    <w:spacing w:line="320" w:lineRule="exact"/>
                    <w:jc w:val="center"/>
                    <w:rPr>
                      <w:rFonts w:hint="default" w:ascii="Times New Roman" w:hAnsi="Times New Roman" w:cs="Times New Roman" w:eastAsiaTheme="minorEastAsia"/>
                      <w:color w:val="auto"/>
                      <w:spacing w:val="-20"/>
                      <w:sz w:val="18"/>
                      <w:szCs w:val="18"/>
                    </w:rPr>
                  </w:pPr>
                </w:p>
              </w:tc>
              <w:tc>
                <w:tcPr>
                  <w:tcW w:w="1647" w:type="dxa"/>
                  <w:tcBorders>
                    <w:top w:val="single" w:color="auto" w:sz="4" w:space="0"/>
                    <w:right w:val="single" w:color="auto" w:sz="4" w:space="0"/>
                  </w:tcBorders>
                  <w:noWrap w:val="0"/>
                  <w:tcMar>
                    <w:top w:w="28" w:type="dxa"/>
                    <w:left w:w="28" w:type="dxa"/>
                    <w:bottom w:w="28" w:type="dxa"/>
                    <w:right w:w="28" w:type="dxa"/>
                  </w:tcMar>
                  <w:vAlign w:val="center"/>
                </w:tcPr>
                <w:p w14:paraId="162374D1">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标准值</w:t>
                  </w:r>
                </w:p>
              </w:tc>
              <w:tc>
                <w:tcPr>
                  <w:tcW w:w="1122" w:type="dxa"/>
                  <w:tcBorders>
                    <w:top w:val="single" w:color="auto" w:sz="4" w:space="0"/>
                    <w:left w:val="single" w:color="auto" w:sz="4" w:space="0"/>
                  </w:tcBorders>
                  <w:noWrap w:val="0"/>
                  <w:vAlign w:val="center"/>
                </w:tcPr>
                <w:p w14:paraId="13907CCB">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合并执行</w:t>
                  </w:r>
                </w:p>
              </w:tc>
              <w:tc>
                <w:tcPr>
                  <w:tcW w:w="2726" w:type="dxa"/>
                  <w:vMerge w:val="continue"/>
                  <w:noWrap w:val="0"/>
                  <w:tcMar>
                    <w:top w:w="28" w:type="dxa"/>
                    <w:left w:w="28" w:type="dxa"/>
                    <w:bottom w:w="28" w:type="dxa"/>
                    <w:right w:w="28" w:type="dxa"/>
                  </w:tcMar>
                  <w:vAlign w:val="center"/>
                </w:tcPr>
                <w:p w14:paraId="59DC79BD">
                  <w:pPr>
                    <w:tabs>
                      <w:tab w:val="left" w:pos="4253"/>
                    </w:tabs>
                    <w:spacing w:line="240" w:lineRule="exact"/>
                    <w:jc w:val="center"/>
                    <w:rPr>
                      <w:rFonts w:hint="default" w:ascii="Times New Roman" w:hAnsi="Times New Roman" w:cs="Times New Roman" w:eastAsiaTheme="minorEastAsia"/>
                      <w:color w:val="auto"/>
                      <w:spacing w:val="-20"/>
                      <w:sz w:val="18"/>
                      <w:szCs w:val="18"/>
                    </w:rPr>
                  </w:pPr>
                </w:p>
              </w:tc>
            </w:tr>
            <w:tr w14:paraId="6E49A84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1703" w:hRule="atLeast"/>
                <w:jc w:val="center"/>
              </w:trPr>
              <w:tc>
                <w:tcPr>
                  <w:tcW w:w="673" w:type="dxa"/>
                  <w:noWrap w:val="0"/>
                  <w:tcMar>
                    <w:top w:w="28" w:type="dxa"/>
                    <w:left w:w="28" w:type="dxa"/>
                    <w:bottom w:w="28" w:type="dxa"/>
                    <w:right w:w="28" w:type="dxa"/>
                  </w:tcMar>
                  <w:vAlign w:val="center"/>
                </w:tcPr>
                <w:p w14:paraId="126C1B88">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废水</w:t>
                  </w:r>
                </w:p>
              </w:tc>
              <w:tc>
                <w:tcPr>
                  <w:tcW w:w="1014" w:type="dxa"/>
                  <w:noWrap w:val="0"/>
                  <w:tcMar>
                    <w:top w:w="28" w:type="dxa"/>
                    <w:left w:w="28" w:type="dxa"/>
                    <w:bottom w:w="28" w:type="dxa"/>
                    <w:right w:w="28" w:type="dxa"/>
                  </w:tcMar>
                  <w:vAlign w:val="center"/>
                </w:tcPr>
                <w:p w14:paraId="5C023476">
                  <w:pPr>
                    <w:tabs>
                      <w:tab w:val="left" w:pos="4253"/>
                    </w:tabs>
                    <w:spacing w:line="240" w:lineRule="exact"/>
                    <w:jc w:val="center"/>
                    <w:rPr>
                      <w:rFonts w:hint="eastAsia" w:ascii="Times New Roman" w:hAnsi="Times New Roman" w:cs="Times New Roman" w:eastAsiaTheme="minorEastAsia"/>
                      <w:color w:val="auto"/>
                      <w:spacing w:val="-20"/>
                      <w:sz w:val="18"/>
                      <w:szCs w:val="18"/>
                      <w:lang w:eastAsia="zh-CN"/>
                    </w:rPr>
                  </w:pPr>
                  <w:r>
                    <w:rPr>
                      <w:rFonts w:hint="eastAsia" w:ascii="Times New Roman" w:hAnsi="Times New Roman" w:cs="Times New Roman" w:eastAsiaTheme="minorEastAsia"/>
                      <w:color w:val="auto"/>
                      <w:spacing w:val="-20"/>
                      <w:sz w:val="18"/>
                      <w:szCs w:val="18"/>
                      <w:lang w:val="en-US" w:eastAsia="zh-CN"/>
                    </w:rPr>
                    <w:t>综合废水</w:t>
                  </w:r>
                </w:p>
              </w:tc>
              <w:tc>
                <w:tcPr>
                  <w:tcW w:w="955" w:type="dxa"/>
                  <w:noWrap w:val="0"/>
                  <w:tcMar>
                    <w:top w:w="28" w:type="dxa"/>
                    <w:left w:w="28" w:type="dxa"/>
                    <w:bottom w:w="28" w:type="dxa"/>
                    <w:right w:w="28" w:type="dxa"/>
                  </w:tcMar>
                  <w:vAlign w:val="center"/>
                </w:tcPr>
                <w:p w14:paraId="5FE43F74">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PH</w:t>
                  </w:r>
                </w:p>
                <w:p w14:paraId="7E79DA2C">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SS</w:t>
                  </w:r>
                </w:p>
                <w:p w14:paraId="492FC942">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COD</w:t>
                  </w:r>
                </w:p>
                <w:p w14:paraId="2F740845">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BOD</w:t>
                  </w:r>
                  <w:r>
                    <w:rPr>
                      <w:rFonts w:hint="default" w:ascii="Times New Roman" w:hAnsi="Times New Roman" w:cs="Times New Roman" w:eastAsiaTheme="minorEastAsia"/>
                      <w:color w:val="auto"/>
                      <w:spacing w:val="-20"/>
                      <w:sz w:val="18"/>
                      <w:szCs w:val="18"/>
                      <w:vertAlign w:val="subscript"/>
                    </w:rPr>
                    <w:t>5</w:t>
                  </w:r>
                </w:p>
                <w:p w14:paraId="62F16993">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NH</w:t>
                  </w:r>
                  <w:r>
                    <w:rPr>
                      <w:rFonts w:hint="default" w:ascii="Times New Roman" w:hAnsi="Times New Roman" w:cs="Times New Roman" w:eastAsiaTheme="minorEastAsia"/>
                      <w:color w:val="auto"/>
                      <w:spacing w:val="-20"/>
                      <w:sz w:val="18"/>
                      <w:szCs w:val="18"/>
                      <w:vertAlign w:val="subscript"/>
                    </w:rPr>
                    <w:t>3</w:t>
                  </w:r>
                  <w:r>
                    <w:rPr>
                      <w:rFonts w:hint="default" w:ascii="Times New Roman" w:hAnsi="Times New Roman" w:cs="Times New Roman" w:eastAsiaTheme="minorEastAsia"/>
                      <w:color w:val="auto"/>
                      <w:spacing w:val="-20"/>
                      <w:sz w:val="18"/>
                      <w:szCs w:val="18"/>
                    </w:rPr>
                    <w:t>-N</w:t>
                  </w:r>
                </w:p>
                <w:p w14:paraId="1C5DFB40">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总氮</w:t>
                  </w:r>
                </w:p>
                <w:p w14:paraId="446AF7E9">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总磷</w:t>
                  </w:r>
                </w:p>
              </w:tc>
              <w:tc>
                <w:tcPr>
                  <w:tcW w:w="1647" w:type="dxa"/>
                  <w:tcBorders>
                    <w:right w:val="single" w:color="auto" w:sz="4" w:space="0"/>
                  </w:tcBorders>
                  <w:noWrap w:val="0"/>
                  <w:tcMar>
                    <w:top w:w="28" w:type="dxa"/>
                    <w:left w:w="28" w:type="dxa"/>
                    <w:bottom w:w="28" w:type="dxa"/>
                    <w:right w:w="28" w:type="dxa"/>
                  </w:tcMar>
                  <w:vAlign w:val="center"/>
                </w:tcPr>
                <w:p w14:paraId="4E2A78D4">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6-9/6.5-9.5/6-9</w:t>
                  </w:r>
                </w:p>
                <w:p w14:paraId="4485F34C">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400/400/400mg/L</w:t>
                  </w:r>
                </w:p>
                <w:p w14:paraId="4B01B528">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500/500/500mg/L</w:t>
                  </w:r>
                </w:p>
                <w:p w14:paraId="31DA220D">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300/350/350mg/L</w:t>
                  </w:r>
                </w:p>
                <w:p w14:paraId="545B99F2">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--/45/45mg/L</w:t>
                  </w:r>
                </w:p>
                <w:p w14:paraId="728562D6">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--/70/70mg/L</w:t>
                  </w:r>
                </w:p>
                <w:p w14:paraId="17387D59">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--/8/8mg/L</w:t>
                  </w:r>
                </w:p>
              </w:tc>
              <w:tc>
                <w:tcPr>
                  <w:tcW w:w="1122" w:type="dxa"/>
                  <w:tcBorders>
                    <w:left w:val="single" w:color="auto" w:sz="4" w:space="0"/>
                  </w:tcBorders>
                  <w:noWrap w:val="0"/>
                  <w:vAlign w:val="center"/>
                </w:tcPr>
                <w:p w14:paraId="5E46C92C">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6.5-9</w:t>
                  </w:r>
                </w:p>
                <w:p w14:paraId="1874516F">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400mg/L</w:t>
                  </w:r>
                </w:p>
                <w:p w14:paraId="3C3FFBED">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500mg/L</w:t>
                  </w:r>
                </w:p>
                <w:p w14:paraId="1BD5E40A">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300mg/L</w:t>
                  </w:r>
                </w:p>
                <w:p w14:paraId="70EF4AEB">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45mg/L</w:t>
                  </w:r>
                </w:p>
                <w:p w14:paraId="4E6A89A3">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70mg/L</w:t>
                  </w:r>
                </w:p>
                <w:p w14:paraId="4AB221A8">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8mg/L</w:t>
                  </w:r>
                </w:p>
              </w:tc>
              <w:tc>
                <w:tcPr>
                  <w:tcW w:w="2726" w:type="dxa"/>
                  <w:noWrap w:val="0"/>
                  <w:tcMar>
                    <w:top w:w="28" w:type="dxa"/>
                    <w:left w:w="28" w:type="dxa"/>
                    <w:bottom w:w="28" w:type="dxa"/>
                    <w:right w:w="28" w:type="dxa"/>
                  </w:tcMar>
                  <w:vAlign w:val="center"/>
                </w:tcPr>
                <w:p w14:paraId="7AE50006">
                  <w:pPr>
                    <w:tabs>
                      <w:tab w:val="left" w:pos="4253"/>
                    </w:tabs>
                    <w:spacing w:line="240" w:lineRule="exact"/>
                    <w:jc w:val="center"/>
                    <w:rPr>
                      <w:rFonts w:hint="default" w:ascii="Times New Roman" w:hAnsi="Times New Roman" w:cs="Times New Roman" w:eastAsiaTheme="minorEastAsia"/>
                      <w:color w:val="auto"/>
                      <w:spacing w:val="-20"/>
                      <w:sz w:val="18"/>
                      <w:szCs w:val="18"/>
                    </w:rPr>
                  </w:pPr>
                  <w:r>
                    <w:rPr>
                      <w:rFonts w:hint="default" w:ascii="Times New Roman" w:hAnsi="Times New Roman" w:cs="Times New Roman" w:eastAsiaTheme="minorEastAsia"/>
                      <w:color w:val="auto"/>
                      <w:spacing w:val="-20"/>
                      <w:sz w:val="18"/>
                      <w:szCs w:val="18"/>
                    </w:rPr>
                    <w:t>《污水综合排放标准》（GB8978-1996）表4三级标准/《污水排入城镇下水道水质标准》（GB/T 31962-2015）表1A级标准/迁安污水处理厂的收水水质标准</w:t>
                  </w:r>
                </w:p>
              </w:tc>
            </w:tr>
          </w:tbl>
          <w:p w14:paraId="0E25C43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r>
              <w:rPr>
                <w:color w:val="auto"/>
                <w:highlight w:val="none"/>
              </w:rPr>
              <w:t>（</w:t>
            </w:r>
            <w:r>
              <w:rPr>
                <w:rFonts w:hint="eastAsia"/>
                <w:color w:val="auto"/>
                <w:highlight w:val="none"/>
                <w:lang w:val="en-US" w:eastAsia="zh-CN"/>
              </w:rPr>
              <w:t>3</w:t>
            </w:r>
            <w:r>
              <w:rPr>
                <w:color w:val="auto"/>
                <w:highlight w:val="none"/>
              </w:rPr>
              <w:t>）</w:t>
            </w:r>
            <w:r>
              <w:rPr>
                <w:rFonts w:hint="eastAsia"/>
                <w:color w:val="auto"/>
                <w:highlight w:val="none"/>
              </w:rPr>
              <w:t>噪声</w:t>
            </w:r>
          </w:p>
          <w:p w14:paraId="48C2C81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color w:val="auto"/>
                <w:highlight w:val="none"/>
              </w:rPr>
            </w:pPr>
            <w:r>
              <w:rPr>
                <w:rFonts w:hint="eastAsia"/>
                <w:color w:val="auto"/>
                <w:highlight w:val="none"/>
              </w:rPr>
              <w:t>运营期项目厂界噪声执行《工业企业厂界环境噪声排放标准》（GB12348-2008）中</w:t>
            </w:r>
            <w:r>
              <w:rPr>
                <w:rFonts w:hint="eastAsia"/>
                <w:color w:val="auto"/>
                <w:highlight w:val="none"/>
                <w:lang w:val="en-US" w:eastAsia="zh-CN"/>
              </w:rPr>
              <w:t>2</w:t>
            </w:r>
            <w:r>
              <w:rPr>
                <w:rFonts w:hint="eastAsia"/>
                <w:color w:val="auto"/>
                <w:highlight w:val="none"/>
              </w:rPr>
              <w:t>类标准。具体标准值见表</w:t>
            </w:r>
            <w:r>
              <w:rPr>
                <w:rFonts w:hint="eastAsia"/>
                <w:color w:val="auto"/>
                <w:highlight w:val="none"/>
                <w:lang w:val="en-US" w:eastAsia="zh-CN"/>
              </w:rPr>
              <w:t>19</w:t>
            </w:r>
            <w:r>
              <w:rPr>
                <w:rFonts w:hint="eastAsia"/>
                <w:color w:val="auto"/>
                <w:highlight w:val="none"/>
              </w:rPr>
              <w:t>。</w:t>
            </w:r>
          </w:p>
          <w:p w14:paraId="3AA903F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b/>
                <w:color w:val="auto"/>
                <w:highlight w:val="none"/>
              </w:rPr>
            </w:pPr>
            <w:r>
              <w:rPr>
                <w:b/>
                <w:color w:val="auto"/>
                <w:highlight w:val="none"/>
              </w:rPr>
              <w:t>表</w:t>
            </w:r>
            <w:r>
              <w:rPr>
                <w:rFonts w:hint="eastAsia"/>
                <w:b/>
                <w:color w:val="auto"/>
                <w:highlight w:val="none"/>
                <w:lang w:val="en-US" w:eastAsia="zh-CN"/>
              </w:rPr>
              <w:t>19</w:t>
            </w:r>
            <w:r>
              <w:rPr>
                <w:rFonts w:hint="eastAsia"/>
                <w:b/>
                <w:color w:val="auto"/>
                <w:highlight w:val="none"/>
              </w:rPr>
              <w:t xml:space="preserve"> 工业企业厂界环境</w:t>
            </w:r>
            <w:r>
              <w:rPr>
                <w:b/>
                <w:color w:val="auto"/>
                <w:highlight w:val="none"/>
              </w:rPr>
              <w:t>噪声排放标准</w:t>
            </w:r>
          </w:p>
          <w:tbl>
            <w:tblPr>
              <w:tblStyle w:val="26"/>
              <w:tblW w:w="80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80"/>
              <w:gridCol w:w="2591"/>
              <w:gridCol w:w="2564"/>
            </w:tblGrid>
            <w:tr w14:paraId="64016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2880" w:type="dxa"/>
                  <w:tcBorders>
                    <w:top w:val="single" w:color="auto" w:sz="4" w:space="0"/>
                    <w:left w:val="nil"/>
                    <w:tl2br w:val="single" w:color="auto" w:sz="4" w:space="0"/>
                  </w:tcBorders>
                  <w:vAlign w:val="center"/>
                </w:tcPr>
                <w:p w14:paraId="2AA96237">
                  <w:pPr>
                    <w:spacing w:line="0" w:lineRule="atLeast"/>
                    <w:jc w:val="center"/>
                    <w:rPr>
                      <w:rFonts w:hAnsi="宋体"/>
                      <w:color w:val="auto"/>
                      <w:spacing w:val="-20"/>
                      <w:szCs w:val="21"/>
                      <w:highlight w:val="none"/>
                    </w:rPr>
                  </w:pPr>
                  <w:r>
                    <w:rPr>
                      <w:rFonts w:hAnsi="宋体"/>
                      <w:color w:val="auto"/>
                      <w:spacing w:val="-20"/>
                      <w:szCs w:val="21"/>
                      <w:highlight w:val="none"/>
                    </w:rPr>
                    <w:t xml:space="preserve">               执行时段</w:t>
                  </w:r>
                </w:p>
                <w:p w14:paraId="7219282B">
                  <w:pPr>
                    <w:spacing w:line="0" w:lineRule="atLeast"/>
                    <w:ind w:firstLine="440"/>
                    <w:rPr>
                      <w:rFonts w:hAnsi="宋体"/>
                      <w:color w:val="auto"/>
                      <w:spacing w:val="-20"/>
                      <w:szCs w:val="21"/>
                      <w:highlight w:val="none"/>
                    </w:rPr>
                  </w:pPr>
                  <w:r>
                    <w:rPr>
                      <w:rFonts w:hAnsi="宋体"/>
                      <w:color w:val="auto"/>
                      <w:spacing w:val="-20"/>
                      <w:szCs w:val="21"/>
                      <w:highlight w:val="none"/>
                    </w:rPr>
                    <w:t>标准类别</w:t>
                  </w:r>
                </w:p>
              </w:tc>
              <w:tc>
                <w:tcPr>
                  <w:tcW w:w="2591" w:type="dxa"/>
                  <w:tcBorders>
                    <w:top w:val="single" w:color="auto" w:sz="4" w:space="0"/>
                  </w:tcBorders>
                  <w:vAlign w:val="center"/>
                </w:tcPr>
                <w:p w14:paraId="2EDB6EEF">
                  <w:pPr>
                    <w:spacing w:line="0" w:lineRule="atLeast"/>
                    <w:jc w:val="center"/>
                    <w:rPr>
                      <w:rFonts w:hAnsi="宋体"/>
                      <w:color w:val="auto"/>
                      <w:spacing w:val="-20"/>
                      <w:szCs w:val="21"/>
                      <w:highlight w:val="none"/>
                    </w:rPr>
                  </w:pPr>
                  <w:r>
                    <w:rPr>
                      <w:rFonts w:hAnsi="宋体"/>
                      <w:color w:val="auto"/>
                      <w:spacing w:val="-20"/>
                      <w:szCs w:val="21"/>
                      <w:highlight w:val="none"/>
                    </w:rPr>
                    <w:t>昼间</w:t>
                  </w:r>
                </w:p>
              </w:tc>
              <w:tc>
                <w:tcPr>
                  <w:tcW w:w="2564" w:type="dxa"/>
                  <w:tcBorders>
                    <w:top w:val="single" w:color="auto" w:sz="4" w:space="0"/>
                    <w:right w:val="nil"/>
                  </w:tcBorders>
                  <w:vAlign w:val="center"/>
                </w:tcPr>
                <w:p w14:paraId="7652DBAC">
                  <w:pPr>
                    <w:spacing w:line="0" w:lineRule="atLeast"/>
                    <w:jc w:val="center"/>
                    <w:rPr>
                      <w:rFonts w:hAnsi="宋体"/>
                      <w:color w:val="auto"/>
                      <w:spacing w:val="-20"/>
                      <w:szCs w:val="21"/>
                      <w:highlight w:val="none"/>
                    </w:rPr>
                  </w:pPr>
                  <w:r>
                    <w:rPr>
                      <w:rFonts w:hAnsi="宋体"/>
                      <w:color w:val="auto"/>
                      <w:spacing w:val="-20"/>
                      <w:szCs w:val="21"/>
                      <w:highlight w:val="none"/>
                    </w:rPr>
                    <w:t>夜间</w:t>
                  </w:r>
                </w:p>
              </w:tc>
            </w:tr>
            <w:tr w14:paraId="5D29B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2880" w:type="dxa"/>
                  <w:tcBorders>
                    <w:left w:val="nil"/>
                  </w:tcBorders>
                  <w:vAlign w:val="center"/>
                </w:tcPr>
                <w:p w14:paraId="14750B01">
                  <w:pPr>
                    <w:spacing w:line="0" w:lineRule="atLeast"/>
                    <w:jc w:val="center"/>
                    <w:rPr>
                      <w:rFonts w:hAnsi="宋体"/>
                      <w:color w:val="auto"/>
                      <w:spacing w:val="-20"/>
                      <w:szCs w:val="21"/>
                      <w:highlight w:val="none"/>
                    </w:rPr>
                  </w:pPr>
                  <w:r>
                    <w:rPr>
                      <w:rFonts w:hAnsi="宋体"/>
                      <w:color w:val="auto"/>
                      <w:spacing w:val="-20"/>
                      <w:szCs w:val="21"/>
                      <w:highlight w:val="none"/>
                    </w:rPr>
                    <w:t>《工业企业厂界环境噪声排放标准》（GB12348-2008）</w:t>
                  </w:r>
                  <w:r>
                    <w:rPr>
                      <w:rFonts w:hint="eastAsia" w:hAnsi="宋体"/>
                      <w:color w:val="auto"/>
                      <w:spacing w:val="-20"/>
                      <w:szCs w:val="21"/>
                      <w:highlight w:val="none"/>
                      <w:lang w:val="en-US" w:eastAsia="zh-CN"/>
                    </w:rPr>
                    <w:t>2</w:t>
                  </w:r>
                  <w:r>
                    <w:rPr>
                      <w:rFonts w:hint="eastAsia" w:hAnsi="宋体"/>
                      <w:color w:val="auto"/>
                      <w:spacing w:val="-20"/>
                      <w:szCs w:val="21"/>
                      <w:highlight w:val="none"/>
                    </w:rPr>
                    <w:t>类标准</w:t>
                  </w:r>
                </w:p>
              </w:tc>
              <w:tc>
                <w:tcPr>
                  <w:tcW w:w="2591" w:type="dxa"/>
                  <w:vAlign w:val="center"/>
                </w:tcPr>
                <w:p w14:paraId="1F9AC54F">
                  <w:pPr>
                    <w:spacing w:line="0" w:lineRule="atLeast"/>
                    <w:jc w:val="center"/>
                    <w:rPr>
                      <w:rFonts w:hAnsi="宋体"/>
                      <w:color w:val="auto"/>
                      <w:spacing w:val="-20"/>
                      <w:szCs w:val="21"/>
                      <w:highlight w:val="none"/>
                    </w:rPr>
                  </w:pPr>
                  <w:r>
                    <w:rPr>
                      <w:rFonts w:hint="eastAsia" w:hAnsi="宋体"/>
                      <w:color w:val="auto"/>
                      <w:spacing w:val="-20"/>
                      <w:szCs w:val="21"/>
                      <w:highlight w:val="none"/>
                    </w:rPr>
                    <w:t>6</w:t>
                  </w:r>
                  <w:r>
                    <w:rPr>
                      <w:rFonts w:hint="eastAsia" w:hAnsi="宋体"/>
                      <w:color w:val="auto"/>
                      <w:spacing w:val="-20"/>
                      <w:szCs w:val="21"/>
                      <w:highlight w:val="none"/>
                      <w:lang w:val="en-US" w:eastAsia="zh-CN"/>
                    </w:rPr>
                    <w:t>0</w:t>
                  </w:r>
                  <w:r>
                    <w:rPr>
                      <w:rFonts w:hAnsi="宋体"/>
                      <w:color w:val="auto"/>
                      <w:spacing w:val="-20"/>
                      <w:szCs w:val="21"/>
                      <w:highlight w:val="none"/>
                    </w:rPr>
                    <w:t>dB(A)</w:t>
                  </w:r>
                </w:p>
              </w:tc>
              <w:tc>
                <w:tcPr>
                  <w:tcW w:w="2564" w:type="dxa"/>
                  <w:tcBorders>
                    <w:right w:val="nil"/>
                  </w:tcBorders>
                  <w:vAlign w:val="center"/>
                </w:tcPr>
                <w:p w14:paraId="75686A0E">
                  <w:pPr>
                    <w:spacing w:line="0" w:lineRule="atLeast"/>
                    <w:jc w:val="center"/>
                    <w:rPr>
                      <w:rFonts w:hAnsi="宋体"/>
                      <w:color w:val="auto"/>
                      <w:spacing w:val="-20"/>
                      <w:szCs w:val="21"/>
                      <w:highlight w:val="none"/>
                    </w:rPr>
                  </w:pPr>
                  <w:r>
                    <w:rPr>
                      <w:rFonts w:hAnsi="宋体"/>
                      <w:color w:val="auto"/>
                      <w:spacing w:val="-20"/>
                      <w:szCs w:val="21"/>
                      <w:highlight w:val="none"/>
                    </w:rPr>
                    <w:t>5</w:t>
                  </w:r>
                  <w:r>
                    <w:rPr>
                      <w:rFonts w:hint="eastAsia" w:hAnsi="宋体"/>
                      <w:color w:val="auto"/>
                      <w:spacing w:val="-20"/>
                      <w:szCs w:val="21"/>
                      <w:highlight w:val="none"/>
                      <w:lang w:val="en-US" w:eastAsia="zh-CN"/>
                    </w:rPr>
                    <w:t>0</w:t>
                  </w:r>
                  <w:r>
                    <w:rPr>
                      <w:rFonts w:hAnsi="宋体"/>
                      <w:color w:val="auto"/>
                      <w:spacing w:val="-20"/>
                      <w:szCs w:val="21"/>
                      <w:highlight w:val="none"/>
                    </w:rPr>
                    <w:t>dB(A)</w:t>
                  </w:r>
                </w:p>
              </w:tc>
            </w:tr>
          </w:tbl>
          <w:p w14:paraId="018CEF4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r>
              <w:rPr>
                <w:color w:val="auto"/>
                <w:highlight w:val="none"/>
              </w:rPr>
              <w:t>（</w:t>
            </w:r>
            <w:r>
              <w:rPr>
                <w:rFonts w:hint="eastAsia"/>
                <w:color w:val="auto"/>
                <w:highlight w:val="none"/>
                <w:lang w:val="en-US" w:eastAsia="zh-CN"/>
              </w:rPr>
              <w:t>4</w:t>
            </w:r>
            <w:r>
              <w:rPr>
                <w:color w:val="auto"/>
                <w:highlight w:val="none"/>
              </w:rPr>
              <w:t>）</w:t>
            </w:r>
            <w:r>
              <w:rPr>
                <w:rFonts w:hint="eastAsia"/>
                <w:color w:val="auto"/>
                <w:highlight w:val="none"/>
              </w:rPr>
              <w:t>固废</w:t>
            </w:r>
          </w:p>
          <w:p w14:paraId="6E649074">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eastAsia="宋体"/>
                <w:color w:val="auto"/>
                <w:highlight w:val="none"/>
                <w:lang w:val="en-US" w:eastAsia="zh-CN"/>
              </w:rPr>
            </w:pPr>
            <w:r>
              <w:rPr>
                <w:rFonts w:hint="eastAsia" w:ascii="Times New Roman" w:hAnsi="Times New Roman" w:cs="Times New Roman"/>
                <w:color w:val="auto"/>
                <w:highlight w:val="none"/>
                <w:lang w:val="en-US" w:eastAsia="zh-CN"/>
              </w:rPr>
              <w:t>危险</w:t>
            </w:r>
            <w:r>
              <w:rPr>
                <w:rFonts w:hint="eastAsia" w:ascii="Times New Roman" w:hAnsi="Times New Roman" w:cs="Times New Roman"/>
                <w:color w:val="auto"/>
                <w:highlight w:val="none"/>
              </w:rPr>
              <w:t>废物执行《危险废物贮存污染控制标准》（GB18597-2023）</w:t>
            </w:r>
            <w:r>
              <w:rPr>
                <w:rFonts w:hint="eastAsia" w:ascii="Times New Roman" w:hAnsi="Times New Roman" w:cs="Times New Roman"/>
                <w:color w:val="auto"/>
                <w:highlight w:val="none"/>
                <w:lang w:val="en-US" w:eastAsia="zh-CN"/>
              </w:rPr>
              <w:t>中有关规定</w:t>
            </w:r>
            <w:r>
              <w:rPr>
                <w:rFonts w:hint="eastAsia" w:ascii="Times New Roman" w:hAnsi="Times New Roman" w:cs="Times New Roman"/>
                <w:color w:val="auto"/>
                <w:highlight w:val="none"/>
              </w:rPr>
              <w:t>。</w:t>
            </w:r>
            <w:r>
              <w:rPr>
                <w:rFonts w:hint="eastAsia"/>
                <w:color w:val="auto"/>
                <w:highlight w:val="none"/>
                <w:lang w:val="en-US" w:eastAsia="zh-CN"/>
              </w:rPr>
              <w:t xml:space="preserve">                                                                                        </w:t>
            </w:r>
          </w:p>
          <w:p w14:paraId="49584F9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宋体" w:hAnsi="宋体" w:cs="宋体"/>
                <w:color w:val="auto"/>
                <w:kern w:val="0"/>
                <w:szCs w:val="21"/>
                <w:highlight w:val="none"/>
              </w:rPr>
            </w:pPr>
          </w:p>
        </w:tc>
      </w:tr>
      <w:tr w14:paraId="43F2C7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800" w:type="dxa"/>
            <w:vAlign w:val="center"/>
          </w:tcPr>
          <w:p w14:paraId="2213B86D">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总量</w:t>
            </w:r>
          </w:p>
          <w:p w14:paraId="6CD16A73">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控制</w:t>
            </w:r>
          </w:p>
          <w:p w14:paraId="7FFFE354">
            <w:pPr>
              <w:adjustRightInd w:val="0"/>
              <w:snapToGrid w:val="0"/>
              <w:jc w:val="center"/>
              <w:rPr>
                <w:rFonts w:ascii="宋体" w:hAnsi="宋体" w:cs="宋体"/>
                <w:color w:val="auto"/>
                <w:kern w:val="0"/>
                <w:szCs w:val="21"/>
                <w:highlight w:val="none"/>
              </w:rPr>
            </w:pPr>
            <w:r>
              <w:rPr>
                <w:rFonts w:hint="eastAsia" w:ascii="宋体" w:hAnsi="宋体" w:cs="宋体"/>
                <w:color w:val="auto"/>
                <w:kern w:val="0"/>
                <w:szCs w:val="21"/>
                <w:highlight w:val="none"/>
              </w:rPr>
              <w:t>指标</w:t>
            </w:r>
          </w:p>
        </w:tc>
        <w:tc>
          <w:tcPr>
            <w:tcW w:w="8190" w:type="dxa"/>
            <w:vAlign w:val="center"/>
          </w:tcPr>
          <w:p w14:paraId="62CE439E">
            <w:pPr>
              <w:keepNext w:val="0"/>
              <w:keepLines w:val="0"/>
              <w:pageBreakBefore w:val="0"/>
              <w:widowControl w:val="0"/>
              <w:kinsoku/>
              <w:wordWrap/>
              <w:overflowPunct/>
              <w:topLinePunct w:val="0"/>
              <w:autoSpaceDE/>
              <w:autoSpaceDN/>
              <w:bidi w:val="0"/>
              <w:adjustRightInd/>
              <w:snapToGrid/>
              <w:spacing w:line="440" w:lineRule="exact"/>
              <w:ind w:firstLine="422" w:firstLineChars="200"/>
              <w:textAlignment w:val="auto"/>
              <w:rPr>
                <w:b/>
                <w:color w:val="auto"/>
                <w:highlight w:val="none"/>
              </w:rPr>
            </w:pPr>
            <w:r>
              <w:rPr>
                <w:rFonts w:hint="eastAsia"/>
                <w:b/>
                <w:color w:val="auto"/>
                <w:highlight w:val="none"/>
              </w:rPr>
              <w:t>1.污</w:t>
            </w:r>
            <w:r>
              <w:rPr>
                <w:rFonts w:hint="eastAsia" w:ascii="Times New Roman" w:hAnsi="Times New Roman" w:eastAsia="宋体" w:cs="Times New Roman"/>
                <w:b/>
                <w:color w:val="auto"/>
                <w:highlight w:val="none"/>
              </w:rPr>
              <w:t>染物预测排放</w:t>
            </w:r>
            <w:r>
              <w:rPr>
                <w:rFonts w:hint="eastAsia"/>
                <w:b/>
                <w:color w:val="auto"/>
                <w:highlight w:val="none"/>
              </w:rPr>
              <w:t>量</w:t>
            </w:r>
          </w:p>
          <w:p w14:paraId="5CD208C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Times New Roman" w:hAnsi="宋体" w:eastAsia="宋体" w:cs="Times New Roman"/>
                <w:color w:val="auto"/>
                <w:highlight w:val="none"/>
              </w:rPr>
            </w:pPr>
            <w:r>
              <w:rPr>
                <w:rFonts w:hint="eastAsia" w:ascii="Times New Roman" w:hAnsi="宋体" w:eastAsia="宋体" w:cs="Times New Roman"/>
                <w:color w:val="auto"/>
                <w:highlight w:val="none"/>
                <w:lang w:val="en-US" w:eastAsia="zh-CN"/>
              </w:rPr>
              <w:t>拟建</w:t>
            </w:r>
            <w:r>
              <w:rPr>
                <w:rFonts w:hint="eastAsia" w:ascii="Times New Roman" w:hAnsi="宋体" w:eastAsia="宋体" w:cs="Times New Roman"/>
                <w:color w:val="auto"/>
                <w:highlight w:val="none"/>
              </w:rPr>
              <w:t>项目实施后</w:t>
            </w:r>
            <w:r>
              <w:rPr>
                <w:rFonts w:hint="eastAsia" w:ascii="Times New Roman" w:hAnsi="宋体" w:eastAsia="宋体" w:cs="Times New Roman"/>
                <w:color w:val="auto"/>
                <w:highlight w:val="none"/>
                <w:lang w:val="en-US" w:eastAsia="zh-CN"/>
              </w:rPr>
              <w:t>，</w:t>
            </w:r>
            <w:r>
              <w:rPr>
                <w:rFonts w:hint="eastAsia" w:ascii="Times New Roman" w:hAnsi="宋体" w:eastAsia="宋体" w:cs="Times New Roman"/>
                <w:color w:val="auto"/>
                <w:highlight w:val="none"/>
              </w:rPr>
              <w:t>污染物预测排放量</w:t>
            </w:r>
            <w:r>
              <w:rPr>
                <w:rFonts w:hint="eastAsia" w:hAnsi="宋体" w:cs="Times New Roman"/>
                <w:color w:val="auto"/>
                <w:highlight w:val="none"/>
                <w:lang w:val="en-US" w:eastAsia="zh-CN"/>
              </w:rPr>
              <w:t>颗粒物</w:t>
            </w:r>
            <w:r>
              <w:rPr>
                <w:rFonts w:hint="eastAsia" w:ascii="Times New Roman" w:hAnsi="宋体" w:eastAsia="宋体" w:cs="Times New Roman"/>
                <w:color w:val="auto"/>
                <w:highlight w:val="none"/>
                <w:lang w:val="en-US" w:eastAsia="zh-CN"/>
              </w:rPr>
              <w:t>为0.012kg</w:t>
            </w:r>
            <w:r>
              <w:rPr>
                <w:rFonts w:hint="eastAsia" w:ascii="Times New Roman" w:hAnsi="宋体" w:eastAsia="宋体" w:cs="Times New Roman"/>
                <w:color w:val="auto"/>
                <w:highlight w:val="none"/>
              </w:rPr>
              <w:t>/a</w:t>
            </w:r>
            <w:r>
              <w:rPr>
                <w:rFonts w:hint="eastAsia" w:ascii="Times New Roman" w:hAnsi="宋体" w:cs="Times New Roman"/>
                <w:color w:val="auto"/>
                <w:highlight w:val="none"/>
                <w:lang w:eastAsia="zh-CN"/>
              </w:rPr>
              <w:t>、</w:t>
            </w:r>
            <w:r>
              <w:rPr>
                <w:rFonts w:hint="eastAsia" w:hAnsi="宋体" w:eastAsia="宋体"/>
                <w:color w:val="auto"/>
                <w:highlight w:val="none"/>
                <w:lang w:val="en-US" w:eastAsia="zh-CN"/>
              </w:rPr>
              <w:t>HCl为1.2996</w:t>
            </w:r>
            <w:r>
              <w:rPr>
                <w:rFonts w:hint="eastAsia" w:hAnsi="宋体" w:eastAsia="宋体" w:cs="Times New Roman"/>
                <w:color w:val="auto"/>
                <w:highlight w:val="none"/>
                <w:lang w:val="en-US" w:eastAsia="zh-CN"/>
              </w:rPr>
              <w:t>kg</w:t>
            </w:r>
            <w:r>
              <w:rPr>
                <w:rFonts w:hint="eastAsia" w:ascii="Times New Roman" w:hAnsi="宋体" w:eastAsia="宋体" w:cs="Times New Roman"/>
                <w:color w:val="auto"/>
                <w:highlight w:val="none"/>
              </w:rPr>
              <w:t>/a</w:t>
            </w:r>
            <w:r>
              <w:rPr>
                <w:rFonts w:hint="eastAsia" w:hAnsi="宋体" w:eastAsia="宋体" w:cs="Times New Roman"/>
                <w:color w:val="auto"/>
                <w:highlight w:val="none"/>
                <w:lang w:eastAsia="zh-CN"/>
              </w:rPr>
              <w:t>、</w:t>
            </w:r>
            <w:r>
              <w:rPr>
                <w:rFonts w:hint="eastAsia" w:hAnsi="宋体" w:eastAsia="宋体" w:cs="Times New Roman"/>
                <w:color w:val="auto"/>
                <w:highlight w:val="none"/>
                <w:lang w:val="en-US" w:eastAsia="zh-CN"/>
              </w:rPr>
              <w:t>硫酸雾</w:t>
            </w:r>
            <w:r>
              <w:rPr>
                <w:rFonts w:hint="eastAsia" w:hAnsi="宋体" w:eastAsia="宋体"/>
                <w:color w:val="auto"/>
                <w:highlight w:val="none"/>
                <w:lang w:val="en-US" w:eastAsia="zh-CN"/>
              </w:rPr>
              <w:t>为0.0000076</w:t>
            </w:r>
            <w:r>
              <w:rPr>
                <w:rFonts w:hint="eastAsia" w:hAnsi="宋体" w:eastAsia="宋体" w:cs="Times New Roman"/>
                <w:color w:val="auto"/>
                <w:highlight w:val="none"/>
                <w:lang w:val="en-US" w:eastAsia="zh-CN"/>
              </w:rPr>
              <w:t>kg</w:t>
            </w:r>
            <w:r>
              <w:rPr>
                <w:rFonts w:hint="eastAsia" w:ascii="Times New Roman" w:hAnsi="宋体" w:eastAsia="宋体" w:cs="Times New Roman"/>
                <w:color w:val="auto"/>
                <w:highlight w:val="none"/>
              </w:rPr>
              <w:t>/a</w:t>
            </w:r>
            <w:r>
              <w:rPr>
                <w:rFonts w:hint="eastAsia" w:hAnsi="宋体" w:eastAsia="宋体" w:cs="Times New Roman"/>
                <w:color w:val="auto"/>
                <w:highlight w:val="none"/>
                <w:lang w:eastAsia="zh-CN"/>
              </w:rPr>
              <w:t>、</w:t>
            </w:r>
            <w:r>
              <w:rPr>
                <w:rFonts w:hint="eastAsia" w:hAnsi="宋体" w:cs="Times New Roman"/>
                <w:color w:val="auto"/>
                <w:highlight w:val="none"/>
                <w:lang w:val="en-US" w:eastAsia="zh-CN"/>
              </w:rPr>
              <w:t>非甲烷总烃7.5473kg</w:t>
            </w:r>
            <w:r>
              <w:rPr>
                <w:rFonts w:hint="eastAsia" w:ascii="Times New Roman" w:hAnsi="宋体" w:eastAsia="宋体" w:cs="Times New Roman"/>
                <w:color w:val="auto"/>
                <w:highlight w:val="none"/>
              </w:rPr>
              <w:t>/a、SO</w:t>
            </w:r>
            <w:r>
              <w:rPr>
                <w:rFonts w:hint="eastAsia" w:ascii="Times New Roman" w:hAnsi="宋体" w:eastAsia="宋体" w:cs="Times New Roman"/>
                <w:color w:val="auto"/>
                <w:highlight w:val="none"/>
                <w:vertAlign w:val="subscript"/>
                <w:lang w:val="en-US" w:eastAsia="zh-CN"/>
              </w:rPr>
              <w:t>2</w:t>
            </w:r>
            <w:r>
              <w:rPr>
                <w:rFonts w:hint="eastAsia" w:ascii="Times New Roman" w:hAnsi="宋体" w:eastAsia="宋体" w:cs="Times New Roman"/>
                <w:color w:val="auto"/>
                <w:highlight w:val="none"/>
                <w:lang w:val="en-US" w:eastAsia="zh-CN"/>
              </w:rPr>
              <w:t>为0</w:t>
            </w:r>
            <w:r>
              <w:rPr>
                <w:rFonts w:hint="eastAsia" w:hAnsi="宋体" w:cs="Times New Roman"/>
                <w:color w:val="auto"/>
                <w:highlight w:val="none"/>
                <w:lang w:val="en-US" w:eastAsia="zh-CN"/>
              </w:rPr>
              <w:t>kg</w:t>
            </w:r>
            <w:r>
              <w:rPr>
                <w:rFonts w:hint="eastAsia" w:ascii="Times New Roman" w:hAnsi="宋体" w:eastAsia="宋体" w:cs="Times New Roman"/>
                <w:color w:val="auto"/>
                <w:highlight w:val="none"/>
              </w:rPr>
              <w:t>/a、NOx</w:t>
            </w:r>
            <w:r>
              <w:rPr>
                <w:rFonts w:hint="eastAsia" w:ascii="Times New Roman" w:hAnsi="宋体" w:eastAsia="宋体" w:cs="Times New Roman"/>
                <w:color w:val="auto"/>
                <w:highlight w:val="none"/>
                <w:lang w:val="en-US" w:eastAsia="zh-CN"/>
              </w:rPr>
              <w:t>为0</w:t>
            </w:r>
            <w:r>
              <w:rPr>
                <w:rFonts w:hint="eastAsia" w:hAnsi="宋体" w:cs="Times New Roman"/>
                <w:color w:val="auto"/>
                <w:highlight w:val="none"/>
                <w:lang w:val="en-US" w:eastAsia="zh-CN"/>
              </w:rPr>
              <w:t>kg</w:t>
            </w:r>
            <w:r>
              <w:rPr>
                <w:rFonts w:hint="eastAsia" w:ascii="Times New Roman" w:hAnsi="宋体" w:eastAsia="宋体" w:cs="Times New Roman"/>
                <w:color w:val="auto"/>
                <w:highlight w:val="none"/>
              </w:rPr>
              <w:t>/a、COD</w:t>
            </w:r>
            <w:r>
              <w:rPr>
                <w:rFonts w:hint="eastAsia" w:ascii="Times New Roman" w:hAnsi="宋体" w:eastAsia="宋体" w:cs="Times New Roman"/>
                <w:color w:val="auto"/>
                <w:highlight w:val="none"/>
                <w:lang w:val="en-US" w:eastAsia="zh-CN"/>
              </w:rPr>
              <w:t>为</w:t>
            </w:r>
            <w:r>
              <w:rPr>
                <w:rFonts w:hint="eastAsia" w:hAnsi="宋体" w:cs="Times New Roman"/>
                <w:color w:val="auto"/>
                <w:highlight w:val="none"/>
                <w:lang w:val="en-US" w:eastAsia="zh-CN"/>
              </w:rPr>
              <w:t>0.4107</w:t>
            </w:r>
            <w:r>
              <w:rPr>
                <w:rFonts w:hint="eastAsia" w:ascii="Times New Roman" w:hAnsi="宋体" w:eastAsia="宋体" w:cs="Times New Roman"/>
                <w:color w:val="auto"/>
                <w:highlight w:val="none"/>
              </w:rPr>
              <w:t>t/a、氨氮</w:t>
            </w:r>
            <w:r>
              <w:rPr>
                <w:rFonts w:hint="eastAsia" w:ascii="Times New Roman" w:hAnsi="宋体" w:eastAsia="宋体" w:cs="Times New Roman"/>
                <w:color w:val="auto"/>
                <w:highlight w:val="none"/>
                <w:lang w:val="en-US" w:eastAsia="zh-CN"/>
              </w:rPr>
              <w:t>为</w:t>
            </w:r>
            <w:r>
              <w:rPr>
                <w:rFonts w:hint="eastAsia" w:hAnsi="宋体" w:cs="Times New Roman"/>
                <w:color w:val="auto"/>
                <w:highlight w:val="none"/>
                <w:lang w:val="en-US" w:eastAsia="zh-CN"/>
              </w:rPr>
              <w:t>0.0333</w:t>
            </w:r>
            <w:r>
              <w:rPr>
                <w:rFonts w:hint="eastAsia" w:ascii="Times New Roman" w:hAnsi="宋体" w:eastAsia="宋体" w:cs="Times New Roman"/>
                <w:color w:val="auto"/>
                <w:highlight w:val="none"/>
              </w:rPr>
              <w:t>t/a。</w:t>
            </w:r>
          </w:p>
          <w:p w14:paraId="0727C71D">
            <w:pPr>
              <w:spacing w:line="440" w:lineRule="exact"/>
              <w:ind w:firstLine="422" w:firstLineChars="200"/>
              <w:rPr>
                <w:b/>
                <w:color w:val="auto"/>
                <w:highlight w:val="none"/>
              </w:rPr>
            </w:pPr>
            <w:r>
              <w:rPr>
                <w:rFonts w:hint="eastAsia"/>
                <w:b/>
                <w:color w:val="auto"/>
                <w:highlight w:val="none"/>
              </w:rPr>
              <w:t>2.总量控制目标值确定</w:t>
            </w:r>
          </w:p>
          <w:p w14:paraId="289AE928">
            <w:pPr>
              <w:spacing w:line="440" w:lineRule="exact"/>
              <w:ind w:firstLine="420" w:firstLineChars="200"/>
              <w:rPr>
                <w:rFonts w:hint="eastAsia" w:ascii="Times New Roman" w:hAnsi="宋体" w:eastAsia="宋体" w:cs="Times New Roman"/>
                <w:color w:val="auto"/>
                <w:highlight w:val="none"/>
              </w:rPr>
            </w:pPr>
            <w:r>
              <w:rPr>
                <w:rFonts w:hint="eastAsia" w:ascii="Times New Roman" w:hAnsi="宋体" w:eastAsia="宋体" w:cs="Times New Roman"/>
                <w:color w:val="auto"/>
                <w:highlight w:val="none"/>
              </w:rPr>
              <w:t>根据《国家“十二五”主要污染物总量控制规划》，总量控制因子包括化学需氧量（COD）、氨氮（NH</w:t>
            </w:r>
            <w:r>
              <w:rPr>
                <w:rFonts w:hint="eastAsia" w:ascii="Times New Roman" w:hAnsi="宋体" w:eastAsia="宋体" w:cs="Times New Roman"/>
                <w:color w:val="auto"/>
                <w:highlight w:val="none"/>
                <w:vertAlign w:val="subscript"/>
              </w:rPr>
              <w:t>3</w:t>
            </w:r>
            <w:r>
              <w:rPr>
                <w:rFonts w:hint="eastAsia" w:ascii="Times New Roman" w:hAnsi="宋体" w:eastAsia="宋体" w:cs="Times New Roman"/>
                <w:color w:val="auto"/>
                <w:highlight w:val="none"/>
              </w:rPr>
              <w:t>-N）、二氧化硫（SO</w:t>
            </w:r>
            <w:r>
              <w:rPr>
                <w:rFonts w:hint="eastAsia" w:ascii="Times New Roman" w:hAnsi="宋体" w:eastAsia="宋体" w:cs="Times New Roman"/>
                <w:color w:val="auto"/>
                <w:highlight w:val="none"/>
                <w:vertAlign w:val="subscript"/>
              </w:rPr>
              <w:t>2</w:t>
            </w:r>
            <w:r>
              <w:rPr>
                <w:rFonts w:hint="eastAsia" w:ascii="Times New Roman" w:hAnsi="宋体" w:eastAsia="宋体" w:cs="Times New Roman"/>
                <w:color w:val="auto"/>
                <w:highlight w:val="none"/>
              </w:rPr>
              <w:t>）和氮氧化物（NOx）。另根据国家《“十三五”生态环境保护规划》，河北省唐山市区域应增加挥发性有机物和TN的总量控制。</w:t>
            </w:r>
          </w:p>
          <w:p w14:paraId="4B72646D">
            <w:pPr>
              <w:spacing w:line="440" w:lineRule="exact"/>
              <w:ind w:firstLine="420" w:firstLineChars="200"/>
              <w:rPr>
                <w:rFonts w:hint="eastAsia" w:hAnsi="宋体"/>
                <w:color w:val="auto"/>
                <w:highlight w:val="none"/>
              </w:rPr>
            </w:pPr>
            <w:r>
              <w:rPr>
                <w:rFonts w:hint="eastAsia" w:hAnsi="宋体"/>
                <w:color w:val="auto"/>
                <w:highlight w:val="none"/>
              </w:rPr>
              <w:t>根据《关于印发&lt;建设项目主要污染物排放总量指标审核及管理暂行办法&gt;的通知》（环发[2014]197号）规定：“火电、钢铁、水泥、造纸、印染行业建设项目所需替代的主要污染物排放总量指标采用绩效方法核定。其他行业依据国家或地方污染物排放标准及单位产品基准排水量（行业最高允许排水量）、烟气量等予以核定。”</w:t>
            </w:r>
          </w:p>
          <w:p w14:paraId="3732012E">
            <w:pPr>
              <w:spacing w:line="440" w:lineRule="exact"/>
              <w:ind w:firstLine="420" w:firstLineChars="200"/>
              <w:rPr>
                <w:rFonts w:hAnsi="宋体"/>
                <w:color w:val="auto"/>
                <w:highlight w:val="none"/>
              </w:rPr>
            </w:pPr>
            <w:r>
              <w:rPr>
                <w:rFonts w:hint="eastAsia" w:hAnsi="宋体"/>
                <w:color w:val="auto"/>
                <w:highlight w:val="none"/>
              </w:rPr>
              <w:t>①大气污染物总量控制目标值的确定</w:t>
            </w:r>
          </w:p>
          <w:p w14:paraId="7650DD0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a.废气量</w:t>
            </w:r>
          </w:p>
          <w:p w14:paraId="758A08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本项目无机处理、有机处理及实验过程（理化一室、理化二室、测油室、离子色谱室、气质一室、气质二室、色谱室、半挥发前处理室）设置1套两级活性炭吸附装置，风量为10000m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/h，本项目两级活性炭吸附装置运行时间为300h。</w:t>
            </w:r>
          </w:p>
          <w:p w14:paraId="602A686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b.核算标准</w:t>
            </w:r>
          </w:p>
          <w:p w14:paraId="4D8DB1A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无机处理、有机处理及实验过程（理化一室、理化二室、测油室、离子色谱室、气质一室、气质二室、色谱室、半挥发前处理室）产生的非甲烷总烃排放执行《工业企业挥发性有机物排放控制标准》（DB13/2322-2016）表1中其他行业标准：非甲烷总烃为80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w:t>
            </w:r>
          </w:p>
          <w:p w14:paraId="1B403E7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c.核算方法</w:t>
            </w:r>
          </w:p>
          <w:p w14:paraId="7AAFCC4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本评价核定公式如下：</w:t>
            </w:r>
          </w:p>
          <w:p w14:paraId="7FE7091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M=K×Q×T/10</w:t>
            </w:r>
            <w:r>
              <w:rPr>
                <w:rFonts w:hint="eastAsia" w:ascii="Times New Roman" w:hAnsi="Times New Roman" w:eastAsia="宋体" w:cs="Times New Roman"/>
                <w:color w:val="auto"/>
                <w:sz w:val="21"/>
                <w:szCs w:val="21"/>
                <w:highlight w:val="none"/>
                <w:vertAlign w:val="superscript"/>
                <w:lang w:val="en-US" w:eastAsia="zh-CN"/>
              </w:rPr>
              <w:t>9</w:t>
            </w:r>
          </w:p>
          <w:p w14:paraId="6538BBD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其中：M—总量控制目标值，t/a； </w:t>
            </w:r>
          </w:p>
          <w:p w14:paraId="74B603E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      K—核定标准值，mg/m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 xml:space="preserve">； </w:t>
            </w:r>
          </w:p>
          <w:p w14:paraId="482DE60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      Q—废气量，Nm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 xml:space="preserve">/h； </w:t>
            </w:r>
          </w:p>
          <w:p w14:paraId="39D2218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      T—年有效工作时间，h。 </w:t>
            </w:r>
          </w:p>
          <w:p w14:paraId="5BA55A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d.核算结果</w:t>
            </w:r>
          </w:p>
          <w:p w14:paraId="7A83A23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废气污染物总量核算结果见表2</w:t>
            </w:r>
            <w:r>
              <w:rPr>
                <w:rFonts w:hint="eastAsia" w:ascii="Times New Roman" w:hAnsi="Times New Roman"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w:t>
            </w:r>
          </w:p>
          <w:p w14:paraId="4426EBE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eastAsia="宋体"/>
                <w:b/>
                <w:color w:val="auto"/>
                <w:highlight w:val="none"/>
              </w:rPr>
            </w:pPr>
            <w:r>
              <w:rPr>
                <w:rFonts w:hint="eastAsia" w:eastAsia="宋体"/>
                <w:b/>
                <w:color w:val="auto"/>
                <w:highlight w:val="none"/>
              </w:rPr>
              <w:t>表</w:t>
            </w:r>
            <w:r>
              <w:rPr>
                <w:rFonts w:hint="eastAsia" w:eastAsia="宋体"/>
                <w:b/>
                <w:color w:val="auto"/>
                <w:highlight w:val="none"/>
                <w:lang w:val="en-US" w:eastAsia="zh-CN"/>
              </w:rPr>
              <w:t>2</w:t>
            </w:r>
            <w:r>
              <w:rPr>
                <w:rFonts w:hint="eastAsia"/>
                <w:b/>
                <w:color w:val="auto"/>
                <w:highlight w:val="none"/>
                <w:lang w:val="en-US" w:eastAsia="zh-CN"/>
              </w:rPr>
              <w:t>0</w:t>
            </w:r>
            <w:r>
              <w:rPr>
                <w:rFonts w:hint="eastAsia" w:eastAsia="宋体"/>
                <w:b/>
                <w:color w:val="auto"/>
                <w:highlight w:val="none"/>
              </w:rPr>
              <w:t xml:space="preserve">  废</w:t>
            </w:r>
            <w:r>
              <w:rPr>
                <w:rFonts w:hint="eastAsia" w:eastAsia="宋体"/>
                <w:b/>
                <w:color w:val="auto"/>
                <w:highlight w:val="none"/>
                <w:lang w:val="en-US" w:eastAsia="zh-CN"/>
              </w:rPr>
              <w:t>气</w:t>
            </w:r>
            <w:r>
              <w:rPr>
                <w:rFonts w:hint="eastAsia" w:eastAsia="宋体"/>
                <w:b/>
                <w:color w:val="auto"/>
                <w:highlight w:val="none"/>
              </w:rPr>
              <w:t>污染物总量指标核算</w:t>
            </w:r>
          </w:p>
          <w:tbl>
            <w:tblPr>
              <w:tblStyle w:val="26"/>
              <w:tblW w:w="8112" w:type="dxa"/>
              <w:tblInd w:w="-69"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255"/>
              <w:gridCol w:w="1909"/>
              <w:gridCol w:w="1899"/>
              <w:gridCol w:w="1500"/>
              <w:gridCol w:w="1549"/>
            </w:tblGrid>
            <w:tr w14:paraId="7117FD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1255" w:type="dxa"/>
                  <w:tcBorders>
                    <w:tl2br w:val="nil"/>
                    <w:tr2bl w:val="nil"/>
                  </w:tcBorders>
                  <w:noWrap w:val="0"/>
                  <w:vAlign w:val="center"/>
                </w:tcPr>
                <w:p w14:paraId="4262D5D1">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污染物</w:t>
                  </w:r>
                </w:p>
              </w:tc>
              <w:tc>
                <w:tcPr>
                  <w:tcW w:w="1909" w:type="dxa"/>
                  <w:tcBorders>
                    <w:tl2br w:val="nil"/>
                    <w:tr2bl w:val="nil"/>
                  </w:tcBorders>
                  <w:noWrap w:val="0"/>
                  <w:vAlign w:val="center"/>
                </w:tcPr>
                <w:p w14:paraId="4AA4A7B9">
                  <w:pPr>
                    <w:tabs>
                      <w:tab w:val="left" w:pos="4253"/>
                    </w:tabs>
                    <w:spacing w:line="240" w:lineRule="exact"/>
                    <w:jc w:val="center"/>
                    <w:rPr>
                      <w:rFonts w:hint="eastAsia"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废气</w:t>
                  </w:r>
                  <w:r>
                    <w:rPr>
                      <w:rFonts w:hint="default" w:ascii="Times New Roman" w:hAnsi="Times New Roman" w:cs="Times New Roman" w:eastAsiaTheme="minorEastAsia"/>
                      <w:color w:val="auto"/>
                      <w:spacing w:val="0"/>
                      <w:sz w:val="18"/>
                      <w:szCs w:val="18"/>
                    </w:rPr>
                    <w:t>量（</w:t>
                  </w:r>
                  <w:r>
                    <w:rPr>
                      <w:rFonts w:hint="eastAsia" w:ascii="Times New Roman" w:hAnsi="Times New Roman" w:cs="Times New Roman" w:eastAsiaTheme="minorEastAsia"/>
                      <w:color w:val="auto"/>
                      <w:spacing w:val="0"/>
                      <w:sz w:val="18"/>
                      <w:szCs w:val="18"/>
                      <w:lang w:val="en-US" w:eastAsia="zh-CN"/>
                    </w:rPr>
                    <w:t>Nm</w:t>
                  </w:r>
                  <w:r>
                    <w:rPr>
                      <w:rFonts w:hint="eastAsia" w:ascii="Times New Roman" w:hAnsi="Times New Roman" w:cs="Times New Roman" w:eastAsiaTheme="minorEastAsia"/>
                      <w:color w:val="auto"/>
                      <w:spacing w:val="0"/>
                      <w:sz w:val="18"/>
                      <w:szCs w:val="18"/>
                      <w:vertAlign w:val="superscript"/>
                      <w:lang w:val="en-US" w:eastAsia="zh-CN"/>
                    </w:rPr>
                    <w:t>3</w:t>
                  </w:r>
                  <w:r>
                    <w:rPr>
                      <w:rFonts w:hint="eastAsia" w:ascii="Times New Roman" w:hAnsi="Times New Roman" w:cs="Times New Roman" w:eastAsiaTheme="minorEastAsia"/>
                      <w:color w:val="auto"/>
                      <w:spacing w:val="0"/>
                      <w:sz w:val="18"/>
                      <w:szCs w:val="18"/>
                      <w:lang w:val="en-US" w:eastAsia="zh-CN"/>
                    </w:rPr>
                    <w:t>/h</w:t>
                  </w:r>
                  <w:r>
                    <w:rPr>
                      <w:rFonts w:hint="default" w:ascii="Times New Roman" w:hAnsi="Times New Roman" w:cs="Times New Roman" w:eastAsiaTheme="minorEastAsia"/>
                      <w:color w:val="auto"/>
                      <w:spacing w:val="0"/>
                      <w:sz w:val="18"/>
                      <w:szCs w:val="18"/>
                    </w:rPr>
                    <w:t>）</w:t>
                  </w:r>
                </w:p>
              </w:tc>
              <w:tc>
                <w:tcPr>
                  <w:tcW w:w="1899" w:type="dxa"/>
                  <w:tcBorders>
                    <w:tl2br w:val="nil"/>
                    <w:tr2bl w:val="nil"/>
                  </w:tcBorders>
                  <w:noWrap w:val="0"/>
                  <w:vAlign w:val="center"/>
                </w:tcPr>
                <w:p w14:paraId="2F7204AE">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eastAsia" w:ascii="Times New Roman" w:hAnsi="Times New Roman" w:cs="Times New Roman" w:eastAsiaTheme="minorEastAsia"/>
                      <w:color w:val="auto"/>
                      <w:spacing w:val="0"/>
                      <w:sz w:val="18"/>
                      <w:szCs w:val="18"/>
                      <w:lang w:val="en-US" w:eastAsia="zh-CN"/>
                    </w:rPr>
                    <w:t>年有效工作时间（h）</w:t>
                  </w:r>
                </w:p>
              </w:tc>
              <w:tc>
                <w:tcPr>
                  <w:tcW w:w="1500" w:type="dxa"/>
                  <w:tcBorders>
                    <w:tl2br w:val="nil"/>
                    <w:tr2bl w:val="nil"/>
                  </w:tcBorders>
                  <w:noWrap w:val="0"/>
                  <w:vAlign w:val="center"/>
                </w:tcPr>
                <w:p w14:paraId="5671C691">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标准值（</w:t>
                  </w:r>
                  <w:r>
                    <w:rPr>
                      <w:rFonts w:hint="eastAsia" w:ascii="Times New Roman" w:hAnsi="Times New Roman" w:cs="Times New Roman" w:eastAsiaTheme="minorEastAsia"/>
                      <w:color w:val="auto"/>
                      <w:spacing w:val="0"/>
                      <w:sz w:val="18"/>
                      <w:szCs w:val="18"/>
                      <w:lang w:val="en-US" w:eastAsia="zh-CN"/>
                    </w:rPr>
                    <w:t>mg/m</w:t>
                  </w:r>
                  <w:r>
                    <w:rPr>
                      <w:rFonts w:hint="eastAsia" w:ascii="Times New Roman" w:hAnsi="Times New Roman" w:cs="Times New Roman" w:eastAsiaTheme="minorEastAsia"/>
                      <w:color w:val="auto"/>
                      <w:spacing w:val="0"/>
                      <w:sz w:val="18"/>
                      <w:szCs w:val="18"/>
                      <w:vertAlign w:val="superscript"/>
                      <w:lang w:val="en-US" w:eastAsia="zh-CN"/>
                    </w:rPr>
                    <w:t>3</w:t>
                  </w:r>
                  <w:r>
                    <w:rPr>
                      <w:rFonts w:hint="default" w:ascii="Times New Roman" w:hAnsi="Times New Roman" w:cs="Times New Roman" w:eastAsiaTheme="minorEastAsia"/>
                      <w:color w:val="auto"/>
                      <w:spacing w:val="0"/>
                      <w:sz w:val="18"/>
                      <w:szCs w:val="18"/>
                    </w:rPr>
                    <w:t>）</w:t>
                  </w:r>
                </w:p>
              </w:tc>
              <w:tc>
                <w:tcPr>
                  <w:tcW w:w="1549" w:type="dxa"/>
                  <w:tcBorders>
                    <w:tl2br w:val="nil"/>
                    <w:tr2bl w:val="nil"/>
                  </w:tcBorders>
                  <w:noWrap w:val="0"/>
                  <w:vAlign w:val="center"/>
                </w:tcPr>
                <w:p w14:paraId="0BE3593F">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总量指标（t/a）</w:t>
                  </w:r>
                </w:p>
              </w:tc>
            </w:tr>
            <w:tr w14:paraId="11DC98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55" w:type="dxa"/>
                  <w:tcBorders>
                    <w:tl2br w:val="nil"/>
                    <w:tr2bl w:val="nil"/>
                  </w:tcBorders>
                  <w:noWrap w:val="0"/>
                  <w:vAlign w:val="center"/>
                </w:tcPr>
                <w:p w14:paraId="11620AA2">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非甲烷总烃</w:t>
                  </w:r>
                </w:p>
              </w:tc>
              <w:tc>
                <w:tcPr>
                  <w:tcW w:w="1909" w:type="dxa"/>
                  <w:tcBorders>
                    <w:tl2br w:val="nil"/>
                    <w:tr2bl w:val="nil"/>
                  </w:tcBorders>
                  <w:noWrap w:val="0"/>
                  <w:vAlign w:val="center"/>
                </w:tcPr>
                <w:p w14:paraId="2E14C3A7">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10000</w:t>
                  </w:r>
                </w:p>
              </w:tc>
              <w:tc>
                <w:tcPr>
                  <w:tcW w:w="1899" w:type="dxa"/>
                  <w:tcBorders>
                    <w:tl2br w:val="nil"/>
                    <w:tr2bl w:val="nil"/>
                  </w:tcBorders>
                  <w:noWrap w:val="0"/>
                  <w:vAlign w:val="center"/>
                </w:tcPr>
                <w:p w14:paraId="5EC6BB31">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300</w:t>
                  </w:r>
                </w:p>
              </w:tc>
              <w:tc>
                <w:tcPr>
                  <w:tcW w:w="1500" w:type="dxa"/>
                  <w:tcBorders>
                    <w:tl2br w:val="nil"/>
                    <w:tr2bl w:val="nil"/>
                  </w:tcBorders>
                  <w:noWrap w:val="0"/>
                  <w:vAlign w:val="center"/>
                </w:tcPr>
                <w:p w14:paraId="1A0CF469">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80</w:t>
                  </w:r>
                </w:p>
              </w:tc>
              <w:tc>
                <w:tcPr>
                  <w:tcW w:w="1549" w:type="dxa"/>
                  <w:tcBorders>
                    <w:tl2br w:val="nil"/>
                    <w:tr2bl w:val="nil"/>
                  </w:tcBorders>
                  <w:noWrap w:val="0"/>
                  <w:vAlign w:val="center"/>
                </w:tcPr>
                <w:p w14:paraId="23E8C4F0">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0.24</w:t>
                  </w:r>
                </w:p>
              </w:tc>
            </w:tr>
          </w:tbl>
          <w:p w14:paraId="2AA948D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本评价建议废气污染物总量控制目标值为SO</w:t>
            </w:r>
            <w:r>
              <w:rPr>
                <w:rFonts w:hint="eastAsia" w:ascii="Times New Roman" w:hAnsi="Times New Roman" w:eastAsia="宋体" w:cs="Times New Roman"/>
                <w:color w:val="auto"/>
                <w:sz w:val="21"/>
                <w:szCs w:val="21"/>
                <w:highlight w:val="none"/>
                <w:vertAlign w:val="subscript"/>
                <w:lang w:val="en-US" w:eastAsia="zh-CN"/>
              </w:rPr>
              <w:t>2</w:t>
            </w:r>
            <w:r>
              <w:rPr>
                <w:rFonts w:hint="eastAsia" w:ascii="Times New Roman" w:hAnsi="Times New Roman" w:eastAsia="宋体" w:cs="Times New Roman"/>
                <w:color w:val="auto"/>
                <w:sz w:val="21"/>
                <w:szCs w:val="21"/>
                <w:highlight w:val="none"/>
                <w:lang w:val="en-US" w:eastAsia="zh-CN"/>
              </w:rPr>
              <w:t>为 0t/a、氮氧化物为0t/a</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非甲烷总烃为</w:t>
            </w:r>
            <w:r>
              <w:rPr>
                <w:rFonts w:hint="eastAsia" w:ascii="Times New Roman" w:hAnsi="Times New Roman" w:cs="Times New Roman"/>
                <w:color w:val="auto"/>
                <w:sz w:val="21"/>
                <w:szCs w:val="21"/>
                <w:highlight w:val="none"/>
                <w:lang w:val="en-US" w:eastAsia="zh-CN"/>
              </w:rPr>
              <w:t>0.24</w:t>
            </w:r>
            <w:r>
              <w:rPr>
                <w:rFonts w:hint="eastAsia" w:ascii="Times New Roman" w:hAnsi="Times New Roman" w:eastAsia="宋体" w:cs="Times New Roman"/>
                <w:color w:val="auto"/>
                <w:sz w:val="21"/>
                <w:szCs w:val="21"/>
                <w:highlight w:val="none"/>
                <w:lang w:val="en-US" w:eastAsia="zh-CN"/>
              </w:rPr>
              <w:t>t/a。</w:t>
            </w:r>
          </w:p>
          <w:p w14:paraId="440F776C">
            <w:pPr>
              <w:spacing w:line="440" w:lineRule="exact"/>
              <w:ind w:firstLine="420" w:firstLineChars="200"/>
              <w:rPr>
                <w:rFonts w:hAnsi="宋体"/>
                <w:color w:val="auto"/>
                <w:highlight w:val="none"/>
              </w:rPr>
            </w:pPr>
            <w:r>
              <w:rPr>
                <w:rFonts w:hint="eastAsia" w:ascii="宋体" w:hAnsi="宋体"/>
                <w:color w:val="auto"/>
                <w:highlight w:val="none"/>
              </w:rPr>
              <w:t>②</w:t>
            </w:r>
            <w:r>
              <w:rPr>
                <w:rFonts w:hint="eastAsia" w:hAnsi="宋体"/>
                <w:color w:val="auto"/>
                <w:highlight w:val="none"/>
              </w:rPr>
              <w:t>废水污染物总量控制目标值的确定</w:t>
            </w:r>
          </w:p>
          <w:p w14:paraId="321C674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a.废水量</w:t>
            </w:r>
          </w:p>
          <w:p w14:paraId="74608B1C">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由工程分析可知，</w:t>
            </w:r>
            <w:r>
              <w:rPr>
                <w:rFonts w:hint="eastAsia" w:ascii="Times New Roman" w:hAnsi="Times New Roman" w:cs="Times New Roman"/>
                <w:color w:val="auto"/>
                <w:sz w:val="21"/>
                <w:szCs w:val="21"/>
                <w:highlight w:val="none"/>
                <w:lang w:val="en-US" w:eastAsia="zh-CN"/>
              </w:rPr>
              <w:t>本项目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r>
              <w:rPr>
                <w:rFonts w:hint="eastAsia"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废水</w:t>
            </w:r>
            <w:r>
              <w:rPr>
                <w:rFonts w:hint="eastAsia" w:ascii="Times New Roman" w:hAnsi="Times New Roman" w:eastAsia="宋体" w:cs="Times New Roman"/>
                <w:color w:val="auto"/>
                <w:sz w:val="21"/>
                <w:szCs w:val="21"/>
                <w:highlight w:val="none"/>
                <w:lang w:val="en-US" w:eastAsia="zh-CN"/>
              </w:rPr>
              <w:t>外排量为</w:t>
            </w:r>
            <w:r>
              <w:rPr>
                <w:rFonts w:hint="eastAsia" w:cs="Times New Roman"/>
                <w:color w:val="auto"/>
                <w:sz w:val="21"/>
                <w:szCs w:val="21"/>
                <w:highlight w:val="none"/>
                <w:lang w:val="en-US" w:eastAsia="zh-CN"/>
              </w:rPr>
              <w:t>1433.214</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/a。</w:t>
            </w:r>
          </w:p>
          <w:p w14:paraId="073D62D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b.核算标准</w:t>
            </w:r>
          </w:p>
          <w:p w14:paraId="78F4378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eastAsia="仿宋"/>
                <w:color w:val="auto"/>
                <w:sz w:val="24"/>
                <w:szCs w:val="24"/>
              </w:rPr>
            </w:pPr>
            <w:r>
              <w:rPr>
                <w:rFonts w:hint="eastAsia" w:ascii="Times New Roman" w:hAnsi="Times New Roman" w:eastAsia="宋体" w:cs="Times New Roman"/>
                <w:color w:val="auto"/>
                <w:sz w:val="21"/>
                <w:szCs w:val="21"/>
                <w:highlight w:val="none"/>
                <w:lang w:val="en-US" w:eastAsia="zh-CN"/>
              </w:rPr>
              <w:t>由工程分析可知，本项目</w:t>
            </w:r>
            <w:r>
              <w:rPr>
                <w:rFonts w:hint="eastAsia" w:ascii="Times New Roman" w:hAnsi="Times New Roman" w:cs="Times New Roman"/>
                <w:color w:val="auto"/>
                <w:sz w:val="21"/>
                <w:szCs w:val="21"/>
                <w:highlight w:val="none"/>
                <w:lang w:val="en-US" w:eastAsia="zh-CN"/>
              </w:rPr>
              <w:t>废</w:t>
            </w:r>
            <w:r>
              <w:rPr>
                <w:rFonts w:hint="eastAsia" w:ascii="Times New Roman" w:hAnsi="Times New Roman" w:eastAsia="宋体" w:cs="Times New Roman"/>
                <w:color w:val="auto"/>
                <w:sz w:val="21"/>
                <w:szCs w:val="21"/>
                <w:highlight w:val="none"/>
                <w:lang w:val="en-US" w:eastAsia="zh-CN"/>
              </w:rPr>
              <w:t>水排入</w:t>
            </w:r>
            <w:r>
              <w:rPr>
                <w:rFonts w:hint="eastAsia" w:ascii="Times New Roman" w:hAnsi="Times New Roman" w:cs="Times New Roman"/>
                <w:color w:val="auto"/>
                <w:sz w:val="21"/>
                <w:szCs w:val="21"/>
                <w:highlight w:val="none"/>
                <w:lang w:val="en-US" w:eastAsia="zh-CN"/>
              </w:rPr>
              <w:t>迁安市</w:t>
            </w:r>
            <w:r>
              <w:rPr>
                <w:rFonts w:hint="eastAsia" w:ascii="Times New Roman" w:hAnsi="Times New Roman" w:eastAsia="宋体" w:cs="Times New Roman"/>
                <w:color w:val="auto"/>
                <w:sz w:val="21"/>
                <w:szCs w:val="21"/>
                <w:highlight w:val="none"/>
                <w:lang w:val="en-US" w:eastAsia="zh-CN"/>
              </w:rPr>
              <w:t>污水处理厂进行处理。迁安</w:t>
            </w:r>
            <w:r>
              <w:rPr>
                <w:rFonts w:hint="eastAsia" w:ascii="Times New Roman" w:hAnsi="Times New Roman" w:cs="Times New Roman"/>
                <w:color w:val="auto"/>
                <w:sz w:val="21"/>
                <w:szCs w:val="21"/>
                <w:highlight w:val="none"/>
                <w:lang w:val="en-US" w:eastAsia="zh-CN"/>
              </w:rPr>
              <w:t>市</w:t>
            </w:r>
            <w:r>
              <w:rPr>
                <w:rFonts w:hint="eastAsia" w:ascii="Times New Roman" w:hAnsi="Times New Roman" w:eastAsia="宋体" w:cs="Times New Roman"/>
                <w:color w:val="auto"/>
                <w:sz w:val="21"/>
                <w:szCs w:val="21"/>
                <w:highlight w:val="none"/>
                <w:lang w:val="en-US" w:eastAsia="zh-CN"/>
              </w:rPr>
              <w:t>污水处理厂出水执行《城镇污水处理厂污染物排放标准》（GB18918-2002）一级A标准。总量控制目标值按照《城镇污水处理厂污染物排放标准》（GB18918-2002）一级A标准核算（COD为50mg/L、NH</w:t>
            </w:r>
            <w:r>
              <w:rPr>
                <w:rFonts w:hint="eastAsia" w:ascii="Times New Roman" w:hAnsi="Times New Roman" w:eastAsia="宋体" w:cs="Times New Roman"/>
                <w:color w:val="auto"/>
                <w:sz w:val="21"/>
                <w:szCs w:val="21"/>
                <w:highlight w:val="none"/>
                <w:vertAlign w:val="subscript"/>
                <w:lang w:val="en-US" w:eastAsia="zh-CN"/>
              </w:rPr>
              <w:t>3</w:t>
            </w:r>
            <w:r>
              <w:rPr>
                <w:rFonts w:hint="eastAsia" w:ascii="Times New Roman" w:hAnsi="Times New Roman" w:eastAsia="宋体" w:cs="Times New Roman"/>
                <w:color w:val="auto"/>
                <w:sz w:val="21"/>
                <w:szCs w:val="21"/>
                <w:highlight w:val="none"/>
                <w:lang w:val="en-US" w:eastAsia="zh-CN"/>
              </w:rPr>
              <w:t>-N为5mg/L</w:t>
            </w:r>
            <w:r>
              <w:rPr>
                <w:rFonts w:hint="eastAsia" w:ascii="Times New Roman" w:hAnsi="Times New Roman" w:cs="Times New Roman"/>
                <w:color w:val="auto"/>
                <w:sz w:val="21"/>
                <w:szCs w:val="21"/>
                <w:highlight w:val="none"/>
                <w:lang w:val="en-US" w:eastAsia="zh-CN"/>
              </w:rPr>
              <w:t>、TN为15</w:t>
            </w:r>
            <w:r>
              <w:rPr>
                <w:rFonts w:hint="eastAsia" w:ascii="Times New Roman" w:hAnsi="Times New Roman" w:eastAsia="宋体" w:cs="Times New Roman"/>
                <w:color w:val="auto"/>
                <w:sz w:val="21"/>
                <w:szCs w:val="21"/>
                <w:highlight w:val="none"/>
                <w:lang w:val="en-US" w:eastAsia="zh-CN"/>
              </w:rPr>
              <w:t>mg/L）。</w:t>
            </w:r>
            <w:r>
              <w:rPr>
                <w:rFonts w:hint="eastAsia" w:eastAsia="仿宋"/>
                <w:color w:val="auto"/>
                <w:sz w:val="24"/>
                <w:szCs w:val="24"/>
              </w:rPr>
              <w:t xml:space="preserve"> </w:t>
            </w:r>
          </w:p>
          <w:p w14:paraId="122D9D1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c.核算方法</w:t>
            </w:r>
          </w:p>
          <w:p w14:paraId="34C6507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本评价核定公式如下：</w:t>
            </w:r>
          </w:p>
          <w:p w14:paraId="672D6AC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M=K×Q/10</w:t>
            </w:r>
            <w:r>
              <w:rPr>
                <w:rFonts w:hint="eastAsia" w:ascii="Times New Roman" w:hAnsi="Times New Roman" w:eastAsia="宋体" w:cs="Times New Roman"/>
                <w:color w:val="auto"/>
                <w:sz w:val="21"/>
                <w:szCs w:val="21"/>
                <w:highlight w:val="none"/>
                <w:vertAlign w:val="superscript"/>
                <w:lang w:val="en-US" w:eastAsia="zh-CN"/>
              </w:rPr>
              <w:t>6</w:t>
            </w:r>
          </w:p>
          <w:p w14:paraId="15E49CC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其中：M—总量控制目标值，t/a；</w:t>
            </w:r>
          </w:p>
          <w:p w14:paraId="051242C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K—核定标准值，mg/L；</w:t>
            </w:r>
          </w:p>
          <w:p w14:paraId="43637EF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Q—废水量，m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/a；</w:t>
            </w:r>
          </w:p>
          <w:p w14:paraId="3BC9558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d.核算结果</w:t>
            </w:r>
          </w:p>
          <w:p w14:paraId="3A87A85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废水污染物总量核算结果见表2</w:t>
            </w:r>
            <w:r>
              <w:rPr>
                <w:rFonts w:hint="eastAsia" w:ascii="Times New Roman" w:hAnsi="Times New Roman"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w:t>
            </w:r>
          </w:p>
          <w:p w14:paraId="223AC8F0">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eastAsia="宋体"/>
                <w:b/>
                <w:color w:val="auto"/>
                <w:highlight w:val="none"/>
              </w:rPr>
            </w:pPr>
            <w:r>
              <w:rPr>
                <w:rFonts w:hint="eastAsia" w:eastAsia="宋体"/>
                <w:b/>
                <w:color w:val="auto"/>
                <w:highlight w:val="none"/>
              </w:rPr>
              <w:t>表</w:t>
            </w:r>
            <w:r>
              <w:rPr>
                <w:rFonts w:hint="eastAsia" w:eastAsia="宋体"/>
                <w:b/>
                <w:color w:val="auto"/>
                <w:highlight w:val="none"/>
                <w:lang w:val="en-US" w:eastAsia="zh-CN"/>
              </w:rPr>
              <w:t>2</w:t>
            </w:r>
            <w:r>
              <w:rPr>
                <w:rFonts w:hint="eastAsia"/>
                <w:b/>
                <w:color w:val="auto"/>
                <w:highlight w:val="none"/>
                <w:lang w:val="en-US" w:eastAsia="zh-CN"/>
              </w:rPr>
              <w:t>1</w:t>
            </w:r>
            <w:r>
              <w:rPr>
                <w:rFonts w:hint="eastAsia" w:eastAsia="宋体"/>
                <w:b/>
                <w:color w:val="auto"/>
                <w:highlight w:val="none"/>
              </w:rPr>
              <w:t xml:space="preserve">  废水污染物总量指标核算</w:t>
            </w:r>
          </w:p>
          <w:tbl>
            <w:tblPr>
              <w:tblStyle w:val="26"/>
              <w:tblW w:w="8112" w:type="dxa"/>
              <w:tblInd w:w="-69"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1881"/>
              <w:gridCol w:w="1673"/>
              <w:gridCol w:w="2158"/>
              <w:gridCol w:w="2400"/>
            </w:tblGrid>
            <w:tr w14:paraId="6F2A69C8">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03" w:hRule="atLeast"/>
              </w:trPr>
              <w:tc>
                <w:tcPr>
                  <w:tcW w:w="1881" w:type="dxa"/>
                  <w:tcBorders>
                    <w:top w:val="single" w:color="auto" w:sz="12" w:space="0"/>
                    <w:left w:val="nil"/>
                    <w:bottom w:val="single" w:color="auto" w:sz="4" w:space="0"/>
                    <w:right w:val="single" w:color="auto" w:sz="4" w:space="0"/>
                  </w:tcBorders>
                  <w:noWrap w:val="0"/>
                  <w:vAlign w:val="center"/>
                </w:tcPr>
                <w:p w14:paraId="137BA32B">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排水量（m</w:t>
                  </w:r>
                  <w:r>
                    <w:rPr>
                      <w:rFonts w:hint="default" w:ascii="Times New Roman" w:hAnsi="Times New Roman" w:cs="Times New Roman" w:eastAsiaTheme="minorEastAsia"/>
                      <w:color w:val="auto"/>
                      <w:spacing w:val="0"/>
                      <w:sz w:val="18"/>
                      <w:szCs w:val="18"/>
                      <w:vertAlign w:val="superscript"/>
                    </w:rPr>
                    <w:t>3</w:t>
                  </w:r>
                  <w:r>
                    <w:rPr>
                      <w:rFonts w:hint="default" w:ascii="Times New Roman" w:hAnsi="Times New Roman" w:cs="Times New Roman" w:eastAsiaTheme="minorEastAsia"/>
                      <w:color w:val="auto"/>
                      <w:spacing w:val="0"/>
                      <w:sz w:val="18"/>
                      <w:szCs w:val="18"/>
                    </w:rPr>
                    <w:t>/a）</w:t>
                  </w:r>
                </w:p>
              </w:tc>
              <w:tc>
                <w:tcPr>
                  <w:tcW w:w="1673" w:type="dxa"/>
                  <w:tcBorders>
                    <w:top w:val="single" w:color="auto" w:sz="12" w:space="0"/>
                    <w:left w:val="nil"/>
                    <w:bottom w:val="single" w:color="auto" w:sz="4" w:space="0"/>
                    <w:right w:val="single" w:color="auto" w:sz="4" w:space="0"/>
                  </w:tcBorders>
                  <w:noWrap w:val="0"/>
                  <w:vAlign w:val="center"/>
                </w:tcPr>
                <w:p w14:paraId="190261DA">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污染物</w:t>
                  </w:r>
                </w:p>
              </w:tc>
              <w:tc>
                <w:tcPr>
                  <w:tcW w:w="2158" w:type="dxa"/>
                  <w:tcBorders>
                    <w:top w:val="single" w:color="auto" w:sz="12" w:space="0"/>
                    <w:left w:val="nil"/>
                    <w:bottom w:val="single" w:color="auto" w:sz="4" w:space="0"/>
                    <w:right w:val="single" w:color="auto" w:sz="4" w:space="0"/>
                  </w:tcBorders>
                  <w:noWrap w:val="0"/>
                  <w:vAlign w:val="center"/>
                </w:tcPr>
                <w:p w14:paraId="7B13B21B">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标准值（mg/L）</w:t>
                  </w:r>
                </w:p>
              </w:tc>
              <w:tc>
                <w:tcPr>
                  <w:tcW w:w="2400" w:type="dxa"/>
                  <w:tcBorders>
                    <w:top w:val="single" w:color="auto" w:sz="12" w:space="0"/>
                    <w:left w:val="nil"/>
                    <w:bottom w:val="single" w:color="auto" w:sz="4" w:space="0"/>
                    <w:right w:val="nil"/>
                  </w:tcBorders>
                  <w:noWrap w:val="0"/>
                  <w:vAlign w:val="center"/>
                </w:tcPr>
                <w:p w14:paraId="09C096FA">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总量指标（t/a）</w:t>
                  </w:r>
                </w:p>
              </w:tc>
            </w:tr>
            <w:tr w14:paraId="20C5D9FC">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83" w:hRule="atLeast"/>
              </w:trPr>
              <w:tc>
                <w:tcPr>
                  <w:tcW w:w="1881" w:type="dxa"/>
                  <w:vMerge w:val="restart"/>
                  <w:tcBorders>
                    <w:top w:val="single" w:color="auto" w:sz="4" w:space="0"/>
                    <w:left w:val="nil"/>
                    <w:right w:val="single" w:color="auto" w:sz="4" w:space="0"/>
                  </w:tcBorders>
                  <w:noWrap w:val="0"/>
                  <w:vAlign w:val="center"/>
                </w:tcPr>
                <w:p w14:paraId="2E060DED">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cs="Times New Roman" w:eastAsiaTheme="minorEastAsia"/>
                      <w:color w:val="auto"/>
                      <w:spacing w:val="0"/>
                      <w:sz w:val="18"/>
                      <w:szCs w:val="18"/>
                      <w:lang w:val="en-US" w:eastAsia="zh-CN"/>
                    </w:rPr>
                    <w:t>1433.214</w:t>
                  </w:r>
                </w:p>
              </w:tc>
              <w:tc>
                <w:tcPr>
                  <w:tcW w:w="1673" w:type="dxa"/>
                  <w:tcBorders>
                    <w:top w:val="single" w:color="auto" w:sz="4" w:space="0"/>
                    <w:left w:val="nil"/>
                    <w:bottom w:val="single" w:color="auto" w:sz="4" w:space="0"/>
                    <w:right w:val="single" w:color="auto" w:sz="4" w:space="0"/>
                  </w:tcBorders>
                  <w:noWrap w:val="0"/>
                  <w:vAlign w:val="center"/>
                </w:tcPr>
                <w:p w14:paraId="75D83CE4">
                  <w:pPr>
                    <w:tabs>
                      <w:tab w:val="left" w:pos="4253"/>
                    </w:tabs>
                    <w:spacing w:line="240" w:lineRule="exact"/>
                    <w:jc w:val="center"/>
                    <w:rPr>
                      <w:rFonts w:hint="default" w:ascii="Times New Roman" w:hAnsi="Times New Roman" w:cs="Times New Roman" w:eastAsiaTheme="minorEastAsia"/>
                      <w:color w:val="auto"/>
                      <w:spacing w:val="0"/>
                      <w:sz w:val="18"/>
                      <w:szCs w:val="18"/>
                    </w:rPr>
                  </w:pPr>
                  <w:r>
                    <w:rPr>
                      <w:rFonts w:hint="default" w:ascii="Times New Roman" w:hAnsi="Times New Roman" w:cs="Times New Roman" w:eastAsiaTheme="minorEastAsia"/>
                      <w:color w:val="auto"/>
                      <w:spacing w:val="0"/>
                      <w:sz w:val="18"/>
                      <w:szCs w:val="18"/>
                    </w:rPr>
                    <w:t>COD</w:t>
                  </w:r>
                </w:p>
              </w:tc>
              <w:tc>
                <w:tcPr>
                  <w:tcW w:w="2158" w:type="dxa"/>
                  <w:tcBorders>
                    <w:top w:val="single" w:color="auto" w:sz="4" w:space="0"/>
                    <w:left w:val="nil"/>
                    <w:bottom w:val="single" w:color="auto" w:sz="4" w:space="0"/>
                    <w:right w:val="single" w:color="auto" w:sz="4" w:space="0"/>
                  </w:tcBorders>
                  <w:noWrap w:val="0"/>
                  <w:vAlign w:val="center"/>
                </w:tcPr>
                <w:p w14:paraId="3DD15DBF">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50</w:t>
                  </w:r>
                </w:p>
              </w:tc>
              <w:tc>
                <w:tcPr>
                  <w:tcW w:w="2400" w:type="dxa"/>
                  <w:tcBorders>
                    <w:top w:val="single" w:color="auto" w:sz="4" w:space="0"/>
                    <w:left w:val="nil"/>
                    <w:bottom w:val="single" w:color="auto" w:sz="4" w:space="0"/>
                    <w:right w:val="nil"/>
                  </w:tcBorders>
                  <w:noWrap w:val="0"/>
                  <w:vAlign w:val="center"/>
                </w:tcPr>
                <w:p w14:paraId="6AE32DD4">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0.0717</w:t>
                  </w:r>
                </w:p>
              </w:tc>
            </w:tr>
            <w:tr w14:paraId="35782B0A">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2" w:hRule="atLeast"/>
              </w:trPr>
              <w:tc>
                <w:tcPr>
                  <w:tcW w:w="1881" w:type="dxa"/>
                  <w:vMerge w:val="continue"/>
                  <w:tcBorders>
                    <w:left w:val="nil"/>
                    <w:right w:val="single" w:color="auto" w:sz="4" w:space="0"/>
                  </w:tcBorders>
                  <w:noWrap w:val="0"/>
                  <w:vAlign w:val="center"/>
                </w:tcPr>
                <w:p w14:paraId="3F7F4185">
                  <w:pPr>
                    <w:tabs>
                      <w:tab w:val="left" w:pos="4253"/>
                    </w:tabs>
                    <w:spacing w:line="240" w:lineRule="exact"/>
                    <w:jc w:val="center"/>
                    <w:rPr>
                      <w:rFonts w:hint="default" w:ascii="Times New Roman" w:hAnsi="Times New Roman" w:cs="Times New Roman" w:eastAsiaTheme="minorEastAsia"/>
                      <w:color w:val="auto"/>
                      <w:spacing w:val="0"/>
                      <w:sz w:val="18"/>
                      <w:szCs w:val="18"/>
                    </w:rPr>
                  </w:pPr>
                </w:p>
              </w:tc>
              <w:tc>
                <w:tcPr>
                  <w:tcW w:w="1673" w:type="dxa"/>
                  <w:tcBorders>
                    <w:top w:val="single" w:color="auto" w:sz="4" w:space="0"/>
                    <w:left w:val="nil"/>
                    <w:bottom w:val="single" w:color="auto" w:sz="4" w:space="0"/>
                    <w:right w:val="single" w:color="auto" w:sz="4" w:space="0"/>
                  </w:tcBorders>
                  <w:noWrap w:val="0"/>
                  <w:vAlign w:val="center"/>
                </w:tcPr>
                <w:p w14:paraId="467177CA">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default" w:ascii="Times New Roman" w:hAnsi="Times New Roman" w:cs="Times New Roman" w:eastAsiaTheme="minorEastAsia"/>
                      <w:color w:val="auto"/>
                      <w:spacing w:val="0"/>
                      <w:sz w:val="18"/>
                      <w:szCs w:val="18"/>
                    </w:rPr>
                    <w:t>NH</w:t>
                  </w:r>
                  <w:r>
                    <w:rPr>
                      <w:rFonts w:hint="default" w:ascii="Times New Roman" w:hAnsi="Times New Roman" w:cs="Times New Roman" w:eastAsiaTheme="minorEastAsia"/>
                      <w:color w:val="auto"/>
                      <w:spacing w:val="0"/>
                      <w:sz w:val="18"/>
                      <w:szCs w:val="18"/>
                      <w:vertAlign w:val="subscript"/>
                    </w:rPr>
                    <w:t>3</w:t>
                  </w:r>
                  <w:r>
                    <w:rPr>
                      <w:rFonts w:hint="default" w:ascii="Times New Roman" w:hAnsi="Times New Roman" w:cs="Times New Roman" w:eastAsiaTheme="minorEastAsia"/>
                      <w:color w:val="auto"/>
                      <w:spacing w:val="0"/>
                      <w:sz w:val="18"/>
                      <w:szCs w:val="18"/>
                    </w:rPr>
                    <w:t>-N</w:t>
                  </w:r>
                </w:p>
              </w:tc>
              <w:tc>
                <w:tcPr>
                  <w:tcW w:w="2158" w:type="dxa"/>
                  <w:tcBorders>
                    <w:top w:val="single" w:color="auto" w:sz="4" w:space="0"/>
                    <w:left w:val="nil"/>
                    <w:bottom w:val="single" w:color="auto" w:sz="4" w:space="0"/>
                    <w:right w:val="single" w:color="auto" w:sz="4" w:space="0"/>
                  </w:tcBorders>
                  <w:noWrap w:val="0"/>
                  <w:vAlign w:val="center"/>
                </w:tcPr>
                <w:p w14:paraId="44FA603E">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5</w:t>
                  </w:r>
                </w:p>
              </w:tc>
              <w:tc>
                <w:tcPr>
                  <w:tcW w:w="2400" w:type="dxa"/>
                  <w:tcBorders>
                    <w:top w:val="single" w:color="auto" w:sz="4" w:space="0"/>
                    <w:left w:val="nil"/>
                    <w:bottom w:val="single" w:color="auto" w:sz="4" w:space="0"/>
                    <w:right w:val="nil"/>
                  </w:tcBorders>
                  <w:noWrap w:val="0"/>
                  <w:vAlign w:val="center"/>
                </w:tcPr>
                <w:p w14:paraId="0830C380">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0.0072</w:t>
                  </w:r>
                </w:p>
              </w:tc>
            </w:tr>
            <w:tr w14:paraId="39AF1137">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2" w:hRule="atLeast"/>
              </w:trPr>
              <w:tc>
                <w:tcPr>
                  <w:tcW w:w="1881" w:type="dxa"/>
                  <w:vMerge w:val="continue"/>
                  <w:tcBorders>
                    <w:left w:val="nil"/>
                    <w:bottom w:val="single" w:color="auto" w:sz="12" w:space="0"/>
                    <w:right w:val="single" w:color="auto" w:sz="4" w:space="0"/>
                  </w:tcBorders>
                  <w:noWrap w:val="0"/>
                  <w:vAlign w:val="center"/>
                </w:tcPr>
                <w:p w14:paraId="7AB262C6">
                  <w:pPr>
                    <w:tabs>
                      <w:tab w:val="left" w:pos="4253"/>
                    </w:tabs>
                    <w:spacing w:line="240" w:lineRule="exact"/>
                    <w:jc w:val="center"/>
                    <w:rPr>
                      <w:rFonts w:hint="default" w:ascii="Times New Roman" w:hAnsi="Times New Roman" w:cs="Times New Roman" w:eastAsiaTheme="minorEastAsia"/>
                      <w:color w:val="auto"/>
                      <w:spacing w:val="0"/>
                      <w:sz w:val="18"/>
                      <w:szCs w:val="18"/>
                    </w:rPr>
                  </w:pPr>
                </w:p>
              </w:tc>
              <w:tc>
                <w:tcPr>
                  <w:tcW w:w="1673" w:type="dxa"/>
                  <w:tcBorders>
                    <w:top w:val="single" w:color="auto" w:sz="4" w:space="0"/>
                    <w:left w:val="nil"/>
                    <w:bottom w:val="single" w:color="auto" w:sz="12" w:space="0"/>
                    <w:right w:val="single" w:color="auto" w:sz="4" w:space="0"/>
                  </w:tcBorders>
                  <w:noWrap w:val="0"/>
                  <w:vAlign w:val="center"/>
                </w:tcPr>
                <w:p w14:paraId="716EA727">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TN</w:t>
                  </w:r>
                </w:p>
              </w:tc>
              <w:tc>
                <w:tcPr>
                  <w:tcW w:w="2158" w:type="dxa"/>
                  <w:tcBorders>
                    <w:top w:val="single" w:color="auto" w:sz="4" w:space="0"/>
                    <w:left w:val="nil"/>
                    <w:bottom w:val="single" w:color="auto" w:sz="12" w:space="0"/>
                    <w:right w:val="single" w:color="auto" w:sz="4" w:space="0"/>
                  </w:tcBorders>
                  <w:noWrap w:val="0"/>
                  <w:vAlign w:val="center"/>
                </w:tcPr>
                <w:p w14:paraId="54DDFD0C">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15</w:t>
                  </w:r>
                </w:p>
              </w:tc>
              <w:tc>
                <w:tcPr>
                  <w:tcW w:w="2400" w:type="dxa"/>
                  <w:tcBorders>
                    <w:top w:val="single" w:color="auto" w:sz="4" w:space="0"/>
                    <w:left w:val="nil"/>
                    <w:bottom w:val="single" w:color="auto" w:sz="12" w:space="0"/>
                    <w:right w:val="nil"/>
                  </w:tcBorders>
                  <w:noWrap w:val="0"/>
                  <w:vAlign w:val="center"/>
                </w:tcPr>
                <w:p w14:paraId="3B56B6A3">
                  <w:pPr>
                    <w:tabs>
                      <w:tab w:val="left" w:pos="4253"/>
                    </w:tabs>
                    <w:spacing w:line="240" w:lineRule="exact"/>
                    <w:jc w:val="center"/>
                    <w:rPr>
                      <w:rFonts w:hint="default" w:ascii="Times New Roman" w:hAnsi="Times New Roman" w:cs="Times New Roman" w:eastAsiaTheme="minorEastAsia"/>
                      <w:color w:val="auto"/>
                      <w:spacing w:val="0"/>
                      <w:sz w:val="18"/>
                      <w:szCs w:val="18"/>
                      <w:lang w:val="en-US" w:eastAsia="zh-CN"/>
                    </w:rPr>
                  </w:pPr>
                  <w:r>
                    <w:rPr>
                      <w:rFonts w:hint="eastAsia" w:ascii="Times New Roman" w:hAnsi="Times New Roman" w:cs="Times New Roman" w:eastAsiaTheme="minorEastAsia"/>
                      <w:color w:val="auto"/>
                      <w:spacing w:val="0"/>
                      <w:sz w:val="18"/>
                      <w:szCs w:val="18"/>
                      <w:lang w:val="en-US" w:eastAsia="zh-CN"/>
                    </w:rPr>
                    <w:t>0.0215</w:t>
                  </w:r>
                </w:p>
              </w:tc>
            </w:tr>
          </w:tbl>
          <w:p w14:paraId="72FFF22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本评价建议废水污染物总量控制目标值为COD为</w:t>
            </w:r>
            <w:r>
              <w:rPr>
                <w:rFonts w:hint="eastAsia" w:ascii="Times New Roman" w:hAnsi="Times New Roman" w:cs="Times New Roman"/>
                <w:color w:val="auto"/>
                <w:sz w:val="21"/>
                <w:szCs w:val="21"/>
                <w:highlight w:val="none"/>
                <w:lang w:val="en-US" w:eastAsia="zh-CN"/>
              </w:rPr>
              <w:t>0.0717</w:t>
            </w:r>
            <w:r>
              <w:rPr>
                <w:rFonts w:hint="eastAsia" w:ascii="Times New Roman" w:hAnsi="Times New Roman" w:eastAsia="宋体" w:cs="Times New Roman"/>
                <w:color w:val="auto"/>
                <w:sz w:val="21"/>
                <w:szCs w:val="21"/>
                <w:highlight w:val="none"/>
                <w:lang w:val="en-US" w:eastAsia="zh-CN"/>
              </w:rPr>
              <w:t>t/a、NH</w:t>
            </w:r>
            <w:r>
              <w:rPr>
                <w:rFonts w:hint="eastAsia" w:ascii="Times New Roman" w:hAnsi="Times New Roman" w:eastAsia="宋体" w:cs="Times New Roman"/>
                <w:color w:val="auto"/>
                <w:sz w:val="21"/>
                <w:szCs w:val="21"/>
                <w:highlight w:val="none"/>
                <w:vertAlign w:val="subscript"/>
                <w:lang w:val="en-US" w:eastAsia="zh-CN"/>
              </w:rPr>
              <w:t>3</w:t>
            </w:r>
            <w:r>
              <w:rPr>
                <w:rFonts w:hint="eastAsia" w:ascii="Times New Roman" w:hAnsi="Times New Roman" w:eastAsia="宋体" w:cs="Times New Roman"/>
                <w:color w:val="auto"/>
                <w:sz w:val="21"/>
                <w:szCs w:val="21"/>
                <w:highlight w:val="none"/>
                <w:lang w:val="en-US" w:eastAsia="zh-CN"/>
              </w:rPr>
              <w:t>-N为</w:t>
            </w:r>
            <w:r>
              <w:rPr>
                <w:rFonts w:hint="eastAsia" w:ascii="Times New Roman" w:hAnsi="Times New Roman" w:cs="Times New Roman"/>
                <w:color w:val="auto"/>
                <w:sz w:val="21"/>
                <w:szCs w:val="21"/>
                <w:highlight w:val="none"/>
                <w:lang w:val="en-US" w:eastAsia="zh-CN"/>
              </w:rPr>
              <w:t>0.0072</w:t>
            </w:r>
            <w:r>
              <w:rPr>
                <w:rFonts w:hint="eastAsia" w:ascii="Times New Roman" w:hAnsi="Times New Roman" w:eastAsia="宋体"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TN为</w:t>
            </w:r>
            <w:r>
              <w:rPr>
                <w:rFonts w:hint="eastAsia" w:ascii="Times New Roman" w:hAnsi="Times New Roman" w:cs="Times New Roman"/>
                <w:color w:val="auto"/>
                <w:sz w:val="21"/>
                <w:szCs w:val="21"/>
                <w:highlight w:val="none"/>
                <w:lang w:val="en-US" w:eastAsia="zh-CN"/>
              </w:rPr>
              <w:t>0.0215</w:t>
            </w:r>
            <w:r>
              <w:rPr>
                <w:rFonts w:hint="eastAsia" w:ascii="Times New Roman" w:hAnsi="Times New Roman" w:eastAsia="宋体" w:cs="Times New Roman"/>
                <w:color w:val="auto"/>
                <w:sz w:val="21"/>
                <w:szCs w:val="21"/>
                <w:highlight w:val="none"/>
                <w:lang w:val="en-US" w:eastAsia="zh-CN"/>
              </w:rPr>
              <w:t>t/a。</w:t>
            </w:r>
          </w:p>
          <w:p w14:paraId="33A69A57">
            <w:pPr>
              <w:spacing w:line="440" w:lineRule="exact"/>
              <w:ind w:firstLine="420" w:firstLineChars="200"/>
              <w:rPr>
                <w:rFonts w:hint="eastAsia" w:hAnsi="宋体"/>
                <w:color w:val="auto"/>
                <w:highlight w:val="none"/>
              </w:rPr>
            </w:pPr>
            <w:r>
              <w:rPr>
                <w:rFonts w:hint="eastAsia" w:hAnsi="宋体"/>
                <w:color w:val="auto"/>
                <w:highlight w:val="none"/>
              </w:rPr>
              <w:t>综上所述，本评价建议项目污染物总量控制目标值为SO</w:t>
            </w:r>
            <w:r>
              <w:rPr>
                <w:rFonts w:hint="eastAsia" w:hAnsi="宋体"/>
                <w:color w:val="auto"/>
                <w:highlight w:val="none"/>
                <w:vertAlign w:val="subscript"/>
              </w:rPr>
              <w:t>2</w:t>
            </w:r>
            <w:r>
              <w:rPr>
                <w:rFonts w:hint="eastAsia" w:hAnsi="宋体"/>
                <w:color w:val="auto"/>
                <w:highlight w:val="none"/>
              </w:rPr>
              <w:t xml:space="preserve"> 0t/a、NO</w:t>
            </w:r>
            <w:r>
              <w:rPr>
                <w:rFonts w:hint="eastAsia" w:hAnsi="宋体"/>
                <w:color w:val="auto"/>
                <w:highlight w:val="none"/>
                <w:vertAlign w:val="subscript"/>
              </w:rPr>
              <w:t>X</w:t>
            </w:r>
            <w:r>
              <w:rPr>
                <w:rFonts w:hint="eastAsia" w:hAnsi="宋体"/>
                <w:color w:val="auto"/>
                <w:highlight w:val="none"/>
              </w:rPr>
              <w:t xml:space="preserve"> 0t/a、</w:t>
            </w:r>
            <w:r>
              <w:rPr>
                <w:rFonts w:hint="eastAsia" w:hAnsi="宋体"/>
                <w:color w:val="auto"/>
                <w:highlight w:val="none"/>
                <w:lang w:val="en-US" w:eastAsia="zh-CN"/>
              </w:rPr>
              <w:t>非甲烷总烃0.24</w:t>
            </w:r>
            <w:r>
              <w:rPr>
                <w:rFonts w:hint="eastAsia" w:hAnsi="宋体"/>
                <w:color w:val="auto"/>
                <w:highlight w:val="none"/>
              </w:rPr>
              <w:t xml:space="preserve">t/a、COD </w:t>
            </w:r>
            <w:r>
              <w:rPr>
                <w:rFonts w:hint="eastAsia" w:hAnsi="宋体"/>
                <w:color w:val="auto"/>
                <w:highlight w:val="none"/>
                <w:lang w:val="en-US" w:eastAsia="zh-CN"/>
              </w:rPr>
              <w:t>0.0717</w:t>
            </w:r>
            <w:r>
              <w:rPr>
                <w:rFonts w:hint="eastAsia" w:hAnsi="宋体"/>
                <w:color w:val="auto"/>
                <w:highlight w:val="none"/>
              </w:rPr>
              <w:t>t/a、氨氮</w:t>
            </w:r>
            <w:r>
              <w:rPr>
                <w:rFonts w:hint="eastAsia" w:hAnsi="宋体"/>
                <w:color w:val="auto"/>
                <w:highlight w:val="none"/>
                <w:lang w:val="en-US" w:eastAsia="zh-CN"/>
              </w:rPr>
              <w:t>0.0072</w:t>
            </w:r>
            <w:r>
              <w:rPr>
                <w:rFonts w:hint="eastAsia" w:hAnsi="宋体"/>
                <w:color w:val="auto"/>
                <w:highlight w:val="none"/>
              </w:rPr>
              <w:t>t/a</w:t>
            </w:r>
            <w:r>
              <w:rPr>
                <w:rFonts w:hint="eastAsia" w:hAnsi="宋体"/>
                <w:color w:val="auto"/>
                <w:highlight w:val="none"/>
                <w:lang w:eastAsia="zh-CN"/>
              </w:rPr>
              <w:t>、</w:t>
            </w:r>
            <w:r>
              <w:rPr>
                <w:rFonts w:hint="eastAsia" w:ascii="Times New Roman" w:hAnsi="Times New Roman" w:eastAsia="宋体" w:cs="Times New Roman"/>
                <w:color w:val="auto"/>
                <w:sz w:val="21"/>
                <w:szCs w:val="21"/>
                <w:highlight w:val="none"/>
                <w:lang w:val="en-US" w:eastAsia="zh-CN"/>
              </w:rPr>
              <w:t>TN</w:t>
            </w:r>
            <w:r>
              <w:rPr>
                <w:rFonts w:hint="eastAsia" w:eastAsia="宋体" w:cs="Times New Roman"/>
                <w:color w:val="auto"/>
                <w:sz w:val="21"/>
                <w:szCs w:val="21"/>
                <w:highlight w:val="none"/>
                <w:lang w:val="en-US" w:eastAsia="zh-CN"/>
              </w:rPr>
              <w:t xml:space="preserve"> </w:t>
            </w:r>
            <w:r>
              <w:rPr>
                <w:rFonts w:hint="eastAsia" w:ascii="Times New Roman" w:hAnsi="Times New Roman" w:cs="Times New Roman"/>
                <w:color w:val="auto"/>
                <w:sz w:val="21"/>
                <w:szCs w:val="21"/>
                <w:highlight w:val="none"/>
                <w:lang w:val="en-US" w:eastAsia="zh-CN"/>
              </w:rPr>
              <w:t>0.0</w:t>
            </w:r>
            <w:r>
              <w:rPr>
                <w:rFonts w:hint="eastAsia" w:cs="Times New Roman"/>
                <w:color w:val="auto"/>
                <w:sz w:val="21"/>
                <w:szCs w:val="21"/>
                <w:highlight w:val="none"/>
                <w:lang w:val="en-US" w:eastAsia="zh-CN"/>
              </w:rPr>
              <w:t>215</w:t>
            </w:r>
            <w:r>
              <w:rPr>
                <w:rFonts w:hint="eastAsia" w:hAnsi="宋体"/>
                <w:color w:val="auto"/>
                <w:highlight w:val="none"/>
              </w:rPr>
              <w:t>t/a。</w:t>
            </w:r>
          </w:p>
          <w:p w14:paraId="7CE70082">
            <w:pPr>
              <w:spacing w:line="440" w:lineRule="exact"/>
              <w:ind w:firstLine="420" w:firstLineChars="200"/>
              <w:rPr>
                <w:rFonts w:hint="eastAsia" w:hAnsi="宋体"/>
                <w:color w:val="auto"/>
                <w:highlight w:val="yellow"/>
              </w:rPr>
            </w:pPr>
          </w:p>
          <w:p w14:paraId="69D42149">
            <w:pPr>
              <w:rPr>
                <w:rFonts w:hint="eastAsia"/>
                <w:color w:val="auto"/>
              </w:rPr>
            </w:pPr>
          </w:p>
          <w:p w14:paraId="25A7455E">
            <w:pPr>
              <w:rPr>
                <w:rFonts w:hint="eastAsia"/>
                <w:color w:val="auto"/>
              </w:rPr>
            </w:pPr>
          </w:p>
          <w:p w14:paraId="157D40A4">
            <w:pPr>
              <w:rPr>
                <w:rFonts w:hint="eastAsia"/>
                <w:color w:val="auto"/>
              </w:rPr>
            </w:pPr>
          </w:p>
          <w:p w14:paraId="4ED5B543">
            <w:pPr>
              <w:rPr>
                <w:rFonts w:hint="eastAsia"/>
                <w:color w:val="auto"/>
              </w:rPr>
            </w:pPr>
          </w:p>
          <w:p w14:paraId="47BF5222">
            <w:pPr>
              <w:rPr>
                <w:rFonts w:hint="eastAsia"/>
                <w:color w:val="auto"/>
              </w:rPr>
            </w:pPr>
          </w:p>
          <w:p w14:paraId="45036B3E">
            <w:pPr>
              <w:pStyle w:val="11"/>
              <w:rPr>
                <w:rFonts w:hint="eastAsia"/>
                <w:color w:val="auto"/>
              </w:rPr>
            </w:pPr>
          </w:p>
          <w:p w14:paraId="033D9E82">
            <w:pPr>
              <w:rPr>
                <w:rFonts w:hint="eastAsia"/>
                <w:color w:val="auto"/>
              </w:rPr>
            </w:pPr>
          </w:p>
          <w:p w14:paraId="0617384C">
            <w:pPr>
              <w:pStyle w:val="11"/>
              <w:rPr>
                <w:rFonts w:hint="eastAsia"/>
                <w:color w:val="auto"/>
              </w:rPr>
            </w:pPr>
          </w:p>
          <w:p w14:paraId="6046E108">
            <w:pPr>
              <w:rPr>
                <w:rFonts w:hint="eastAsia"/>
                <w:color w:val="auto"/>
              </w:rPr>
            </w:pPr>
          </w:p>
          <w:p w14:paraId="50DAFDF4">
            <w:pPr>
              <w:pStyle w:val="11"/>
              <w:rPr>
                <w:rFonts w:hint="eastAsia"/>
                <w:color w:val="auto"/>
              </w:rPr>
            </w:pPr>
          </w:p>
          <w:p w14:paraId="08AF2E4E">
            <w:pPr>
              <w:rPr>
                <w:rFonts w:hint="eastAsia"/>
                <w:color w:val="auto"/>
              </w:rPr>
            </w:pPr>
          </w:p>
          <w:p w14:paraId="78AE80A6">
            <w:pPr>
              <w:pStyle w:val="11"/>
              <w:rPr>
                <w:rFonts w:hint="eastAsia"/>
                <w:color w:val="auto"/>
              </w:rPr>
            </w:pPr>
          </w:p>
          <w:p w14:paraId="57331158">
            <w:pPr>
              <w:rPr>
                <w:rFonts w:hint="eastAsia"/>
                <w:color w:val="auto"/>
              </w:rPr>
            </w:pPr>
          </w:p>
          <w:p w14:paraId="139BDF60">
            <w:pPr>
              <w:pStyle w:val="11"/>
              <w:rPr>
                <w:rFonts w:hint="eastAsia"/>
                <w:color w:val="auto"/>
              </w:rPr>
            </w:pPr>
          </w:p>
          <w:p w14:paraId="7FDD4B9D">
            <w:pPr>
              <w:rPr>
                <w:rFonts w:hint="eastAsia"/>
                <w:color w:val="auto"/>
              </w:rPr>
            </w:pPr>
          </w:p>
          <w:p w14:paraId="10C760EC">
            <w:pPr>
              <w:pStyle w:val="11"/>
              <w:rPr>
                <w:rFonts w:hint="eastAsia"/>
                <w:color w:val="auto"/>
              </w:rPr>
            </w:pPr>
          </w:p>
          <w:p w14:paraId="1D0AA1B3">
            <w:pPr>
              <w:rPr>
                <w:rFonts w:hint="eastAsia"/>
                <w:color w:val="auto"/>
              </w:rPr>
            </w:pPr>
          </w:p>
          <w:p w14:paraId="5F7F1312">
            <w:pPr>
              <w:pStyle w:val="11"/>
              <w:rPr>
                <w:rFonts w:hint="eastAsia"/>
                <w:color w:val="auto"/>
              </w:rPr>
            </w:pPr>
          </w:p>
          <w:p w14:paraId="186A2299">
            <w:pPr>
              <w:rPr>
                <w:rFonts w:hint="eastAsia"/>
                <w:color w:val="auto"/>
              </w:rPr>
            </w:pPr>
          </w:p>
          <w:p w14:paraId="1BB7A90D">
            <w:pPr>
              <w:pStyle w:val="11"/>
              <w:rPr>
                <w:rFonts w:hint="eastAsia"/>
                <w:color w:val="auto"/>
              </w:rPr>
            </w:pPr>
          </w:p>
          <w:p w14:paraId="3760E8FB">
            <w:pPr>
              <w:rPr>
                <w:rFonts w:hint="eastAsia"/>
                <w:color w:val="auto"/>
              </w:rPr>
            </w:pPr>
          </w:p>
          <w:p w14:paraId="7F2A224F">
            <w:pPr>
              <w:pStyle w:val="11"/>
              <w:rPr>
                <w:rFonts w:hint="eastAsia"/>
                <w:color w:val="auto"/>
              </w:rPr>
            </w:pPr>
          </w:p>
          <w:p w14:paraId="2AB5CD91">
            <w:pPr>
              <w:rPr>
                <w:rFonts w:hint="eastAsia"/>
                <w:color w:val="auto"/>
              </w:rPr>
            </w:pPr>
          </w:p>
          <w:p w14:paraId="0B576D5E">
            <w:pPr>
              <w:pStyle w:val="11"/>
              <w:rPr>
                <w:rFonts w:hint="eastAsia"/>
                <w:color w:val="auto"/>
              </w:rPr>
            </w:pPr>
          </w:p>
          <w:p w14:paraId="0C5285CA">
            <w:pPr>
              <w:rPr>
                <w:rFonts w:hint="eastAsia"/>
                <w:color w:val="auto"/>
              </w:rPr>
            </w:pPr>
          </w:p>
          <w:p w14:paraId="6F184E48">
            <w:pPr>
              <w:rPr>
                <w:rFonts w:hint="eastAsia"/>
                <w:color w:val="auto"/>
              </w:rPr>
            </w:pPr>
          </w:p>
          <w:p w14:paraId="284AAAA9">
            <w:pPr>
              <w:rPr>
                <w:rFonts w:hint="eastAsia"/>
                <w:color w:val="auto"/>
              </w:rPr>
            </w:pPr>
          </w:p>
          <w:p w14:paraId="44B7C25D">
            <w:pPr>
              <w:rPr>
                <w:rFonts w:hint="eastAsia"/>
                <w:color w:val="auto"/>
              </w:rPr>
            </w:pPr>
          </w:p>
          <w:p w14:paraId="39EDDCF8">
            <w:pPr>
              <w:rPr>
                <w:rFonts w:hint="eastAsia"/>
                <w:color w:val="auto"/>
              </w:rPr>
            </w:pPr>
          </w:p>
          <w:p w14:paraId="37100812">
            <w:pPr>
              <w:rPr>
                <w:rFonts w:hint="eastAsia"/>
                <w:color w:val="auto"/>
              </w:rPr>
            </w:pPr>
          </w:p>
          <w:p w14:paraId="4501F315">
            <w:pPr>
              <w:rPr>
                <w:rFonts w:hint="eastAsia"/>
                <w:color w:val="auto"/>
              </w:rPr>
            </w:pPr>
          </w:p>
          <w:p w14:paraId="6C0E14A4">
            <w:pPr>
              <w:rPr>
                <w:rFonts w:hint="eastAsia"/>
                <w:color w:val="auto"/>
              </w:rPr>
            </w:pPr>
          </w:p>
          <w:p w14:paraId="2D0C0B71">
            <w:pPr>
              <w:rPr>
                <w:rFonts w:hint="eastAsia"/>
                <w:color w:val="auto"/>
              </w:rPr>
            </w:pPr>
          </w:p>
          <w:p w14:paraId="6A46D3AC">
            <w:pPr>
              <w:rPr>
                <w:rFonts w:hint="eastAsia"/>
                <w:color w:val="auto"/>
              </w:rPr>
            </w:pPr>
          </w:p>
          <w:p w14:paraId="539DF052">
            <w:pPr>
              <w:rPr>
                <w:rFonts w:hint="eastAsia"/>
                <w:color w:val="auto"/>
              </w:rPr>
            </w:pPr>
          </w:p>
          <w:p w14:paraId="42F48857">
            <w:pPr>
              <w:rPr>
                <w:rFonts w:hint="eastAsia"/>
                <w:color w:val="auto"/>
              </w:rPr>
            </w:pPr>
          </w:p>
          <w:p w14:paraId="1C0CA1ED">
            <w:pPr>
              <w:rPr>
                <w:rFonts w:hint="eastAsia"/>
                <w:color w:val="auto"/>
              </w:rPr>
            </w:pPr>
          </w:p>
          <w:p w14:paraId="5FE91176">
            <w:pPr>
              <w:rPr>
                <w:rFonts w:hint="eastAsia"/>
                <w:color w:val="auto"/>
              </w:rPr>
            </w:pPr>
          </w:p>
          <w:p w14:paraId="6A877EC0">
            <w:pPr>
              <w:rPr>
                <w:rFonts w:hint="eastAsia"/>
                <w:color w:val="auto"/>
              </w:rPr>
            </w:pPr>
          </w:p>
          <w:p w14:paraId="612F0D96">
            <w:pPr>
              <w:rPr>
                <w:rFonts w:hint="eastAsia"/>
                <w:color w:val="auto"/>
              </w:rPr>
            </w:pPr>
          </w:p>
          <w:p w14:paraId="66665359">
            <w:pPr>
              <w:rPr>
                <w:rFonts w:hint="eastAsia"/>
                <w:color w:val="auto"/>
              </w:rPr>
            </w:pPr>
          </w:p>
          <w:p w14:paraId="21990021">
            <w:pPr>
              <w:rPr>
                <w:rFonts w:hint="eastAsia"/>
                <w:color w:val="auto"/>
              </w:rPr>
            </w:pPr>
          </w:p>
          <w:p w14:paraId="121AB15A">
            <w:pPr>
              <w:rPr>
                <w:rFonts w:hint="eastAsia"/>
                <w:color w:val="auto"/>
              </w:rPr>
            </w:pPr>
          </w:p>
          <w:p w14:paraId="24D440DE">
            <w:pPr>
              <w:rPr>
                <w:rFonts w:hint="eastAsia"/>
                <w:color w:val="auto"/>
              </w:rPr>
            </w:pPr>
          </w:p>
          <w:p w14:paraId="66432199">
            <w:pPr>
              <w:spacing w:line="440" w:lineRule="exact"/>
              <w:ind w:firstLine="420" w:firstLineChars="200"/>
              <w:rPr>
                <w:rFonts w:ascii="宋体" w:hAnsi="宋体" w:cs="宋体"/>
                <w:color w:val="auto"/>
                <w:kern w:val="0"/>
                <w:szCs w:val="21"/>
                <w:highlight w:val="none"/>
              </w:rPr>
            </w:pPr>
          </w:p>
          <w:p w14:paraId="2AB9B0AF">
            <w:pPr>
              <w:spacing w:line="440" w:lineRule="exact"/>
              <w:ind w:firstLine="420" w:firstLineChars="200"/>
              <w:rPr>
                <w:rFonts w:ascii="宋体" w:hAnsi="宋体" w:cs="宋体"/>
                <w:color w:val="auto"/>
                <w:kern w:val="0"/>
                <w:szCs w:val="21"/>
                <w:highlight w:val="none"/>
              </w:rPr>
            </w:pPr>
          </w:p>
        </w:tc>
      </w:tr>
    </w:tbl>
    <w:p w14:paraId="7AAAFBA2">
      <w:pPr>
        <w:pStyle w:val="22"/>
        <w:jc w:val="center"/>
        <w:outlineLvl w:val="0"/>
        <w:rPr>
          <w:rFonts w:ascii="黑体" w:hAnsi="黑体" w:eastAsia="黑体"/>
          <w:snapToGrid w:val="0"/>
          <w:color w:val="auto"/>
          <w:sz w:val="30"/>
          <w:szCs w:val="30"/>
          <w:highlight w:val="none"/>
        </w:rPr>
      </w:pPr>
      <w:r>
        <w:rPr>
          <w:rFonts w:ascii="黑体" w:hAnsi="黑体" w:eastAsia="黑体"/>
          <w:snapToGrid w:val="0"/>
          <w:color w:val="auto"/>
          <w:sz w:val="36"/>
          <w:szCs w:val="36"/>
          <w:highlight w:val="none"/>
        </w:rPr>
        <w:br w:type="page"/>
      </w:r>
      <w:r>
        <w:rPr>
          <w:rFonts w:hint="eastAsia" w:ascii="黑体" w:hAnsi="黑体" w:eastAsia="黑体"/>
          <w:snapToGrid w:val="0"/>
          <w:color w:val="auto"/>
          <w:sz w:val="30"/>
          <w:szCs w:val="30"/>
          <w:highlight w:val="none"/>
        </w:rPr>
        <w:t>四、主要环境影响和保护措施</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070"/>
      </w:tblGrid>
      <w:tr w14:paraId="68E3C2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8" w:hRule="atLeast"/>
          <w:jc w:val="center"/>
        </w:trPr>
        <w:tc>
          <w:tcPr>
            <w:tcW w:w="746" w:type="dxa"/>
            <w:tcMar>
              <w:left w:w="28" w:type="dxa"/>
              <w:right w:w="28" w:type="dxa"/>
            </w:tcMar>
            <w:vAlign w:val="center"/>
          </w:tcPr>
          <w:p w14:paraId="1F1A28F1">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施工</w:t>
            </w:r>
          </w:p>
          <w:p w14:paraId="3D2AFA1A">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期环</w:t>
            </w:r>
          </w:p>
          <w:p w14:paraId="2A35D4A9">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境保</w:t>
            </w:r>
          </w:p>
          <w:p w14:paraId="75903D88">
            <w:pPr>
              <w:pStyle w:val="22"/>
              <w:adjustRightInd w:val="0"/>
              <w:snapToGrid w:val="0"/>
              <w:spacing w:before="0" w:beforeAutospacing="0" w:after="0" w:afterAutospacing="0"/>
              <w:jc w:val="center"/>
              <w:rPr>
                <w:rFonts w:cs="宋体"/>
                <w:color w:val="auto"/>
                <w:kern w:val="2"/>
                <w:sz w:val="21"/>
                <w:szCs w:val="21"/>
                <w:highlight w:val="none"/>
              </w:rPr>
            </w:pPr>
            <w:r>
              <w:rPr>
                <w:rFonts w:hint="eastAsia" w:cs="宋体"/>
                <w:color w:val="auto"/>
                <w:kern w:val="2"/>
                <w:sz w:val="21"/>
                <w:szCs w:val="21"/>
                <w:highlight w:val="none"/>
              </w:rPr>
              <w:t>护措</w:t>
            </w:r>
          </w:p>
          <w:p w14:paraId="15AC2193">
            <w:pPr>
              <w:pStyle w:val="22"/>
              <w:adjustRightInd w:val="0"/>
              <w:snapToGrid w:val="0"/>
              <w:spacing w:before="0" w:beforeAutospacing="0" w:after="0" w:afterAutospacing="0"/>
              <w:jc w:val="center"/>
              <w:rPr>
                <w:rFonts w:cs="宋体"/>
                <w:bCs/>
                <w:color w:val="auto"/>
                <w:kern w:val="2"/>
                <w:sz w:val="21"/>
                <w:szCs w:val="21"/>
                <w:highlight w:val="none"/>
              </w:rPr>
            </w:pPr>
            <w:r>
              <w:rPr>
                <w:rFonts w:hint="eastAsia" w:cs="宋体"/>
                <w:color w:val="auto"/>
                <w:kern w:val="2"/>
                <w:sz w:val="21"/>
                <w:szCs w:val="21"/>
                <w:highlight w:val="none"/>
              </w:rPr>
              <w:t>施</w:t>
            </w:r>
          </w:p>
        </w:tc>
        <w:tc>
          <w:tcPr>
            <w:tcW w:w="8070" w:type="dxa"/>
            <w:vAlign w:val="center"/>
          </w:tcPr>
          <w:p w14:paraId="0F62BFA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本项目已建成。</w:t>
            </w:r>
          </w:p>
        </w:tc>
      </w:tr>
      <w:tr w14:paraId="024C9B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6" w:hRule="atLeast"/>
          <w:jc w:val="center"/>
        </w:trPr>
        <w:tc>
          <w:tcPr>
            <w:tcW w:w="746" w:type="dxa"/>
            <w:tcMar>
              <w:left w:w="28" w:type="dxa"/>
              <w:right w:w="28" w:type="dxa"/>
            </w:tcMar>
            <w:vAlign w:val="center"/>
          </w:tcPr>
          <w:p w14:paraId="18F2FB80">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运营</w:t>
            </w:r>
          </w:p>
          <w:p w14:paraId="3C873F11">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期环</w:t>
            </w:r>
          </w:p>
          <w:p w14:paraId="50F59754">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境影</w:t>
            </w:r>
          </w:p>
          <w:p w14:paraId="3B40FFC3">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响和</w:t>
            </w:r>
          </w:p>
          <w:p w14:paraId="40A18E1A">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保护</w:t>
            </w:r>
          </w:p>
          <w:p w14:paraId="56DA41C1">
            <w:pPr>
              <w:pStyle w:val="22"/>
              <w:adjustRightInd w:val="0"/>
              <w:snapToGrid w:val="0"/>
              <w:spacing w:before="0" w:beforeAutospacing="0" w:after="0" w:afterAutospacing="0"/>
              <w:jc w:val="center"/>
              <w:rPr>
                <w:rFonts w:hint="eastAsia" w:cs="宋体"/>
                <w:color w:val="auto"/>
                <w:kern w:val="2"/>
                <w:sz w:val="21"/>
                <w:szCs w:val="21"/>
                <w:highlight w:val="none"/>
              </w:rPr>
            </w:pPr>
            <w:r>
              <w:rPr>
                <w:rFonts w:hint="eastAsia" w:cs="宋体"/>
                <w:color w:val="auto"/>
                <w:kern w:val="2"/>
                <w:sz w:val="21"/>
                <w:szCs w:val="21"/>
                <w:highlight w:val="none"/>
              </w:rPr>
              <w:t>措施</w:t>
            </w:r>
          </w:p>
        </w:tc>
        <w:tc>
          <w:tcPr>
            <w:tcW w:w="8070" w:type="dxa"/>
            <w:vAlign w:val="center"/>
          </w:tcPr>
          <w:p w14:paraId="5A08AFD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ascii="Times New Roman" w:hAnsi="Times New Roman"/>
                <w:b/>
                <w:color w:val="auto"/>
                <w:sz w:val="21"/>
                <w:szCs w:val="21"/>
                <w:highlight w:val="none"/>
              </w:rPr>
              <w:t>1.</w:t>
            </w:r>
            <w:r>
              <w:rPr>
                <w:rFonts w:hint="eastAsia" w:ascii="Times New Roman" w:hAnsi="Times New Roman"/>
                <w:b/>
                <w:color w:val="auto"/>
                <w:sz w:val="21"/>
                <w:szCs w:val="21"/>
                <w:highlight w:val="none"/>
              </w:rPr>
              <w:t>废气</w:t>
            </w:r>
          </w:p>
          <w:p w14:paraId="71302F0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1.1</w:t>
            </w:r>
            <w:r>
              <w:rPr>
                <w:rFonts w:hint="eastAsia" w:ascii="Times New Roman" w:hAnsi="Times New Roman"/>
                <w:b/>
                <w:color w:val="auto"/>
                <w:sz w:val="21"/>
                <w:szCs w:val="21"/>
                <w:highlight w:val="none"/>
                <w:lang w:val="en-US" w:eastAsia="zh-CN"/>
              </w:rPr>
              <w:t>拟建项目</w:t>
            </w:r>
            <w:r>
              <w:rPr>
                <w:rFonts w:hint="eastAsia" w:ascii="Times New Roman" w:hAnsi="Times New Roman"/>
                <w:b/>
                <w:color w:val="auto"/>
                <w:sz w:val="21"/>
                <w:szCs w:val="21"/>
                <w:highlight w:val="none"/>
              </w:rPr>
              <w:t>污染物产生及排放情况</w:t>
            </w:r>
          </w:p>
          <w:p w14:paraId="6EAD56F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b/>
                <w:color w:val="auto"/>
                <w:sz w:val="21"/>
                <w:szCs w:val="21"/>
                <w:lang w:val="en-US" w:eastAsia="zh-CN"/>
              </w:rPr>
            </w:pPr>
            <w:r>
              <w:rPr>
                <w:rFonts w:hint="eastAsia" w:ascii="Times New Roman" w:hAnsi="Times New Roman"/>
                <w:b/>
                <w:color w:val="auto"/>
                <w:sz w:val="21"/>
                <w:szCs w:val="21"/>
                <w:lang w:val="en-US" w:eastAsia="zh-CN"/>
              </w:rPr>
              <w:t>1.1.1拟建项目废气污染源</w:t>
            </w:r>
          </w:p>
          <w:p w14:paraId="49D5DC5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拟建项目营运期废气污染源主要为</w:t>
            </w:r>
            <w:r>
              <w:rPr>
                <w:rFonts w:hint="eastAsia" w:ascii="Times New Roman" w:hAnsi="Times New Roman" w:cs="Times New Roman"/>
                <w:color w:val="auto"/>
                <w:sz w:val="21"/>
                <w:szCs w:val="21"/>
                <w:lang w:val="en-US" w:eastAsia="zh-CN"/>
              </w:rPr>
              <w:t>无机处理及实验过程产生的无机废气及有机处理及实验过程产生的有机废气、</w:t>
            </w:r>
            <w:r>
              <w:rPr>
                <w:rFonts w:hint="eastAsia" w:ascii="Times New Roman" w:hAnsi="Times New Roman" w:eastAsia="宋体" w:cs="Times New Roman"/>
                <w:color w:val="auto"/>
                <w:sz w:val="21"/>
                <w:szCs w:val="21"/>
                <w:lang w:val="en-US" w:eastAsia="zh-CN"/>
              </w:rPr>
              <w:t>土壤破碎、研磨产生的</w:t>
            </w:r>
            <w:r>
              <w:rPr>
                <w:rFonts w:hint="eastAsia" w:ascii="Times New Roman" w:hAnsi="Times New Roman" w:cs="Times New Roman"/>
                <w:color w:val="auto"/>
                <w:sz w:val="21"/>
                <w:szCs w:val="21"/>
                <w:lang w:val="en-US" w:eastAsia="zh-CN"/>
              </w:rPr>
              <w:t>颗粒物</w:t>
            </w:r>
            <w:r>
              <w:rPr>
                <w:rFonts w:hint="eastAsia" w:ascii="Times New Roman" w:hAnsi="Times New Roman" w:eastAsia="宋体" w:cs="Times New Roman"/>
                <w:color w:val="auto"/>
                <w:sz w:val="21"/>
                <w:szCs w:val="21"/>
                <w:lang w:eastAsia="zh-CN"/>
              </w:rPr>
              <w:t>。</w:t>
            </w:r>
          </w:p>
          <w:p w14:paraId="68C9D166">
            <w:pPr>
              <w:spacing w:line="480" w:lineRule="exact"/>
              <w:ind w:firstLine="422" w:firstLineChars="200"/>
              <w:jc w:val="center"/>
              <w:rPr>
                <w:rFonts w:hint="default" w:eastAsia="宋体"/>
                <w:b/>
                <w:snapToGrid w:val="0"/>
                <w:color w:val="auto"/>
                <w:kern w:val="0"/>
                <w:highlight w:val="none"/>
                <w:lang w:val="en-US" w:eastAsia="zh-CN"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22</w:t>
            </w:r>
            <w:r>
              <w:rPr>
                <w:rFonts w:hint="eastAsia"/>
                <w:b/>
                <w:snapToGrid w:val="0"/>
                <w:color w:val="auto"/>
                <w:kern w:val="0"/>
                <w:highlight w:val="none"/>
                <w:lang w:bidi="ar"/>
              </w:rPr>
              <w:t xml:space="preserve"> 项目</w:t>
            </w:r>
            <w:r>
              <w:rPr>
                <w:rFonts w:hint="eastAsia"/>
                <w:b/>
                <w:snapToGrid w:val="0"/>
                <w:color w:val="auto"/>
                <w:kern w:val="0"/>
                <w:highlight w:val="none"/>
                <w:lang w:val="en-US" w:eastAsia="zh-CN" w:bidi="ar"/>
              </w:rPr>
              <w:t>废气主要产污环节、污染物种类、排放形式、治理措施一览表</w:t>
            </w:r>
          </w:p>
          <w:tbl>
            <w:tblPr>
              <w:tblStyle w:val="26"/>
              <w:tblW w:w="5111"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82"/>
              <w:gridCol w:w="502"/>
              <w:gridCol w:w="1101"/>
              <w:gridCol w:w="1804"/>
              <w:gridCol w:w="3225"/>
              <w:gridCol w:w="815"/>
            </w:tblGrid>
            <w:tr w14:paraId="20264F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83" w:hRule="exact"/>
                <w:jc w:val="center"/>
              </w:trPr>
              <w:tc>
                <w:tcPr>
                  <w:tcW w:w="362" w:type="pct"/>
                  <w:tcBorders>
                    <w:tl2br w:val="nil"/>
                    <w:tr2bl w:val="nil"/>
                  </w:tcBorders>
                  <w:vAlign w:val="center"/>
                </w:tcPr>
                <w:p w14:paraId="65D525A3">
                  <w:pPr>
                    <w:jc w:val="center"/>
                    <w:rPr>
                      <w:color w:val="auto"/>
                      <w:spacing w:val="-10"/>
                      <w:sz w:val="18"/>
                      <w:szCs w:val="18"/>
                      <w:highlight w:val="none"/>
                    </w:rPr>
                  </w:pPr>
                  <w:r>
                    <w:rPr>
                      <w:rFonts w:hint="eastAsia"/>
                      <w:color w:val="auto"/>
                      <w:spacing w:val="-10"/>
                      <w:sz w:val="18"/>
                      <w:szCs w:val="18"/>
                      <w:highlight w:val="none"/>
                    </w:rPr>
                    <w:t>序号</w:t>
                  </w:r>
                </w:p>
              </w:tc>
              <w:tc>
                <w:tcPr>
                  <w:tcW w:w="998" w:type="pct"/>
                  <w:gridSpan w:val="2"/>
                  <w:tcBorders>
                    <w:tl2br w:val="nil"/>
                    <w:tr2bl w:val="nil"/>
                  </w:tcBorders>
                  <w:vAlign w:val="center"/>
                </w:tcPr>
                <w:p w14:paraId="1CE634A9">
                  <w:pPr>
                    <w:jc w:val="center"/>
                    <w:rPr>
                      <w:rFonts w:ascii="Times New Roman" w:hAnsi="Times New Roman" w:cs="Times New Roman"/>
                      <w:color w:val="auto"/>
                      <w:spacing w:val="-10"/>
                      <w:sz w:val="18"/>
                      <w:szCs w:val="18"/>
                      <w:highlight w:val="none"/>
                    </w:rPr>
                  </w:pPr>
                  <w:r>
                    <w:rPr>
                      <w:rFonts w:hint="eastAsia" w:ascii="Times New Roman" w:hAnsi="Times New Roman" w:cs="Times New Roman"/>
                      <w:color w:val="auto"/>
                      <w:spacing w:val="-10"/>
                      <w:sz w:val="18"/>
                      <w:szCs w:val="18"/>
                      <w:highlight w:val="none"/>
                    </w:rPr>
                    <w:t>污染源</w:t>
                  </w:r>
                </w:p>
              </w:tc>
              <w:tc>
                <w:tcPr>
                  <w:tcW w:w="1123" w:type="pct"/>
                  <w:tcBorders>
                    <w:tl2br w:val="nil"/>
                    <w:tr2bl w:val="nil"/>
                  </w:tcBorders>
                  <w:vAlign w:val="center"/>
                </w:tcPr>
                <w:p w14:paraId="71563921">
                  <w:pPr>
                    <w:jc w:val="center"/>
                    <w:rPr>
                      <w:color w:val="auto"/>
                      <w:spacing w:val="-10"/>
                      <w:sz w:val="18"/>
                      <w:szCs w:val="18"/>
                      <w:highlight w:val="none"/>
                    </w:rPr>
                  </w:pPr>
                  <w:r>
                    <w:rPr>
                      <w:rFonts w:hint="eastAsia"/>
                      <w:color w:val="auto"/>
                      <w:spacing w:val="-10"/>
                      <w:sz w:val="18"/>
                      <w:szCs w:val="18"/>
                      <w:highlight w:val="none"/>
                    </w:rPr>
                    <w:t>污染因子</w:t>
                  </w:r>
                </w:p>
              </w:tc>
              <w:tc>
                <w:tcPr>
                  <w:tcW w:w="2008" w:type="pct"/>
                  <w:tcBorders>
                    <w:tl2br w:val="nil"/>
                    <w:tr2bl w:val="nil"/>
                  </w:tcBorders>
                  <w:vAlign w:val="center"/>
                </w:tcPr>
                <w:p w14:paraId="51D1FC67">
                  <w:pPr>
                    <w:jc w:val="center"/>
                    <w:rPr>
                      <w:color w:val="auto"/>
                      <w:spacing w:val="-10"/>
                      <w:sz w:val="18"/>
                      <w:szCs w:val="18"/>
                      <w:highlight w:val="none"/>
                    </w:rPr>
                  </w:pPr>
                  <w:r>
                    <w:rPr>
                      <w:rFonts w:hint="eastAsia"/>
                      <w:color w:val="auto"/>
                      <w:spacing w:val="-10"/>
                      <w:sz w:val="18"/>
                      <w:szCs w:val="18"/>
                      <w:highlight w:val="none"/>
                    </w:rPr>
                    <w:t>治理措施</w:t>
                  </w:r>
                </w:p>
              </w:tc>
              <w:tc>
                <w:tcPr>
                  <w:tcW w:w="507" w:type="pct"/>
                  <w:tcBorders>
                    <w:tl2br w:val="nil"/>
                    <w:tr2bl w:val="nil"/>
                  </w:tcBorders>
                  <w:vAlign w:val="center"/>
                </w:tcPr>
                <w:p w14:paraId="5B270296">
                  <w:pPr>
                    <w:jc w:val="center"/>
                    <w:rPr>
                      <w:rFonts w:hint="default" w:eastAsia="宋体"/>
                      <w:color w:val="auto"/>
                      <w:spacing w:val="-10"/>
                      <w:sz w:val="18"/>
                      <w:szCs w:val="18"/>
                      <w:highlight w:val="none"/>
                      <w:lang w:val="en-US" w:eastAsia="zh-CN"/>
                    </w:rPr>
                  </w:pPr>
                  <w:r>
                    <w:rPr>
                      <w:rFonts w:hint="eastAsia"/>
                      <w:color w:val="auto"/>
                      <w:spacing w:val="-10"/>
                      <w:sz w:val="18"/>
                      <w:szCs w:val="18"/>
                      <w:highlight w:val="none"/>
                      <w:lang w:val="en-US" w:eastAsia="zh-CN"/>
                    </w:rPr>
                    <w:t>排放形式</w:t>
                  </w:r>
                </w:p>
              </w:tc>
            </w:tr>
            <w:tr w14:paraId="4B3507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exact"/>
                <w:jc w:val="center"/>
              </w:trPr>
              <w:tc>
                <w:tcPr>
                  <w:tcW w:w="362" w:type="pct"/>
                  <w:vMerge w:val="restart"/>
                  <w:tcBorders>
                    <w:tl2br w:val="nil"/>
                    <w:tr2bl w:val="nil"/>
                  </w:tcBorders>
                  <w:vAlign w:val="center"/>
                </w:tcPr>
                <w:p w14:paraId="0ABFDED7">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w:t>
                  </w:r>
                </w:p>
              </w:tc>
              <w:tc>
                <w:tcPr>
                  <w:tcW w:w="998" w:type="pct"/>
                  <w:gridSpan w:val="2"/>
                  <w:vMerge w:val="restart"/>
                  <w:tcBorders>
                    <w:tl2br w:val="nil"/>
                    <w:tr2bl w:val="nil"/>
                  </w:tcBorders>
                  <w:vAlign w:val="center"/>
                </w:tcPr>
                <w:p w14:paraId="3A8FDA2F">
                  <w:pPr>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20"/>
                      <w:kern w:val="2"/>
                      <w:sz w:val="18"/>
                      <w:szCs w:val="18"/>
                      <w:highlight w:val="none"/>
                      <w:lang w:val="en-US" w:eastAsia="zh-CN" w:bidi="ar-SA"/>
                    </w:rPr>
                    <w:t>无机处理、有机处理及实验过程（理化一室、理化二室、测油室、离子色谱室、气质一室、气质二室、色谱室、半挥发前处理室）</w:t>
                  </w:r>
                </w:p>
              </w:tc>
              <w:tc>
                <w:tcPr>
                  <w:tcW w:w="1123" w:type="pct"/>
                  <w:tcBorders>
                    <w:tl2br w:val="nil"/>
                    <w:tr2bl w:val="nil"/>
                  </w:tcBorders>
                  <w:vAlign w:val="center"/>
                </w:tcPr>
                <w:p w14:paraId="2EFC1B2F">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2008" w:type="pct"/>
                  <w:vMerge w:val="restart"/>
                  <w:tcBorders>
                    <w:tl2br w:val="nil"/>
                    <w:tr2bl w:val="nil"/>
                  </w:tcBorders>
                  <w:vAlign w:val="center"/>
                </w:tcPr>
                <w:p w14:paraId="0CCC62B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废气经通风橱与万向罩收集后经1套两级活性炭吸附装置净化后经15m高排气筒P1排放</w:t>
                  </w:r>
                </w:p>
              </w:tc>
              <w:tc>
                <w:tcPr>
                  <w:tcW w:w="507" w:type="pct"/>
                  <w:vMerge w:val="restart"/>
                  <w:tcBorders>
                    <w:tl2br w:val="nil"/>
                    <w:tr2bl w:val="nil"/>
                  </w:tcBorders>
                  <w:vAlign w:val="center"/>
                </w:tcPr>
                <w:p w14:paraId="0E40F42A">
                  <w:pPr>
                    <w:jc w:val="center"/>
                    <w:rPr>
                      <w:rFonts w:hint="eastAsia"/>
                      <w:color w:val="auto"/>
                      <w:spacing w:val="-10"/>
                      <w:sz w:val="18"/>
                      <w:szCs w:val="18"/>
                      <w:highlight w:val="none"/>
                      <w:lang w:val="en-US" w:eastAsia="zh-CN"/>
                    </w:rPr>
                  </w:pPr>
                  <w:r>
                    <w:rPr>
                      <w:rFonts w:hint="eastAsia"/>
                      <w:color w:val="auto"/>
                      <w:spacing w:val="-10"/>
                      <w:sz w:val="18"/>
                      <w:szCs w:val="18"/>
                      <w:highlight w:val="none"/>
                      <w:lang w:val="en-US" w:eastAsia="zh-CN"/>
                    </w:rPr>
                    <w:t>有组织</w:t>
                  </w:r>
                </w:p>
              </w:tc>
            </w:tr>
            <w:tr w14:paraId="60F365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exact"/>
                <w:jc w:val="center"/>
              </w:trPr>
              <w:tc>
                <w:tcPr>
                  <w:tcW w:w="362" w:type="pct"/>
                  <w:vMerge w:val="continue"/>
                  <w:tcBorders>
                    <w:tl2br w:val="nil"/>
                    <w:tr2bl w:val="nil"/>
                  </w:tcBorders>
                  <w:vAlign w:val="center"/>
                </w:tcPr>
                <w:p w14:paraId="5A661CED">
                  <w:pPr>
                    <w:jc w:val="center"/>
                    <w:rPr>
                      <w:rFonts w:hint="eastAsia" w:cs="Times New Roman"/>
                      <w:color w:val="auto"/>
                      <w:spacing w:val="-10"/>
                      <w:kern w:val="2"/>
                      <w:sz w:val="18"/>
                      <w:szCs w:val="18"/>
                      <w:highlight w:val="none"/>
                      <w:lang w:val="en-US" w:eastAsia="zh-CN" w:bidi="ar-SA"/>
                    </w:rPr>
                  </w:pPr>
                </w:p>
              </w:tc>
              <w:tc>
                <w:tcPr>
                  <w:tcW w:w="998" w:type="pct"/>
                  <w:gridSpan w:val="2"/>
                  <w:vMerge w:val="continue"/>
                  <w:tcBorders>
                    <w:tl2br w:val="nil"/>
                    <w:tr2bl w:val="nil"/>
                  </w:tcBorders>
                  <w:vAlign w:val="center"/>
                </w:tcPr>
                <w:p w14:paraId="5B9217CC">
                  <w:pPr>
                    <w:jc w:val="center"/>
                    <w:rPr>
                      <w:rFonts w:hint="eastAsia" w:ascii="Times New Roman" w:hAnsi="Times New Roman" w:eastAsia="宋体" w:cs="Times New Roman"/>
                      <w:color w:val="auto"/>
                      <w:spacing w:val="-10"/>
                      <w:sz w:val="18"/>
                      <w:szCs w:val="18"/>
                      <w:highlight w:val="none"/>
                    </w:rPr>
                  </w:pPr>
                </w:p>
              </w:tc>
              <w:tc>
                <w:tcPr>
                  <w:tcW w:w="1123" w:type="pct"/>
                  <w:tcBorders>
                    <w:tl2br w:val="nil"/>
                    <w:tr2bl w:val="nil"/>
                  </w:tcBorders>
                  <w:vAlign w:val="center"/>
                </w:tcPr>
                <w:p w14:paraId="27B8E5FD">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硫酸雾</w:t>
                  </w:r>
                </w:p>
              </w:tc>
              <w:tc>
                <w:tcPr>
                  <w:tcW w:w="2008" w:type="pct"/>
                  <w:vMerge w:val="continue"/>
                  <w:tcBorders>
                    <w:tl2br w:val="nil"/>
                    <w:tr2bl w:val="nil"/>
                  </w:tcBorders>
                  <w:vAlign w:val="center"/>
                </w:tcPr>
                <w:p w14:paraId="570EC275">
                  <w:pPr>
                    <w:jc w:val="center"/>
                    <w:rPr>
                      <w:rFonts w:hint="eastAsia" w:ascii="Times New Roman" w:hAnsi="Times New Roman" w:eastAsia="宋体" w:cs="Times New Roman"/>
                      <w:color w:val="auto"/>
                      <w:spacing w:val="-10"/>
                      <w:sz w:val="18"/>
                      <w:szCs w:val="18"/>
                      <w:highlight w:val="none"/>
                      <w:lang w:val="en-US" w:eastAsia="zh-CN"/>
                    </w:rPr>
                  </w:pPr>
                </w:p>
              </w:tc>
              <w:tc>
                <w:tcPr>
                  <w:tcW w:w="507" w:type="pct"/>
                  <w:vMerge w:val="continue"/>
                  <w:tcBorders>
                    <w:tl2br w:val="nil"/>
                    <w:tr2bl w:val="nil"/>
                  </w:tcBorders>
                  <w:vAlign w:val="center"/>
                </w:tcPr>
                <w:p w14:paraId="1A29BB4C">
                  <w:pPr>
                    <w:jc w:val="center"/>
                    <w:rPr>
                      <w:rFonts w:hint="eastAsia"/>
                      <w:color w:val="auto"/>
                      <w:spacing w:val="-10"/>
                      <w:sz w:val="18"/>
                      <w:szCs w:val="18"/>
                      <w:highlight w:val="none"/>
                      <w:lang w:val="en-US" w:eastAsia="zh-CN"/>
                    </w:rPr>
                  </w:pPr>
                </w:p>
              </w:tc>
            </w:tr>
            <w:tr w14:paraId="51968C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exact"/>
                <w:jc w:val="center"/>
              </w:trPr>
              <w:tc>
                <w:tcPr>
                  <w:tcW w:w="362" w:type="pct"/>
                  <w:vMerge w:val="continue"/>
                  <w:tcBorders>
                    <w:tl2br w:val="nil"/>
                    <w:tr2bl w:val="nil"/>
                  </w:tcBorders>
                  <w:vAlign w:val="center"/>
                </w:tcPr>
                <w:p w14:paraId="28C33F74">
                  <w:pPr>
                    <w:jc w:val="center"/>
                    <w:rPr>
                      <w:rFonts w:hint="default" w:cs="Times New Roman"/>
                      <w:color w:val="auto"/>
                      <w:spacing w:val="-10"/>
                      <w:kern w:val="2"/>
                      <w:sz w:val="18"/>
                      <w:szCs w:val="18"/>
                      <w:highlight w:val="none"/>
                      <w:lang w:val="en-US" w:eastAsia="zh-CN" w:bidi="ar-SA"/>
                    </w:rPr>
                  </w:pPr>
                </w:p>
              </w:tc>
              <w:tc>
                <w:tcPr>
                  <w:tcW w:w="998" w:type="pct"/>
                  <w:gridSpan w:val="2"/>
                  <w:vMerge w:val="continue"/>
                  <w:tcBorders>
                    <w:tl2br w:val="nil"/>
                    <w:tr2bl w:val="nil"/>
                  </w:tcBorders>
                  <w:vAlign w:val="center"/>
                </w:tcPr>
                <w:p w14:paraId="6E27D56D">
                  <w:pPr>
                    <w:jc w:val="center"/>
                    <w:rPr>
                      <w:rFonts w:hint="eastAsia" w:ascii="Times New Roman" w:hAnsi="Times New Roman" w:eastAsia="宋体" w:cs="Times New Roman"/>
                      <w:color w:val="auto"/>
                      <w:spacing w:val="-10"/>
                      <w:sz w:val="18"/>
                      <w:szCs w:val="18"/>
                      <w:highlight w:val="none"/>
                      <w:lang w:val="en-US" w:eastAsia="zh-CN"/>
                    </w:rPr>
                  </w:pPr>
                </w:p>
              </w:tc>
              <w:tc>
                <w:tcPr>
                  <w:tcW w:w="1123" w:type="pct"/>
                  <w:tcBorders>
                    <w:tl2br w:val="nil"/>
                    <w:tr2bl w:val="nil"/>
                  </w:tcBorders>
                  <w:vAlign w:val="center"/>
                </w:tcPr>
                <w:p w14:paraId="406FB7BC">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NMHC</w:t>
                  </w:r>
                </w:p>
              </w:tc>
              <w:tc>
                <w:tcPr>
                  <w:tcW w:w="2008" w:type="pct"/>
                  <w:vMerge w:val="continue"/>
                  <w:tcBorders>
                    <w:tl2br w:val="nil"/>
                    <w:tr2bl w:val="nil"/>
                  </w:tcBorders>
                  <w:vAlign w:val="center"/>
                </w:tcPr>
                <w:p w14:paraId="1A670E87">
                  <w:pPr>
                    <w:jc w:val="center"/>
                    <w:rPr>
                      <w:rFonts w:hint="eastAsia" w:ascii="Times New Roman" w:hAnsi="Times New Roman" w:eastAsia="宋体" w:cs="Times New Roman"/>
                      <w:color w:val="auto"/>
                      <w:spacing w:val="-10"/>
                      <w:sz w:val="18"/>
                      <w:szCs w:val="18"/>
                      <w:highlight w:val="none"/>
                      <w:lang w:val="en-US" w:eastAsia="zh-CN"/>
                    </w:rPr>
                  </w:pPr>
                </w:p>
              </w:tc>
              <w:tc>
                <w:tcPr>
                  <w:tcW w:w="507" w:type="pct"/>
                  <w:vMerge w:val="continue"/>
                  <w:tcBorders>
                    <w:tl2br w:val="nil"/>
                    <w:tr2bl w:val="nil"/>
                  </w:tcBorders>
                  <w:vAlign w:val="center"/>
                </w:tcPr>
                <w:p w14:paraId="553DB49C">
                  <w:pPr>
                    <w:jc w:val="center"/>
                    <w:rPr>
                      <w:rFonts w:hint="eastAsia" w:ascii="Times New Roman" w:hAnsi="Times New Roman" w:eastAsia="宋体" w:cs="Times New Roman"/>
                      <w:color w:val="auto"/>
                      <w:spacing w:val="-10"/>
                      <w:kern w:val="2"/>
                      <w:sz w:val="18"/>
                      <w:szCs w:val="18"/>
                      <w:highlight w:val="none"/>
                      <w:lang w:val="en-US" w:eastAsia="zh-CN" w:bidi="ar-SA"/>
                    </w:rPr>
                  </w:pPr>
                </w:p>
              </w:tc>
            </w:tr>
            <w:tr w14:paraId="13F6CB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exact"/>
                <w:jc w:val="center"/>
              </w:trPr>
              <w:tc>
                <w:tcPr>
                  <w:tcW w:w="362" w:type="pct"/>
                  <w:vMerge w:val="restart"/>
                  <w:tcBorders>
                    <w:tl2br w:val="nil"/>
                    <w:tr2bl w:val="nil"/>
                  </w:tcBorders>
                  <w:vAlign w:val="center"/>
                </w:tcPr>
                <w:p w14:paraId="25BF4161">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2</w:t>
                  </w:r>
                </w:p>
              </w:tc>
              <w:tc>
                <w:tcPr>
                  <w:tcW w:w="312" w:type="pct"/>
                  <w:vMerge w:val="restart"/>
                  <w:tcBorders>
                    <w:tl2br w:val="nil"/>
                    <w:tr2bl w:val="nil"/>
                  </w:tcBorders>
                  <w:vAlign w:val="center"/>
                </w:tcPr>
                <w:p w14:paraId="0238556E">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实验室</w:t>
                  </w:r>
                </w:p>
              </w:tc>
              <w:tc>
                <w:tcPr>
                  <w:tcW w:w="685" w:type="pct"/>
                  <w:tcBorders>
                    <w:tl2br w:val="nil"/>
                    <w:tr2bl w:val="nil"/>
                  </w:tcBorders>
                  <w:shd w:val="clear" w:color="auto" w:fill="auto"/>
                  <w:vAlign w:val="center"/>
                </w:tcPr>
                <w:p w14:paraId="48289FE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土壤破碎、研磨</w:t>
                  </w:r>
                </w:p>
              </w:tc>
              <w:tc>
                <w:tcPr>
                  <w:tcW w:w="1123" w:type="pct"/>
                  <w:tcBorders>
                    <w:tl2br w:val="nil"/>
                    <w:tr2bl w:val="nil"/>
                  </w:tcBorders>
                  <w:vAlign w:val="center"/>
                </w:tcPr>
                <w:p w14:paraId="7097452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颗粒物</w:t>
                  </w:r>
                </w:p>
              </w:tc>
              <w:tc>
                <w:tcPr>
                  <w:tcW w:w="2008" w:type="pct"/>
                  <w:tcBorders>
                    <w:tl2br w:val="nil"/>
                    <w:tr2bl w:val="nil"/>
                  </w:tcBorders>
                  <w:vAlign w:val="center"/>
                </w:tcPr>
                <w:p w14:paraId="3A045FE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规范操作，颗粒物经破碎间沉降后无组织排放</w:t>
                  </w:r>
                </w:p>
              </w:tc>
              <w:tc>
                <w:tcPr>
                  <w:tcW w:w="507" w:type="pct"/>
                  <w:tcBorders>
                    <w:tl2br w:val="nil"/>
                    <w:tr2bl w:val="nil"/>
                  </w:tcBorders>
                  <w:vAlign w:val="center"/>
                </w:tcPr>
                <w:p w14:paraId="2024BBF8">
                  <w:pPr>
                    <w:jc w:val="center"/>
                    <w:rPr>
                      <w:rFonts w:hint="eastAsia"/>
                      <w:color w:val="auto"/>
                      <w:spacing w:val="-10"/>
                      <w:sz w:val="18"/>
                      <w:szCs w:val="18"/>
                      <w:highlight w:val="none"/>
                      <w:lang w:val="en-US" w:eastAsia="zh-CN"/>
                    </w:rPr>
                  </w:pPr>
                  <w:r>
                    <w:rPr>
                      <w:rFonts w:hint="eastAsia"/>
                      <w:color w:val="auto"/>
                      <w:spacing w:val="-10"/>
                      <w:sz w:val="18"/>
                      <w:szCs w:val="18"/>
                      <w:highlight w:val="none"/>
                      <w:lang w:val="en-US" w:eastAsia="zh-CN"/>
                    </w:rPr>
                    <w:t>无组织</w:t>
                  </w:r>
                </w:p>
              </w:tc>
            </w:tr>
            <w:tr w14:paraId="03487F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46" w:hRule="exact"/>
                <w:jc w:val="center"/>
              </w:trPr>
              <w:tc>
                <w:tcPr>
                  <w:tcW w:w="362" w:type="pct"/>
                  <w:vMerge w:val="continue"/>
                  <w:tcBorders>
                    <w:tl2br w:val="nil"/>
                    <w:tr2bl w:val="nil"/>
                  </w:tcBorders>
                  <w:vAlign w:val="center"/>
                </w:tcPr>
                <w:p w14:paraId="03F60663">
                  <w:pPr>
                    <w:jc w:val="center"/>
                    <w:rPr>
                      <w:rFonts w:hint="eastAsia" w:cs="Times New Roman"/>
                      <w:color w:val="auto"/>
                      <w:spacing w:val="-10"/>
                      <w:kern w:val="2"/>
                      <w:sz w:val="18"/>
                      <w:szCs w:val="18"/>
                      <w:highlight w:val="none"/>
                      <w:lang w:val="en-US" w:eastAsia="zh-CN" w:bidi="ar-SA"/>
                    </w:rPr>
                  </w:pPr>
                </w:p>
              </w:tc>
              <w:tc>
                <w:tcPr>
                  <w:tcW w:w="312" w:type="pct"/>
                  <w:vMerge w:val="continue"/>
                  <w:tcBorders>
                    <w:tl2br w:val="nil"/>
                    <w:tr2bl w:val="nil"/>
                  </w:tcBorders>
                  <w:vAlign w:val="center"/>
                </w:tcPr>
                <w:p w14:paraId="2D0E8F0E">
                  <w:pPr>
                    <w:jc w:val="center"/>
                    <w:rPr>
                      <w:rFonts w:hint="eastAsia" w:cs="Times New Roman"/>
                      <w:color w:val="auto"/>
                      <w:spacing w:val="-10"/>
                      <w:sz w:val="18"/>
                      <w:szCs w:val="18"/>
                      <w:highlight w:val="none"/>
                      <w:lang w:val="en-US" w:eastAsia="zh-CN"/>
                    </w:rPr>
                  </w:pPr>
                </w:p>
              </w:tc>
              <w:tc>
                <w:tcPr>
                  <w:tcW w:w="685" w:type="pct"/>
                  <w:tcBorders>
                    <w:tl2br w:val="nil"/>
                    <w:tr2bl w:val="nil"/>
                  </w:tcBorders>
                  <w:shd w:val="clear" w:color="auto" w:fill="auto"/>
                  <w:vAlign w:val="center"/>
                </w:tcPr>
                <w:p w14:paraId="63FD17D5">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受捕集效率影响未被收集的</w:t>
                  </w:r>
                </w:p>
              </w:tc>
              <w:tc>
                <w:tcPr>
                  <w:tcW w:w="1123" w:type="pct"/>
                  <w:tcBorders>
                    <w:tl2br w:val="nil"/>
                    <w:tr2bl w:val="nil"/>
                  </w:tcBorders>
                  <w:vAlign w:val="center"/>
                </w:tcPr>
                <w:p w14:paraId="284519CC">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r>
                    <w:rPr>
                      <w:rFonts w:hint="eastAsia" w:cs="Times New Roman"/>
                      <w:color w:val="auto"/>
                      <w:spacing w:val="-10"/>
                      <w:kern w:val="2"/>
                      <w:sz w:val="18"/>
                      <w:szCs w:val="18"/>
                      <w:highlight w:val="none"/>
                      <w:lang w:val="en-US" w:eastAsia="zh-CN" w:bidi="ar-SA"/>
                    </w:rPr>
                    <w:t>、</w:t>
                  </w:r>
                  <w:r>
                    <w:rPr>
                      <w:rFonts w:hint="eastAsia" w:cs="Times New Roman"/>
                      <w:color w:val="auto"/>
                      <w:spacing w:val="-10"/>
                      <w:sz w:val="18"/>
                      <w:szCs w:val="18"/>
                      <w:highlight w:val="none"/>
                      <w:lang w:val="en-US" w:eastAsia="zh-CN"/>
                    </w:rPr>
                    <w:t>硫酸雾、NMHC</w:t>
                  </w:r>
                </w:p>
              </w:tc>
              <w:tc>
                <w:tcPr>
                  <w:tcW w:w="2008" w:type="pct"/>
                  <w:tcBorders>
                    <w:tl2br w:val="nil"/>
                    <w:tr2bl w:val="nil"/>
                  </w:tcBorders>
                  <w:shd w:val="clear" w:color="auto" w:fill="auto"/>
                  <w:vAlign w:val="center"/>
                </w:tcPr>
                <w:p w14:paraId="60A8295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规范操作，加强有组织收集</w:t>
                  </w:r>
                </w:p>
              </w:tc>
              <w:tc>
                <w:tcPr>
                  <w:tcW w:w="507" w:type="pct"/>
                  <w:tcBorders>
                    <w:tl2br w:val="nil"/>
                    <w:tr2bl w:val="nil"/>
                  </w:tcBorders>
                  <w:shd w:val="clear" w:color="auto" w:fill="auto"/>
                  <w:vAlign w:val="center"/>
                </w:tcPr>
                <w:p w14:paraId="1881A9C9">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无组织</w:t>
                  </w:r>
                </w:p>
              </w:tc>
            </w:tr>
          </w:tbl>
          <w:p w14:paraId="48C1894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1.1.</w:t>
            </w:r>
            <w:r>
              <w:rPr>
                <w:rFonts w:hint="eastAsia" w:ascii="Times New Roman" w:hAnsi="Times New Roman"/>
                <w:b/>
                <w:color w:val="auto"/>
                <w:sz w:val="21"/>
                <w:szCs w:val="21"/>
                <w:highlight w:val="none"/>
                <w:lang w:val="en-US" w:eastAsia="zh-CN"/>
              </w:rPr>
              <w:t>2</w:t>
            </w:r>
            <w:r>
              <w:rPr>
                <w:rFonts w:hint="eastAsia" w:ascii="Times New Roman" w:hAnsi="Times New Roman"/>
                <w:b/>
                <w:color w:val="auto"/>
                <w:sz w:val="21"/>
                <w:szCs w:val="21"/>
                <w:highlight w:val="none"/>
              </w:rPr>
              <w:t>有组织废气产生及排放情况</w:t>
            </w:r>
          </w:p>
          <w:p w14:paraId="7F06BCD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（1）源强核算</w:t>
            </w:r>
          </w:p>
          <w:p w14:paraId="27A59A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①无机废气</w:t>
            </w:r>
          </w:p>
          <w:p w14:paraId="37FC0EA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本项目样品预处理</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主要为样品处理、消解</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、实验检测过程涉及到硫酸、盐酸等无机试剂的使用，</w:t>
            </w:r>
            <w:r>
              <w:rPr>
                <w:rFonts w:hint="eastAsia" w:ascii="Times New Roman" w:hAnsi="Times New Roman" w:cs="Times New Roman"/>
                <w:color w:val="auto"/>
                <w:sz w:val="21"/>
                <w:szCs w:val="21"/>
                <w:highlight w:val="none"/>
                <w:lang w:val="en-US" w:eastAsia="zh-CN"/>
              </w:rPr>
              <w:t>前处理及实验操作的时间</w:t>
            </w:r>
            <w:r>
              <w:rPr>
                <w:rFonts w:hint="eastAsia" w:ascii="Times New Roman" w:hAnsi="Times New Roman" w:eastAsia="宋体" w:cs="Times New Roman"/>
                <w:color w:val="auto"/>
                <w:sz w:val="21"/>
                <w:szCs w:val="21"/>
                <w:highlight w:val="none"/>
                <w:lang w:val="en-US" w:eastAsia="zh-CN"/>
              </w:rPr>
              <w:t>约为300h/a，主要污染物为硫酸雾、氯化氢。项目使用的硫酸</w:t>
            </w:r>
            <w:r>
              <w:rPr>
                <w:rFonts w:hint="eastAsia" w:ascii="Times New Roman" w:hAnsi="Times New Roman" w:cs="Times New Roman"/>
                <w:color w:val="auto"/>
                <w:sz w:val="21"/>
                <w:szCs w:val="21"/>
                <w:highlight w:val="none"/>
                <w:lang w:val="en-US" w:eastAsia="zh-CN"/>
              </w:rPr>
              <w:t>（按</w:t>
            </w:r>
            <w:r>
              <w:rPr>
                <w:rFonts w:hint="eastAsia" w:ascii="Times New Roman" w:hAnsi="Times New Roman" w:eastAsia="宋体" w:cs="Times New Roman"/>
                <w:color w:val="auto"/>
                <w:sz w:val="21"/>
                <w:szCs w:val="21"/>
                <w:highlight w:val="none"/>
                <w:lang w:val="en-US" w:eastAsia="zh-CN"/>
              </w:rPr>
              <w:t>98%计</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、盐酸</w:t>
            </w:r>
            <w:r>
              <w:rPr>
                <w:rFonts w:hint="eastAsia" w:ascii="Times New Roman" w:hAnsi="Times New Roman" w:cs="Times New Roman"/>
                <w:color w:val="auto"/>
                <w:sz w:val="21"/>
                <w:szCs w:val="21"/>
                <w:highlight w:val="none"/>
                <w:lang w:val="en-US" w:eastAsia="zh-CN"/>
              </w:rPr>
              <w:t>（按</w:t>
            </w:r>
            <w:r>
              <w:rPr>
                <w:rFonts w:hint="eastAsia" w:ascii="Times New Roman" w:hAnsi="Times New Roman" w:eastAsia="宋体" w:cs="Times New Roman"/>
                <w:color w:val="auto"/>
                <w:sz w:val="21"/>
                <w:szCs w:val="21"/>
                <w:highlight w:val="none"/>
                <w:lang w:val="en-US" w:eastAsia="zh-CN"/>
              </w:rPr>
              <w:t>36%计</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在瓶中储存时，在其液面上方的空间内，溶质气体在理论上应处于分压平衡的</w:t>
            </w:r>
            <w:r>
              <w:rPr>
                <w:rFonts w:hint="eastAsia" w:ascii="Times New Roman" w:hAnsi="Times New Roman" w:cs="Times New Roman"/>
                <w:color w:val="auto"/>
                <w:sz w:val="21"/>
                <w:szCs w:val="21"/>
                <w:highlight w:val="none"/>
                <w:lang w:val="en-US" w:eastAsia="zh-CN"/>
              </w:rPr>
              <w:t>状态，</w:t>
            </w:r>
            <w:r>
              <w:rPr>
                <w:rFonts w:hint="eastAsia" w:ascii="Times New Roman" w:hAnsi="Times New Roman" w:eastAsia="宋体" w:cs="Times New Roman"/>
                <w:color w:val="auto"/>
                <w:sz w:val="21"/>
                <w:szCs w:val="21"/>
                <w:highlight w:val="none"/>
                <w:lang w:val="en-US" w:eastAsia="zh-CN"/>
              </w:rPr>
              <w:t>使用过程中从而破坏了平衡分压，导致溶液中该有害溶质的持续挥发。</w:t>
            </w:r>
          </w:p>
          <w:p w14:paraId="486271F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根据《环境统计手册》</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方品贤等著，四川科学技术出版社出版</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除水以外</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量计算公式，本计算方法适用于硫酸、盐酸等酸洗工艺中的酸液蒸发量。蒸发原理为化学溶液在敞口槽内进行酸洗等化学处理时，环境空气流动、气压变化等也会破坏液面上方的平衡分压，造成化学溶液的持续挥发。原理一致，故本项目无机废气的挥发量可参照《环境统计手册》</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方品贤等著，四川科学技术出版社出版</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除水以外</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蒸发量计算公式进行计算，其公式如下</w:t>
            </w:r>
            <w:r>
              <w:rPr>
                <w:rFonts w:hint="eastAsia" w:ascii="Times New Roman" w:hAnsi="Times New Roman" w:cs="Times New Roman"/>
                <w:color w:val="auto"/>
                <w:sz w:val="21"/>
                <w:szCs w:val="21"/>
                <w:highlight w:val="none"/>
                <w:lang w:val="en-US" w:eastAsia="zh-CN"/>
              </w:rPr>
              <w:t>：</w:t>
            </w:r>
          </w:p>
          <w:p w14:paraId="51F4AA0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80" w:firstLineChars="200"/>
              <w:textAlignment w:val="auto"/>
              <w:rPr>
                <w:rFonts w:hint="eastAsia" w:ascii="Times New Roman" w:hAnsi="Times New Roman" w:eastAsia="宋体" w:cs="Times New Roman"/>
                <w:color w:val="auto"/>
                <w:sz w:val="21"/>
                <w:szCs w:val="21"/>
                <w:highlight w:val="none"/>
                <w:lang w:val="en-US" w:eastAsia="zh-CN"/>
              </w:rPr>
            </w:pPr>
            <w:r>
              <w:rPr>
                <w:color w:val="auto"/>
              </w:rPr>
              <w:drawing>
                <wp:anchor distT="0" distB="0" distL="114300" distR="114300" simplePos="0" relativeHeight="251665408" behindDoc="0" locked="0" layoutInCell="1" allowOverlap="1">
                  <wp:simplePos x="0" y="0"/>
                  <wp:positionH relativeFrom="column">
                    <wp:posOffset>222250</wp:posOffset>
                  </wp:positionH>
                  <wp:positionV relativeFrom="paragraph">
                    <wp:posOffset>27305</wp:posOffset>
                  </wp:positionV>
                  <wp:extent cx="2345055" cy="276225"/>
                  <wp:effectExtent l="0" t="0" r="17145" b="9525"/>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9"/>
                          <a:stretch>
                            <a:fillRect/>
                          </a:stretch>
                        </pic:blipFill>
                        <pic:spPr>
                          <a:xfrm>
                            <a:off x="0" y="0"/>
                            <a:ext cx="2345055" cy="276225"/>
                          </a:xfrm>
                          <a:prstGeom prst="rect">
                            <a:avLst/>
                          </a:prstGeom>
                          <a:noFill/>
                          <a:ln>
                            <a:noFill/>
                          </a:ln>
                        </pic:spPr>
                      </pic:pic>
                    </a:graphicData>
                  </a:graphic>
                </wp:anchor>
              </w:drawing>
            </w:r>
          </w:p>
          <w:p w14:paraId="7B17BF2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式中，Gz</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-液体的蒸发量，kg/h</w:t>
            </w:r>
            <w:r>
              <w:rPr>
                <w:rFonts w:hint="eastAsia" w:ascii="Times New Roman" w:hAnsi="Times New Roman" w:cs="Times New Roman"/>
                <w:color w:val="auto"/>
                <w:sz w:val="21"/>
                <w:szCs w:val="21"/>
                <w:highlight w:val="none"/>
                <w:lang w:val="en-US" w:eastAsia="zh-CN"/>
              </w:rPr>
              <w:t>；</w:t>
            </w:r>
          </w:p>
          <w:p w14:paraId="2D1C19C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液体溶质的分子量</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本项目硫酸分子量为98</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盐酸分子量为36.5</w:t>
            </w:r>
            <w:r>
              <w:rPr>
                <w:rFonts w:hint="eastAsia" w:ascii="Times New Roman" w:hAnsi="Times New Roman" w:cs="Times New Roman"/>
                <w:color w:val="auto"/>
                <w:sz w:val="21"/>
                <w:szCs w:val="21"/>
                <w:highlight w:val="none"/>
                <w:lang w:val="en-US" w:eastAsia="zh-CN"/>
              </w:rPr>
              <w:t>）；</w:t>
            </w:r>
          </w:p>
          <w:p w14:paraId="72621D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V-</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蒸发液体表面上的空气流速，m/s，一般可取0.2-0.5，本项目取0.5m/s</w:t>
            </w:r>
            <w:r>
              <w:rPr>
                <w:rFonts w:hint="eastAsia" w:ascii="Times New Roman" w:hAnsi="Times New Roman" w:cs="Times New Roman"/>
                <w:color w:val="auto"/>
                <w:sz w:val="21"/>
                <w:szCs w:val="21"/>
                <w:highlight w:val="none"/>
                <w:lang w:val="en-US" w:eastAsia="zh-CN"/>
              </w:rPr>
              <w:t>；</w:t>
            </w:r>
          </w:p>
          <w:p w14:paraId="38AA822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P-</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相应于液体温度下的空气中的蒸气分压力，mmHg。20℃情况下，98%的浓硫酸饱和蒸气压为3.3</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10</w:t>
            </w:r>
            <w:r>
              <w:rPr>
                <w:rFonts w:hint="eastAsia" w:ascii="Times New Roman" w:hAnsi="Times New Roman" w:eastAsia="宋体" w:cs="Times New Roman"/>
                <w:color w:val="auto"/>
                <w:sz w:val="21"/>
                <w:szCs w:val="21"/>
                <w:highlight w:val="none"/>
                <w:vertAlign w:val="superscript"/>
                <w:lang w:val="en-US" w:eastAsia="zh-CN"/>
              </w:rPr>
              <w:t>-</w:t>
            </w:r>
            <w:r>
              <w:rPr>
                <w:rFonts w:hint="eastAsia" w:ascii="Times New Roman" w:hAnsi="Times New Roman" w:cs="Times New Roman"/>
                <w:color w:val="auto"/>
                <w:sz w:val="21"/>
                <w:szCs w:val="21"/>
                <w:highlight w:val="none"/>
                <w:vertAlign w:val="superscript"/>
                <w:lang w:val="en-US" w:eastAsia="zh-CN"/>
              </w:rPr>
              <w:t>5</w:t>
            </w:r>
            <w:r>
              <w:rPr>
                <w:rFonts w:hint="eastAsia" w:ascii="Times New Roman" w:hAnsi="Times New Roman" w:eastAsia="宋体" w:cs="Times New Roman"/>
                <w:color w:val="auto"/>
                <w:sz w:val="21"/>
                <w:szCs w:val="21"/>
                <w:highlight w:val="none"/>
                <w:lang w:val="en-US" w:eastAsia="zh-CN"/>
              </w:rPr>
              <w:t>kPa，即P取0.00025mmHg</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36%盐酸溶液P取105mmHg。</w:t>
            </w:r>
          </w:p>
          <w:p w14:paraId="3F35B11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F-</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蒸发面的面积</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本项目试剂瓶的直径取5cm</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挥发面积为0.002m</w:t>
            </w:r>
            <w:r>
              <w:rPr>
                <w:rFonts w:hint="eastAsia" w:ascii="Times New Roman" w:hAnsi="Times New Roman" w:cs="Times New Roman"/>
                <w:color w:val="auto"/>
                <w:sz w:val="21"/>
                <w:szCs w:val="21"/>
                <w:highlight w:val="none"/>
                <w:vertAlign w:val="superscript"/>
                <w:lang w:val="en-US" w:eastAsia="zh-CN"/>
              </w:rPr>
              <w:t>2</w:t>
            </w:r>
            <w:r>
              <w:rPr>
                <w:rFonts w:hint="eastAsia" w:ascii="Times New Roman" w:hAnsi="Times New Roman" w:cs="Times New Roman"/>
                <w:color w:val="auto"/>
                <w:sz w:val="21"/>
                <w:szCs w:val="21"/>
                <w:highlight w:val="none"/>
                <w:lang w:val="en-US" w:eastAsia="zh-CN"/>
              </w:rPr>
              <w:t>。</w:t>
            </w:r>
          </w:p>
          <w:p w14:paraId="287A81E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通过上述公式计算得，本项目硫酸</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盐酸蒸发量分别为3.65</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10</w:t>
            </w:r>
            <w:r>
              <w:rPr>
                <w:rFonts w:hint="eastAsia" w:ascii="Times New Roman" w:hAnsi="Times New Roman" w:eastAsia="宋体" w:cs="Times New Roman"/>
                <w:color w:val="auto"/>
                <w:sz w:val="21"/>
                <w:szCs w:val="21"/>
                <w:highlight w:val="none"/>
                <w:vertAlign w:val="superscript"/>
                <w:lang w:val="en-US" w:eastAsia="zh-CN"/>
              </w:rPr>
              <w:t>-8</w:t>
            </w:r>
            <w:r>
              <w:rPr>
                <w:rFonts w:hint="eastAsia" w:ascii="Times New Roman" w:hAnsi="Times New Roman" w:eastAsia="宋体" w:cs="Times New Roman"/>
                <w:color w:val="auto"/>
                <w:sz w:val="21"/>
                <w:szCs w:val="21"/>
                <w:highlight w:val="none"/>
                <w:lang w:val="en-US" w:eastAsia="zh-CN"/>
              </w:rPr>
              <w:t>kg/h、</w:t>
            </w:r>
            <w:r>
              <w:rPr>
                <w:rFonts w:hint="eastAsia" w:ascii="Times New Roman" w:hAnsi="Times New Roman" w:cs="Times New Roman"/>
                <w:color w:val="auto"/>
                <w:sz w:val="21"/>
                <w:szCs w:val="21"/>
                <w:highlight w:val="none"/>
                <w:lang w:val="en-US" w:eastAsia="zh-CN"/>
              </w:rPr>
              <w:t>0.0057</w:t>
            </w:r>
            <w:r>
              <w:rPr>
                <w:rFonts w:hint="eastAsia" w:ascii="Times New Roman" w:hAnsi="Times New Roman" w:eastAsia="宋体" w:cs="Times New Roman"/>
                <w:color w:val="auto"/>
                <w:sz w:val="21"/>
                <w:szCs w:val="21"/>
                <w:highlight w:val="none"/>
                <w:lang w:val="en-US" w:eastAsia="zh-CN"/>
              </w:rPr>
              <w:t>kg/h。本项目使用无机试剂的时间约为300h/a，则本项目硫酸雾</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氯化氢年产生量分别为</w:t>
            </w:r>
            <w:r>
              <w:rPr>
                <w:rFonts w:hint="eastAsia" w:ascii="Times New Roman" w:hAnsi="Times New Roman" w:cs="Times New Roman"/>
                <w:color w:val="auto"/>
                <w:sz w:val="21"/>
                <w:szCs w:val="21"/>
                <w:highlight w:val="none"/>
                <w:lang w:val="en-US" w:eastAsia="zh-CN"/>
              </w:rPr>
              <w:t>0.00001</w:t>
            </w:r>
            <w:r>
              <w:rPr>
                <w:rFonts w:hint="eastAsia" w:ascii="Times New Roman" w:hAnsi="Times New Roman" w:eastAsia="宋体" w:cs="Times New Roman"/>
                <w:color w:val="auto"/>
                <w:sz w:val="21"/>
                <w:szCs w:val="21"/>
                <w:highlight w:val="none"/>
                <w:lang w:val="en-US" w:eastAsia="zh-CN"/>
              </w:rPr>
              <w:t>kg/a、</w:t>
            </w:r>
            <w:r>
              <w:rPr>
                <w:rFonts w:hint="eastAsia" w:ascii="Times New Roman" w:hAnsi="Times New Roman" w:cs="Times New Roman"/>
                <w:color w:val="auto"/>
                <w:sz w:val="21"/>
                <w:szCs w:val="21"/>
                <w:highlight w:val="none"/>
                <w:lang w:val="en-US" w:eastAsia="zh-CN"/>
              </w:rPr>
              <w:t>1.71</w:t>
            </w:r>
            <w:r>
              <w:rPr>
                <w:rFonts w:hint="eastAsia" w:ascii="Times New Roman" w:hAnsi="Times New Roman" w:eastAsia="宋体" w:cs="Times New Roman"/>
                <w:color w:val="auto"/>
                <w:sz w:val="21"/>
                <w:szCs w:val="21"/>
                <w:highlight w:val="none"/>
                <w:lang w:val="en-US" w:eastAsia="zh-CN"/>
              </w:rPr>
              <w:t>kg/a</w:t>
            </w:r>
            <w:r>
              <w:rPr>
                <w:rFonts w:hint="eastAsia" w:ascii="Times New Roman" w:hAnsi="Times New Roman" w:cs="Times New Roman"/>
                <w:color w:val="auto"/>
                <w:sz w:val="21"/>
                <w:szCs w:val="21"/>
                <w:highlight w:val="none"/>
                <w:lang w:val="en-US" w:eastAsia="zh-CN"/>
              </w:rPr>
              <w:t>。</w:t>
            </w:r>
          </w:p>
          <w:p w14:paraId="3A0C3B2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②有机废气</w:t>
            </w:r>
          </w:p>
          <w:p w14:paraId="5A0A4E2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样品在有机前处理室、色谱室、理化</w:t>
            </w:r>
            <w:r>
              <w:rPr>
                <w:rFonts w:hint="eastAsia" w:ascii="Times New Roman" w:hAnsi="Times New Roman" w:cs="Times New Roman"/>
                <w:color w:val="auto"/>
                <w:sz w:val="21"/>
                <w:szCs w:val="21"/>
                <w:highlight w:val="none"/>
                <w:lang w:val="en-US" w:eastAsia="zh-CN"/>
              </w:rPr>
              <w:t>室、气质室、测油室</w:t>
            </w:r>
            <w:r>
              <w:rPr>
                <w:rFonts w:hint="eastAsia" w:ascii="Times New Roman" w:hAnsi="Times New Roman" w:eastAsia="宋体" w:cs="Times New Roman"/>
                <w:color w:val="auto"/>
                <w:sz w:val="21"/>
                <w:szCs w:val="21"/>
                <w:highlight w:val="none"/>
                <w:lang w:val="en-US" w:eastAsia="zh-CN"/>
              </w:rPr>
              <w:t>等实验过程中使用易挥发有机溶剂，</w:t>
            </w:r>
            <w:r>
              <w:rPr>
                <w:rFonts w:hint="eastAsia" w:ascii="Times New Roman" w:hAnsi="Times New Roman" w:cs="Times New Roman"/>
                <w:color w:val="auto"/>
                <w:sz w:val="21"/>
                <w:szCs w:val="21"/>
                <w:highlight w:val="none"/>
                <w:lang w:val="en-US" w:eastAsia="zh-CN"/>
              </w:rPr>
              <w:t>前处理及实验操作的时间</w:t>
            </w:r>
            <w:r>
              <w:rPr>
                <w:rFonts w:hint="eastAsia" w:ascii="Times New Roman" w:hAnsi="Times New Roman" w:eastAsia="宋体" w:cs="Times New Roman"/>
                <w:color w:val="auto"/>
                <w:sz w:val="21"/>
                <w:szCs w:val="21"/>
                <w:highlight w:val="none"/>
                <w:lang w:val="en-US" w:eastAsia="zh-CN"/>
              </w:rPr>
              <w:t>约为300h/a，</w:t>
            </w:r>
            <w:r>
              <w:rPr>
                <w:rFonts w:hint="eastAsia" w:ascii="Times New Roman" w:hAnsi="Times New Roman" w:cs="Times New Roman"/>
                <w:color w:val="auto"/>
                <w:sz w:val="21"/>
                <w:szCs w:val="21"/>
                <w:highlight w:val="none"/>
                <w:lang w:val="en-US" w:eastAsia="zh-CN"/>
              </w:rPr>
              <w:t>期间</w:t>
            </w:r>
            <w:r>
              <w:rPr>
                <w:rFonts w:hint="eastAsia" w:ascii="Times New Roman" w:hAnsi="Times New Roman" w:eastAsia="宋体" w:cs="Times New Roman"/>
                <w:color w:val="auto"/>
                <w:sz w:val="21"/>
                <w:szCs w:val="21"/>
                <w:highlight w:val="none"/>
                <w:lang w:val="en-US" w:eastAsia="zh-CN"/>
              </w:rPr>
              <w:t>会产生挥发性有机物（以非甲烷总烃计）；检测过程中使用的挥发性有机化学试剂主要包括</w:t>
            </w:r>
            <w:r>
              <w:rPr>
                <w:rFonts w:hint="eastAsia" w:ascii="Times New Roman" w:hAnsi="Times New Roman" w:cs="Times New Roman"/>
                <w:color w:val="auto"/>
                <w:sz w:val="21"/>
                <w:szCs w:val="21"/>
                <w:highlight w:val="none"/>
                <w:lang w:val="en-US" w:eastAsia="zh-CN"/>
              </w:rPr>
              <w:t>四</w:t>
            </w:r>
            <w:r>
              <w:rPr>
                <w:rFonts w:hint="eastAsia" w:ascii="Times New Roman" w:hAnsi="Times New Roman" w:eastAsia="宋体" w:cs="Times New Roman"/>
                <w:color w:val="auto"/>
                <w:sz w:val="21"/>
                <w:szCs w:val="21"/>
                <w:highlight w:val="none"/>
                <w:lang w:val="en-US" w:eastAsia="zh-CN"/>
              </w:rPr>
              <w:t>氯化碳、冰醋酸、乙醇、氯仿、乙炔、邻菲罗啉等，年使用挥发性有机化学试剂约</w:t>
            </w:r>
            <w:r>
              <w:rPr>
                <w:rFonts w:hint="eastAsia" w:ascii="Times New Roman" w:hAnsi="Times New Roman" w:cs="Times New Roman"/>
                <w:color w:val="auto"/>
                <w:sz w:val="21"/>
                <w:szCs w:val="21"/>
                <w:highlight w:val="none"/>
                <w:lang w:val="en-US" w:eastAsia="zh-CN"/>
              </w:rPr>
              <w:t>362.848</w:t>
            </w:r>
            <w:r>
              <w:rPr>
                <w:rFonts w:hint="default" w:ascii="Times New Roman" w:hAnsi="Times New Roman" w:eastAsia="宋体" w:cs="Times New Roman"/>
                <w:color w:val="auto"/>
                <w:sz w:val="21"/>
                <w:szCs w:val="21"/>
                <w:highlight w:val="none"/>
                <w:lang w:val="en-US" w:eastAsia="zh-CN"/>
              </w:rPr>
              <w:t>kg/a</w:t>
            </w:r>
            <w:r>
              <w:rPr>
                <w:rFonts w:hint="eastAsia" w:ascii="Times New Roman" w:hAnsi="Times New Roman" w:eastAsia="宋体" w:cs="Times New Roman"/>
                <w:color w:val="auto"/>
                <w:sz w:val="21"/>
                <w:szCs w:val="21"/>
                <w:highlight w:val="none"/>
                <w:lang w:val="en-US" w:eastAsia="zh-CN"/>
              </w:rPr>
              <w:t xml:space="preserve">。 </w:t>
            </w:r>
          </w:p>
          <w:p w14:paraId="13942C9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根据美国国家环保局编写的《空气污染物排放和控制手册 工业污染源调查与研究》等相关资料可知，在实验状态下有机试剂挥发比例一般为试剂使用量的</w:t>
            </w:r>
            <w:r>
              <w:rPr>
                <w:rFonts w:hint="default" w:ascii="Times New Roman" w:hAnsi="Times New Roman" w:eastAsia="宋体" w:cs="Times New Roman"/>
                <w:color w:val="auto"/>
                <w:sz w:val="21"/>
                <w:szCs w:val="21"/>
                <w:highlight w:val="none"/>
                <w:lang w:val="en-US" w:eastAsia="zh-CN"/>
              </w:rPr>
              <w:t>1%~4%</w:t>
            </w:r>
            <w:r>
              <w:rPr>
                <w:rFonts w:hint="eastAsia" w:ascii="Times New Roman" w:hAnsi="Times New Roman" w:eastAsia="宋体" w:cs="Times New Roman"/>
                <w:color w:val="auto"/>
                <w:sz w:val="21"/>
                <w:szCs w:val="21"/>
                <w:highlight w:val="none"/>
                <w:lang w:val="en-US" w:eastAsia="zh-CN"/>
              </w:rPr>
              <w:t>，本次环评选取有机试剂的最高挥发比例为</w:t>
            </w:r>
            <w:r>
              <w:rPr>
                <w:rFonts w:hint="default" w:ascii="Times New Roman" w:hAnsi="Times New Roman" w:eastAsia="宋体"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val="en-US" w:eastAsia="zh-CN"/>
              </w:rPr>
              <w:t>，则实验过程挥发的非甲烷总烃为</w:t>
            </w:r>
            <w:r>
              <w:rPr>
                <w:rFonts w:hint="eastAsia" w:ascii="Times New Roman" w:hAnsi="Times New Roman" w:cs="Times New Roman"/>
                <w:color w:val="auto"/>
                <w:sz w:val="21"/>
                <w:szCs w:val="21"/>
                <w:highlight w:val="none"/>
                <w:lang w:val="en-US" w:eastAsia="zh-CN"/>
              </w:rPr>
              <w:t>14.514</w:t>
            </w:r>
            <w:r>
              <w:rPr>
                <w:rFonts w:hint="default" w:ascii="Times New Roman" w:hAnsi="Times New Roman" w:eastAsia="宋体" w:cs="Times New Roman"/>
                <w:color w:val="auto"/>
                <w:sz w:val="21"/>
                <w:szCs w:val="21"/>
                <w:highlight w:val="none"/>
                <w:lang w:val="en-US" w:eastAsia="zh-CN"/>
              </w:rPr>
              <w:t>kg/a</w:t>
            </w:r>
            <w:r>
              <w:rPr>
                <w:rFonts w:hint="eastAsia" w:ascii="Times New Roman" w:hAnsi="Times New Roman" w:eastAsia="宋体" w:cs="Times New Roman"/>
                <w:color w:val="auto"/>
                <w:sz w:val="21"/>
                <w:szCs w:val="21"/>
                <w:highlight w:val="none"/>
                <w:lang w:val="en-US" w:eastAsia="zh-CN"/>
              </w:rPr>
              <w:t>。</w:t>
            </w:r>
          </w:p>
          <w:p w14:paraId="4E321CF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（2）治理设施</w:t>
            </w:r>
          </w:p>
          <w:p w14:paraId="65B2FA8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本项目产生的有机废气及无机废气经实验室通风橱或万向罩收集后，将收集的废气引入</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套二级活性炭吸附装置处理后，经20米高排气筒排放。</w:t>
            </w:r>
          </w:p>
          <w:p w14:paraId="2973CA0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r>
              <w:rPr>
                <w:rFonts w:hint="eastAsia" w:ascii="Times New Roman" w:hAnsi="Times New Roman" w:cs="Times New Roman"/>
                <w:color w:val="auto"/>
                <w:sz w:val="21"/>
                <w:szCs w:val="21"/>
                <w:highlight w:val="none"/>
                <w:lang w:val="en-US" w:eastAsia="zh-CN"/>
              </w:rPr>
              <w:t>风量核算</w:t>
            </w:r>
          </w:p>
          <w:p w14:paraId="5256BA7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本项目理化一室、理化二室、测油室、离子色谱室、气质一室、气质二室、色谱室、半挥发前处理室拟设置</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个通风橱（尺寸均为1.</w:t>
            </w:r>
            <w:r>
              <w:rPr>
                <w:rFonts w:hint="eastAsia" w:ascii="Times New Roman" w:hAnsi="Times New Roman"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lang w:val="en-US" w:eastAsia="zh-CN"/>
              </w:rPr>
              <w:t>m×0.</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m）及</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个万向罩（尺寸直径为0.3</w:t>
            </w: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m）用于收集无机及有机废气。项目分别在各集气管道设置阀门，根据实际要求开启相关阀门，根据企业介绍，</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个通风橱中最多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个万向罩最多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p>
          <w:p w14:paraId="3A24664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集气罩抽风量按照Q=3600Fv</w:t>
            </w:r>
            <w:r>
              <w:rPr>
                <w:rFonts w:hint="eastAsia" w:ascii="Times New Roman" w:hAnsi="Times New Roman" w:eastAsia="宋体" w:cs="Times New Roman"/>
                <w:color w:val="auto"/>
                <w:sz w:val="21"/>
                <w:szCs w:val="21"/>
                <w:highlight w:val="none"/>
                <w:lang w:val="en-US" w:eastAsia="zh-CN"/>
              </w:rPr>
              <w:t>进行计算</w:t>
            </w:r>
          </w:p>
          <w:p w14:paraId="44D3FED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式中：</w:t>
            </w:r>
            <w:r>
              <w:rPr>
                <w:rFonts w:hint="default" w:ascii="Times New Roman" w:hAnsi="Times New Roman" w:eastAsia="宋体" w:cs="Times New Roman"/>
                <w:color w:val="auto"/>
                <w:sz w:val="21"/>
                <w:szCs w:val="21"/>
                <w:highlight w:val="none"/>
                <w:lang w:val="en-US" w:eastAsia="zh-CN"/>
              </w:rPr>
              <w:t>F—</w:t>
            </w:r>
            <w:r>
              <w:rPr>
                <w:rFonts w:hint="eastAsia" w:ascii="Times New Roman" w:hAnsi="Times New Roman" w:eastAsia="宋体" w:cs="Times New Roman"/>
                <w:color w:val="auto"/>
                <w:sz w:val="21"/>
                <w:szCs w:val="21"/>
                <w:highlight w:val="none"/>
                <w:lang w:val="en-US" w:eastAsia="zh-CN"/>
              </w:rPr>
              <w:t>操作口实际开启面积，</w:t>
            </w:r>
            <w:r>
              <w:rPr>
                <w:rFonts w:hint="eastAsia" w:ascii="Times New Roman" w:hAnsi="Times New Roman" w:cs="Times New Roman"/>
                <w:color w:val="auto"/>
                <w:sz w:val="21"/>
                <w:szCs w:val="21"/>
                <w:highlight w:val="none"/>
                <w:lang w:val="en-US" w:eastAsia="zh-CN"/>
              </w:rPr>
              <w:t>m</w:t>
            </w:r>
            <w:r>
              <w:rPr>
                <w:rFonts w:hint="eastAsia" w:ascii="Times New Roman" w:hAnsi="Times New Roman"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 xml:space="preserve">； </w:t>
            </w:r>
          </w:p>
          <w:p w14:paraId="48E8877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1050" w:firstLineChars="500"/>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v—</w:t>
            </w:r>
            <w:r>
              <w:rPr>
                <w:rFonts w:hint="eastAsia" w:ascii="Times New Roman" w:hAnsi="Times New Roman" w:eastAsia="宋体" w:cs="Times New Roman"/>
                <w:color w:val="auto"/>
                <w:sz w:val="21"/>
                <w:szCs w:val="21"/>
                <w:highlight w:val="none"/>
                <w:lang w:val="en-US" w:eastAsia="zh-CN"/>
              </w:rPr>
              <w:t>操作口处空气吸入速度，</w:t>
            </w:r>
            <w:r>
              <w:rPr>
                <w:rFonts w:hint="default" w:ascii="Times New Roman" w:hAnsi="Times New Roman" w:eastAsia="宋体" w:cs="Times New Roman"/>
                <w:color w:val="auto"/>
                <w:sz w:val="21"/>
                <w:szCs w:val="21"/>
                <w:highlight w:val="none"/>
                <w:lang w:val="en-US" w:eastAsia="zh-CN"/>
              </w:rPr>
              <w:t>m/s</w:t>
            </w:r>
            <w:r>
              <w:rPr>
                <w:rFonts w:hint="eastAsia" w:ascii="Times New Roman" w:hAnsi="Times New Roman" w:eastAsia="宋体" w:cs="Times New Roman"/>
                <w:color w:val="auto"/>
                <w:sz w:val="21"/>
                <w:szCs w:val="21"/>
                <w:highlight w:val="none"/>
                <w:lang w:val="en-US" w:eastAsia="zh-CN"/>
              </w:rPr>
              <w:t>，本项目选取吸入速率为</w:t>
            </w:r>
            <w:r>
              <w:rPr>
                <w:rFonts w:hint="default" w:ascii="Times New Roman" w:hAnsi="Times New Roman" w:eastAsia="宋体" w:cs="Times New Roman"/>
                <w:color w:val="auto"/>
                <w:sz w:val="21"/>
                <w:szCs w:val="21"/>
                <w:highlight w:val="none"/>
                <w:lang w:val="en-US" w:eastAsia="zh-CN"/>
              </w:rPr>
              <w:t>0.</w:t>
            </w:r>
            <w:r>
              <w:rPr>
                <w:rFonts w:hint="eastAsia" w:ascii="Times New Roman" w:hAnsi="Times New Roman"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m/s</w:t>
            </w:r>
            <w:r>
              <w:rPr>
                <w:rFonts w:hint="eastAsia" w:ascii="Times New Roman" w:hAnsi="Times New Roman" w:eastAsia="宋体" w:cs="Times New Roman"/>
                <w:color w:val="auto"/>
                <w:sz w:val="21"/>
                <w:szCs w:val="21"/>
                <w:highlight w:val="none"/>
                <w:lang w:val="en-US" w:eastAsia="zh-CN"/>
              </w:rPr>
              <w:t xml:space="preserve">。 </w:t>
            </w:r>
          </w:p>
          <w:p w14:paraId="76E5A31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由此计算出本项目单个通风橱的收集风量为</w:t>
            </w:r>
            <w:r>
              <w:rPr>
                <w:rFonts w:hint="eastAsia" w:ascii="Times New Roman" w:hAnsi="Times New Roman" w:cs="Times New Roman"/>
                <w:color w:val="auto"/>
                <w:sz w:val="21"/>
                <w:szCs w:val="21"/>
                <w:highlight w:val="none"/>
                <w:lang w:val="en-US" w:eastAsia="zh-CN"/>
              </w:rPr>
              <w:t>1209.6m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单个</w:t>
            </w:r>
            <w:r>
              <w:rPr>
                <w:rFonts w:hint="eastAsia" w:ascii="Times New Roman" w:hAnsi="Times New Roman" w:cs="Times New Roman"/>
                <w:color w:val="auto"/>
                <w:sz w:val="21"/>
                <w:szCs w:val="21"/>
                <w:highlight w:val="none"/>
                <w:lang w:val="en-US" w:eastAsia="zh-CN"/>
              </w:rPr>
              <w:t>万向罩</w:t>
            </w:r>
            <w:r>
              <w:rPr>
                <w:rFonts w:hint="eastAsia" w:ascii="Times New Roman" w:hAnsi="Times New Roman" w:eastAsia="宋体" w:cs="Times New Roman"/>
                <w:color w:val="auto"/>
                <w:sz w:val="21"/>
                <w:szCs w:val="21"/>
                <w:highlight w:val="none"/>
                <w:lang w:val="en-US" w:eastAsia="zh-CN"/>
              </w:rPr>
              <w:t>的收集风量为</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38.5m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eastAsia="宋体" w:cs="Times New Roman"/>
                <w:color w:val="auto"/>
                <w:sz w:val="21"/>
                <w:szCs w:val="21"/>
                <w:highlight w:val="none"/>
                <w:lang w:val="en-US" w:eastAsia="zh-CN"/>
              </w:rPr>
              <w:t xml:space="preserve">。 </w:t>
            </w:r>
          </w:p>
          <w:p w14:paraId="3A6F008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由于12</w:t>
            </w:r>
            <w:r>
              <w:rPr>
                <w:rFonts w:hint="eastAsia" w:ascii="Times New Roman" w:hAnsi="Times New Roman" w:eastAsia="宋体" w:cs="Times New Roman"/>
                <w:color w:val="auto"/>
                <w:sz w:val="21"/>
                <w:szCs w:val="21"/>
                <w:highlight w:val="none"/>
                <w:lang w:val="en-US" w:eastAsia="zh-CN"/>
              </w:rPr>
              <w:t>个通风橱中最多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r>
              <w:rPr>
                <w:rFonts w:hint="eastAsia" w:ascii="Times New Roman" w:hAnsi="Times New Roman" w:cs="Times New Roman"/>
                <w:color w:val="auto"/>
                <w:sz w:val="21"/>
                <w:szCs w:val="21"/>
                <w:highlight w:val="none"/>
                <w:lang w:val="en-US" w:eastAsia="zh-CN"/>
              </w:rPr>
              <w:t>12</w:t>
            </w:r>
            <w:r>
              <w:rPr>
                <w:rFonts w:hint="eastAsia" w:ascii="Times New Roman" w:hAnsi="Times New Roman" w:eastAsia="宋体" w:cs="Times New Roman"/>
                <w:color w:val="auto"/>
                <w:sz w:val="21"/>
                <w:szCs w:val="21"/>
                <w:highlight w:val="none"/>
                <w:lang w:val="en-US" w:eastAsia="zh-CN"/>
              </w:rPr>
              <w:t>个万向罩最多</w:t>
            </w: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个同时运行。</w:t>
            </w:r>
            <w:r>
              <w:rPr>
                <w:rFonts w:hint="eastAsia" w:ascii="Times New Roman" w:hAnsi="Times New Roman" w:cs="Times New Roman"/>
                <w:color w:val="auto"/>
                <w:sz w:val="21"/>
                <w:szCs w:val="21"/>
                <w:highlight w:val="none"/>
                <w:lang w:val="en-US" w:eastAsia="zh-CN"/>
              </w:rPr>
              <w:t>因此</w:t>
            </w:r>
            <w:r>
              <w:rPr>
                <w:rFonts w:hint="eastAsia" w:ascii="Times New Roman" w:hAnsi="Times New Roman" w:eastAsia="宋体" w:cs="Times New Roman"/>
                <w:color w:val="auto"/>
                <w:sz w:val="21"/>
                <w:szCs w:val="21"/>
                <w:highlight w:val="none"/>
                <w:lang w:val="en-US" w:eastAsia="zh-CN"/>
              </w:rPr>
              <w:t>项目废气理论收集风量为</w:t>
            </w:r>
            <w:r>
              <w:rPr>
                <w:rFonts w:hint="eastAsia" w:ascii="Times New Roman" w:hAnsi="Times New Roman" w:cs="Times New Roman"/>
                <w:color w:val="auto"/>
                <w:sz w:val="21"/>
                <w:szCs w:val="21"/>
                <w:highlight w:val="none"/>
                <w:lang w:val="en-US" w:eastAsia="zh-CN"/>
              </w:rPr>
              <w:t>1209.6</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73</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9436.7m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eastAsia="宋体" w:cs="Times New Roman"/>
                <w:color w:val="auto"/>
                <w:sz w:val="21"/>
                <w:szCs w:val="21"/>
                <w:highlight w:val="none"/>
                <w:lang w:val="en-US" w:eastAsia="zh-CN"/>
              </w:rPr>
              <w:t>，考虑其</w:t>
            </w:r>
            <w:r>
              <w:rPr>
                <w:rFonts w:hint="eastAsia" w:ascii="Times New Roman" w:hAnsi="Times New Roman" w:cs="Times New Roman"/>
                <w:color w:val="auto"/>
                <w:sz w:val="21"/>
                <w:szCs w:val="21"/>
                <w:highlight w:val="none"/>
                <w:lang w:val="en-US" w:eastAsia="zh-CN"/>
              </w:rPr>
              <w:t>风量</w:t>
            </w:r>
            <w:r>
              <w:rPr>
                <w:rFonts w:hint="eastAsia" w:ascii="Times New Roman" w:hAnsi="Times New Roman" w:eastAsia="宋体" w:cs="Times New Roman"/>
                <w:color w:val="auto"/>
                <w:sz w:val="21"/>
                <w:szCs w:val="21"/>
                <w:highlight w:val="none"/>
                <w:lang w:val="en-US" w:eastAsia="zh-CN"/>
              </w:rPr>
              <w:t>损失，本项目</w:t>
            </w:r>
            <w:r>
              <w:rPr>
                <w:rFonts w:hint="eastAsia" w:ascii="Times New Roman" w:hAnsi="Times New Roman" w:cs="Times New Roman"/>
                <w:color w:val="auto"/>
                <w:sz w:val="21"/>
                <w:szCs w:val="21"/>
                <w:highlight w:val="none"/>
                <w:lang w:val="en-US" w:eastAsia="zh-CN"/>
              </w:rPr>
              <w:t>二级活性炭吸附装置</w:t>
            </w:r>
            <w:r>
              <w:rPr>
                <w:rFonts w:hint="eastAsia" w:ascii="Times New Roman" w:hAnsi="Times New Roman" w:eastAsia="宋体" w:cs="Times New Roman"/>
                <w:color w:val="auto"/>
                <w:sz w:val="21"/>
                <w:szCs w:val="21"/>
                <w:highlight w:val="none"/>
                <w:lang w:val="en-US" w:eastAsia="zh-CN"/>
              </w:rPr>
              <w:t>废气实际收集风量设计为</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000</w:t>
            </w:r>
            <w:r>
              <w:rPr>
                <w:rFonts w:hint="eastAsia" w:ascii="Times New Roman" w:hAnsi="Times New Roman" w:cs="Times New Roman"/>
                <w:color w:val="auto"/>
                <w:sz w:val="21"/>
                <w:szCs w:val="21"/>
                <w:highlight w:val="none"/>
                <w:lang w:val="en-US" w:eastAsia="zh-CN"/>
              </w:rPr>
              <w:t>m</w:t>
            </w:r>
            <w:r>
              <w:rPr>
                <w:rFonts w:hint="eastAsia" w:ascii="Times New Roman" w:hAnsi="Times New Roman"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/h</w:t>
            </w:r>
            <w:r>
              <w:rPr>
                <w:rFonts w:hint="eastAsia" w:ascii="Times New Roman" w:hAnsi="Times New Roman" w:eastAsia="宋体" w:cs="Times New Roman"/>
                <w:color w:val="auto"/>
                <w:sz w:val="21"/>
                <w:szCs w:val="21"/>
                <w:highlight w:val="none"/>
                <w:lang w:val="en-US" w:eastAsia="zh-CN"/>
              </w:rPr>
              <w:t>。</w:t>
            </w:r>
          </w:p>
          <w:p w14:paraId="4D181140">
            <w:pPr>
              <w:pStyle w:val="22"/>
              <w:adjustRightInd w:val="0"/>
              <w:snapToGrid w:val="0"/>
              <w:spacing w:before="0" w:beforeAutospacing="0" w:after="0" w:afterAutospacing="0" w:line="440" w:lineRule="exact"/>
              <w:ind w:firstLine="420" w:firstLineChars="200"/>
              <w:rPr>
                <w:rFonts w:hint="default" w:ascii="Times New Roman" w:hAnsi="Times New Roman"/>
                <w:color w:val="auto"/>
                <w:sz w:val="21"/>
                <w:szCs w:val="21"/>
                <w:lang w:val="en-US" w:eastAsia="zh-CN"/>
              </w:rPr>
            </w:pPr>
            <w:r>
              <w:rPr>
                <w:rFonts w:hint="eastAsia" w:ascii="Times New Roman" w:hAnsi="Times New Roman"/>
                <w:color w:val="auto"/>
                <w:sz w:val="21"/>
                <w:szCs w:val="21"/>
                <w:lang w:val="en-US" w:eastAsia="zh-CN"/>
              </w:rPr>
              <w:t>（4）污染物达标排放情况</w:t>
            </w:r>
          </w:p>
          <w:p w14:paraId="5A418275">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项目污染物达标排放情况详见下表。</w:t>
            </w:r>
          </w:p>
          <w:p w14:paraId="5805F565">
            <w:pPr>
              <w:spacing w:line="480" w:lineRule="exact"/>
              <w:ind w:firstLine="422" w:firstLineChars="200"/>
              <w:jc w:val="center"/>
              <w:rPr>
                <w:rFonts w:hint="eastAsia" w:ascii="Times New Roman" w:hAnsi="Times New Roman" w:eastAsia="宋体" w:cs="Times New Roman"/>
                <w:b/>
                <w:snapToGrid w:val="0"/>
                <w:color w:val="auto"/>
                <w:kern w:val="0"/>
                <w:lang w:bidi="ar"/>
              </w:rPr>
            </w:pPr>
            <w:r>
              <w:rPr>
                <w:rFonts w:hint="eastAsia" w:ascii="Times New Roman" w:hAnsi="Times New Roman" w:eastAsia="宋体" w:cs="Times New Roman"/>
                <w:b/>
                <w:snapToGrid w:val="0"/>
                <w:color w:val="auto"/>
                <w:kern w:val="0"/>
                <w:lang w:val="en-US" w:eastAsia="zh-CN" w:bidi="ar"/>
              </w:rPr>
              <w:t>表</w:t>
            </w:r>
            <w:r>
              <w:rPr>
                <w:rFonts w:hint="eastAsia" w:cs="Times New Roman"/>
                <w:b/>
                <w:snapToGrid w:val="0"/>
                <w:color w:val="auto"/>
                <w:kern w:val="0"/>
                <w:lang w:val="en-US" w:eastAsia="zh-CN" w:bidi="ar"/>
              </w:rPr>
              <w:t>23</w:t>
            </w:r>
            <w:r>
              <w:rPr>
                <w:rFonts w:hint="eastAsia" w:ascii="Times New Roman" w:hAnsi="Times New Roman" w:eastAsia="宋体" w:cs="Times New Roman"/>
                <w:b/>
                <w:snapToGrid w:val="0"/>
                <w:color w:val="auto"/>
                <w:kern w:val="0"/>
                <w:lang w:bidi="ar"/>
              </w:rPr>
              <w:t xml:space="preserve"> </w:t>
            </w:r>
            <w:r>
              <w:rPr>
                <w:rFonts w:hint="eastAsia" w:ascii="Times New Roman" w:hAnsi="Times New Roman" w:eastAsia="宋体" w:cs="Times New Roman"/>
                <w:b/>
                <w:snapToGrid w:val="0"/>
                <w:color w:val="auto"/>
                <w:kern w:val="0"/>
                <w:lang w:val="en-US" w:eastAsia="zh-CN" w:bidi="ar"/>
              </w:rPr>
              <w:t>拟建项目</w:t>
            </w:r>
            <w:r>
              <w:rPr>
                <w:rFonts w:hint="eastAsia" w:ascii="Times New Roman" w:hAnsi="Times New Roman" w:eastAsia="宋体" w:cs="Times New Roman"/>
                <w:b/>
                <w:snapToGrid w:val="0"/>
                <w:color w:val="auto"/>
                <w:kern w:val="0"/>
                <w:lang w:bidi="ar"/>
              </w:rPr>
              <w:t>污染物排放情况一览表</w:t>
            </w:r>
          </w:p>
          <w:tbl>
            <w:tblPr>
              <w:tblStyle w:val="26"/>
              <w:tblW w:w="8122" w:type="dxa"/>
              <w:tblInd w:w="-85" w:type="dxa"/>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Layout w:type="fixed"/>
              <w:tblCellMar>
                <w:top w:w="0" w:type="dxa"/>
                <w:left w:w="108" w:type="dxa"/>
                <w:bottom w:w="0" w:type="dxa"/>
                <w:right w:w="108" w:type="dxa"/>
              </w:tblCellMar>
            </w:tblPr>
            <w:tblGrid>
              <w:gridCol w:w="1060"/>
              <w:gridCol w:w="744"/>
              <w:gridCol w:w="735"/>
              <w:gridCol w:w="713"/>
              <w:gridCol w:w="671"/>
              <w:gridCol w:w="734"/>
              <w:gridCol w:w="934"/>
              <w:gridCol w:w="860"/>
              <w:gridCol w:w="921"/>
              <w:gridCol w:w="750"/>
            </w:tblGrid>
            <w:tr w14:paraId="0F113130">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10" w:hRule="exact"/>
              </w:trPr>
              <w:tc>
                <w:tcPr>
                  <w:tcW w:w="1060" w:type="dxa"/>
                  <w:tcBorders>
                    <w:tl2br w:val="nil"/>
                    <w:tr2bl w:val="nil"/>
                  </w:tcBorders>
                  <w:shd w:val="clear" w:color="auto" w:fill="auto"/>
                  <w:noWrap w:val="0"/>
                  <w:vAlign w:val="center"/>
                </w:tcPr>
                <w:p w14:paraId="0909C654">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污染源</w:t>
                  </w:r>
                </w:p>
              </w:tc>
              <w:tc>
                <w:tcPr>
                  <w:tcW w:w="744" w:type="dxa"/>
                  <w:tcBorders>
                    <w:tl2br w:val="nil"/>
                    <w:tr2bl w:val="nil"/>
                  </w:tcBorders>
                  <w:shd w:val="clear" w:color="auto" w:fill="auto"/>
                  <w:noWrap w:val="0"/>
                  <w:vAlign w:val="center"/>
                </w:tcPr>
                <w:p w14:paraId="6BF4611E">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污染因子</w:t>
                  </w:r>
                </w:p>
              </w:tc>
              <w:tc>
                <w:tcPr>
                  <w:tcW w:w="735" w:type="dxa"/>
                  <w:tcBorders>
                    <w:tl2br w:val="nil"/>
                    <w:tr2bl w:val="nil"/>
                  </w:tcBorders>
                  <w:shd w:val="clear" w:color="auto" w:fill="auto"/>
                  <w:noWrap w:val="0"/>
                  <w:vAlign w:val="center"/>
                </w:tcPr>
                <w:p w14:paraId="3C1567DA">
                  <w:pPr>
                    <w:jc w:val="center"/>
                    <w:rPr>
                      <w:rFonts w:hint="eastAsia" w:ascii="Times New Roman" w:hAnsi="Times New Roman" w:eastAsia="宋体" w:cs="Times New Roman"/>
                      <w:color w:val="auto"/>
                      <w:spacing w:val="-11"/>
                      <w:sz w:val="18"/>
                      <w:szCs w:val="18"/>
                      <w:lang w:eastAsia="zh-CN"/>
                    </w:rPr>
                  </w:pPr>
                  <w:r>
                    <w:rPr>
                      <w:rFonts w:hint="eastAsia" w:ascii="Times New Roman" w:hAnsi="Times New Roman" w:eastAsia="宋体" w:cs="Times New Roman"/>
                      <w:color w:val="auto"/>
                      <w:spacing w:val="-11"/>
                      <w:sz w:val="18"/>
                      <w:szCs w:val="18"/>
                    </w:rPr>
                    <w:t>产生</w:t>
                  </w:r>
                  <w:r>
                    <w:rPr>
                      <w:rFonts w:hint="eastAsia" w:ascii="Times New Roman" w:hAnsi="Times New Roman" w:eastAsia="宋体" w:cs="Times New Roman"/>
                      <w:color w:val="auto"/>
                      <w:spacing w:val="-11"/>
                      <w:sz w:val="18"/>
                      <w:szCs w:val="18"/>
                      <w:lang w:val="en-US" w:eastAsia="zh-CN"/>
                    </w:rPr>
                    <w:t>量</w:t>
                  </w:r>
                </w:p>
                <w:p w14:paraId="2F06803A">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w:t>
                  </w:r>
                  <w:r>
                    <w:rPr>
                      <w:rFonts w:hint="eastAsia"/>
                      <w:color w:val="auto"/>
                      <w:spacing w:val="-11"/>
                      <w:sz w:val="18"/>
                      <w:szCs w:val="18"/>
                      <w:highlight w:val="none"/>
                      <w:lang w:val="en-US" w:eastAsia="zh-CN"/>
                    </w:rPr>
                    <w:t>kg</w:t>
                  </w:r>
                  <w:r>
                    <w:rPr>
                      <w:rFonts w:hint="eastAsia"/>
                      <w:color w:val="auto"/>
                      <w:spacing w:val="-11"/>
                      <w:sz w:val="18"/>
                      <w:szCs w:val="18"/>
                      <w:highlight w:val="none"/>
                    </w:rPr>
                    <w:t>/a</w:t>
                  </w:r>
                  <w:r>
                    <w:rPr>
                      <w:rFonts w:hint="eastAsia" w:ascii="Times New Roman" w:hAnsi="Times New Roman" w:eastAsia="宋体" w:cs="Times New Roman"/>
                      <w:color w:val="auto"/>
                      <w:spacing w:val="-11"/>
                      <w:sz w:val="18"/>
                      <w:szCs w:val="18"/>
                    </w:rPr>
                    <w:t>）</w:t>
                  </w:r>
                </w:p>
              </w:tc>
              <w:tc>
                <w:tcPr>
                  <w:tcW w:w="713" w:type="dxa"/>
                  <w:tcBorders>
                    <w:tl2br w:val="nil"/>
                    <w:tr2bl w:val="nil"/>
                  </w:tcBorders>
                  <w:shd w:val="clear" w:color="auto" w:fill="auto"/>
                  <w:noWrap w:val="0"/>
                  <w:vAlign w:val="center"/>
                </w:tcPr>
                <w:p w14:paraId="748492FD">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捕集率</w:t>
                  </w:r>
                </w:p>
                <w:p w14:paraId="09ECA016">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w:t>
                  </w:r>
                </w:p>
              </w:tc>
              <w:tc>
                <w:tcPr>
                  <w:tcW w:w="671" w:type="dxa"/>
                  <w:tcBorders>
                    <w:tl2br w:val="nil"/>
                    <w:tr2bl w:val="nil"/>
                  </w:tcBorders>
                  <w:shd w:val="clear" w:color="auto" w:fill="auto"/>
                  <w:noWrap w:val="0"/>
                  <w:vAlign w:val="center"/>
                </w:tcPr>
                <w:p w14:paraId="0ECA60CB">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处理措施</w:t>
                  </w:r>
                </w:p>
              </w:tc>
              <w:tc>
                <w:tcPr>
                  <w:tcW w:w="734" w:type="dxa"/>
                  <w:tcBorders>
                    <w:tl2br w:val="nil"/>
                    <w:tr2bl w:val="nil"/>
                  </w:tcBorders>
                  <w:shd w:val="clear" w:color="auto" w:fill="auto"/>
                  <w:noWrap w:val="0"/>
                  <w:vAlign w:val="center"/>
                </w:tcPr>
                <w:p w14:paraId="6731D2F4">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处理效率（%）</w:t>
                  </w:r>
                </w:p>
              </w:tc>
              <w:tc>
                <w:tcPr>
                  <w:tcW w:w="934" w:type="dxa"/>
                  <w:tcBorders>
                    <w:tl2br w:val="nil"/>
                    <w:tr2bl w:val="nil"/>
                  </w:tcBorders>
                  <w:shd w:val="clear" w:color="auto" w:fill="auto"/>
                  <w:noWrap w:val="0"/>
                  <w:vAlign w:val="center"/>
                </w:tcPr>
                <w:p w14:paraId="5E6528F0">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排放浓度</w:t>
                  </w:r>
                </w:p>
                <w:p w14:paraId="33557A25">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（mg/m</w:t>
                  </w:r>
                  <w:r>
                    <w:rPr>
                      <w:rFonts w:hint="eastAsia" w:ascii="Times New Roman" w:hAnsi="Times New Roman" w:eastAsia="宋体" w:cs="Times New Roman"/>
                      <w:color w:val="auto"/>
                      <w:spacing w:val="-11"/>
                      <w:sz w:val="18"/>
                      <w:szCs w:val="18"/>
                      <w:vertAlign w:val="superscript"/>
                    </w:rPr>
                    <w:t>3</w:t>
                  </w:r>
                  <w:r>
                    <w:rPr>
                      <w:rFonts w:hint="eastAsia" w:ascii="Times New Roman" w:hAnsi="Times New Roman" w:eastAsia="宋体" w:cs="Times New Roman"/>
                      <w:color w:val="auto"/>
                      <w:spacing w:val="-11"/>
                      <w:sz w:val="18"/>
                      <w:szCs w:val="18"/>
                    </w:rPr>
                    <w:t>）</w:t>
                  </w:r>
                </w:p>
              </w:tc>
              <w:tc>
                <w:tcPr>
                  <w:tcW w:w="860" w:type="dxa"/>
                  <w:tcBorders>
                    <w:tl2br w:val="nil"/>
                    <w:tr2bl w:val="nil"/>
                  </w:tcBorders>
                  <w:shd w:val="clear" w:color="auto" w:fill="auto"/>
                  <w:noWrap w:val="0"/>
                  <w:vAlign w:val="center"/>
                </w:tcPr>
                <w:p w14:paraId="08C76FE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排放速率</w:t>
                  </w:r>
                </w:p>
                <w:p w14:paraId="63139E4B">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（kg/h）</w:t>
                  </w:r>
                </w:p>
              </w:tc>
              <w:tc>
                <w:tcPr>
                  <w:tcW w:w="921" w:type="dxa"/>
                  <w:tcBorders>
                    <w:tl2br w:val="nil"/>
                    <w:tr2bl w:val="nil"/>
                  </w:tcBorders>
                  <w:shd w:val="clear" w:color="auto" w:fill="auto"/>
                  <w:noWrap w:val="0"/>
                  <w:vAlign w:val="center"/>
                </w:tcPr>
                <w:p w14:paraId="7230085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排放量</w:t>
                  </w:r>
                </w:p>
                <w:p w14:paraId="76996E6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w:t>
                  </w:r>
                  <w:r>
                    <w:rPr>
                      <w:rFonts w:hint="eastAsia" w:cs="Times New Roman"/>
                      <w:color w:val="auto"/>
                      <w:spacing w:val="-11"/>
                      <w:sz w:val="18"/>
                      <w:szCs w:val="18"/>
                      <w:lang w:val="en-US" w:eastAsia="zh-CN"/>
                    </w:rPr>
                    <w:t>kg</w:t>
                  </w:r>
                  <w:r>
                    <w:rPr>
                      <w:rFonts w:hint="eastAsia" w:ascii="Times New Roman" w:hAnsi="Times New Roman" w:eastAsia="宋体" w:cs="Times New Roman"/>
                      <w:color w:val="auto"/>
                      <w:spacing w:val="-11"/>
                      <w:sz w:val="18"/>
                      <w:szCs w:val="18"/>
                    </w:rPr>
                    <w:t>/a）</w:t>
                  </w:r>
                </w:p>
              </w:tc>
              <w:tc>
                <w:tcPr>
                  <w:tcW w:w="750" w:type="dxa"/>
                  <w:tcBorders>
                    <w:tl2br w:val="nil"/>
                    <w:tr2bl w:val="nil"/>
                  </w:tcBorders>
                  <w:shd w:val="clear" w:color="auto" w:fill="auto"/>
                  <w:noWrap w:val="0"/>
                  <w:vAlign w:val="center"/>
                </w:tcPr>
                <w:p w14:paraId="19570688">
                  <w:pPr>
                    <w:jc w:val="center"/>
                    <w:rPr>
                      <w:rFonts w:hint="eastAsia" w:ascii="Times New Roman" w:hAnsi="Times New Roman" w:eastAsia="宋体" w:cs="Times New Roman"/>
                      <w:color w:val="auto"/>
                      <w:spacing w:val="-11"/>
                      <w:sz w:val="18"/>
                      <w:szCs w:val="18"/>
                    </w:rPr>
                  </w:pPr>
                  <w:r>
                    <w:rPr>
                      <w:rFonts w:hint="eastAsia" w:ascii="Times New Roman" w:hAnsi="Times New Roman" w:eastAsia="宋体" w:cs="Times New Roman"/>
                      <w:color w:val="auto"/>
                      <w:spacing w:val="-11"/>
                      <w:sz w:val="18"/>
                      <w:szCs w:val="18"/>
                    </w:rPr>
                    <w:t>排气筒编号</w:t>
                  </w:r>
                </w:p>
              </w:tc>
            </w:tr>
            <w:tr w14:paraId="6C2109ED">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67" w:hRule="exact"/>
              </w:trPr>
              <w:tc>
                <w:tcPr>
                  <w:tcW w:w="1060" w:type="dxa"/>
                  <w:vMerge w:val="restart"/>
                  <w:tcBorders>
                    <w:tl2br w:val="nil"/>
                    <w:tr2bl w:val="nil"/>
                  </w:tcBorders>
                  <w:shd w:val="clear" w:color="auto" w:fill="auto"/>
                  <w:noWrap w:val="0"/>
                  <w:vAlign w:val="center"/>
                </w:tcPr>
                <w:p w14:paraId="1AC7A9A3">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20"/>
                      <w:kern w:val="2"/>
                      <w:sz w:val="18"/>
                      <w:szCs w:val="18"/>
                      <w:highlight w:val="none"/>
                      <w:lang w:val="en-US" w:eastAsia="zh-CN" w:bidi="ar-SA"/>
                    </w:rPr>
                    <w:t>理化一室、理化二室、测油室、离子色谱室、气质一室、气质二室、色谱室、半挥发前处理室</w:t>
                  </w:r>
                </w:p>
              </w:tc>
              <w:tc>
                <w:tcPr>
                  <w:tcW w:w="744" w:type="dxa"/>
                  <w:tcBorders>
                    <w:tl2br w:val="nil"/>
                    <w:tr2bl w:val="nil"/>
                  </w:tcBorders>
                  <w:shd w:val="clear" w:color="auto" w:fill="auto"/>
                  <w:noWrap w:val="0"/>
                  <w:vAlign w:val="center"/>
                </w:tcPr>
                <w:p w14:paraId="304AAC26">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HC</w:t>
                  </w:r>
                  <w:r>
                    <w:rPr>
                      <w:rFonts w:hint="eastAsia" w:ascii="Times New Roman" w:hAnsi="Times New Roman" w:cs="Times New Roman"/>
                      <w:color w:val="auto"/>
                      <w:spacing w:val="-10"/>
                      <w:sz w:val="18"/>
                      <w:szCs w:val="18"/>
                      <w:highlight w:val="none"/>
                      <w:lang w:val="en-US" w:eastAsia="zh-CN"/>
                    </w:rPr>
                    <w:t>l</w:t>
                  </w:r>
                </w:p>
              </w:tc>
              <w:tc>
                <w:tcPr>
                  <w:tcW w:w="735" w:type="dxa"/>
                  <w:tcBorders>
                    <w:tl2br w:val="nil"/>
                    <w:tr2bl w:val="nil"/>
                  </w:tcBorders>
                  <w:shd w:val="clear" w:color="auto" w:fill="auto"/>
                  <w:noWrap w:val="0"/>
                  <w:vAlign w:val="center"/>
                </w:tcPr>
                <w:p w14:paraId="29718562">
                  <w:pPr>
                    <w:jc w:val="center"/>
                    <w:rPr>
                      <w:rFonts w:hint="eastAsia" w:cs="Times New Roman"/>
                      <w:color w:val="auto"/>
                      <w:spacing w:val="-11"/>
                      <w:sz w:val="18"/>
                      <w:szCs w:val="18"/>
                      <w:lang w:val="en-US" w:eastAsia="zh-CN"/>
                    </w:rPr>
                  </w:pPr>
                  <w:r>
                    <w:rPr>
                      <w:rFonts w:hint="eastAsia" w:cs="Times New Roman"/>
                      <w:color w:val="auto"/>
                      <w:spacing w:val="-11"/>
                      <w:sz w:val="18"/>
                      <w:szCs w:val="18"/>
                      <w:lang w:val="en-US" w:eastAsia="zh-CN"/>
                    </w:rPr>
                    <w:t>1.71</w:t>
                  </w:r>
                </w:p>
              </w:tc>
              <w:tc>
                <w:tcPr>
                  <w:tcW w:w="713" w:type="dxa"/>
                  <w:tcBorders>
                    <w:tl2br w:val="nil"/>
                    <w:tr2bl w:val="nil"/>
                  </w:tcBorders>
                  <w:shd w:val="clear" w:color="auto" w:fill="auto"/>
                  <w:noWrap w:val="0"/>
                  <w:vAlign w:val="center"/>
                </w:tcPr>
                <w:p w14:paraId="0BDD0D21">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80</w:t>
                  </w:r>
                </w:p>
              </w:tc>
              <w:tc>
                <w:tcPr>
                  <w:tcW w:w="671" w:type="dxa"/>
                  <w:vMerge w:val="restart"/>
                  <w:tcBorders>
                    <w:tl2br w:val="nil"/>
                    <w:tr2bl w:val="nil"/>
                  </w:tcBorders>
                  <w:shd w:val="clear" w:color="auto" w:fill="auto"/>
                  <w:noWrap w:val="0"/>
                  <w:vAlign w:val="center"/>
                </w:tcPr>
                <w:p w14:paraId="2EF24613">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10"/>
                      <w:sz w:val="18"/>
                      <w:szCs w:val="18"/>
                      <w:highlight w:val="none"/>
                      <w:lang w:val="en-US" w:eastAsia="zh-CN"/>
                    </w:rPr>
                    <w:t>二级</w:t>
                  </w:r>
                  <w:r>
                    <w:rPr>
                      <w:rFonts w:hint="eastAsia" w:ascii="Times New Roman" w:hAnsi="Times New Roman" w:cs="Times New Roman"/>
                      <w:color w:val="auto"/>
                      <w:spacing w:val="-10"/>
                      <w:sz w:val="18"/>
                      <w:szCs w:val="18"/>
                      <w:highlight w:val="none"/>
                      <w:lang w:val="en-US" w:eastAsia="zh-CN"/>
                    </w:rPr>
                    <w:t>活性炭吸附装置</w:t>
                  </w:r>
                </w:p>
              </w:tc>
              <w:tc>
                <w:tcPr>
                  <w:tcW w:w="734" w:type="dxa"/>
                  <w:tcBorders>
                    <w:tl2br w:val="nil"/>
                    <w:tr2bl w:val="nil"/>
                  </w:tcBorders>
                  <w:shd w:val="clear" w:color="auto" w:fill="auto"/>
                  <w:noWrap w:val="0"/>
                  <w:vAlign w:val="center"/>
                </w:tcPr>
                <w:p w14:paraId="104D5DE2">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30</w:t>
                  </w:r>
                </w:p>
              </w:tc>
              <w:tc>
                <w:tcPr>
                  <w:tcW w:w="934" w:type="dxa"/>
                  <w:tcBorders>
                    <w:tl2br w:val="nil"/>
                    <w:tr2bl w:val="nil"/>
                  </w:tcBorders>
                  <w:shd w:val="clear" w:color="auto" w:fill="auto"/>
                  <w:noWrap w:val="0"/>
                  <w:vAlign w:val="center"/>
                </w:tcPr>
                <w:p w14:paraId="2E32C170">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0.32</w:t>
                  </w:r>
                </w:p>
              </w:tc>
              <w:tc>
                <w:tcPr>
                  <w:tcW w:w="860" w:type="dxa"/>
                  <w:tcBorders>
                    <w:tl2br w:val="nil"/>
                    <w:tr2bl w:val="nil"/>
                  </w:tcBorders>
                  <w:shd w:val="clear" w:color="auto" w:fill="auto"/>
                  <w:noWrap w:val="0"/>
                  <w:vAlign w:val="center"/>
                </w:tcPr>
                <w:p w14:paraId="31D165CF">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0.0032</w:t>
                  </w:r>
                </w:p>
              </w:tc>
              <w:tc>
                <w:tcPr>
                  <w:tcW w:w="921" w:type="dxa"/>
                  <w:tcBorders>
                    <w:tl2br w:val="nil"/>
                    <w:tr2bl w:val="nil"/>
                  </w:tcBorders>
                  <w:shd w:val="clear" w:color="auto" w:fill="auto"/>
                  <w:noWrap w:val="0"/>
                  <w:vAlign w:val="center"/>
                </w:tcPr>
                <w:p w14:paraId="28C047D0">
                  <w:pPr>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0.9576</w:t>
                  </w:r>
                </w:p>
              </w:tc>
              <w:tc>
                <w:tcPr>
                  <w:tcW w:w="750" w:type="dxa"/>
                  <w:vMerge w:val="restart"/>
                  <w:tcBorders>
                    <w:tl2br w:val="nil"/>
                    <w:tr2bl w:val="nil"/>
                  </w:tcBorders>
                  <w:shd w:val="clear" w:color="auto" w:fill="auto"/>
                  <w:noWrap w:val="0"/>
                  <w:vAlign w:val="center"/>
                </w:tcPr>
                <w:p w14:paraId="3721E96B">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DA001</w:t>
                  </w:r>
                </w:p>
              </w:tc>
            </w:tr>
            <w:tr w14:paraId="2B2EE13A">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67" w:hRule="exact"/>
              </w:trPr>
              <w:tc>
                <w:tcPr>
                  <w:tcW w:w="1060" w:type="dxa"/>
                  <w:vMerge w:val="continue"/>
                  <w:tcBorders>
                    <w:tl2br w:val="nil"/>
                    <w:tr2bl w:val="nil"/>
                  </w:tcBorders>
                  <w:shd w:val="clear" w:color="auto" w:fill="auto"/>
                  <w:noWrap w:val="0"/>
                  <w:vAlign w:val="center"/>
                </w:tcPr>
                <w:p w14:paraId="5CC4384B">
                  <w:pPr>
                    <w:jc w:val="center"/>
                    <w:rPr>
                      <w:rFonts w:hint="eastAsia" w:ascii="Times New Roman" w:hAnsi="Times New Roman" w:eastAsia="宋体" w:cs="Times New Roman"/>
                      <w:color w:val="auto"/>
                      <w:spacing w:val="-11"/>
                      <w:sz w:val="18"/>
                      <w:szCs w:val="18"/>
                    </w:rPr>
                  </w:pPr>
                </w:p>
              </w:tc>
              <w:tc>
                <w:tcPr>
                  <w:tcW w:w="744" w:type="dxa"/>
                  <w:tcBorders>
                    <w:tl2br w:val="nil"/>
                    <w:tr2bl w:val="nil"/>
                  </w:tcBorders>
                  <w:shd w:val="clear" w:color="auto" w:fill="auto"/>
                  <w:noWrap w:val="0"/>
                  <w:vAlign w:val="center"/>
                </w:tcPr>
                <w:p w14:paraId="43D30343">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硫酸雾</w:t>
                  </w:r>
                </w:p>
              </w:tc>
              <w:tc>
                <w:tcPr>
                  <w:tcW w:w="735" w:type="dxa"/>
                  <w:tcBorders>
                    <w:tl2br w:val="nil"/>
                    <w:tr2bl w:val="nil"/>
                  </w:tcBorders>
                  <w:shd w:val="clear" w:color="auto" w:fill="auto"/>
                  <w:noWrap w:val="0"/>
                  <w:vAlign w:val="center"/>
                </w:tcPr>
                <w:p w14:paraId="24719E29">
                  <w:pPr>
                    <w:jc w:val="center"/>
                    <w:rPr>
                      <w:rFonts w:hint="eastAsia" w:cs="Times New Roman"/>
                      <w:color w:val="auto"/>
                      <w:spacing w:val="-11"/>
                      <w:sz w:val="18"/>
                      <w:szCs w:val="18"/>
                      <w:lang w:val="en-US" w:eastAsia="zh-CN"/>
                    </w:rPr>
                  </w:pPr>
                  <w:r>
                    <w:rPr>
                      <w:rFonts w:hint="eastAsia" w:cs="Times New Roman"/>
                      <w:color w:val="auto"/>
                      <w:spacing w:val="-11"/>
                      <w:sz w:val="18"/>
                      <w:szCs w:val="18"/>
                      <w:lang w:val="en-US" w:eastAsia="zh-CN"/>
                    </w:rPr>
                    <w:t>0.00001</w:t>
                  </w:r>
                </w:p>
              </w:tc>
              <w:tc>
                <w:tcPr>
                  <w:tcW w:w="713" w:type="dxa"/>
                  <w:tcBorders>
                    <w:tl2br w:val="nil"/>
                    <w:tr2bl w:val="nil"/>
                  </w:tcBorders>
                  <w:shd w:val="clear" w:color="auto" w:fill="auto"/>
                  <w:noWrap w:val="0"/>
                  <w:vAlign w:val="center"/>
                </w:tcPr>
                <w:p w14:paraId="24E0B064">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80</w:t>
                  </w:r>
                </w:p>
              </w:tc>
              <w:tc>
                <w:tcPr>
                  <w:tcW w:w="671" w:type="dxa"/>
                  <w:vMerge w:val="continue"/>
                  <w:tcBorders>
                    <w:tl2br w:val="nil"/>
                    <w:tr2bl w:val="nil"/>
                  </w:tcBorders>
                  <w:shd w:val="clear" w:color="auto" w:fill="auto"/>
                  <w:noWrap w:val="0"/>
                  <w:vAlign w:val="center"/>
                </w:tcPr>
                <w:p w14:paraId="71B5490D">
                  <w:pPr>
                    <w:jc w:val="center"/>
                    <w:rPr>
                      <w:rFonts w:hint="eastAsia" w:ascii="Times New Roman" w:hAnsi="Times New Roman" w:eastAsia="宋体" w:cs="Times New Roman"/>
                      <w:color w:val="auto"/>
                      <w:spacing w:val="-11"/>
                      <w:sz w:val="18"/>
                      <w:szCs w:val="18"/>
                    </w:rPr>
                  </w:pPr>
                </w:p>
              </w:tc>
              <w:tc>
                <w:tcPr>
                  <w:tcW w:w="734" w:type="dxa"/>
                  <w:tcBorders>
                    <w:tl2br w:val="nil"/>
                    <w:tr2bl w:val="nil"/>
                  </w:tcBorders>
                  <w:shd w:val="clear" w:color="auto" w:fill="auto"/>
                  <w:noWrap w:val="0"/>
                  <w:vAlign w:val="center"/>
                </w:tcPr>
                <w:p w14:paraId="722CE072">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30</w:t>
                  </w:r>
                </w:p>
              </w:tc>
              <w:tc>
                <w:tcPr>
                  <w:tcW w:w="934" w:type="dxa"/>
                  <w:tcBorders>
                    <w:tl2br w:val="nil"/>
                    <w:tr2bl w:val="nil"/>
                  </w:tcBorders>
                  <w:shd w:val="clear" w:color="auto" w:fill="auto"/>
                  <w:noWrap w:val="0"/>
                  <w:vAlign w:val="center"/>
                </w:tcPr>
                <w:p w14:paraId="12336B23">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1.87</w:t>
                  </w:r>
                  <w:r>
                    <w:rPr>
                      <w:rFonts w:hint="default" w:ascii="Times New Roman" w:hAnsi="Times New Roman" w:cs="Times New Roman"/>
                      <w:color w:val="auto"/>
                      <w:spacing w:val="-10"/>
                      <w:sz w:val="18"/>
                      <w:szCs w:val="18"/>
                      <w:highlight w:val="none"/>
                    </w:rPr>
                    <w:t>×</w:t>
                  </w:r>
                  <w:r>
                    <w:rPr>
                      <w:rFonts w:hint="eastAsia" w:ascii="Times New Roman" w:hAnsi="Times New Roman" w:cs="Times New Roman"/>
                      <w:color w:val="auto"/>
                      <w:spacing w:val="-10"/>
                      <w:sz w:val="18"/>
                      <w:szCs w:val="18"/>
                      <w:highlight w:val="none"/>
                      <w:lang w:val="en-US" w:eastAsia="zh-CN"/>
                    </w:rPr>
                    <w:t>10</w:t>
                  </w:r>
                  <w:r>
                    <w:rPr>
                      <w:rFonts w:hint="eastAsia" w:ascii="Times New Roman" w:hAnsi="Times New Roman" w:cs="Times New Roman"/>
                      <w:color w:val="auto"/>
                      <w:spacing w:val="-10"/>
                      <w:sz w:val="18"/>
                      <w:szCs w:val="18"/>
                      <w:highlight w:val="none"/>
                      <w:vertAlign w:val="superscript"/>
                      <w:lang w:val="en-US" w:eastAsia="zh-CN"/>
                    </w:rPr>
                    <w:t>-6</w:t>
                  </w:r>
                </w:p>
              </w:tc>
              <w:tc>
                <w:tcPr>
                  <w:tcW w:w="860" w:type="dxa"/>
                  <w:tcBorders>
                    <w:tl2br w:val="nil"/>
                    <w:tr2bl w:val="nil"/>
                  </w:tcBorders>
                  <w:shd w:val="clear" w:color="auto" w:fill="auto"/>
                  <w:noWrap w:val="0"/>
                  <w:vAlign w:val="center"/>
                </w:tcPr>
                <w:p w14:paraId="768F16A8">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1.87</w:t>
                  </w:r>
                  <w:r>
                    <w:rPr>
                      <w:rFonts w:hint="default" w:ascii="Times New Roman" w:hAnsi="Times New Roman" w:cs="Times New Roman"/>
                      <w:color w:val="auto"/>
                      <w:spacing w:val="-10"/>
                      <w:sz w:val="18"/>
                      <w:szCs w:val="18"/>
                      <w:highlight w:val="none"/>
                    </w:rPr>
                    <w:t>×</w:t>
                  </w:r>
                  <w:r>
                    <w:rPr>
                      <w:rFonts w:hint="eastAsia" w:ascii="Times New Roman" w:hAnsi="Times New Roman" w:cs="Times New Roman"/>
                      <w:color w:val="auto"/>
                      <w:spacing w:val="-10"/>
                      <w:sz w:val="18"/>
                      <w:szCs w:val="18"/>
                      <w:highlight w:val="none"/>
                      <w:lang w:val="en-US" w:eastAsia="zh-CN"/>
                    </w:rPr>
                    <w:t>10</w:t>
                  </w:r>
                  <w:r>
                    <w:rPr>
                      <w:rFonts w:hint="eastAsia" w:ascii="Times New Roman" w:hAnsi="Times New Roman" w:cs="Times New Roman"/>
                      <w:color w:val="auto"/>
                      <w:spacing w:val="-10"/>
                      <w:sz w:val="18"/>
                      <w:szCs w:val="18"/>
                      <w:highlight w:val="none"/>
                      <w:vertAlign w:val="superscript"/>
                      <w:lang w:val="en-US" w:eastAsia="zh-CN"/>
                    </w:rPr>
                    <w:t>-8</w:t>
                  </w:r>
                </w:p>
              </w:tc>
              <w:tc>
                <w:tcPr>
                  <w:tcW w:w="921" w:type="dxa"/>
                  <w:tcBorders>
                    <w:tl2br w:val="nil"/>
                    <w:tr2bl w:val="nil"/>
                  </w:tcBorders>
                  <w:shd w:val="clear" w:color="auto" w:fill="auto"/>
                  <w:noWrap w:val="0"/>
                  <w:vAlign w:val="center"/>
                </w:tcPr>
                <w:p w14:paraId="0127A1D5">
                  <w:pPr>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0.0000056</w:t>
                  </w:r>
                </w:p>
              </w:tc>
              <w:tc>
                <w:tcPr>
                  <w:tcW w:w="750" w:type="dxa"/>
                  <w:vMerge w:val="continue"/>
                  <w:tcBorders>
                    <w:tl2br w:val="nil"/>
                    <w:tr2bl w:val="nil"/>
                  </w:tcBorders>
                  <w:shd w:val="clear" w:color="auto" w:fill="auto"/>
                  <w:noWrap w:val="0"/>
                  <w:vAlign w:val="center"/>
                </w:tcPr>
                <w:p w14:paraId="1AD6E13C">
                  <w:pPr>
                    <w:jc w:val="center"/>
                    <w:rPr>
                      <w:rFonts w:hint="eastAsia" w:ascii="Times New Roman" w:hAnsi="Times New Roman" w:eastAsia="宋体" w:cs="Times New Roman"/>
                      <w:color w:val="auto"/>
                      <w:spacing w:val="-11"/>
                      <w:sz w:val="18"/>
                      <w:szCs w:val="18"/>
                    </w:rPr>
                  </w:pPr>
                </w:p>
              </w:tc>
            </w:tr>
            <w:tr w14:paraId="165F9120">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67" w:hRule="exact"/>
              </w:trPr>
              <w:tc>
                <w:tcPr>
                  <w:tcW w:w="1060" w:type="dxa"/>
                  <w:vMerge w:val="continue"/>
                  <w:tcBorders>
                    <w:tl2br w:val="nil"/>
                    <w:tr2bl w:val="nil"/>
                  </w:tcBorders>
                  <w:shd w:val="clear" w:color="auto" w:fill="auto"/>
                  <w:noWrap w:val="0"/>
                  <w:vAlign w:val="center"/>
                </w:tcPr>
                <w:p w14:paraId="26929458">
                  <w:pPr>
                    <w:jc w:val="center"/>
                    <w:rPr>
                      <w:rFonts w:hint="eastAsia" w:ascii="Times New Roman" w:hAnsi="Times New Roman" w:eastAsia="宋体" w:cs="Times New Roman"/>
                      <w:color w:val="auto"/>
                      <w:spacing w:val="-11"/>
                      <w:sz w:val="18"/>
                      <w:szCs w:val="18"/>
                    </w:rPr>
                  </w:pPr>
                </w:p>
              </w:tc>
              <w:tc>
                <w:tcPr>
                  <w:tcW w:w="744" w:type="dxa"/>
                  <w:tcBorders>
                    <w:tl2br w:val="nil"/>
                    <w:tr2bl w:val="nil"/>
                  </w:tcBorders>
                  <w:shd w:val="clear" w:color="auto" w:fill="auto"/>
                  <w:noWrap w:val="0"/>
                  <w:vAlign w:val="center"/>
                </w:tcPr>
                <w:p w14:paraId="58A76ACB">
                  <w:pPr>
                    <w:jc w:val="center"/>
                    <w:rPr>
                      <w:rFonts w:hint="eastAsia"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非甲烷总烃</w:t>
                  </w:r>
                </w:p>
              </w:tc>
              <w:tc>
                <w:tcPr>
                  <w:tcW w:w="735" w:type="dxa"/>
                  <w:tcBorders>
                    <w:tl2br w:val="nil"/>
                    <w:tr2bl w:val="nil"/>
                  </w:tcBorders>
                  <w:shd w:val="clear" w:color="auto" w:fill="auto"/>
                  <w:noWrap w:val="0"/>
                  <w:vAlign w:val="center"/>
                </w:tcPr>
                <w:p w14:paraId="65D08268">
                  <w:pPr>
                    <w:jc w:val="center"/>
                    <w:rPr>
                      <w:rFonts w:hint="eastAsia" w:cs="Times New Roman"/>
                      <w:color w:val="auto"/>
                      <w:spacing w:val="-11"/>
                      <w:sz w:val="18"/>
                      <w:szCs w:val="18"/>
                      <w:lang w:val="en-US" w:eastAsia="zh-CN"/>
                    </w:rPr>
                  </w:pPr>
                  <w:r>
                    <w:rPr>
                      <w:rFonts w:hint="eastAsia" w:cs="Times New Roman"/>
                      <w:color w:val="auto"/>
                      <w:spacing w:val="-11"/>
                      <w:sz w:val="18"/>
                      <w:szCs w:val="18"/>
                      <w:lang w:val="en-US" w:eastAsia="zh-CN"/>
                    </w:rPr>
                    <w:t>14.514</w:t>
                  </w:r>
                </w:p>
              </w:tc>
              <w:tc>
                <w:tcPr>
                  <w:tcW w:w="713" w:type="dxa"/>
                  <w:tcBorders>
                    <w:tl2br w:val="nil"/>
                    <w:tr2bl w:val="nil"/>
                  </w:tcBorders>
                  <w:shd w:val="clear" w:color="auto" w:fill="auto"/>
                  <w:noWrap w:val="0"/>
                  <w:vAlign w:val="center"/>
                </w:tcPr>
                <w:p w14:paraId="740555E3">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80</w:t>
                  </w:r>
                </w:p>
              </w:tc>
              <w:tc>
                <w:tcPr>
                  <w:tcW w:w="671" w:type="dxa"/>
                  <w:vMerge w:val="continue"/>
                  <w:tcBorders>
                    <w:tl2br w:val="nil"/>
                    <w:tr2bl w:val="nil"/>
                  </w:tcBorders>
                  <w:shd w:val="clear" w:color="auto" w:fill="auto"/>
                  <w:noWrap w:val="0"/>
                  <w:vAlign w:val="center"/>
                </w:tcPr>
                <w:p w14:paraId="53DA8EAF">
                  <w:pPr>
                    <w:jc w:val="center"/>
                    <w:rPr>
                      <w:rFonts w:hint="eastAsia" w:ascii="Times New Roman" w:hAnsi="Times New Roman" w:eastAsia="宋体" w:cs="Times New Roman"/>
                      <w:color w:val="auto"/>
                      <w:spacing w:val="-11"/>
                      <w:sz w:val="18"/>
                      <w:szCs w:val="18"/>
                    </w:rPr>
                  </w:pPr>
                </w:p>
              </w:tc>
              <w:tc>
                <w:tcPr>
                  <w:tcW w:w="734" w:type="dxa"/>
                  <w:tcBorders>
                    <w:tl2br w:val="nil"/>
                    <w:tr2bl w:val="nil"/>
                  </w:tcBorders>
                  <w:shd w:val="clear" w:color="auto" w:fill="auto"/>
                  <w:noWrap w:val="0"/>
                  <w:vAlign w:val="center"/>
                </w:tcPr>
                <w:p w14:paraId="2E70B4CE">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60</w:t>
                  </w:r>
                </w:p>
              </w:tc>
              <w:tc>
                <w:tcPr>
                  <w:tcW w:w="934" w:type="dxa"/>
                  <w:tcBorders>
                    <w:tl2br w:val="nil"/>
                    <w:tr2bl w:val="nil"/>
                  </w:tcBorders>
                  <w:shd w:val="clear" w:color="auto" w:fill="auto"/>
                  <w:noWrap w:val="0"/>
                  <w:vAlign w:val="center"/>
                </w:tcPr>
                <w:p w14:paraId="273CEF01">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1.5</w:t>
                  </w:r>
                </w:p>
              </w:tc>
              <w:tc>
                <w:tcPr>
                  <w:tcW w:w="860" w:type="dxa"/>
                  <w:tcBorders>
                    <w:tl2br w:val="nil"/>
                    <w:tr2bl w:val="nil"/>
                  </w:tcBorders>
                  <w:shd w:val="clear" w:color="auto" w:fill="auto"/>
                  <w:noWrap w:val="0"/>
                  <w:vAlign w:val="center"/>
                </w:tcPr>
                <w:p w14:paraId="3A2284E0">
                  <w:pPr>
                    <w:jc w:val="center"/>
                    <w:rPr>
                      <w:rFonts w:hint="default" w:ascii="Times New Roman" w:hAnsi="Times New Roman" w:eastAsia="宋体" w:cs="Times New Roman"/>
                      <w:color w:val="auto"/>
                      <w:spacing w:val="-11"/>
                      <w:sz w:val="18"/>
                      <w:szCs w:val="18"/>
                      <w:lang w:val="en-US" w:eastAsia="zh-CN"/>
                    </w:rPr>
                  </w:pPr>
                  <w:r>
                    <w:rPr>
                      <w:rFonts w:hint="eastAsia" w:cs="Times New Roman"/>
                      <w:color w:val="auto"/>
                      <w:spacing w:val="-11"/>
                      <w:sz w:val="18"/>
                      <w:szCs w:val="18"/>
                      <w:lang w:val="en-US" w:eastAsia="zh-CN"/>
                    </w:rPr>
                    <w:t>0.0155</w:t>
                  </w:r>
                </w:p>
              </w:tc>
              <w:tc>
                <w:tcPr>
                  <w:tcW w:w="921" w:type="dxa"/>
                  <w:tcBorders>
                    <w:tl2br w:val="nil"/>
                    <w:tr2bl w:val="nil"/>
                  </w:tcBorders>
                  <w:shd w:val="clear" w:color="auto" w:fill="auto"/>
                  <w:noWrap w:val="0"/>
                  <w:vAlign w:val="center"/>
                </w:tcPr>
                <w:p w14:paraId="3EFE01B5">
                  <w:pPr>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4.6445</w:t>
                  </w:r>
                </w:p>
              </w:tc>
              <w:tc>
                <w:tcPr>
                  <w:tcW w:w="750" w:type="dxa"/>
                  <w:vMerge w:val="continue"/>
                  <w:tcBorders>
                    <w:tl2br w:val="nil"/>
                    <w:tr2bl w:val="nil"/>
                  </w:tcBorders>
                  <w:shd w:val="clear" w:color="auto" w:fill="auto"/>
                  <w:noWrap w:val="0"/>
                  <w:vAlign w:val="center"/>
                </w:tcPr>
                <w:p w14:paraId="295B3B81">
                  <w:pPr>
                    <w:jc w:val="center"/>
                    <w:rPr>
                      <w:rFonts w:hint="eastAsia" w:ascii="Times New Roman" w:hAnsi="Times New Roman" w:eastAsia="宋体" w:cs="Times New Roman"/>
                      <w:color w:val="auto"/>
                      <w:spacing w:val="-11"/>
                      <w:sz w:val="18"/>
                      <w:szCs w:val="18"/>
                    </w:rPr>
                  </w:pPr>
                </w:p>
              </w:tc>
            </w:tr>
          </w:tbl>
          <w:p w14:paraId="424EA16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rPr>
            </w:pPr>
            <w:r>
              <w:rPr>
                <w:rFonts w:hint="eastAsia" w:ascii="Times New Roman" w:hAnsi="Times New Roman"/>
                <w:b/>
                <w:color w:val="auto"/>
                <w:sz w:val="21"/>
                <w:szCs w:val="21"/>
              </w:rPr>
              <w:t>1.1.</w:t>
            </w:r>
            <w:r>
              <w:rPr>
                <w:rFonts w:hint="eastAsia" w:ascii="Times New Roman" w:hAnsi="Times New Roman"/>
                <w:b/>
                <w:color w:val="auto"/>
                <w:sz w:val="21"/>
                <w:szCs w:val="21"/>
                <w:lang w:val="en-US" w:eastAsia="zh-CN"/>
              </w:rPr>
              <w:t>3无</w:t>
            </w:r>
            <w:r>
              <w:rPr>
                <w:rFonts w:hint="eastAsia" w:ascii="Times New Roman" w:hAnsi="Times New Roman"/>
                <w:b/>
                <w:color w:val="auto"/>
                <w:sz w:val="21"/>
                <w:szCs w:val="21"/>
              </w:rPr>
              <w:t>组织废气</w:t>
            </w:r>
            <w:r>
              <w:rPr>
                <w:rFonts w:hint="eastAsia" w:ascii="Times New Roman" w:hAnsi="Times New Roman"/>
                <w:b/>
                <w:color w:val="auto"/>
                <w:sz w:val="21"/>
                <w:szCs w:val="21"/>
                <w:highlight w:val="none"/>
              </w:rPr>
              <w:t>产生及排放情况</w:t>
            </w:r>
          </w:p>
          <w:p w14:paraId="38C06E3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拟建项目无组织废气污染源主要为</w:t>
            </w:r>
            <w:r>
              <w:rPr>
                <w:rFonts w:hint="eastAsia" w:ascii="Times New Roman" w:hAnsi="Times New Roman" w:cs="Times New Roman"/>
                <w:color w:val="auto"/>
                <w:sz w:val="21"/>
                <w:szCs w:val="21"/>
                <w:highlight w:val="none"/>
                <w:lang w:val="en-US" w:eastAsia="zh-CN"/>
              </w:rPr>
              <w:t>废气处理</w:t>
            </w:r>
            <w:r>
              <w:rPr>
                <w:rFonts w:hint="eastAsia" w:ascii="Times New Roman" w:hAnsi="Times New Roman" w:eastAsia="宋体" w:cs="Times New Roman"/>
                <w:color w:val="auto"/>
                <w:sz w:val="21"/>
                <w:szCs w:val="21"/>
                <w:highlight w:val="none"/>
                <w:lang w:val="en-US" w:eastAsia="zh-CN"/>
              </w:rPr>
              <w:t>系统受收集装置效率的影响逸散的</w:t>
            </w:r>
            <w:r>
              <w:rPr>
                <w:rFonts w:hint="eastAsia" w:ascii="Times New Roman" w:hAnsi="Times New Roman" w:cs="Times New Roman"/>
                <w:color w:val="auto"/>
                <w:sz w:val="21"/>
                <w:szCs w:val="21"/>
                <w:highlight w:val="none"/>
                <w:lang w:val="en-US" w:eastAsia="zh-CN"/>
              </w:rPr>
              <w:t>氯化氢、硫酸雾及非甲烷总烃及土壤破碎研磨产生的颗粒物</w:t>
            </w:r>
            <w:r>
              <w:rPr>
                <w:rFonts w:hint="eastAsia" w:ascii="Times New Roman" w:hAnsi="Times New Roman" w:eastAsia="宋体" w:cs="Times New Roman"/>
                <w:color w:val="auto"/>
                <w:sz w:val="21"/>
                <w:szCs w:val="21"/>
                <w:highlight w:val="none"/>
                <w:lang w:val="en-US" w:eastAsia="zh-CN"/>
              </w:rPr>
              <w:t>。</w:t>
            </w:r>
          </w:p>
          <w:p w14:paraId="032D987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①</w:t>
            </w:r>
            <w:r>
              <w:rPr>
                <w:rFonts w:hint="eastAsia" w:ascii="Times New Roman" w:hAnsi="Times New Roman" w:cs="Times New Roman"/>
                <w:color w:val="auto"/>
                <w:sz w:val="21"/>
                <w:szCs w:val="21"/>
                <w:highlight w:val="none"/>
                <w:lang w:val="en-US" w:eastAsia="zh-CN"/>
              </w:rPr>
              <w:t>颗粒物：</w:t>
            </w:r>
            <w:r>
              <w:rPr>
                <w:rFonts w:hint="eastAsia" w:ascii="Times New Roman" w:hAnsi="Times New Roman" w:eastAsia="宋体" w:cs="Times New Roman"/>
                <w:color w:val="auto"/>
                <w:sz w:val="21"/>
                <w:szCs w:val="21"/>
                <w:highlight w:val="none"/>
                <w:lang w:val="en-US" w:eastAsia="zh-CN"/>
              </w:rPr>
              <w:t>项目设置破碎间，主要用于土壤等固体样品破碎</w:t>
            </w:r>
            <w:r>
              <w:rPr>
                <w:rFonts w:hint="eastAsia" w:ascii="Times New Roman" w:hAnsi="Times New Roman" w:cs="Times New Roman"/>
                <w:color w:val="auto"/>
                <w:sz w:val="21"/>
                <w:szCs w:val="21"/>
                <w:highlight w:val="none"/>
                <w:lang w:val="en-US" w:eastAsia="zh-CN"/>
              </w:rPr>
              <w:t>研磨</w:t>
            </w:r>
            <w:r>
              <w:rPr>
                <w:rFonts w:hint="eastAsia" w:ascii="Times New Roman" w:hAnsi="Times New Roman" w:eastAsia="宋体" w:cs="Times New Roman"/>
                <w:color w:val="auto"/>
                <w:sz w:val="21"/>
                <w:szCs w:val="21"/>
                <w:highlight w:val="none"/>
                <w:lang w:val="en-US" w:eastAsia="zh-CN"/>
              </w:rPr>
              <w:t>，年破碎、研磨时间为</w:t>
            </w:r>
            <w:r>
              <w:rPr>
                <w:rFonts w:hint="eastAsia" w:ascii="Times New Roman" w:hAnsi="Times New Roman"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00h，根据企业提供资料，破碎、研磨量为</w:t>
            </w:r>
            <w:r>
              <w:rPr>
                <w:rFonts w:hint="eastAsia" w:ascii="Times New Roman" w:hAnsi="Times New Roman" w:cs="Times New Roman"/>
                <w:color w:val="auto"/>
                <w:sz w:val="21"/>
                <w:szCs w:val="21"/>
                <w:highlight w:val="none"/>
                <w:lang w:val="en-US" w:eastAsia="zh-CN"/>
              </w:rPr>
              <w:t>0.03</w:t>
            </w:r>
            <w:r>
              <w:rPr>
                <w:rFonts w:hint="eastAsia" w:ascii="Times New Roman" w:hAnsi="Times New Roman" w:eastAsia="宋体" w:cs="Times New Roman"/>
                <w:color w:val="auto"/>
                <w:sz w:val="21"/>
                <w:szCs w:val="21"/>
                <w:highlight w:val="none"/>
                <w:lang w:val="en-US" w:eastAsia="zh-CN"/>
              </w:rPr>
              <w:t>t/a。粉尘量按破碎、研磨量的2%计，则颗粒物产生量为</w:t>
            </w:r>
            <w:r>
              <w:rPr>
                <w:rFonts w:hint="eastAsia" w:ascii="Times New Roman" w:hAnsi="Times New Roman" w:cs="Times New Roman"/>
                <w:color w:val="auto"/>
                <w:sz w:val="21"/>
                <w:szCs w:val="21"/>
                <w:highlight w:val="none"/>
                <w:lang w:val="en-US" w:eastAsia="zh-CN"/>
              </w:rPr>
              <w:t>0.6kg</w:t>
            </w:r>
            <w:r>
              <w:rPr>
                <w:rFonts w:hint="eastAsia" w:ascii="Times New Roman" w:hAnsi="Times New Roman" w:eastAsia="宋体"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项目</w:t>
            </w:r>
            <w:r>
              <w:rPr>
                <w:rFonts w:hint="eastAsia" w:ascii="Times New Roman" w:hAnsi="Times New Roman" w:cs="Times New Roman"/>
                <w:color w:val="auto"/>
                <w:sz w:val="21"/>
                <w:szCs w:val="21"/>
                <w:highlight w:val="none"/>
                <w:lang w:val="en-US" w:eastAsia="zh-CN"/>
              </w:rPr>
              <w:t>土壤用量较小，颗粒物产生量较小，且</w:t>
            </w:r>
            <w:r>
              <w:rPr>
                <w:rFonts w:hint="eastAsia" w:ascii="Times New Roman" w:hAnsi="Times New Roman" w:eastAsia="宋体" w:cs="Times New Roman"/>
                <w:color w:val="auto"/>
                <w:sz w:val="21"/>
                <w:szCs w:val="21"/>
                <w:highlight w:val="none"/>
                <w:lang w:val="en-US" w:eastAsia="zh-CN"/>
              </w:rPr>
              <w:t>破碎间</w:t>
            </w:r>
            <w:r>
              <w:rPr>
                <w:rFonts w:hint="default" w:ascii="Times New Roman" w:hAnsi="Times New Roman" w:eastAsia="宋体" w:cs="Times New Roman"/>
                <w:color w:val="auto"/>
                <w:sz w:val="21"/>
                <w:szCs w:val="21"/>
                <w:highlight w:val="none"/>
                <w:lang w:val="en-US" w:eastAsia="zh-CN"/>
              </w:rPr>
              <w:t>为封闭</w:t>
            </w:r>
            <w:r>
              <w:rPr>
                <w:rFonts w:hint="eastAsia" w:ascii="Times New Roman" w:hAnsi="Times New Roman" w:cs="Times New Roman"/>
                <w:color w:val="auto"/>
                <w:sz w:val="21"/>
                <w:szCs w:val="21"/>
                <w:highlight w:val="none"/>
                <w:lang w:val="en-US" w:eastAsia="zh-CN"/>
              </w:rPr>
              <w:t>式房间</w:t>
            </w:r>
            <w:r>
              <w:rPr>
                <w:rFonts w:hint="default" w:ascii="Times New Roman" w:hAnsi="Times New Roman" w:eastAsia="宋体" w:cs="Times New Roman"/>
                <w:color w:val="auto"/>
                <w:sz w:val="21"/>
                <w:szCs w:val="21"/>
                <w:highlight w:val="none"/>
                <w:lang w:val="en-US" w:eastAsia="zh-CN"/>
              </w:rPr>
              <w:t>，综合抑尘效率为9</w:t>
            </w:r>
            <w:r>
              <w:rPr>
                <w:rFonts w:hint="eastAsia" w:ascii="Times New Roman" w:hAnsi="Times New Roman"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%的粉尘通过</w:t>
            </w:r>
            <w:r>
              <w:rPr>
                <w:rFonts w:hint="eastAsia" w:ascii="Times New Roman" w:hAnsi="Times New Roman" w:cs="Times New Roman"/>
                <w:color w:val="auto"/>
                <w:sz w:val="21"/>
                <w:szCs w:val="21"/>
                <w:highlight w:val="none"/>
                <w:lang w:val="en-US" w:eastAsia="zh-CN"/>
              </w:rPr>
              <w:t>实验室门窗换风无组织排放</w:t>
            </w:r>
            <w:r>
              <w:rPr>
                <w:rFonts w:hint="default" w:ascii="Times New Roman" w:hAnsi="Times New Roman" w:eastAsia="宋体" w:cs="Times New Roman"/>
                <w:color w:val="auto"/>
                <w:sz w:val="21"/>
                <w:szCs w:val="21"/>
                <w:highlight w:val="none"/>
                <w:lang w:val="en-US" w:eastAsia="zh-CN"/>
              </w:rPr>
              <w:t>，则</w:t>
            </w:r>
            <w:r>
              <w:rPr>
                <w:rFonts w:hint="eastAsia" w:ascii="Times New Roman" w:hAnsi="Times New Roman" w:cs="Times New Roman"/>
                <w:color w:val="auto"/>
                <w:sz w:val="21"/>
                <w:szCs w:val="21"/>
                <w:highlight w:val="none"/>
                <w:lang w:val="en-US" w:eastAsia="zh-CN"/>
              </w:rPr>
              <w:t>实验室</w:t>
            </w:r>
            <w:r>
              <w:rPr>
                <w:rFonts w:hint="default" w:ascii="Times New Roman" w:hAnsi="Times New Roman" w:eastAsia="宋体" w:cs="Times New Roman"/>
                <w:color w:val="auto"/>
                <w:sz w:val="21"/>
                <w:szCs w:val="21"/>
                <w:highlight w:val="none"/>
                <w:lang w:val="en-US" w:eastAsia="zh-CN"/>
              </w:rPr>
              <w:t>以无组织形式排放至外环境的</w:t>
            </w:r>
            <w:r>
              <w:rPr>
                <w:rFonts w:hint="eastAsia" w:ascii="Times New Roman" w:hAnsi="Times New Roman" w:cs="Times New Roman"/>
                <w:color w:val="auto"/>
                <w:sz w:val="21"/>
                <w:szCs w:val="21"/>
                <w:highlight w:val="none"/>
                <w:lang w:val="en-US" w:eastAsia="zh-CN"/>
              </w:rPr>
              <w:t>颗粒物为0.012kg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w:t>
            </w:r>
          </w:p>
          <w:p w14:paraId="4FF3145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w:t>
            </w:r>
            <w:r>
              <w:rPr>
                <w:rFonts w:hint="eastAsia" w:ascii="Times New Roman" w:hAnsi="Times New Roman" w:cs="Times New Roman"/>
                <w:color w:val="auto"/>
                <w:sz w:val="21"/>
                <w:szCs w:val="21"/>
                <w:highlight w:val="none"/>
                <w:lang w:val="en-US" w:eastAsia="zh-CN"/>
              </w:rPr>
              <w:t>氯化氢、硫酸雾及非甲烷总烃：拟建项目实验过程</w:t>
            </w:r>
            <w:r>
              <w:rPr>
                <w:rFonts w:hint="default" w:ascii="Times New Roman" w:hAnsi="Times New Roman" w:eastAsia="宋体" w:cs="Times New Roman"/>
                <w:color w:val="auto"/>
                <w:sz w:val="21"/>
                <w:szCs w:val="21"/>
                <w:highlight w:val="none"/>
                <w:lang w:val="en-US" w:eastAsia="zh-CN"/>
              </w:rPr>
              <w:t>过程未被收集的</w:t>
            </w:r>
            <w:r>
              <w:rPr>
                <w:rFonts w:hint="eastAsia" w:ascii="Times New Roman" w:hAnsi="Times New Roman" w:cs="Times New Roman"/>
                <w:color w:val="auto"/>
                <w:sz w:val="21"/>
                <w:szCs w:val="21"/>
                <w:highlight w:val="none"/>
                <w:lang w:val="en-US" w:eastAsia="zh-CN"/>
              </w:rPr>
              <w:t>氯化氢、硫酸雾及非甲烷总烃</w:t>
            </w:r>
            <w:r>
              <w:rPr>
                <w:rFonts w:hint="default" w:ascii="Times New Roman" w:hAnsi="Times New Roman" w:eastAsia="宋体" w:cs="Times New Roman"/>
                <w:color w:val="auto"/>
                <w:sz w:val="21"/>
                <w:szCs w:val="21"/>
                <w:highlight w:val="none"/>
                <w:lang w:val="en-US" w:eastAsia="zh-CN"/>
              </w:rPr>
              <w:t>以无组织形式逸散在</w:t>
            </w:r>
            <w:r>
              <w:rPr>
                <w:rFonts w:hint="eastAsia" w:ascii="Times New Roman" w:hAnsi="Times New Roman" w:cs="Times New Roman"/>
                <w:color w:val="auto"/>
                <w:sz w:val="21"/>
                <w:szCs w:val="21"/>
                <w:highlight w:val="none"/>
                <w:lang w:val="en-US" w:eastAsia="zh-CN"/>
              </w:rPr>
              <w:t>实验室</w:t>
            </w:r>
            <w:r>
              <w:rPr>
                <w:rFonts w:hint="default" w:ascii="Times New Roman" w:hAnsi="Times New Roman" w:eastAsia="宋体" w:cs="Times New Roman"/>
                <w:color w:val="auto"/>
                <w:sz w:val="21"/>
                <w:szCs w:val="21"/>
                <w:highlight w:val="none"/>
                <w:lang w:val="en-US" w:eastAsia="zh-CN"/>
              </w:rPr>
              <w:t>内，</w:t>
            </w:r>
            <w:r>
              <w:rPr>
                <w:rFonts w:hint="eastAsia" w:ascii="Times New Roman" w:hAnsi="Times New Roman" w:cs="Times New Roman"/>
                <w:color w:val="auto"/>
                <w:sz w:val="21"/>
                <w:szCs w:val="21"/>
                <w:highlight w:val="none"/>
                <w:lang w:val="en-US" w:eastAsia="zh-CN"/>
              </w:rPr>
              <w:t>经实验室门窗换风无组织排放，</w:t>
            </w:r>
            <w:r>
              <w:rPr>
                <w:rFonts w:hint="eastAsia" w:ascii="Times New Roman" w:hAnsi="Times New Roman" w:eastAsia="宋体" w:cs="Times New Roman"/>
                <w:color w:val="auto"/>
                <w:sz w:val="21"/>
                <w:szCs w:val="21"/>
                <w:highlight w:val="none"/>
                <w:lang w:val="en-US" w:eastAsia="zh-CN"/>
              </w:rPr>
              <w:t>经核算项目</w:t>
            </w:r>
            <w:r>
              <w:rPr>
                <w:rFonts w:hint="eastAsia" w:ascii="Times New Roman" w:hAnsi="Times New Roman" w:cs="Times New Roman"/>
                <w:color w:val="auto"/>
                <w:sz w:val="21"/>
                <w:szCs w:val="21"/>
                <w:highlight w:val="none"/>
                <w:lang w:val="en-US" w:eastAsia="zh-CN"/>
              </w:rPr>
              <w:t>实验室氯化氢、硫酸雾及非甲烷总烃</w:t>
            </w:r>
            <w:r>
              <w:rPr>
                <w:rFonts w:hint="default" w:ascii="Times New Roman" w:hAnsi="Times New Roman" w:cs="Times New Roman"/>
                <w:color w:val="auto"/>
                <w:sz w:val="21"/>
                <w:szCs w:val="21"/>
                <w:highlight w:val="none"/>
                <w:lang w:val="en-US" w:eastAsia="zh-CN"/>
              </w:rPr>
              <w:t>无组织逸散量</w:t>
            </w:r>
            <w:r>
              <w:rPr>
                <w:rFonts w:hint="eastAsia" w:ascii="Times New Roman" w:hAnsi="Times New Roman" w:cs="Times New Roman"/>
                <w:color w:val="auto"/>
                <w:sz w:val="21"/>
                <w:szCs w:val="21"/>
                <w:highlight w:val="none"/>
                <w:lang w:val="en-US" w:eastAsia="zh-CN"/>
              </w:rPr>
              <w:t>分别</w:t>
            </w:r>
            <w:r>
              <w:rPr>
                <w:rFonts w:hint="default" w:ascii="Times New Roman" w:hAnsi="Times New Roman" w:cs="Times New Roman"/>
                <w:color w:val="auto"/>
                <w:sz w:val="21"/>
                <w:szCs w:val="21"/>
                <w:highlight w:val="none"/>
                <w:lang w:val="en-US" w:eastAsia="zh-CN"/>
              </w:rPr>
              <w:t>为</w:t>
            </w:r>
            <w:r>
              <w:rPr>
                <w:rFonts w:hint="eastAsia" w:ascii="Times New Roman" w:hAnsi="Times New Roman" w:cs="Times New Roman"/>
                <w:color w:val="auto"/>
                <w:sz w:val="21"/>
                <w:szCs w:val="21"/>
                <w:highlight w:val="none"/>
                <w:lang w:val="en-US" w:eastAsia="zh-CN"/>
              </w:rPr>
              <w:t>0.342kg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、0.000002kg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、2.9028kg</w:t>
            </w:r>
            <w:r>
              <w:rPr>
                <w:rFonts w:hint="default" w:ascii="Times New Roman" w:hAnsi="Times New Roman" w:cs="Times New Roman"/>
                <w:color w:val="auto"/>
                <w:sz w:val="21"/>
                <w:szCs w:val="21"/>
                <w:highlight w:val="none"/>
                <w:lang w:val="en-US" w:eastAsia="zh-CN"/>
              </w:rPr>
              <w:t>/a。</w:t>
            </w:r>
            <w:r>
              <w:rPr>
                <w:rFonts w:hint="default" w:ascii="Times New Roman" w:hAnsi="Times New Roman" w:eastAsia="宋体" w:cs="Times New Roman"/>
                <w:color w:val="auto"/>
                <w:sz w:val="21"/>
                <w:szCs w:val="21"/>
                <w:highlight w:val="none"/>
                <w:lang w:val="en-US" w:eastAsia="zh-CN"/>
              </w:rPr>
              <w:t>则</w:t>
            </w:r>
            <w:r>
              <w:rPr>
                <w:rFonts w:hint="eastAsia" w:ascii="Times New Roman" w:hAnsi="Times New Roman" w:cs="Times New Roman"/>
                <w:color w:val="auto"/>
                <w:sz w:val="21"/>
                <w:szCs w:val="21"/>
                <w:highlight w:val="none"/>
                <w:lang w:val="en-US" w:eastAsia="zh-CN"/>
              </w:rPr>
              <w:t>实验室</w:t>
            </w:r>
            <w:r>
              <w:rPr>
                <w:rFonts w:hint="default" w:ascii="Times New Roman" w:hAnsi="Times New Roman" w:eastAsia="宋体" w:cs="Times New Roman"/>
                <w:color w:val="auto"/>
                <w:sz w:val="21"/>
                <w:szCs w:val="21"/>
                <w:highlight w:val="none"/>
                <w:lang w:val="en-US" w:eastAsia="zh-CN"/>
              </w:rPr>
              <w:t>以无组织形式排放至外环境的</w:t>
            </w:r>
            <w:r>
              <w:rPr>
                <w:rFonts w:hint="eastAsia" w:ascii="Times New Roman" w:hAnsi="Times New Roman" w:cs="Times New Roman"/>
                <w:color w:val="auto"/>
                <w:sz w:val="21"/>
                <w:szCs w:val="21"/>
                <w:highlight w:val="none"/>
                <w:lang w:val="en-US" w:eastAsia="zh-CN"/>
              </w:rPr>
              <w:t>氯化氢、硫酸雾及非甲烷总烃</w:t>
            </w:r>
            <w:r>
              <w:rPr>
                <w:rFonts w:hint="eastAsia" w:ascii="Times New Roman" w:hAnsi="Times New Roman" w:eastAsia="宋体" w:cs="Times New Roman"/>
                <w:color w:val="auto"/>
                <w:sz w:val="21"/>
                <w:szCs w:val="21"/>
                <w:highlight w:val="none"/>
                <w:lang w:val="en-US" w:eastAsia="zh-CN"/>
              </w:rPr>
              <w:t>分别</w:t>
            </w:r>
            <w:r>
              <w:rPr>
                <w:rFonts w:hint="default" w:ascii="Times New Roman" w:hAnsi="Times New Roman" w:eastAsia="宋体" w:cs="Times New Roman"/>
                <w:color w:val="auto"/>
                <w:sz w:val="21"/>
                <w:szCs w:val="21"/>
                <w:highlight w:val="none"/>
                <w:lang w:val="en-US" w:eastAsia="zh-CN"/>
              </w:rPr>
              <w:t>为：</w:t>
            </w:r>
            <w:r>
              <w:rPr>
                <w:rFonts w:hint="eastAsia" w:ascii="Times New Roman" w:hAnsi="Times New Roman" w:cs="Times New Roman"/>
                <w:color w:val="auto"/>
                <w:sz w:val="21"/>
                <w:szCs w:val="21"/>
                <w:highlight w:val="none"/>
                <w:lang w:val="en-US" w:eastAsia="zh-CN"/>
              </w:rPr>
              <w:t>0.342kg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、0.000002kg</w:t>
            </w:r>
            <w:r>
              <w:rPr>
                <w:rFonts w:hint="default" w:ascii="Times New Roman" w:hAnsi="Times New Roman" w:cs="Times New Roman"/>
                <w:color w:val="auto"/>
                <w:sz w:val="21"/>
                <w:szCs w:val="21"/>
                <w:highlight w:val="none"/>
                <w:lang w:val="en-US" w:eastAsia="zh-CN"/>
              </w:rPr>
              <w:t>/a</w:t>
            </w:r>
            <w:r>
              <w:rPr>
                <w:rFonts w:hint="eastAsia" w:ascii="Times New Roman" w:hAnsi="Times New Roman" w:cs="Times New Roman"/>
                <w:color w:val="auto"/>
                <w:sz w:val="21"/>
                <w:szCs w:val="21"/>
                <w:highlight w:val="none"/>
                <w:lang w:val="en-US" w:eastAsia="zh-CN"/>
              </w:rPr>
              <w:t>、2.9028kg</w:t>
            </w:r>
            <w:r>
              <w:rPr>
                <w:rFonts w:hint="default" w:ascii="Times New Roman" w:hAnsi="Times New Roman" w:cs="Times New Roman"/>
                <w:color w:val="auto"/>
                <w:sz w:val="21"/>
                <w:szCs w:val="21"/>
                <w:highlight w:val="none"/>
                <w:lang w:val="en-US" w:eastAsia="zh-CN"/>
              </w:rPr>
              <w:t>/a</w:t>
            </w:r>
            <w:r>
              <w:rPr>
                <w:rFonts w:hint="default" w:ascii="Times New Roman" w:hAnsi="Times New Roman" w:eastAsia="宋体" w:cs="Times New Roman"/>
                <w:color w:val="auto"/>
                <w:sz w:val="21"/>
                <w:szCs w:val="21"/>
                <w:highlight w:val="none"/>
                <w:lang w:val="en-US" w:eastAsia="zh-CN"/>
              </w:rPr>
              <w:t>。</w:t>
            </w:r>
          </w:p>
          <w:p w14:paraId="77253DB2">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lang w:val="en-US" w:eastAsia="zh-CN"/>
              </w:rPr>
            </w:pPr>
            <w:r>
              <w:rPr>
                <w:rFonts w:hint="eastAsia" w:ascii="Times New Roman" w:hAnsi="Times New Roman"/>
                <w:b/>
                <w:color w:val="auto"/>
                <w:sz w:val="21"/>
                <w:szCs w:val="21"/>
                <w:highlight w:val="none"/>
              </w:rPr>
              <w:t>1.1.</w:t>
            </w:r>
            <w:r>
              <w:rPr>
                <w:rFonts w:hint="eastAsia" w:ascii="Times New Roman" w:hAnsi="Times New Roman"/>
                <w:b/>
                <w:color w:val="auto"/>
                <w:sz w:val="21"/>
                <w:szCs w:val="21"/>
                <w:highlight w:val="none"/>
                <w:lang w:val="en-US" w:eastAsia="zh-CN"/>
              </w:rPr>
              <w:t>4拟建</w:t>
            </w:r>
            <w:r>
              <w:rPr>
                <w:rFonts w:hint="eastAsia" w:ascii="Times New Roman" w:hAnsi="Times New Roman"/>
                <w:b/>
                <w:color w:val="auto"/>
                <w:sz w:val="21"/>
                <w:szCs w:val="21"/>
                <w:highlight w:val="none"/>
              </w:rPr>
              <w:t>项目废气污染源产生排放情况</w:t>
            </w:r>
            <w:r>
              <w:rPr>
                <w:rFonts w:hint="eastAsia" w:ascii="Times New Roman" w:hAnsi="Times New Roman"/>
                <w:b/>
                <w:color w:val="auto"/>
                <w:sz w:val="21"/>
                <w:szCs w:val="21"/>
                <w:highlight w:val="none"/>
                <w:lang w:val="en-US" w:eastAsia="zh-CN"/>
              </w:rPr>
              <w:t>汇总</w:t>
            </w:r>
          </w:p>
          <w:p w14:paraId="497A2F5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拟建项目有组织、无组织废气污染源产生排放情况汇总详见下表。</w:t>
            </w:r>
          </w:p>
        </w:tc>
      </w:tr>
      <w:tr w14:paraId="2E243C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30" w:hRule="atLeast"/>
          <w:jc w:val="center"/>
        </w:trPr>
        <w:tc>
          <w:tcPr>
            <w:tcW w:w="746" w:type="dxa"/>
            <w:tcMar>
              <w:left w:w="28" w:type="dxa"/>
              <w:right w:w="28" w:type="dxa"/>
            </w:tcMar>
            <w:vAlign w:val="center"/>
          </w:tcPr>
          <w:p w14:paraId="3642DC9B">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运营</w:t>
            </w:r>
          </w:p>
          <w:p w14:paraId="0E1E0F03">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期环</w:t>
            </w:r>
          </w:p>
          <w:p w14:paraId="4F835AC2">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境影</w:t>
            </w:r>
          </w:p>
          <w:p w14:paraId="5882F67F">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响和</w:t>
            </w:r>
          </w:p>
          <w:p w14:paraId="276566F8">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保护</w:t>
            </w:r>
          </w:p>
          <w:p w14:paraId="0D12C9D6">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措施</w:t>
            </w:r>
          </w:p>
        </w:tc>
        <w:tc>
          <w:tcPr>
            <w:tcW w:w="8070" w:type="dxa"/>
            <w:vAlign w:val="center"/>
          </w:tcPr>
          <w:p w14:paraId="439E4DE3">
            <w:pPr>
              <w:keepNext w:val="0"/>
              <w:keepLines w:val="0"/>
              <w:pageBreakBefore w:val="0"/>
              <w:kinsoku/>
              <w:wordWrap/>
              <w:overflowPunct/>
              <w:topLinePunct w:val="0"/>
              <w:autoSpaceDE/>
              <w:autoSpaceDN/>
              <w:bidi w:val="0"/>
              <w:spacing w:line="440" w:lineRule="exact"/>
              <w:ind w:firstLine="422" w:firstLineChars="200"/>
              <w:jc w:val="center"/>
              <w:textAlignment w:val="auto"/>
              <w:rPr>
                <w:b/>
                <w:snapToGrid w:val="0"/>
                <w:color w:val="auto"/>
                <w:kern w:val="0"/>
                <w:highlight w:val="none"/>
                <w:lang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24</w:t>
            </w:r>
            <w:r>
              <w:rPr>
                <w:b/>
                <w:snapToGrid w:val="0"/>
                <w:color w:val="auto"/>
                <w:kern w:val="0"/>
                <w:highlight w:val="none"/>
                <w:lang w:bidi="ar"/>
              </w:rPr>
              <w:t xml:space="preserve"> </w:t>
            </w:r>
            <w:r>
              <w:rPr>
                <w:rFonts w:hint="eastAsia"/>
                <w:b/>
                <w:snapToGrid w:val="0"/>
                <w:color w:val="auto"/>
                <w:kern w:val="0"/>
                <w:highlight w:val="none"/>
                <w:lang w:bidi="ar"/>
              </w:rPr>
              <w:t xml:space="preserve"> </w:t>
            </w:r>
            <w:r>
              <w:rPr>
                <w:rFonts w:hint="eastAsia" w:ascii="Times New Roman" w:hAnsi="Times New Roman"/>
                <w:b/>
                <w:color w:val="auto"/>
                <w:sz w:val="21"/>
                <w:szCs w:val="21"/>
                <w:highlight w:val="none"/>
                <w:lang w:val="en-US" w:eastAsia="zh-CN"/>
              </w:rPr>
              <w:t>拟建</w:t>
            </w:r>
            <w:r>
              <w:rPr>
                <w:rFonts w:hint="eastAsia" w:ascii="Times New Roman" w:hAnsi="Times New Roman"/>
                <w:b/>
                <w:color w:val="auto"/>
                <w:sz w:val="21"/>
                <w:szCs w:val="21"/>
                <w:highlight w:val="none"/>
              </w:rPr>
              <w:t>项目废气污染源产生排放情况</w:t>
            </w:r>
            <w:r>
              <w:rPr>
                <w:rFonts w:hint="eastAsia" w:ascii="Times New Roman" w:hAnsi="Times New Roman"/>
                <w:b/>
                <w:color w:val="auto"/>
                <w:sz w:val="21"/>
                <w:szCs w:val="21"/>
                <w:highlight w:val="none"/>
                <w:lang w:val="en-US" w:eastAsia="zh-CN"/>
              </w:rPr>
              <w:t>汇总</w:t>
            </w:r>
            <w:r>
              <w:rPr>
                <w:rFonts w:hint="eastAsia"/>
                <w:b/>
                <w:snapToGrid w:val="0"/>
                <w:color w:val="auto"/>
                <w:kern w:val="0"/>
                <w:highlight w:val="none"/>
                <w:lang w:bidi="ar"/>
              </w:rPr>
              <w:t>一览表</w:t>
            </w:r>
          </w:p>
          <w:tbl>
            <w:tblPr>
              <w:tblStyle w:val="27"/>
              <w:tblW w:w="7964" w:type="dxa"/>
              <w:tblInd w:w="-56"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1"/>
              <w:gridCol w:w="1101"/>
              <w:gridCol w:w="777"/>
              <w:gridCol w:w="912"/>
              <w:gridCol w:w="1028"/>
              <w:gridCol w:w="850"/>
              <w:gridCol w:w="755"/>
              <w:gridCol w:w="913"/>
              <w:gridCol w:w="1017"/>
            </w:tblGrid>
            <w:tr w14:paraId="4B8FD4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4824E0D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序号</w:t>
                  </w:r>
                </w:p>
              </w:tc>
              <w:tc>
                <w:tcPr>
                  <w:tcW w:w="2717" w:type="dxa"/>
                  <w:gridSpan w:val="3"/>
                  <w:tcBorders>
                    <w:tl2br w:val="nil"/>
                    <w:tr2bl w:val="nil"/>
                  </w:tcBorders>
                  <w:vAlign w:val="center"/>
                </w:tcPr>
                <w:p w14:paraId="399C38F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w:t>
                  </w:r>
                </w:p>
              </w:tc>
              <w:tc>
                <w:tcPr>
                  <w:tcW w:w="850" w:type="dxa"/>
                  <w:tcBorders>
                    <w:tl2br w:val="nil"/>
                    <w:tr2bl w:val="nil"/>
                  </w:tcBorders>
                  <w:vAlign w:val="center"/>
                </w:tcPr>
                <w:p w14:paraId="18487034">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w:t>
                  </w:r>
                </w:p>
              </w:tc>
              <w:tc>
                <w:tcPr>
                  <w:tcW w:w="2685" w:type="dxa"/>
                  <w:gridSpan w:val="3"/>
                  <w:tcBorders>
                    <w:tl2br w:val="nil"/>
                    <w:tr2bl w:val="nil"/>
                  </w:tcBorders>
                  <w:vAlign w:val="center"/>
                </w:tcPr>
                <w:p w14:paraId="07327E4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w:t>
                  </w:r>
                </w:p>
              </w:tc>
            </w:tr>
            <w:tr w14:paraId="4AFC50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1712" w:type="dxa"/>
                  <w:gridSpan w:val="2"/>
                  <w:tcBorders>
                    <w:tl2br w:val="nil"/>
                    <w:tr2bl w:val="nil"/>
                  </w:tcBorders>
                  <w:vAlign w:val="center"/>
                </w:tcPr>
                <w:p w14:paraId="19394D7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产排污环节</w:t>
                  </w:r>
                </w:p>
              </w:tc>
              <w:tc>
                <w:tcPr>
                  <w:tcW w:w="2717" w:type="dxa"/>
                  <w:gridSpan w:val="3"/>
                  <w:tcBorders>
                    <w:tl2br w:val="nil"/>
                    <w:tr2bl w:val="nil"/>
                  </w:tcBorders>
                  <w:vAlign w:val="center"/>
                </w:tcPr>
                <w:p w14:paraId="723EBFD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无机处理、有机处理及实验过程（理化一室、理化二室、测油室、离子色谱室、气质一室、气质二室、色谱室、半挥发前处理室）</w:t>
                  </w:r>
                </w:p>
              </w:tc>
              <w:tc>
                <w:tcPr>
                  <w:tcW w:w="850" w:type="dxa"/>
                  <w:tcBorders>
                    <w:tl2br w:val="nil"/>
                    <w:tr2bl w:val="nil"/>
                  </w:tcBorders>
                  <w:vAlign w:val="center"/>
                </w:tcPr>
                <w:p w14:paraId="1E49DD3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土壤破碎、研磨</w:t>
                  </w:r>
                </w:p>
              </w:tc>
              <w:tc>
                <w:tcPr>
                  <w:tcW w:w="2685" w:type="dxa"/>
                  <w:gridSpan w:val="3"/>
                  <w:tcBorders>
                    <w:tl2br w:val="nil"/>
                    <w:tr2bl w:val="nil"/>
                  </w:tcBorders>
                  <w:vAlign w:val="center"/>
                </w:tcPr>
                <w:p w14:paraId="72386A5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受捕集效率影响未被收集的废气</w:t>
                  </w:r>
                </w:p>
              </w:tc>
            </w:tr>
            <w:tr w14:paraId="135DE2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7187358C">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污染因子</w:t>
                  </w:r>
                </w:p>
              </w:tc>
              <w:tc>
                <w:tcPr>
                  <w:tcW w:w="777" w:type="dxa"/>
                  <w:tcBorders>
                    <w:tl2br w:val="nil"/>
                    <w:tr2bl w:val="nil"/>
                  </w:tcBorders>
                  <w:vAlign w:val="center"/>
                </w:tcPr>
                <w:p w14:paraId="5E38C7A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tc>
              <w:tc>
                <w:tcPr>
                  <w:tcW w:w="912" w:type="dxa"/>
                  <w:tcBorders>
                    <w:tl2br w:val="nil"/>
                    <w:tr2bl w:val="nil"/>
                  </w:tcBorders>
                  <w:vAlign w:val="center"/>
                </w:tcPr>
                <w:p w14:paraId="15FE474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tc>
              <w:tc>
                <w:tcPr>
                  <w:tcW w:w="1028" w:type="dxa"/>
                  <w:tcBorders>
                    <w:tl2br w:val="nil"/>
                    <w:tr2bl w:val="nil"/>
                  </w:tcBorders>
                  <w:vAlign w:val="center"/>
                </w:tcPr>
                <w:p w14:paraId="6D4B0AD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非甲烷总烃</w:t>
                  </w:r>
                </w:p>
              </w:tc>
              <w:tc>
                <w:tcPr>
                  <w:tcW w:w="850" w:type="dxa"/>
                  <w:tcBorders>
                    <w:tl2br w:val="nil"/>
                    <w:tr2bl w:val="nil"/>
                  </w:tcBorders>
                  <w:shd w:val="clear" w:color="auto" w:fill="auto"/>
                  <w:vAlign w:val="center"/>
                </w:tcPr>
                <w:p w14:paraId="08CCC08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颗粒物</w:t>
                  </w:r>
                </w:p>
              </w:tc>
              <w:tc>
                <w:tcPr>
                  <w:tcW w:w="755" w:type="dxa"/>
                  <w:tcBorders>
                    <w:tl2br w:val="nil"/>
                    <w:tr2bl w:val="nil"/>
                  </w:tcBorders>
                  <w:shd w:val="clear" w:color="auto" w:fill="auto"/>
                  <w:vAlign w:val="center"/>
                </w:tcPr>
                <w:p w14:paraId="0CCA2E8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tc>
              <w:tc>
                <w:tcPr>
                  <w:tcW w:w="913" w:type="dxa"/>
                  <w:tcBorders>
                    <w:tl2br w:val="nil"/>
                    <w:tr2bl w:val="nil"/>
                  </w:tcBorders>
                  <w:shd w:val="clear" w:color="auto" w:fill="auto"/>
                  <w:vAlign w:val="center"/>
                </w:tcPr>
                <w:p w14:paraId="24599B3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tc>
              <w:tc>
                <w:tcPr>
                  <w:tcW w:w="1017" w:type="dxa"/>
                  <w:tcBorders>
                    <w:tl2br w:val="nil"/>
                    <w:tr2bl w:val="nil"/>
                  </w:tcBorders>
                  <w:shd w:val="clear" w:color="auto" w:fill="auto"/>
                  <w:vAlign w:val="center"/>
                </w:tcPr>
                <w:p w14:paraId="6653259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非甲烷总烃</w:t>
                  </w:r>
                </w:p>
              </w:tc>
            </w:tr>
            <w:tr w14:paraId="776C16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45EC23D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产生量kg/a</w:t>
                  </w:r>
                </w:p>
              </w:tc>
              <w:tc>
                <w:tcPr>
                  <w:tcW w:w="777" w:type="dxa"/>
                  <w:tcBorders>
                    <w:tl2br w:val="nil"/>
                    <w:tr2bl w:val="nil"/>
                  </w:tcBorders>
                  <w:vAlign w:val="center"/>
                </w:tcPr>
                <w:p w14:paraId="66B786C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1.71</w:t>
                  </w:r>
                </w:p>
              </w:tc>
              <w:tc>
                <w:tcPr>
                  <w:tcW w:w="912" w:type="dxa"/>
                  <w:tcBorders>
                    <w:tl2br w:val="nil"/>
                    <w:tr2bl w:val="nil"/>
                  </w:tcBorders>
                  <w:vAlign w:val="center"/>
                </w:tcPr>
                <w:p w14:paraId="63BAD77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0.00001</w:t>
                  </w:r>
                </w:p>
              </w:tc>
              <w:tc>
                <w:tcPr>
                  <w:tcW w:w="1028" w:type="dxa"/>
                  <w:tcBorders>
                    <w:tl2br w:val="nil"/>
                    <w:tr2bl w:val="nil"/>
                  </w:tcBorders>
                  <w:vAlign w:val="center"/>
                </w:tcPr>
                <w:p w14:paraId="092AA09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14.514</w:t>
                  </w:r>
                </w:p>
              </w:tc>
              <w:tc>
                <w:tcPr>
                  <w:tcW w:w="850" w:type="dxa"/>
                  <w:tcBorders>
                    <w:tl2br w:val="nil"/>
                    <w:tr2bl w:val="nil"/>
                  </w:tcBorders>
                  <w:shd w:val="clear" w:color="auto" w:fill="auto"/>
                  <w:vAlign w:val="center"/>
                </w:tcPr>
                <w:p w14:paraId="08E2AE9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0.6</w:t>
                  </w:r>
                </w:p>
              </w:tc>
              <w:tc>
                <w:tcPr>
                  <w:tcW w:w="755" w:type="dxa"/>
                  <w:tcBorders>
                    <w:tl2br w:val="nil"/>
                    <w:tr2bl w:val="nil"/>
                  </w:tcBorders>
                  <w:shd w:val="clear" w:color="auto" w:fill="auto"/>
                  <w:vAlign w:val="center"/>
                </w:tcPr>
                <w:p w14:paraId="7DF8C36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0.342</w:t>
                  </w:r>
                </w:p>
              </w:tc>
              <w:tc>
                <w:tcPr>
                  <w:tcW w:w="913" w:type="dxa"/>
                  <w:tcBorders>
                    <w:tl2br w:val="nil"/>
                    <w:tr2bl w:val="nil"/>
                  </w:tcBorders>
                  <w:shd w:val="clear" w:color="auto" w:fill="auto"/>
                  <w:vAlign w:val="center"/>
                </w:tcPr>
                <w:p w14:paraId="1B7A5C5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0.000002</w:t>
                  </w:r>
                </w:p>
              </w:tc>
              <w:tc>
                <w:tcPr>
                  <w:tcW w:w="1017" w:type="dxa"/>
                  <w:tcBorders>
                    <w:tl2br w:val="nil"/>
                    <w:tr2bl w:val="nil"/>
                  </w:tcBorders>
                  <w:shd w:val="clear" w:color="auto" w:fill="auto"/>
                  <w:vAlign w:val="center"/>
                </w:tcPr>
                <w:p w14:paraId="5DCC33E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2.9028</w:t>
                  </w:r>
                </w:p>
              </w:tc>
            </w:tr>
            <w:tr w14:paraId="2F82C6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1088BC4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产生浓度mg/m</w:t>
                  </w:r>
                  <w:r>
                    <w:rPr>
                      <w:rFonts w:hint="eastAsia" w:cs="Times New Roman"/>
                      <w:color w:val="auto"/>
                      <w:spacing w:val="-20"/>
                      <w:kern w:val="2"/>
                      <w:sz w:val="18"/>
                      <w:szCs w:val="18"/>
                      <w:highlight w:val="none"/>
                      <w:vertAlign w:val="superscript"/>
                      <w:lang w:val="en-US" w:eastAsia="zh-CN" w:bidi="ar-SA"/>
                    </w:rPr>
                    <w:t>3</w:t>
                  </w:r>
                </w:p>
              </w:tc>
              <w:tc>
                <w:tcPr>
                  <w:tcW w:w="777" w:type="dxa"/>
                  <w:tcBorders>
                    <w:tl2br w:val="nil"/>
                    <w:tr2bl w:val="nil"/>
                  </w:tcBorders>
                  <w:vAlign w:val="center"/>
                </w:tcPr>
                <w:p w14:paraId="1EB00B7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0.456</w:t>
                  </w:r>
                </w:p>
              </w:tc>
              <w:tc>
                <w:tcPr>
                  <w:tcW w:w="912" w:type="dxa"/>
                  <w:tcBorders>
                    <w:tl2br w:val="nil"/>
                    <w:tr2bl w:val="nil"/>
                  </w:tcBorders>
                  <w:vAlign w:val="center"/>
                </w:tcPr>
                <w:p w14:paraId="58B285F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2.67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-6</w:t>
                  </w:r>
                </w:p>
              </w:tc>
              <w:tc>
                <w:tcPr>
                  <w:tcW w:w="1028" w:type="dxa"/>
                  <w:tcBorders>
                    <w:tl2br w:val="nil"/>
                    <w:tr2bl w:val="nil"/>
                  </w:tcBorders>
                  <w:vAlign w:val="center"/>
                </w:tcPr>
                <w:p w14:paraId="1D48D6A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3.9</w:t>
                  </w:r>
                </w:p>
              </w:tc>
              <w:tc>
                <w:tcPr>
                  <w:tcW w:w="850" w:type="dxa"/>
                  <w:tcBorders>
                    <w:tl2br w:val="nil"/>
                    <w:tr2bl w:val="nil"/>
                  </w:tcBorders>
                  <w:vAlign w:val="center"/>
                </w:tcPr>
                <w:p w14:paraId="6D2316E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55" w:type="dxa"/>
                  <w:tcBorders>
                    <w:tl2br w:val="nil"/>
                    <w:tr2bl w:val="nil"/>
                  </w:tcBorders>
                  <w:shd w:val="clear" w:color="auto" w:fill="auto"/>
                  <w:vAlign w:val="center"/>
                </w:tcPr>
                <w:p w14:paraId="79158F4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913" w:type="dxa"/>
                  <w:tcBorders>
                    <w:tl2br w:val="nil"/>
                    <w:tr2bl w:val="nil"/>
                  </w:tcBorders>
                  <w:vAlign w:val="center"/>
                </w:tcPr>
                <w:p w14:paraId="293AF58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1017" w:type="dxa"/>
                  <w:tcBorders>
                    <w:tl2br w:val="nil"/>
                    <w:tr2bl w:val="nil"/>
                  </w:tcBorders>
                  <w:vAlign w:val="center"/>
                </w:tcPr>
                <w:p w14:paraId="5195475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4D77E0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restart"/>
                  <w:tcBorders>
                    <w:tl2br w:val="nil"/>
                    <w:tr2bl w:val="nil"/>
                  </w:tcBorders>
                  <w:vAlign w:val="center"/>
                </w:tcPr>
                <w:p w14:paraId="513E7CD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污染治理设施</w:t>
                  </w:r>
                </w:p>
              </w:tc>
              <w:tc>
                <w:tcPr>
                  <w:tcW w:w="1101" w:type="dxa"/>
                  <w:tcBorders>
                    <w:tl2br w:val="nil"/>
                    <w:tr2bl w:val="nil"/>
                  </w:tcBorders>
                  <w:vAlign w:val="center"/>
                </w:tcPr>
                <w:p w14:paraId="28C513C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处理能力m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/h</w:t>
                  </w:r>
                </w:p>
              </w:tc>
              <w:tc>
                <w:tcPr>
                  <w:tcW w:w="2717" w:type="dxa"/>
                  <w:gridSpan w:val="3"/>
                  <w:tcBorders>
                    <w:tl2br w:val="nil"/>
                    <w:tr2bl w:val="nil"/>
                  </w:tcBorders>
                  <w:vAlign w:val="center"/>
                </w:tcPr>
                <w:p w14:paraId="311532A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10000</w:t>
                  </w:r>
                </w:p>
              </w:tc>
              <w:tc>
                <w:tcPr>
                  <w:tcW w:w="850" w:type="dxa"/>
                  <w:vMerge w:val="restart"/>
                  <w:tcBorders>
                    <w:tl2br w:val="nil"/>
                    <w:tr2bl w:val="nil"/>
                  </w:tcBorders>
                  <w:vAlign w:val="center"/>
                </w:tcPr>
                <w:p w14:paraId="1E1903D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规范操作，颗粒物经破碎间沉降后无组织排放</w:t>
                  </w:r>
                </w:p>
              </w:tc>
              <w:tc>
                <w:tcPr>
                  <w:tcW w:w="2685" w:type="dxa"/>
                  <w:gridSpan w:val="3"/>
                  <w:vMerge w:val="restart"/>
                  <w:tcBorders>
                    <w:tl2br w:val="nil"/>
                    <w:tr2bl w:val="nil"/>
                  </w:tcBorders>
                  <w:vAlign w:val="center"/>
                </w:tcPr>
                <w:p w14:paraId="3F5C4B6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规范操作，加强有组织收集</w:t>
                  </w:r>
                </w:p>
              </w:tc>
            </w:tr>
            <w:tr w14:paraId="752A49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36C979FE">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52DA331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收集效率%</w:t>
                  </w:r>
                </w:p>
              </w:tc>
              <w:tc>
                <w:tcPr>
                  <w:tcW w:w="777" w:type="dxa"/>
                  <w:tcBorders>
                    <w:tl2br w:val="nil"/>
                    <w:tr2bl w:val="nil"/>
                  </w:tcBorders>
                  <w:vAlign w:val="center"/>
                </w:tcPr>
                <w:p w14:paraId="250A745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912" w:type="dxa"/>
                  <w:tcBorders>
                    <w:tl2br w:val="nil"/>
                    <w:tr2bl w:val="nil"/>
                  </w:tcBorders>
                  <w:vAlign w:val="center"/>
                </w:tcPr>
                <w:p w14:paraId="3915E34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1028" w:type="dxa"/>
                  <w:tcBorders>
                    <w:tl2br w:val="nil"/>
                    <w:tr2bl w:val="nil"/>
                  </w:tcBorders>
                  <w:vAlign w:val="center"/>
                </w:tcPr>
                <w:p w14:paraId="75FD07F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850" w:type="dxa"/>
                  <w:vMerge w:val="continue"/>
                  <w:tcBorders>
                    <w:tl2br w:val="nil"/>
                    <w:tr2bl w:val="nil"/>
                  </w:tcBorders>
                  <w:vAlign w:val="center"/>
                </w:tcPr>
                <w:p w14:paraId="69256ABF">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4E03A6AA">
                  <w:pPr>
                    <w:jc w:val="center"/>
                    <w:rPr>
                      <w:rFonts w:hint="eastAsia" w:cs="Times New Roman"/>
                      <w:color w:val="auto"/>
                      <w:spacing w:val="-20"/>
                      <w:kern w:val="2"/>
                      <w:sz w:val="18"/>
                      <w:szCs w:val="18"/>
                      <w:highlight w:val="none"/>
                      <w:lang w:val="en-US" w:eastAsia="zh-CN" w:bidi="ar-SA"/>
                    </w:rPr>
                  </w:pPr>
                </w:p>
              </w:tc>
            </w:tr>
            <w:tr w14:paraId="54FC7A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746496DC">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1E59EFE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治理工艺</w:t>
                  </w:r>
                </w:p>
              </w:tc>
              <w:tc>
                <w:tcPr>
                  <w:tcW w:w="2717" w:type="dxa"/>
                  <w:gridSpan w:val="3"/>
                  <w:tcBorders>
                    <w:tl2br w:val="nil"/>
                    <w:tr2bl w:val="nil"/>
                  </w:tcBorders>
                  <w:vAlign w:val="center"/>
                </w:tcPr>
                <w:p w14:paraId="3B54F07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二级活性炭吸附装置</w:t>
                  </w:r>
                </w:p>
              </w:tc>
              <w:tc>
                <w:tcPr>
                  <w:tcW w:w="850" w:type="dxa"/>
                  <w:vMerge w:val="continue"/>
                  <w:tcBorders>
                    <w:tl2br w:val="nil"/>
                    <w:tr2bl w:val="nil"/>
                  </w:tcBorders>
                  <w:vAlign w:val="center"/>
                </w:tcPr>
                <w:p w14:paraId="6FEEC4D9">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10A14D09">
                  <w:pPr>
                    <w:jc w:val="center"/>
                    <w:rPr>
                      <w:rFonts w:hint="eastAsia" w:cs="Times New Roman"/>
                      <w:color w:val="auto"/>
                      <w:spacing w:val="-20"/>
                      <w:kern w:val="2"/>
                      <w:sz w:val="18"/>
                      <w:szCs w:val="18"/>
                      <w:highlight w:val="none"/>
                      <w:lang w:val="en-US" w:eastAsia="zh-CN" w:bidi="ar-SA"/>
                    </w:rPr>
                  </w:pPr>
                </w:p>
              </w:tc>
            </w:tr>
            <w:tr w14:paraId="78304B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0413C57B">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2A198A2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去除率%</w:t>
                  </w:r>
                </w:p>
              </w:tc>
              <w:tc>
                <w:tcPr>
                  <w:tcW w:w="777" w:type="dxa"/>
                  <w:tcBorders>
                    <w:tl2br w:val="nil"/>
                    <w:tr2bl w:val="nil"/>
                  </w:tcBorders>
                  <w:vAlign w:val="center"/>
                </w:tcPr>
                <w:p w14:paraId="495326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w:t>
                  </w:r>
                </w:p>
              </w:tc>
              <w:tc>
                <w:tcPr>
                  <w:tcW w:w="912" w:type="dxa"/>
                  <w:tcBorders>
                    <w:tl2br w:val="nil"/>
                    <w:tr2bl w:val="nil"/>
                  </w:tcBorders>
                  <w:vAlign w:val="center"/>
                </w:tcPr>
                <w:p w14:paraId="40CD59F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w:t>
                  </w:r>
                </w:p>
              </w:tc>
              <w:tc>
                <w:tcPr>
                  <w:tcW w:w="1028" w:type="dxa"/>
                  <w:tcBorders>
                    <w:tl2br w:val="nil"/>
                    <w:tr2bl w:val="nil"/>
                  </w:tcBorders>
                  <w:vAlign w:val="center"/>
                </w:tcPr>
                <w:p w14:paraId="731FAB3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360</w:t>
                  </w:r>
                </w:p>
              </w:tc>
              <w:tc>
                <w:tcPr>
                  <w:tcW w:w="850" w:type="dxa"/>
                  <w:vMerge w:val="continue"/>
                  <w:tcBorders>
                    <w:tl2br w:val="nil"/>
                    <w:tr2bl w:val="nil"/>
                  </w:tcBorders>
                  <w:vAlign w:val="center"/>
                </w:tcPr>
                <w:p w14:paraId="240EBD58">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19C7E23E">
                  <w:pPr>
                    <w:jc w:val="center"/>
                    <w:rPr>
                      <w:rFonts w:hint="eastAsia" w:cs="Times New Roman"/>
                      <w:color w:val="auto"/>
                      <w:spacing w:val="-20"/>
                      <w:kern w:val="2"/>
                      <w:sz w:val="18"/>
                      <w:szCs w:val="18"/>
                      <w:highlight w:val="none"/>
                      <w:lang w:val="en-US" w:eastAsia="zh-CN" w:bidi="ar-SA"/>
                    </w:rPr>
                  </w:pPr>
                </w:p>
              </w:tc>
            </w:tr>
            <w:tr w14:paraId="30DC78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11" w:type="dxa"/>
                  <w:vMerge w:val="continue"/>
                  <w:tcBorders>
                    <w:tl2br w:val="nil"/>
                    <w:tr2bl w:val="nil"/>
                  </w:tcBorders>
                  <w:vAlign w:val="center"/>
                </w:tcPr>
                <w:p w14:paraId="6EDAD5D1">
                  <w:pPr>
                    <w:jc w:val="center"/>
                    <w:rPr>
                      <w:rFonts w:hint="eastAsia" w:cs="Times New Roman"/>
                      <w:color w:val="auto"/>
                      <w:spacing w:val="-20"/>
                      <w:kern w:val="2"/>
                      <w:sz w:val="18"/>
                      <w:szCs w:val="18"/>
                      <w:highlight w:val="none"/>
                      <w:lang w:val="en-US" w:eastAsia="zh-CN" w:bidi="ar-SA"/>
                    </w:rPr>
                  </w:pPr>
                </w:p>
              </w:tc>
              <w:tc>
                <w:tcPr>
                  <w:tcW w:w="1101" w:type="dxa"/>
                  <w:tcBorders>
                    <w:tl2br w:val="nil"/>
                    <w:tr2bl w:val="nil"/>
                  </w:tcBorders>
                  <w:vAlign w:val="center"/>
                </w:tcPr>
                <w:p w14:paraId="38B0579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是否为可行性技术</w:t>
                  </w:r>
                </w:p>
              </w:tc>
              <w:tc>
                <w:tcPr>
                  <w:tcW w:w="777" w:type="dxa"/>
                  <w:tcBorders>
                    <w:tl2br w:val="nil"/>
                    <w:tr2bl w:val="nil"/>
                  </w:tcBorders>
                  <w:vAlign w:val="center"/>
                </w:tcPr>
                <w:p w14:paraId="6C998DB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912" w:type="dxa"/>
                  <w:tcBorders>
                    <w:tl2br w:val="nil"/>
                    <w:tr2bl w:val="nil"/>
                  </w:tcBorders>
                  <w:vAlign w:val="center"/>
                </w:tcPr>
                <w:p w14:paraId="49CE251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1028" w:type="dxa"/>
                  <w:tcBorders>
                    <w:tl2br w:val="nil"/>
                    <w:tr2bl w:val="nil"/>
                  </w:tcBorders>
                  <w:vAlign w:val="center"/>
                </w:tcPr>
                <w:p w14:paraId="63A4397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850" w:type="dxa"/>
                  <w:vMerge w:val="continue"/>
                  <w:tcBorders>
                    <w:tl2br w:val="nil"/>
                    <w:tr2bl w:val="nil"/>
                  </w:tcBorders>
                  <w:vAlign w:val="center"/>
                </w:tcPr>
                <w:p w14:paraId="65E24CAA">
                  <w:pPr>
                    <w:jc w:val="center"/>
                    <w:rPr>
                      <w:rFonts w:hint="eastAsia" w:cs="Times New Roman"/>
                      <w:color w:val="auto"/>
                      <w:spacing w:val="-20"/>
                      <w:kern w:val="2"/>
                      <w:sz w:val="18"/>
                      <w:szCs w:val="18"/>
                      <w:highlight w:val="none"/>
                      <w:lang w:val="en-US" w:eastAsia="zh-CN" w:bidi="ar-SA"/>
                    </w:rPr>
                  </w:pPr>
                </w:p>
              </w:tc>
              <w:tc>
                <w:tcPr>
                  <w:tcW w:w="2685" w:type="dxa"/>
                  <w:gridSpan w:val="3"/>
                  <w:vMerge w:val="continue"/>
                  <w:tcBorders>
                    <w:tl2br w:val="nil"/>
                    <w:tr2bl w:val="nil"/>
                  </w:tcBorders>
                  <w:vAlign w:val="center"/>
                </w:tcPr>
                <w:p w14:paraId="78A7AF21">
                  <w:pPr>
                    <w:jc w:val="center"/>
                    <w:rPr>
                      <w:rFonts w:hint="eastAsia" w:cs="Times New Roman"/>
                      <w:color w:val="auto"/>
                      <w:spacing w:val="-20"/>
                      <w:kern w:val="2"/>
                      <w:sz w:val="18"/>
                      <w:szCs w:val="18"/>
                      <w:highlight w:val="none"/>
                      <w:lang w:val="en-US" w:eastAsia="zh-CN" w:bidi="ar-SA"/>
                    </w:rPr>
                  </w:pPr>
                </w:p>
              </w:tc>
            </w:tr>
            <w:tr w14:paraId="04C855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5117F39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排放形式</w:t>
                  </w:r>
                </w:p>
              </w:tc>
              <w:tc>
                <w:tcPr>
                  <w:tcW w:w="2717" w:type="dxa"/>
                  <w:gridSpan w:val="3"/>
                  <w:tcBorders>
                    <w:tl2br w:val="nil"/>
                    <w:tr2bl w:val="nil"/>
                  </w:tcBorders>
                  <w:vAlign w:val="center"/>
                </w:tcPr>
                <w:p w14:paraId="6A9806F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有组织</w:t>
                  </w:r>
                </w:p>
              </w:tc>
              <w:tc>
                <w:tcPr>
                  <w:tcW w:w="3535" w:type="dxa"/>
                  <w:gridSpan w:val="4"/>
                  <w:tcBorders>
                    <w:tl2br w:val="nil"/>
                    <w:tr2bl w:val="nil"/>
                  </w:tcBorders>
                  <w:vAlign w:val="center"/>
                </w:tcPr>
                <w:p w14:paraId="7934299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无组织</w:t>
                  </w:r>
                </w:p>
              </w:tc>
            </w:tr>
            <w:tr w14:paraId="11BB3A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45AF6AE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排放量kg/a</w:t>
                  </w:r>
                </w:p>
              </w:tc>
              <w:tc>
                <w:tcPr>
                  <w:tcW w:w="777" w:type="dxa"/>
                  <w:tcBorders>
                    <w:tl2br w:val="nil"/>
                    <w:tr2bl w:val="nil"/>
                  </w:tcBorders>
                  <w:vAlign w:val="center"/>
                </w:tcPr>
                <w:p w14:paraId="35F93C6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0.9576</w:t>
                  </w:r>
                </w:p>
              </w:tc>
              <w:tc>
                <w:tcPr>
                  <w:tcW w:w="912" w:type="dxa"/>
                  <w:tcBorders>
                    <w:tl2br w:val="nil"/>
                    <w:tr2bl w:val="nil"/>
                  </w:tcBorders>
                  <w:vAlign w:val="center"/>
                </w:tcPr>
                <w:p w14:paraId="5E10BC2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0.0000056</w:t>
                  </w:r>
                </w:p>
              </w:tc>
              <w:tc>
                <w:tcPr>
                  <w:tcW w:w="1028" w:type="dxa"/>
                  <w:tcBorders>
                    <w:tl2br w:val="nil"/>
                    <w:tr2bl w:val="nil"/>
                  </w:tcBorders>
                  <w:vAlign w:val="center"/>
                </w:tcPr>
                <w:p w14:paraId="0151DDD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4.6445</w:t>
                  </w:r>
                </w:p>
              </w:tc>
              <w:tc>
                <w:tcPr>
                  <w:tcW w:w="850" w:type="dxa"/>
                  <w:tcBorders>
                    <w:tl2br w:val="nil"/>
                    <w:tr2bl w:val="nil"/>
                  </w:tcBorders>
                  <w:vAlign w:val="center"/>
                </w:tcPr>
                <w:p w14:paraId="61F6F4E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w:t>
                  </w:r>
                </w:p>
              </w:tc>
              <w:tc>
                <w:tcPr>
                  <w:tcW w:w="755" w:type="dxa"/>
                  <w:tcBorders>
                    <w:tl2br w:val="nil"/>
                    <w:tr2bl w:val="nil"/>
                  </w:tcBorders>
                  <w:shd w:val="clear" w:color="auto" w:fill="auto"/>
                  <w:vAlign w:val="center"/>
                </w:tcPr>
                <w:p w14:paraId="41CB00E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0.342</w:t>
                  </w:r>
                </w:p>
              </w:tc>
              <w:tc>
                <w:tcPr>
                  <w:tcW w:w="913" w:type="dxa"/>
                  <w:tcBorders>
                    <w:tl2br w:val="nil"/>
                    <w:tr2bl w:val="nil"/>
                  </w:tcBorders>
                  <w:vAlign w:val="center"/>
                </w:tcPr>
                <w:p w14:paraId="5A38907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0.000002</w:t>
                  </w:r>
                </w:p>
              </w:tc>
              <w:tc>
                <w:tcPr>
                  <w:tcW w:w="1017" w:type="dxa"/>
                  <w:tcBorders>
                    <w:tl2br w:val="nil"/>
                    <w:tr2bl w:val="nil"/>
                  </w:tcBorders>
                  <w:vAlign w:val="center"/>
                </w:tcPr>
                <w:p w14:paraId="57D487F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2.9028</w:t>
                  </w:r>
                </w:p>
              </w:tc>
            </w:tr>
            <w:tr w14:paraId="55FF1A5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12" w:type="dxa"/>
                  <w:gridSpan w:val="2"/>
                  <w:tcBorders>
                    <w:tl2br w:val="nil"/>
                    <w:tr2bl w:val="nil"/>
                  </w:tcBorders>
                  <w:vAlign w:val="center"/>
                </w:tcPr>
                <w:p w14:paraId="4D8F78E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排放速率kg/h</w:t>
                  </w:r>
                </w:p>
              </w:tc>
              <w:tc>
                <w:tcPr>
                  <w:tcW w:w="777" w:type="dxa"/>
                  <w:tcBorders>
                    <w:tl2br w:val="nil"/>
                    <w:tr2bl w:val="nil"/>
                  </w:tcBorders>
                  <w:vAlign w:val="center"/>
                </w:tcPr>
                <w:p w14:paraId="1744496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0.0032</w:t>
                  </w:r>
                </w:p>
              </w:tc>
              <w:tc>
                <w:tcPr>
                  <w:tcW w:w="912" w:type="dxa"/>
                  <w:tcBorders>
                    <w:tl2br w:val="nil"/>
                    <w:tr2bl w:val="nil"/>
                  </w:tcBorders>
                  <w:vAlign w:val="center"/>
                </w:tcPr>
                <w:p w14:paraId="322FD43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1.87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-8</w:t>
                  </w:r>
                </w:p>
              </w:tc>
              <w:tc>
                <w:tcPr>
                  <w:tcW w:w="1028" w:type="dxa"/>
                  <w:tcBorders>
                    <w:tl2br w:val="nil"/>
                    <w:tr2bl w:val="nil"/>
                  </w:tcBorders>
                  <w:vAlign w:val="center"/>
                </w:tcPr>
                <w:p w14:paraId="47482D2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0.0155</w:t>
                  </w:r>
                </w:p>
              </w:tc>
              <w:tc>
                <w:tcPr>
                  <w:tcW w:w="850" w:type="dxa"/>
                  <w:tcBorders>
                    <w:tl2br w:val="nil"/>
                    <w:tr2bl w:val="nil"/>
                  </w:tcBorders>
                  <w:vAlign w:val="center"/>
                </w:tcPr>
                <w:p w14:paraId="4B7D37E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0.00012</w:t>
                  </w:r>
                </w:p>
              </w:tc>
              <w:tc>
                <w:tcPr>
                  <w:tcW w:w="755" w:type="dxa"/>
                  <w:tcBorders>
                    <w:tl2br w:val="nil"/>
                    <w:tr2bl w:val="nil"/>
                  </w:tcBorders>
                  <w:shd w:val="clear" w:color="auto" w:fill="auto"/>
                  <w:vAlign w:val="center"/>
                </w:tcPr>
                <w:p w14:paraId="6175E03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0.0011</w:t>
                  </w:r>
                </w:p>
              </w:tc>
              <w:tc>
                <w:tcPr>
                  <w:tcW w:w="913" w:type="dxa"/>
                  <w:tcBorders>
                    <w:tl2br w:val="nil"/>
                    <w:tr2bl w:val="nil"/>
                  </w:tcBorders>
                  <w:vAlign w:val="center"/>
                </w:tcPr>
                <w:p w14:paraId="3BD5D39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6.67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-9</w:t>
                  </w:r>
                </w:p>
              </w:tc>
              <w:tc>
                <w:tcPr>
                  <w:tcW w:w="1017" w:type="dxa"/>
                  <w:tcBorders>
                    <w:tl2br w:val="nil"/>
                    <w:tr2bl w:val="nil"/>
                  </w:tcBorders>
                  <w:vAlign w:val="center"/>
                </w:tcPr>
                <w:p w14:paraId="0F69EDF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0.0097</w:t>
                  </w:r>
                </w:p>
              </w:tc>
            </w:tr>
            <w:tr w14:paraId="6250406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25782A9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排放浓度mg/m</w:t>
                  </w:r>
                  <w:r>
                    <w:rPr>
                      <w:rFonts w:hint="eastAsia" w:cs="Times New Roman"/>
                      <w:color w:val="auto"/>
                      <w:spacing w:val="-20"/>
                      <w:kern w:val="2"/>
                      <w:sz w:val="18"/>
                      <w:szCs w:val="18"/>
                      <w:highlight w:val="none"/>
                      <w:vertAlign w:val="superscript"/>
                      <w:lang w:val="en-US" w:eastAsia="zh-CN" w:bidi="ar-SA"/>
                    </w:rPr>
                    <w:t>3</w:t>
                  </w:r>
                </w:p>
              </w:tc>
              <w:tc>
                <w:tcPr>
                  <w:tcW w:w="777" w:type="dxa"/>
                  <w:tcBorders>
                    <w:tl2br w:val="nil"/>
                    <w:tr2bl w:val="nil"/>
                  </w:tcBorders>
                  <w:vAlign w:val="center"/>
                </w:tcPr>
                <w:p w14:paraId="1423483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0.32</w:t>
                  </w:r>
                </w:p>
              </w:tc>
              <w:tc>
                <w:tcPr>
                  <w:tcW w:w="912" w:type="dxa"/>
                  <w:tcBorders>
                    <w:tl2br w:val="nil"/>
                    <w:tr2bl w:val="nil"/>
                  </w:tcBorders>
                  <w:vAlign w:val="center"/>
                </w:tcPr>
                <w:p w14:paraId="638EB21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1.87</w:t>
                  </w:r>
                  <w:r>
                    <w:rPr>
                      <w:rFonts w:hint="default" w:cs="Times New Roman"/>
                      <w:color w:val="auto"/>
                      <w:spacing w:val="-20"/>
                      <w:kern w:val="2"/>
                      <w:sz w:val="18"/>
                      <w:szCs w:val="18"/>
                      <w:highlight w:val="none"/>
                      <w:lang w:val="en-US" w:eastAsia="zh-CN" w:bidi="ar-SA"/>
                    </w:rPr>
                    <w:t>×</w:t>
                  </w:r>
                  <w:r>
                    <w:rPr>
                      <w:rFonts w:hint="eastAsia" w:cs="Times New Roman"/>
                      <w:color w:val="auto"/>
                      <w:spacing w:val="-20"/>
                      <w:kern w:val="2"/>
                      <w:sz w:val="18"/>
                      <w:szCs w:val="18"/>
                      <w:highlight w:val="none"/>
                      <w:lang w:val="en-US" w:eastAsia="zh-CN" w:bidi="ar-SA"/>
                    </w:rPr>
                    <w:t>10</w:t>
                  </w:r>
                  <w:r>
                    <w:rPr>
                      <w:rFonts w:hint="eastAsia" w:cs="Times New Roman"/>
                      <w:color w:val="auto"/>
                      <w:spacing w:val="-20"/>
                      <w:kern w:val="2"/>
                      <w:sz w:val="18"/>
                      <w:szCs w:val="18"/>
                      <w:highlight w:val="none"/>
                      <w:vertAlign w:val="superscript"/>
                      <w:lang w:val="en-US" w:eastAsia="zh-CN" w:bidi="ar-SA"/>
                    </w:rPr>
                    <w:t>-6</w:t>
                  </w:r>
                </w:p>
              </w:tc>
              <w:tc>
                <w:tcPr>
                  <w:tcW w:w="1028" w:type="dxa"/>
                  <w:tcBorders>
                    <w:tl2br w:val="nil"/>
                    <w:tr2bl w:val="nil"/>
                  </w:tcBorders>
                  <w:vAlign w:val="center"/>
                </w:tcPr>
                <w:p w14:paraId="3F051B9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850" w:type="dxa"/>
                  <w:tcBorders>
                    <w:tl2br w:val="nil"/>
                    <w:tr2bl w:val="nil"/>
                  </w:tcBorders>
                  <w:vAlign w:val="center"/>
                </w:tcPr>
                <w:p w14:paraId="701B81C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55" w:type="dxa"/>
                  <w:tcBorders>
                    <w:tl2br w:val="nil"/>
                    <w:tr2bl w:val="nil"/>
                  </w:tcBorders>
                  <w:shd w:val="clear" w:color="auto" w:fill="auto"/>
                  <w:vAlign w:val="center"/>
                </w:tcPr>
                <w:p w14:paraId="35B51F7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913" w:type="dxa"/>
                  <w:tcBorders>
                    <w:tl2br w:val="nil"/>
                    <w:tr2bl w:val="nil"/>
                  </w:tcBorders>
                  <w:vAlign w:val="center"/>
                </w:tcPr>
                <w:p w14:paraId="6CB3A61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1017" w:type="dxa"/>
                  <w:tcBorders>
                    <w:tl2br w:val="nil"/>
                    <w:tr2bl w:val="nil"/>
                  </w:tcBorders>
                  <w:vAlign w:val="center"/>
                </w:tcPr>
                <w:p w14:paraId="2F082C8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28AB25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3403A92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排放标准mg/m</w:t>
                  </w:r>
                  <w:r>
                    <w:rPr>
                      <w:rFonts w:hint="eastAsia" w:cs="Times New Roman"/>
                      <w:color w:val="auto"/>
                      <w:spacing w:val="-20"/>
                      <w:kern w:val="2"/>
                      <w:sz w:val="18"/>
                      <w:szCs w:val="18"/>
                      <w:highlight w:val="none"/>
                      <w:vertAlign w:val="superscript"/>
                      <w:lang w:val="en-US" w:eastAsia="zh-CN" w:bidi="ar-SA"/>
                    </w:rPr>
                    <w:t>3</w:t>
                  </w:r>
                </w:p>
              </w:tc>
              <w:tc>
                <w:tcPr>
                  <w:tcW w:w="777" w:type="dxa"/>
                  <w:tcBorders>
                    <w:tl2br w:val="nil"/>
                    <w:tr2bl w:val="nil"/>
                  </w:tcBorders>
                  <w:vAlign w:val="center"/>
                </w:tcPr>
                <w:p w14:paraId="17301F8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w:t>
                  </w:r>
                </w:p>
              </w:tc>
              <w:tc>
                <w:tcPr>
                  <w:tcW w:w="912" w:type="dxa"/>
                  <w:tcBorders>
                    <w:tl2br w:val="nil"/>
                    <w:tr2bl w:val="nil"/>
                  </w:tcBorders>
                  <w:vAlign w:val="center"/>
                </w:tcPr>
                <w:p w14:paraId="61B194F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45</w:t>
                  </w:r>
                </w:p>
              </w:tc>
              <w:tc>
                <w:tcPr>
                  <w:tcW w:w="1028" w:type="dxa"/>
                  <w:tcBorders>
                    <w:tl2br w:val="nil"/>
                    <w:tr2bl w:val="nil"/>
                  </w:tcBorders>
                  <w:vAlign w:val="center"/>
                </w:tcPr>
                <w:p w14:paraId="6EE423C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80</w:t>
                  </w:r>
                </w:p>
              </w:tc>
              <w:tc>
                <w:tcPr>
                  <w:tcW w:w="3535" w:type="dxa"/>
                  <w:gridSpan w:val="4"/>
                  <w:tcBorders>
                    <w:tl2br w:val="nil"/>
                    <w:tr2bl w:val="nil"/>
                  </w:tcBorders>
                  <w:vAlign w:val="center"/>
                </w:tcPr>
                <w:p w14:paraId="0F267CD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颗粒物＜1.0、HCl＜0.2、硫酸雾＜1.2、非甲烷总烃＜2.0</w:t>
                  </w:r>
                </w:p>
              </w:tc>
            </w:tr>
            <w:tr w14:paraId="2B918FA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5F35530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排放标准kg/h（排气筒高度20m时）</w:t>
                  </w:r>
                </w:p>
              </w:tc>
              <w:tc>
                <w:tcPr>
                  <w:tcW w:w="777" w:type="dxa"/>
                  <w:tcBorders>
                    <w:tl2br w:val="nil"/>
                    <w:tr2bl w:val="nil"/>
                  </w:tcBorders>
                  <w:vAlign w:val="center"/>
                </w:tcPr>
                <w:p w14:paraId="4171334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0.43</w:t>
                  </w:r>
                </w:p>
              </w:tc>
              <w:tc>
                <w:tcPr>
                  <w:tcW w:w="912" w:type="dxa"/>
                  <w:tcBorders>
                    <w:tl2br w:val="nil"/>
                    <w:tr2bl w:val="nil"/>
                  </w:tcBorders>
                  <w:vAlign w:val="center"/>
                </w:tcPr>
                <w:p w14:paraId="6D64101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2.6</w:t>
                  </w:r>
                </w:p>
              </w:tc>
              <w:tc>
                <w:tcPr>
                  <w:tcW w:w="1028" w:type="dxa"/>
                  <w:tcBorders>
                    <w:tl2br w:val="nil"/>
                    <w:tr2bl w:val="nil"/>
                  </w:tcBorders>
                  <w:vAlign w:val="center"/>
                </w:tcPr>
                <w:p w14:paraId="7384FE0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3535" w:type="dxa"/>
                  <w:gridSpan w:val="4"/>
                  <w:tcBorders>
                    <w:tl2br w:val="nil"/>
                    <w:tr2bl w:val="nil"/>
                  </w:tcBorders>
                  <w:vAlign w:val="center"/>
                </w:tcPr>
                <w:p w14:paraId="51FF2D3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4FEF650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712" w:type="dxa"/>
                  <w:gridSpan w:val="2"/>
                  <w:tcBorders>
                    <w:tl2br w:val="nil"/>
                    <w:tr2bl w:val="nil"/>
                  </w:tcBorders>
                  <w:vAlign w:val="center"/>
                </w:tcPr>
                <w:p w14:paraId="7D1AB14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达标情况</w:t>
                  </w:r>
                </w:p>
              </w:tc>
              <w:tc>
                <w:tcPr>
                  <w:tcW w:w="777" w:type="dxa"/>
                  <w:tcBorders>
                    <w:tl2br w:val="nil"/>
                    <w:tr2bl w:val="nil"/>
                  </w:tcBorders>
                  <w:vAlign w:val="center"/>
                </w:tcPr>
                <w:p w14:paraId="2B8D1A6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c>
                <w:tcPr>
                  <w:tcW w:w="912" w:type="dxa"/>
                  <w:tcBorders>
                    <w:tl2br w:val="nil"/>
                    <w:tr2bl w:val="nil"/>
                  </w:tcBorders>
                  <w:vAlign w:val="center"/>
                </w:tcPr>
                <w:p w14:paraId="2420F6A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c>
                <w:tcPr>
                  <w:tcW w:w="1028" w:type="dxa"/>
                  <w:tcBorders>
                    <w:tl2br w:val="nil"/>
                    <w:tr2bl w:val="nil"/>
                  </w:tcBorders>
                  <w:vAlign w:val="center"/>
                </w:tcPr>
                <w:p w14:paraId="4CE52FF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c>
                <w:tcPr>
                  <w:tcW w:w="3535" w:type="dxa"/>
                  <w:gridSpan w:val="4"/>
                  <w:tcBorders>
                    <w:tl2br w:val="nil"/>
                    <w:tr2bl w:val="nil"/>
                  </w:tcBorders>
                  <w:vAlign w:val="center"/>
                </w:tcPr>
                <w:p w14:paraId="0FDEE1F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达标</w:t>
                  </w:r>
                </w:p>
              </w:tc>
            </w:tr>
          </w:tbl>
          <w:p w14:paraId="6070714C">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1.2污染防治措施的可行性分析</w:t>
            </w:r>
          </w:p>
          <w:p w14:paraId="2EBD4CD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项目产生的废气量较小，经过采取上述措施后，能实现达标排放。实验室行业未出台相关污染防治可行技术指南和排污许可技术规范，</w:t>
            </w:r>
            <w:r>
              <w:rPr>
                <w:rFonts w:hint="eastAsia" w:ascii="Times New Roman" w:hAnsi="Times New Roman"/>
                <w:color w:val="auto"/>
                <w:sz w:val="21"/>
                <w:szCs w:val="21"/>
                <w:highlight w:val="none"/>
                <w:lang w:val="en-US" w:eastAsia="zh-CN"/>
              </w:rPr>
              <w:t>因此，</w:t>
            </w:r>
            <w:r>
              <w:rPr>
                <w:rFonts w:hint="eastAsia" w:ascii="Times New Roman" w:hAnsi="Times New Roman"/>
                <w:color w:val="auto"/>
                <w:sz w:val="21"/>
                <w:szCs w:val="21"/>
                <w:highlight w:val="none"/>
              </w:rPr>
              <w:t>本评价</w:t>
            </w:r>
            <w:r>
              <w:rPr>
                <w:rFonts w:hint="eastAsia" w:ascii="Times New Roman" w:hAnsi="Times New Roman"/>
                <w:color w:val="auto"/>
                <w:sz w:val="21"/>
                <w:szCs w:val="21"/>
                <w:highlight w:val="none"/>
                <w:lang w:val="en-US" w:eastAsia="zh-CN"/>
              </w:rPr>
              <w:t>将</w:t>
            </w:r>
            <w:r>
              <w:rPr>
                <w:rFonts w:hint="eastAsia" w:ascii="Times New Roman" w:hAnsi="Times New Roman"/>
                <w:color w:val="auto"/>
                <w:sz w:val="21"/>
                <w:szCs w:val="21"/>
                <w:highlight w:val="none"/>
              </w:rPr>
              <w:t>简要分析</w:t>
            </w:r>
            <w:r>
              <w:rPr>
                <w:rFonts w:hint="eastAsia" w:ascii="Times New Roman" w:hAnsi="Times New Roman"/>
                <w:color w:val="auto"/>
                <w:sz w:val="21"/>
                <w:szCs w:val="21"/>
                <w:highlight w:val="none"/>
                <w:lang w:val="en-US" w:eastAsia="zh-CN"/>
              </w:rPr>
              <w:t>污染防治措施</w:t>
            </w:r>
            <w:r>
              <w:rPr>
                <w:rFonts w:hint="eastAsia" w:ascii="Times New Roman" w:hAnsi="Times New Roman"/>
                <w:color w:val="auto"/>
                <w:sz w:val="21"/>
                <w:szCs w:val="21"/>
                <w:highlight w:val="none"/>
              </w:rPr>
              <w:t>可行性</w:t>
            </w:r>
            <w:r>
              <w:rPr>
                <w:rFonts w:hint="eastAsia" w:ascii="Times New Roman" w:hAnsi="Times New Roman"/>
                <w:color w:val="auto"/>
                <w:sz w:val="21"/>
                <w:szCs w:val="21"/>
                <w:highlight w:val="none"/>
                <w:lang w:eastAsia="zh-CN"/>
              </w:rPr>
              <w:t>。</w:t>
            </w:r>
          </w:p>
          <w:p w14:paraId="348E3A4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ascii="Times New Roman" w:hAnsi="Times New Roman"/>
                <w:color w:val="auto"/>
                <w:sz w:val="21"/>
                <w:szCs w:val="21"/>
                <w:lang w:val="en-US" w:eastAsia="zh-CN"/>
              </w:rPr>
              <w:t>活性炭废气净化器是一种干式废气处理设备，废气在风机的动力作用下，经过收集装置及管道进入主体治理设备一吸附器。吸附器内填充高效活性炭。活性炭的吸附能力在于它具有巨大的比表面积（高达</w:t>
            </w:r>
            <w:r>
              <w:rPr>
                <w:rFonts w:hint="default" w:ascii="Times New Roman" w:hAnsi="Times New Roman"/>
                <w:color w:val="auto"/>
                <w:sz w:val="21"/>
                <w:szCs w:val="21"/>
                <w:lang w:val="en-US" w:eastAsia="zh-CN"/>
              </w:rPr>
              <w:t>600~1500m</w:t>
            </w:r>
            <w:r>
              <w:rPr>
                <w:rFonts w:hint="default" w:ascii="Times New Roman" w:hAnsi="Times New Roman"/>
                <w:color w:val="auto"/>
                <w:sz w:val="21"/>
                <w:szCs w:val="21"/>
                <w:vertAlign w:val="superscript"/>
                <w:lang w:val="en-US" w:eastAsia="zh-CN"/>
              </w:rPr>
              <w:t>2</w:t>
            </w:r>
            <w:r>
              <w:rPr>
                <w:rFonts w:hint="default" w:ascii="Times New Roman" w:hAnsi="Times New Roman"/>
                <w:color w:val="auto"/>
                <w:sz w:val="21"/>
                <w:szCs w:val="21"/>
                <w:lang w:val="en-US" w:eastAsia="zh-CN"/>
              </w:rPr>
              <w:t>/g</w:t>
            </w:r>
            <w:r>
              <w:rPr>
                <w:rFonts w:hint="eastAsia" w:ascii="Times New Roman" w:hAnsi="Times New Roman"/>
                <w:color w:val="auto"/>
                <w:sz w:val="21"/>
                <w:szCs w:val="21"/>
                <w:lang w:val="en-US" w:eastAsia="zh-CN"/>
              </w:rPr>
              <w:t>），以及其精细的多孔表面构造。废气经过活性炭时，其中的一种或几种组分浓集在固体表面，从而与其他组分分开，气体得到净化处理。该方法几乎适用于所有的气相污染物，一般是中低浓度的气相污染物，具有去除效率高等优点。活性炭吸附的废气温度</w:t>
            </w:r>
            <w:r>
              <w:rPr>
                <w:rFonts w:hint="default" w:ascii="Times New Roman" w:hAnsi="Times New Roman"/>
                <w:color w:val="auto"/>
                <w:sz w:val="21"/>
                <w:szCs w:val="21"/>
                <w:lang w:val="en-US" w:eastAsia="zh-CN"/>
              </w:rPr>
              <w:t>≤40</w:t>
            </w:r>
            <w:r>
              <w:rPr>
                <w:rFonts w:hint="eastAsia" w:ascii="Times New Roman" w:hAnsi="Times New Roman"/>
                <w:color w:val="auto"/>
                <w:sz w:val="21"/>
                <w:szCs w:val="21"/>
                <w:lang w:val="en-US" w:eastAsia="zh-CN"/>
              </w:rPr>
              <w:t>℃，颗粒物浓度＜</w:t>
            </w:r>
            <w:r>
              <w:rPr>
                <w:rFonts w:hint="default" w:ascii="Times New Roman" w:hAnsi="Times New Roman"/>
                <w:color w:val="auto"/>
                <w:sz w:val="21"/>
                <w:szCs w:val="21"/>
                <w:lang w:val="en-US" w:eastAsia="zh-CN"/>
              </w:rPr>
              <w:t>1mg/m</w:t>
            </w:r>
            <w:r>
              <w:rPr>
                <w:rFonts w:hint="default" w:ascii="Times New Roman" w:hAnsi="Times New Roman"/>
                <w:color w:val="auto"/>
                <w:sz w:val="21"/>
                <w:szCs w:val="21"/>
                <w:vertAlign w:val="superscript"/>
                <w:lang w:val="en-US" w:eastAsia="zh-CN"/>
              </w:rPr>
              <w:t>3</w:t>
            </w:r>
            <w:r>
              <w:rPr>
                <w:rFonts w:hint="eastAsia" w:ascii="Times New Roman" w:hAnsi="Times New Roman"/>
                <w:color w:val="auto"/>
                <w:sz w:val="21"/>
                <w:szCs w:val="21"/>
                <w:lang w:val="en-US" w:eastAsia="zh-CN"/>
              </w:rPr>
              <w:t>，吸附单元吸附废气表观流速宜控制在</w:t>
            </w:r>
            <w:r>
              <w:rPr>
                <w:rFonts w:hint="default" w:ascii="Times New Roman" w:hAnsi="Times New Roman"/>
                <w:color w:val="auto"/>
                <w:sz w:val="21"/>
                <w:szCs w:val="21"/>
                <w:lang w:val="en-US" w:eastAsia="zh-CN"/>
              </w:rPr>
              <w:t>0.2m/s-0.6m/s</w:t>
            </w:r>
            <w:r>
              <w:rPr>
                <w:rFonts w:hint="eastAsia" w:ascii="Times New Roman" w:hAnsi="Times New Roman"/>
                <w:color w:val="auto"/>
                <w:sz w:val="21"/>
                <w:szCs w:val="21"/>
                <w:lang w:val="en-US" w:eastAsia="zh-CN"/>
              </w:rPr>
              <w:t xml:space="preserve">；活性炭吸附法对于处理大风量、低浓度的废气，国内外一致认为该法是比较成熟和可靠的技术。但由于活性炭本身对吸附气体有一定的饱和度，当活性炭达到饱和后需进行更换或再生，本项目每年更换一次活性炭，废活性炭为危险废物需交有资质单位收集处理，则对周围环境的影响较小。 </w:t>
            </w:r>
          </w:p>
          <w:p w14:paraId="50AFE866">
            <w:pPr>
              <w:pStyle w:val="22"/>
              <w:adjustRightInd w:val="0"/>
              <w:snapToGrid w:val="0"/>
              <w:spacing w:before="0" w:beforeAutospacing="0" w:after="0" w:afterAutospacing="0" w:line="440" w:lineRule="exact"/>
              <w:ind w:firstLine="420" w:firstLineChars="200"/>
              <w:rPr>
                <w:color w:val="auto"/>
              </w:rPr>
            </w:pPr>
            <w:r>
              <w:rPr>
                <w:rFonts w:hint="eastAsia" w:ascii="Times New Roman" w:hAnsi="Times New Roman"/>
                <w:color w:val="auto"/>
                <w:sz w:val="21"/>
                <w:szCs w:val="21"/>
                <w:lang w:val="en-US" w:eastAsia="zh-CN"/>
              </w:rPr>
              <w:t>本项目产生的废气属于小风量低浓度废气，经通风橱或集气罩收集后通过二级活性炭装置吸附处理。本项目</w:t>
            </w:r>
            <w:r>
              <w:rPr>
                <w:rFonts w:hint="eastAsia" w:ascii="Times New Roman" w:hAnsi="Times New Roman"/>
                <w:color w:val="auto"/>
                <w:sz w:val="21"/>
                <w:szCs w:val="21"/>
              </w:rPr>
              <w:t>活性炭</w:t>
            </w:r>
            <w:r>
              <w:rPr>
                <w:rFonts w:hint="eastAsia" w:ascii="Times New Roman" w:hAnsi="Times New Roman"/>
                <w:color w:val="auto"/>
                <w:sz w:val="21"/>
                <w:szCs w:val="21"/>
                <w:lang w:val="en-US" w:eastAsia="zh-CN"/>
              </w:rPr>
              <w:t>装填量为2</w:t>
            </w:r>
            <w:r>
              <w:rPr>
                <w:rFonts w:hint="eastAsia" w:ascii="Times New Roman" w:hAnsi="Times New Roman"/>
                <w:color w:val="auto"/>
                <w:sz w:val="21"/>
                <w:szCs w:val="21"/>
              </w:rPr>
              <w:t>m</w:t>
            </w:r>
            <w:r>
              <w:rPr>
                <w:rFonts w:hint="eastAsia" w:ascii="Times New Roman" w:hAnsi="Times New Roman"/>
                <w:color w:val="auto"/>
                <w:sz w:val="21"/>
                <w:szCs w:val="21"/>
                <w:vertAlign w:val="superscript"/>
              </w:rPr>
              <w:t>3</w:t>
            </w:r>
            <w:r>
              <w:rPr>
                <w:rFonts w:hint="eastAsia" w:ascii="Times New Roman" w:hAnsi="Times New Roman"/>
                <w:color w:val="auto"/>
                <w:sz w:val="21"/>
                <w:szCs w:val="21"/>
                <w:vertAlign w:val="baseline"/>
                <w:lang w:eastAsia="zh-CN"/>
              </w:rPr>
              <w:t>，</w:t>
            </w:r>
            <w:r>
              <w:rPr>
                <w:rFonts w:hint="eastAsia" w:ascii="Times New Roman" w:hAnsi="Times New Roman"/>
                <w:color w:val="auto"/>
                <w:sz w:val="21"/>
                <w:szCs w:val="21"/>
                <w:lang w:val="en-US" w:eastAsia="zh-CN"/>
              </w:rPr>
              <w:t>选用碘值</w:t>
            </w:r>
            <w:r>
              <w:rPr>
                <w:rFonts w:hint="eastAsia" w:ascii="Times New Roman" w:hAnsi="Times New Roman"/>
                <w:color w:val="auto"/>
                <w:sz w:val="21"/>
                <w:szCs w:val="21"/>
              </w:rPr>
              <w:t>8</w:t>
            </w:r>
            <w:r>
              <w:rPr>
                <w:rFonts w:ascii="Times New Roman" w:hAnsi="Times New Roman"/>
                <w:color w:val="auto"/>
                <w:sz w:val="21"/>
                <w:szCs w:val="21"/>
              </w:rPr>
              <w:t>00mg/g，</w:t>
            </w:r>
            <w:r>
              <w:rPr>
                <w:rFonts w:hint="eastAsia" w:ascii="Times New Roman" w:hAnsi="Times New Roman"/>
                <w:color w:val="auto"/>
                <w:sz w:val="21"/>
                <w:szCs w:val="21"/>
              </w:rPr>
              <w:t>比表面积1200m</w:t>
            </w:r>
            <w:r>
              <w:rPr>
                <w:rFonts w:hint="eastAsia" w:ascii="Times New Roman" w:hAnsi="Times New Roman"/>
                <w:color w:val="auto"/>
                <w:sz w:val="21"/>
                <w:szCs w:val="21"/>
                <w:vertAlign w:val="superscript"/>
              </w:rPr>
              <w:t>2</w:t>
            </w:r>
            <w:r>
              <w:rPr>
                <w:rFonts w:hint="eastAsia" w:ascii="Times New Roman" w:hAnsi="Times New Roman"/>
                <w:color w:val="auto"/>
                <w:sz w:val="21"/>
                <w:szCs w:val="21"/>
              </w:rPr>
              <w:t>/g</w:t>
            </w:r>
            <w:r>
              <w:rPr>
                <w:rFonts w:hint="eastAsia" w:ascii="Times New Roman" w:hAnsi="Times New Roman"/>
                <w:color w:val="auto"/>
                <w:sz w:val="21"/>
                <w:szCs w:val="21"/>
                <w:lang w:val="en-US" w:eastAsia="zh-CN"/>
              </w:rPr>
              <w:t>的蜂窝活性炭，该活性炭比表面积和孔隙率大，吸附能力强，具有较好的机械强度、化学稳定性和热稳定性。项目采用二级活性炭装置吸附处理后，排放污染物满足相应有组织排放标准，对周围环境影响较小，属于污染防治可行技术。</w:t>
            </w:r>
          </w:p>
          <w:p w14:paraId="01DF96BC">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1.3排放口基本情况</w:t>
            </w:r>
          </w:p>
          <w:p w14:paraId="7A09B12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拟建项目废气污染源排放口基本情况详见下表。</w:t>
            </w:r>
          </w:p>
          <w:p w14:paraId="594E33D0">
            <w:pPr>
              <w:keepNext w:val="0"/>
              <w:keepLines w:val="0"/>
              <w:pageBreakBefore w:val="0"/>
              <w:kinsoku/>
              <w:wordWrap/>
              <w:overflowPunct/>
              <w:topLinePunct w:val="0"/>
              <w:autoSpaceDE/>
              <w:autoSpaceDN/>
              <w:bidi w:val="0"/>
              <w:spacing w:line="440" w:lineRule="exact"/>
              <w:ind w:firstLine="422" w:firstLineChars="200"/>
              <w:jc w:val="center"/>
              <w:textAlignment w:val="auto"/>
              <w:rPr>
                <w:b/>
                <w:snapToGrid w:val="0"/>
                <w:color w:val="auto"/>
                <w:kern w:val="0"/>
                <w:highlight w:val="none"/>
                <w:lang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 xml:space="preserve">25 </w:t>
            </w:r>
            <w:r>
              <w:rPr>
                <w:rFonts w:hint="eastAsia"/>
                <w:b/>
                <w:snapToGrid w:val="0"/>
                <w:color w:val="auto"/>
                <w:kern w:val="0"/>
                <w:highlight w:val="none"/>
                <w:lang w:bidi="ar"/>
              </w:rPr>
              <w:t xml:space="preserve"> 废气污染源排放口基本情况一览表</w:t>
            </w:r>
          </w:p>
          <w:tbl>
            <w:tblPr>
              <w:tblStyle w:val="26"/>
              <w:tblW w:w="7977" w:type="dxa"/>
              <w:tblInd w:w="-8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86"/>
              <w:gridCol w:w="1175"/>
              <w:gridCol w:w="782"/>
              <w:gridCol w:w="525"/>
              <w:gridCol w:w="669"/>
              <w:gridCol w:w="542"/>
              <w:gridCol w:w="516"/>
              <w:gridCol w:w="1022"/>
              <w:gridCol w:w="943"/>
              <w:gridCol w:w="1417"/>
            </w:tblGrid>
            <w:tr w14:paraId="2FA943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386" w:type="dxa"/>
                  <w:vMerge w:val="restart"/>
                  <w:tcBorders>
                    <w:tl2br w:val="nil"/>
                    <w:tr2bl w:val="nil"/>
                  </w:tcBorders>
                  <w:shd w:val="clear" w:color="auto" w:fill="auto"/>
                  <w:vAlign w:val="center"/>
                </w:tcPr>
                <w:p w14:paraId="06D50979">
                  <w:pPr>
                    <w:jc w:val="center"/>
                    <w:rPr>
                      <w:color w:val="auto"/>
                      <w:spacing w:val="-20"/>
                      <w:sz w:val="18"/>
                      <w:szCs w:val="18"/>
                      <w:highlight w:val="none"/>
                    </w:rPr>
                  </w:pPr>
                  <w:r>
                    <w:rPr>
                      <w:rFonts w:hint="eastAsia"/>
                      <w:color w:val="auto"/>
                      <w:spacing w:val="-20"/>
                      <w:sz w:val="18"/>
                      <w:szCs w:val="18"/>
                      <w:highlight w:val="none"/>
                    </w:rPr>
                    <w:t>序号</w:t>
                  </w:r>
                </w:p>
              </w:tc>
              <w:tc>
                <w:tcPr>
                  <w:tcW w:w="1175" w:type="dxa"/>
                  <w:vMerge w:val="restart"/>
                  <w:tcBorders>
                    <w:tl2br w:val="nil"/>
                    <w:tr2bl w:val="nil"/>
                  </w:tcBorders>
                  <w:shd w:val="clear" w:color="auto" w:fill="auto"/>
                  <w:vAlign w:val="center"/>
                </w:tcPr>
                <w:p w14:paraId="08E602BC">
                  <w:pPr>
                    <w:jc w:val="center"/>
                    <w:rPr>
                      <w:color w:val="auto"/>
                      <w:spacing w:val="-20"/>
                      <w:sz w:val="18"/>
                      <w:szCs w:val="18"/>
                      <w:highlight w:val="none"/>
                    </w:rPr>
                  </w:pPr>
                  <w:r>
                    <w:rPr>
                      <w:rFonts w:hint="eastAsia"/>
                      <w:color w:val="auto"/>
                      <w:spacing w:val="-20"/>
                      <w:sz w:val="18"/>
                      <w:szCs w:val="18"/>
                      <w:highlight w:val="none"/>
                    </w:rPr>
                    <w:t>产污环节</w:t>
                  </w:r>
                </w:p>
              </w:tc>
              <w:tc>
                <w:tcPr>
                  <w:tcW w:w="782" w:type="dxa"/>
                  <w:vMerge w:val="restart"/>
                  <w:tcBorders>
                    <w:tl2br w:val="nil"/>
                    <w:tr2bl w:val="nil"/>
                  </w:tcBorders>
                  <w:shd w:val="clear" w:color="auto" w:fill="auto"/>
                  <w:vAlign w:val="center"/>
                </w:tcPr>
                <w:p w14:paraId="08438379">
                  <w:pPr>
                    <w:jc w:val="center"/>
                    <w:rPr>
                      <w:color w:val="auto"/>
                      <w:spacing w:val="-20"/>
                      <w:sz w:val="18"/>
                      <w:szCs w:val="18"/>
                      <w:highlight w:val="none"/>
                    </w:rPr>
                  </w:pPr>
                  <w:r>
                    <w:rPr>
                      <w:rFonts w:hint="eastAsia"/>
                      <w:color w:val="auto"/>
                      <w:spacing w:val="-20"/>
                      <w:sz w:val="18"/>
                      <w:szCs w:val="18"/>
                      <w:highlight w:val="none"/>
                    </w:rPr>
                    <w:t>污染</w:t>
                  </w:r>
                </w:p>
                <w:p w14:paraId="713AD1A9">
                  <w:pPr>
                    <w:jc w:val="center"/>
                    <w:rPr>
                      <w:color w:val="auto"/>
                      <w:spacing w:val="-20"/>
                      <w:sz w:val="18"/>
                      <w:szCs w:val="18"/>
                      <w:highlight w:val="none"/>
                    </w:rPr>
                  </w:pPr>
                  <w:r>
                    <w:rPr>
                      <w:rFonts w:hint="eastAsia"/>
                      <w:color w:val="auto"/>
                      <w:spacing w:val="-20"/>
                      <w:sz w:val="18"/>
                      <w:szCs w:val="18"/>
                      <w:highlight w:val="none"/>
                    </w:rPr>
                    <w:t>因子</w:t>
                  </w:r>
                </w:p>
              </w:tc>
              <w:tc>
                <w:tcPr>
                  <w:tcW w:w="4217" w:type="dxa"/>
                  <w:gridSpan w:val="6"/>
                  <w:tcBorders>
                    <w:tl2br w:val="nil"/>
                    <w:tr2bl w:val="nil"/>
                  </w:tcBorders>
                  <w:shd w:val="clear" w:color="auto" w:fill="auto"/>
                  <w:vAlign w:val="center"/>
                </w:tcPr>
                <w:p w14:paraId="37B25AD7">
                  <w:pPr>
                    <w:jc w:val="center"/>
                    <w:rPr>
                      <w:color w:val="auto"/>
                      <w:spacing w:val="-20"/>
                      <w:sz w:val="18"/>
                      <w:szCs w:val="18"/>
                      <w:highlight w:val="none"/>
                    </w:rPr>
                  </w:pPr>
                  <w:r>
                    <w:rPr>
                      <w:rFonts w:hint="eastAsia"/>
                      <w:color w:val="auto"/>
                      <w:spacing w:val="-20"/>
                      <w:sz w:val="18"/>
                      <w:szCs w:val="18"/>
                      <w:highlight w:val="none"/>
                    </w:rPr>
                    <w:t>排放口基本情况</w:t>
                  </w:r>
                </w:p>
              </w:tc>
              <w:tc>
                <w:tcPr>
                  <w:tcW w:w="1417" w:type="dxa"/>
                  <w:vMerge w:val="restart"/>
                  <w:tcBorders>
                    <w:tl2br w:val="nil"/>
                    <w:tr2bl w:val="nil"/>
                  </w:tcBorders>
                  <w:shd w:val="clear" w:color="auto" w:fill="auto"/>
                  <w:vAlign w:val="center"/>
                </w:tcPr>
                <w:p w14:paraId="1A95BD04">
                  <w:pPr>
                    <w:jc w:val="center"/>
                    <w:rPr>
                      <w:rFonts w:hint="eastAsia" w:ascii="Times New Roman" w:hAnsi="Times New Roman" w:cs="Times New Roman"/>
                      <w:color w:val="auto"/>
                      <w:spacing w:val="-20"/>
                      <w:sz w:val="18"/>
                      <w:szCs w:val="18"/>
                      <w:highlight w:val="none"/>
                    </w:rPr>
                  </w:pPr>
                  <w:r>
                    <w:rPr>
                      <w:rFonts w:hint="eastAsia" w:ascii="Times New Roman" w:hAnsi="Times New Roman" w:cs="Times New Roman"/>
                      <w:color w:val="auto"/>
                      <w:spacing w:val="-20"/>
                      <w:sz w:val="18"/>
                      <w:szCs w:val="18"/>
                      <w:highlight w:val="none"/>
                    </w:rPr>
                    <w:t>排放标准</w:t>
                  </w:r>
                </w:p>
              </w:tc>
            </w:tr>
            <w:tr w14:paraId="04C918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386" w:type="dxa"/>
                  <w:vMerge w:val="continue"/>
                  <w:tcBorders>
                    <w:tl2br w:val="nil"/>
                    <w:tr2bl w:val="nil"/>
                  </w:tcBorders>
                  <w:shd w:val="clear" w:color="auto" w:fill="auto"/>
                  <w:vAlign w:val="center"/>
                </w:tcPr>
                <w:p w14:paraId="02CC0790">
                  <w:pPr>
                    <w:jc w:val="center"/>
                    <w:rPr>
                      <w:color w:val="auto"/>
                      <w:spacing w:val="-20"/>
                      <w:sz w:val="18"/>
                      <w:szCs w:val="18"/>
                      <w:highlight w:val="none"/>
                    </w:rPr>
                  </w:pPr>
                </w:p>
              </w:tc>
              <w:tc>
                <w:tcPr>
                  <w:tcW w:w="1175" w:type="dxa"/>
                  <w:vMerge w:val="continue"/>
                  <w:tcBorders>
                    <w:tl2br w:val="nil"/>
                    <w:tr2bl w:val="nil"/>
                  </w:tcBorders>
                  <w:shd w:val="clear" w:color="auto" w:fill="auto"/>
                  <w:vAlign w:val="center"/>
                </w:tcPr>
                <w:p w14:paraId="7FEBB44A">
                  <w:pPr>
                    <w:jc w:val="center"/>
                    <w:rPr>
                      <w:color w:val="auto"/>
                      <w:spacing w:val="-20"/>
                      <w:sz w:val="18"/>
                      <w:szCs w:val="18"/>
                      <w:highlight w:val="none"/>
                    </w:rPr>
                  </w:pPr>
                </w:p>
              </w:tc>
              <w:tc>
                <w:tcPr>
                  <w:tcW w:w="782" w:type="dxa"/>
                  <w:vMerge w:val="continue"/>
                  <w:tcBorders>
                    <w:tl2br w:val="nil"/>
                    <w:tr2bl w:val="nil"/>
                  </w:tcBorders>
                  <w:shd w:val="clear" w:color="auto" w:fill="auto"/>
                  <w:vAlign w:val="center"/>
                </w:tcPr>
                <w:p w14:paraId="3120B8E9">
                  <w:pPr>
                    <w:jc w:val="center"/>
                    <w:rPr>
                      <w:color w:val="auto"/>
                      <w:spacing w:val="-20"/>
                      <w:sz w:val="18"/>
                      <w:szCs w:val="18"/>
                      <w:highlight w:val="none"/>
                    </w:rPr>
                  </w:pPr>
                </w:p>
              </w:tc>
              <w:tc>
                <w:tcPr>
                  <w:tcW w:w="525" w:type="dxa"/>
                  <w:vMerge w:val="restart"/>
                  <w:tcBorders>
                    <w:tl2br w:val="nil"/>
                    <w:tr2bl w:val="nil"/>
                  </w:tcBorders>
                  <w:shd w:val="clear" w:color="auto" w:fill="auto"/>
                  <w:vAlign w:val="center"/>
                </w:tcPr>
                <w:p w14:paraId="774ABE32">
                  <w:pPr>
                    <w:jc w:val="center"/>
                    <w:rPr>
                      <w:color w:val="auto"/>
                      <w:spacing w:val="-20"/>
                      <w:sz w:val="18"/>
                      <w:szCs w:val="18"/>
                      <w:highlight w:val="none"/>
                    </w:rPr>
                  </w:pPr>
                  <w:r>
                    <w:rPr>
                      <w:rFonts w:hint="eastAsia"/>
                      <w:color w:val="auto"/>
                      <w:spacing w:val="-20"/>
                      <w:sz w:val="18"/>
                      <w:szCs w:val="18"/>
                      <w:highlight w:val="none"/>
                    </w:rPr>
                    <w:t>高度</w:t>
                  </w:r>
                </w:p>
              </w:tc>
              <w:tc>
                <w:tcPr>
                  <w:tcW w:w="669" w:type="dxa"/>
                  <w:vMerge w:val="restart"/>
                  <w:tcBorders>
                    <w:tl2br w:val="nil"/>
                    <w:tr2bl w:val="nil"/>
                  </w:tcBorders>
                  <w:shd w:val="clear" w:color="auto" w:fill="auto"/>
                  <w:vAlign w:val="center"/>
                </w:tcPr>
                <w:p w14:paraId="6F418E99">
                  <w:pPr>
                    <w:jc w:val="center"/>
                    <w:rPr>
                      <w:color w:val="auto"/>
                      <w:spacing w:val="-20"/>
                      <w:sz w:val="18"/>
                      <w:szCs w:val="18"/>
                      <w:highlight w:val="none"/>
                    </w:rPr>
                  </w:pPr>
                  <w:r>
                    <w:rPr>
                      <w:rFonts w:hint="eastAsia"/>
                      <w:color w:val="auto"/>
                      <w:spacing w:val="-20"/>
                      <w:sz w:val="18"/>
                      <w:szCs w:val="18"/>
                      <w:highlight w:val="none"/>
                    </w:rPr>
                    <w:t>排气筒内径</w:t>
                  </w:r>
                </w:p>
              </w:tc>
              <w:tc>
                <w:tcPr>
                  <w:tcW w:w="542" w:type="dxa"/>
                  <w:vMerge w:val="restart"/>
                  <w:tcBorders>
                    <w:tl2br w:val="nil"/>
                    <w:tr2bl w:val="nil"/>
                  </w:tcBorders>
                  <w:shd w:val="clear" w:color="auto" w:fill="auto"/>
                  <w:vAlign w:val="center"/>
                </w:tcPr>
                <w:p w14:paraId="1651F10F">
                  <w:pPr>
                    <w:jc w:val="center"/>
                    <w:rPr>
                      <w:color w:val="auto"/>
                      <w:spacing w:val="-20"/>
                      <w:sz w:val="18"/>
                      <w:szCs w:val="18"/>
                      <w:highlight w:val="none"/>
                    </w:rPr>
                  </w:pPr>
                  <w:r>
                    <w:rPr>
                      <w:rFonts w:hint="eastAsia"/>
                      <w:color w:val="auto"/>
                      <w:spacing w:val="-20"/>
                      <w:sz w:val="18"/>
                      <w:szCs w:val="18"/>
                      <w:highlight w:val="none"/>
                    </w:rPr>
                    <w:t>温度</w:t>
                  </w:r>
                </w:p>
              </w:tc>
              <w:tc>
                <w:tcPr>
                  <w:tcW w:w="516" w:type="dxa"/>
                  <w:vMerge w:val="restart"/>
                  <w:tcBorders>
                    <w:tl2br w:val="nil"/>
                    <w:tr2bl w:val="nil"/>
                  </w:tcBorders>
                  <w:shd w:val="clear" w:color="auto" w:fill="auto"/>
                  <w:vAlign w:val="center"/>
                </w:tcPr>
                <w:p w14:paraId="0778716E">
                  <w:pPr>
                    <w:jc w:val="center"/>
                    <w:rPr>
                      <w:color w:val="auto"/>
                      <w:spacing w:val="-20"/>
                      <w:sz w:val="18"/>
                      <w:szCs w:val="18"/>
                      <w:highlight w:val="none"/>
                    </w:rPr>
                  </w:pPr>
                  <w:r>
                    <w:rPr>
                      <w:rFonts w:hint="eastAsia"/>
                      <w:color w:val="auto"/>
                      <w:spacing w:val="-20"/>
                      <w:sz w:val="18"/>
                      <w:szCs w:val="18"/>
                      <w:highlight w:val="none"/>
                    </w:rPr>
                    <w:t>编号</w:t>
                  </w:r>
                </w:p>
              </w:tc>
              <w:tc>
                <w:tcPr>
                  <w:tcW w:w="1965" w:type="dxa"/>
                  <w:gridSpan w:val="2"/>
                  <w:tcBorders>
                    <w:tl2br w:val="nil"/>
                    <w:tr2bl w:val="nil"/>
                  </w:tcBorders>
                  <w:shd w:val="clear" w:color="auto" w:fill="auto"/>
                  <w:vAlign w:val="center"/>
                </w:tcPr>
                <w:p w14:paraId="59E83564">
                  <w:pPr>
                    <w:pStyle w:val="22"/>
                    <w:jc w:val="center"/>
                    <w:rPr>
                      <w:color w:val="auto"/>
                      <w:spacing w:val="-20"/>
                      <w:sz w:val="18"/>
                      <w:szCs w:val="18"/>
                      <w:highlight w:val="none"/>
                    </w:rPr>
                  </w:pPr>
                  <w:r>
                    <w:rPr>
                      <w:rFonts w:hint="eastAsia" w:ascii="Times New Roman" w:hAnsi="Times New Roman"/>
                      <w:color w:val="auto"/>
                      <w:spacing w:val="-20"/>
                      <w:sz w:val="18"/>
                      <w:szCs w:val="18"/>
                      <w:highlight w:val="none"/>
                    </w:rPr>
                    <w:t>地理坐标</w:t>
                  </w:r>
                </w:p>
              </w:tc>
              <w:tc>
                <w:tcPr>
                  <w:tcW w:w="1417" w:type="dxa"/>
                  <w:vMerge w:val="continue"/>
                  <w:tcBorders>
                    <w:tl2br w:val="nil"/>
                    <w:tr2bl w:val="nil"/>
                  </w:tcBorders>
                  <w:shd w:val="clear" w:color="auto" w:fill="auto"/>
                  <w:vAlign w:val="center"/>
                </w:tcPr>
                <w:p w14:paraId="6ECD7661">
                  <w:pPr>
                    <w:jc w:val="center"/>
                    <w:rPr>
                      <w:rFonts w:hint="eastAsia" w:ascii="Times New Roman" w:hAnsi="Times New Roman" w:cs="Times New Roman"/>
                      <w:color w:val="auto"/>
                      <w:spacing w:val="-20"/>
                      <w:sz w:val="18"/>
                      <w:szCs w:val="18"/>
                      <w:highlight w:val="none"/>
                    </w:rPr>
                  </w:pPr>
                </w:p>
              </w:tc>
            </w:tr>
            <w:tr w14:paraId="775D9F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386" w:type="dxa"/>
                  <w:vMerge w:val="continue"/>
                  <w:tcBorders>
                    <w:tl2br w:val="nil"/>
                    <w:tr2bl w:val="nil"/>
                  </w:tcBorders>
                  <w:shd w:val="clear" w:color="auto" w:fill="auto"/>
                  <w:vAlign w:val="center"/>
                </w:tcPr>
                <w:p w14:paraId="39CFBFB5">
                  <w:pPr>
                    <w:jc w:val="center"/>
                    <w:rPr>
                      <w:color w:val="auto"/>
                      <w:spacing w:val="-20"/>
                      <w:sz w:val="18"/>
                      <w:szCs w:val="18"/>
                      <w:highlight w:val="none"/>
                    </w:rPr>
                  </w:pPr>
                </w:p>
              </w:tc>
              <w:tc>
                <w:tcPr>
                  <w:tcW w:w="1175" w:type="dxa"/>
                  <w:vMerge w:val="continue"/>
                  <w:tcBorders>
                    <w:tl2br w:val="nil"/>
                    <w:tr2bl w:val="nil"/>
                  </w:tcBorders>
                  <w:shd w:val="clear" w:color="auto" w:fill="auto"/>
                  <w:vAlign w:val="center"/>
                </w:tcPr>
                <w:p w14:paraId="1F40BC60">
                  <w:pPr>
                    <w:jc w:val="center"/>
                    <w:rPr>
                      <w:color w:val="auto"/>
                      <w:spacing w:val="-20"/>
                      <w:sz w:val="18"/>
                      <w:szCs w:val="18"/>
                      <w:highlight w:val="none"/>
                    </w:rPr>
                  </w:pPr>
                </w:p>
              </w:tc>
              <w:tc>
                <w:tcPr>
                  <w:tcW w:w="782" w:type="dxa"/>
                  <w:vMerge w:val="continue"/>
                  <w:tcBorders>
                    <w:tl2br w:val="nil"/>
                    <w:tr2bl w:val="nil"/>
                  </w:tcBorders>
                  <w:shd w:val="clear" w:color="auto" w:fill="auto"/>
                  <w:vAlign w:val="center"/>
                </w:tcPr>
                <w:p w14:paraId="4C3189DF">
                  <w:pPr>
                    <w:jc w:val="center"/>
                    <w:rPr>
                      <w:color w:val="auto"/>
                      <w:spacing w:val="-20"/>
                      <w:sz w:val="18"/>
                      <w:szCs w:val="18"/>
                      <w:highlight w:val="none"/>
                    </w:rPr>
                  </w:pPr>
                </w:p>
              </w:tc>
              <w:tc>
                <w:tcPr>
                  <w:tcW w:w="525" w:type="dxa"/>
                  <w:vMerge w:val="continue"/>
                  <w:tcBorders>
                    <w:tl2br w:val="nil"/>
                    <w:tr2bl w:val="nil"/>
                  </w:tcBorders>
                  <w:shd w:val="clear" w:color="auto" w:fill="auto"/>
                  <w:vAlign w:val="center"/>
                </w:tcPr>
                <w:p w14:paraId="358F13D4">
                  <w:pPr>
                    <w:jc w:val="center"/>
                    <w:rPr>
                      <w:color w:val="auto"/>
                      <w:spacing w:val="-20"/>
                      <w:sz w:val="18"/>
                      <w:szCs w:val="18"/>
                      <w:highlight w:val="none"/>
                    </w:rPr>
                  </w:pPr>
                </w:p>
              </w:tc>
              <w:tc>
                <w:tcPr>
                  <w:tcW w:w="669" w:type="dxa"/>
                  <w:vMerge w:val="continue"/>
                  <w:tcBorders>
                    <w:tl2br w:val="nil"/>
                    <w:tr2bl w:val="nil"/>
                  </w:tcBorders>
                  <w:shd w:val="clear" w:color="auto" w:fill="auto"/>
                  <w:vAlign w:val="center"/>
                </w:tcPr>
                <w:p w14:paraId="022FA2BE">
                  <w:pPr>
                    <w:jc w:val="center"/>
                    <w:rPr>
                      <w:color w:val="auto"/>
                      <w:spacing w:val="-20"/>
                      <w:sz w:val="18"/>
                      <w:szCs w:val="18"/>
                      <w:highlight w:val="none"/>
                    </w:rPr>
                  </w:pPr>
                </w:p>
              </w:tc>
              <w:tc>
                <w:tcPr>
                  <w:tcW w:w="542" w:type="dxa"/>
                  <w:vMerge w:val="continue"/>
                  <w:tcBorders>
                    <w:tl2br w:val="nil"/>
                    <w:tr2bl w:val="nil"/>
                  </w:tcBorders>
                  <w:shd w:val="clear" w:color="auto" w:fill="auto"/>
                  <w:vAlign w:val="center"/>
                </w:tcPr>
                <w:p w14:paraId="59738F05">
                  <w:pPr>
                    <w:jc w:val="center"/>
                    <w:rPr>
                      <w:color w:val="auto"/>
                      <w:spacing w:val="-20"/>
                      <w:sz w:val="18"/>
                      <w:szCs w:val="18"/>
                      <w:highlight w:val="none"/>
                    </w:rPr>
                  </w:pPr>
                </w:p>
              </w:tc>
              <w:tc>
                <w:tcPr>
                  <w:tcW w:w="516" w:type="dxa"/>
                  <w:vMerge w:val="continue"/>
                  <w:tcBorders>
                    <w:tl2br w:val="nil"/>
                    <w:tr2bl w:val="nil"/>
                  </w:tcBorders>
                  <w:shd w:val="clear" w:color="auto" w:fill="auto"/>
                  <w:vAlign w:val="center"/>
                </w:tcPr>
                <w:p w14:paraId="288E80DE">
                  <w:pPr>
                    <w:jc w:val="center"/>
                    <w:rPr>
                      <w:color w:val="auto"/>
                      <w:spacing w:val="-20"/>
                      <w:sz w:val="18"/>
                      <w:szCs w:val="18"/>
                      <w:highlight w:val="none"/>
                    </w:rPr>
                  </w:pPr>
                </w:p>
              </w:tc>
              <w:tc>
                <w:tcPr>
                  <w:tcW w:w="1022" w:type="dxa"/>
                  <w:tcBorders>
                    <w:tl2br w:val="nil"/>
                    <w:tr2bl w:val="nil"/>
                  </w:tcBorders>
                  <w:shd w:val="clear" w:color="auto" w:fill="auto"/>
                  <w:vAlign w:val="center"/>
                </w:tcPr>
                <w:p w14:paraId="204C101F">
                  <w:pPr>
                    <w:jc w:val="center"/>
                    <w:rPr>
                      <w:color w:val="auto"/>
                      <w:spacing w:val="-20"/>
                      <w:sz w:val="18"/>
                      <w:szCs w:val="18"/>
                      <w:highlight w:val="none"/>
                    </w:rPr>
                  </w:pPr>
                  <w:r>
                    <w:rPr>
                      <w:rFonts w:hint="eastAsia"/>
                      <w:color w:val="auto"/>
                      <w:spacing w:val="-20"/>
                      <w:sz w:val="18"/>
                      <w:szCs w:val="18"/>
                      <w:highlight w:val="none"/>
                    </w:rPr>
                    <w:t>经度</w:t>
                  </w:r>
                </w:p>
              </w:tc>
              <w:tc>
                <w:tcPr>
                  <w:tcW w:w="943" w:type="dxa"/>
                  <w:tcBorders>
                    <w:tl2br w:val="nil"/>
                    <w:tr2bl w:val="nil"/>
                  </w:tcBorders>
                  <w:shd w:val="clear" w:color="auto" w:fill="auto"/>
                  <w:vAlign w:val="center"/>
                </w:tcPr>
                <w:p w14:paraId="27BF7A10">
                  <w:pPr>
                    <w:pStyle w:val="22"/>
                    <w:jc w:val="center"/>
                    <w:rPr>
                      <w:color w:val="auto"/>
                      <w:spacing w:val="-20"/>
                      <w:sz w:val="18"/>
                      <w:szCs w:val="18"/>
                      <w:highlight w:val="none"/>
                    </w:rPr>
                  </w:pPr>
                  <w:r>
                    <w:rPr>
                      <w:rFonts w:hint="eastAsia"/>
                      <w:color w:val="auto"/>
                      <w:spacing w:val="-20"/>
                      <w:sz w:val="18"/>
                      <w:szCs w:val="18"/>
                      <w:highlight w:val="none"/>
                    </w:rPr>
                    <w:t>纬度</w:t>
                  </w:r>
                </w:p>
              </w:tc>
              <w:tc>
                <w:tcPr>
                  <w:tcW w:w="1417" w:type="dxa"/>
                  <w:vMerge w:val="continue"/>
                  <w:tcBorders>
                    <w:tl2br w:val="nil"/>
                    <w:tr2bl w:val="nil"/>
                  </w:tcBorders>
                  <w:shd w:val="clear" w:color="auto" w:fill="auto"/>
                  <w:vAlign w:val="center"/>
                </w:tcPr>
                <w:p w14:paraId="2772A4A2">
                  <w:pPr>
                    <w:jc w:val="center"/>
                    <w:rPr>
                      <w:rFonts w:hint="eastAsia" w:ascii="Times New Roman" w:hAnsi="Times New Roman" w:cs="Times New Roman"/>
                      <w:color w:val="auto"/>
                      <w:spacing w:val="-20"/>
                      <w:sz w:val="18"/>
                      <w:szCs w:val="18"/>
                      <w:highlight w:val="none"/>
                    </w:rPr>
                  </w:pPr>
                </w:p>
              </w:tc>
            </w:tr>
            <w:tr w14:paraId="0D93EB1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386" w:type="dxa"/>
                  <w:vMerge w:val="restart"/>
                  <w:tcBorders>
                    <w:tl2br w:val="nil"/>
                    <w:tr2bl w:val="nil"/>
                  </w:tcBorders>
                  <w:shd w:val="clear" w:color="auto" w:fill="auto"/>
                  <w:vAlign w:val="center"/>
                </w:tcPr>
                <w:p w14:paraId="5FD188E5">
                  <w:pPr>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1</w:t>
                  </w:r>
                </w:p>
              </w:tc>
              <w:tc>
                <w:tcPr>
                  <w:tcW w:w="1175" w:type="dxa"/>
                  <w:vMerge w:val="restart"/>
                  <w:tcBorders>
                    <w:tl2br w:val="nil"/>
                    <w:tr2bl w:val="nil"/>
                  </w:tcBorders>
                  <w:shd w:val="clear" w:color="auto" w:fill="auto"/>
                  <w:vAlign w:val="center"/>
                </w:tcPr>
                <w:p w14:paraId="0F9F42F1">
                  <w:pPr>
                    <w:jc w:val="center"/>
                    <w:rPr>
                      <w:rFonts w:hint="eastAsia" w:ascii="Times New Roman" w:hAnsi="Times New Roman" w:eastAsia="宋体" w:cs="Times New Roman"/>
                      <w:color w:val="auto"/>
                      <w:spacing w:val="-10"/>
                      <w:sz w:val="18"/>
                      <w:szCs w:val="18"/>
                      <w:highlight w:val="none"/>
                    </w:rPr>
                  </w:pPr>
                  <w:r>
                    <w:rPr>
                      <w:rFonts w:hint="eastAsia" w:cs="Times New Roman"/>
                      <w:color w:val="auto"/>
                      <w:spacing w:val="-20"/>
                      <w:kern w:val="2"/>
                      <w:sz w:val="18"/>
                      <w:szCs w:val="18"/>
                      <w:highlight w:val="none"/>
                      <w:lang w:val="en-US" w:eastAsia="zh-CN" w:bidi="ar-SA"/>
                    </w:rPr>
                    <w:t>理化一室、理化二室、测油室、离子色谱室、气质一室、气质二室、色谱室、半挥发前处理室</w:t>
                  </w:r>
                </w:p>
              </w:tc>
              <w:tc>
                <w:tcPr>
                  <w:tcW w:w="782" w:type="dxa"/>
                  <w:tcBorders>
                    <w:tl2br w:val="nil"/>
                    <w:tr2bl w:val="nil"/>
                  </w:tcBorders>
                  <w:shd w:val="clear" w:color="auto" w:fill="auto"/>
                  <w:vAlign w:val="center"/>
                </w:tcPr>
                <w:p w14:paraId="16B4EB06">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525" w:type="dxa"/>
                  <w:vMerge w:val="restart"/>
                  <w:tcBorders>
                    <w:tl2br w:val="nil"/>
                    <w:tr2bl w:val="nil"/>
                  </w:tcBorders>
                  <w:shd w:val="clear" w:color="auto" w:fill="auto"/>
                  <w:vAlign w:val="center"/>
                </w:tcPr>
                <w:p w14:paraId="4392337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20</w:t>
                  </w:r>
                  <w:r>
                    <w:rPr>
                      <w:rFonts w:hint="eastAsia"/>
                      <w:color w:val="auto"/>
                      <w:spacing w:val="-20"/>
                      <w:sz w:val="18"/>
                      <w:szCs w:val="18"/>
                      <w:highlight w:val="none"/>
                    </w:rPr>
                    <w:t>m</w:t>
                  </w:r>
                </w:p>
              </w:tc>
              <w:tc>
                <w:tcPr>
                  <w:tcW w:w="669" w:type="dxa"/>
                  <w:vMerge w:val="restart"/>
                  <w:tcBorders>
                    <w:tl2br w:val="nil"/>
                    <w:tr2bl w:val="nil"/>
                  </w:tcBorders>
                  <w:shd w:val="clear" w:color="auto" w:fill="auto"/>
                  <w:vAlign w:val="center"/>
                </w:tcPr>
                <w:p w14:paraId="2431F06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0.45</w:t>
                  </w:r>
                  <w:r>
                    <w:rPr>
                      <w:rFonts w:hint="eastAsia"/>
                      <w:color w:val="auto"/>
                      <w:spacing w:val="-20"/>
                      <w:sz w:val="18"/>
                      <w:szCs w:val="18"/>
                      <w:highlight w:val="none"/>
                    </w:rPr>
                    <w:t>m</w:t>
                  </w:r>
                </w:p>
              </w:tc>
              <w:tc>
                <w:tcPr>
                  <w:tcW w:w="542" w:type="dxa"/>
                  <w:vMerge w:val="restart"/>
                  <w:tcBorders>
                    <w:tl2br w:val="nil"/>
                    <w:tr2bl w:val="nil"/>
                  </w:tcBorders>
                  <w:shd w:val="clear" w:color="auto" w:fill="auto"/>
                  <w:vAlign w:val="center"/>
                </w:tcPr>
                <w:p w14:paraId="546CCF1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20</w:t>
                  </w:r>
                </w:p>
              </w:tc>
              <w:tc>
                <w:tcPr>
                  <w:tcW w:w="516" w:type="dxa"/>
                  <w:vMerge w:val="restart"/>
                  <w:tcBorders>
                    <w:tl2br w:val="nil"/>
                    <w:tr2bl w:val="nil"/>
                  </w:tcBorders>
                  <w:shd w:val="clear" w:color="auto" w:fill="auto"/>
                  <w:vAlign w:val="center"/>
                </w:tcPr>
                <w:p w14:paraId="4BC9B6D1">
                  <w:pPr>
                    <w:jc w:val="center"/>
                    <w:rPr>
                      <w:color w:val="auto"/>
                      <w:spacing w:val="-20"/>
                      <w:sz w:val="18"/>
                      <w:szCs w:val="18"/>
                      <w:highlight w:val="none"/>
                    </w:rPr>
                  </w:pPr>
                  <w:r>
                    <w:rPr>
                      <w:rFonts w:hint="eastAsia"/>
                      <w:color w:val="auto"/>
                      <w:spacing w:val="-20"/>
                      <w:sz w:val="18"/>
                      <w:szCs w:val="18"/>
                      <w:highlight w:val="none"/>
                    </w:rPr>
                    <w:t>DA</w:t>
                  </w:r>
                </w:p>
                <w:p w14:paraId="0BABA64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00</w:t>
                  </w:r>
                  <w:r>
                    <w:rPr>
                      <w:rFonts w:hint="eastAsia"/>
                      <w:color w:val="auto"/>
                      <w:spacing w:val="-20"/>
                      <w:sz w:val="18"/>
                      <w:szCs w:val="18"/>
                      <w:highlight w:val="none"/>
                      <w:lang w:val="en-US" w:eastAsia="zh-CN"/>
                    </w:rPr>
                    <w:t>2</w:t>
                  </w:r>
                </w:p>
              </w:tc>
              <w:tc>
                <w:tcPr>
                  <w:tcW w:w="1022" w:type="dxa"/>
                  <w:vMerge w:val="restart"/>
                  <w:tcBorders>
                    <w:tl2br w:val="nil"/>
                    <w:tr2bl w:val="nil"/>
                  </w:tcBorders>
                  <w:shd w:val="clear" w:color="auto" w:fill="auto"/>
                  <w:vAlign w:val="center"/>
                </w:tcPr>
                <w:p w14:paraId="6884617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sz w:val="18"/>
                      <w:szCs w:val="18"/>
                      <w:highlight w:val="none"/>
                      <w:lang w:val="en-US" w:eastAsia="zh-CN"/>
                    </w:rPr>
                    <w:t>118.691320</w:t>
                  </w:r>
                  <w:r>
                    <w:rPr>
                      <w:rFonts w:hint="eastAsia" w:ascii="Times New Roman" w:hAnsi="Times New Roman" w:cs="Times New Roman"/>
                      <w:color w:val="auto"/>
                      <w:spacing w:val="-20"/>
                      <w:sz w:val="18"/>
                      <w:szCs w:val="18"/>
                      <w:highlight w:val="none"/>
                      <w:lang w:val="en-US" w:eastAsia="zh-CN"/>
                    </w:rPr>
                    <w:t>°</w:t>
                  </w:r>
                </w:p>
              </w:tc>
              <w:tc>
                <w:tcPr>
                  <w:tcW w:w="943" w:type="dxa"/>
                  <w:vMerge w:val="restart"/>
                  <w:tcBorders>
                    <w:tl2br w:val="nil"/>
                    <w:tr2bl w:val="nil"/>
                  </w:tcBorders>
                  <w:shd w:val="clear" w:color="auto" w:fill="auto"/>
                  <w:vAlign w:val="center"/>
                </w:tcPr>
                <w:p w14:paraId="6D48DDA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cs="Times New Roman"/>
                      <w:color w:val="auto"/>
                      <w:spacing w:val="-20"/>
                      <w:sz w:val="18"/>
                      <w:szCs w:val="18"/>
                      <w:highlight w:val="none"/>
                      <w:lang w:val="en-US" w:eastAsia="zh-CN"/>
                    </w:rPr>
                    <w:t>40.0</w:t>
                  </w:r>
                  <w:r>
                    <w:rPr>
                      <w:rFonts w:hint="eastAsia" w:cs="Times New Roman"/>
                      <w:color w:val="auto"/>
                      <w:spacing w:val="-20"/>
                      <w:sz w:val="18"/>
                      <w:szCs w:val="18"/>
                      <w:highlight w:val="none"/>
                      <w:lang w:val="en-US" w:eastAsia="zh-CN"/>
                    </w:rPr>
                    <w:t>13579</w:t>
                  </w:r>
                  <w:r>
                    <w:rPr>
                      <w:rFonts w:hint="eastAsia" w:ascii="Times New Roman" w:hAnsi="Times New Roman" w:cs="Times New Roman"/>
                      <w:color w:val="auto"/>
                      <w:spacing w:val="-20"/>
                      <w:sz w:val="18"/>
                      <w:szCs w:val="18"/>
                      <w:highlight w:val="none"/>
                      <w:lang w:val="en-US" w:eastAsia="zh-CN"/>
                    </w:rPr>
                    <w:t>°</w:t>
                  </w:r>
                </w:p>
              </w:tc>
              <w:tc>
                <w:tcPr>
                  <w:tcW w:w="1417" w:type="dxa"/>
                  <w:vMerge w:val="restart"/>
                  <w:tcBorders>
                    <w:tl2br w:val="nil"/>
                    <w:tr2bl w:val="nil"/>
                  </w:tcBorders>
                  <w:shd w:val="clear" w:color="auto" w:fill="auto"/>
                  <w:vAlign w:val="center"/>
                </w:tcPr>
                <w:p w14:paraId="121F2F7E">
                  <w:pPr>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《大气污染物合排</w:t>
                  </w:r>
                </w:p>
                <w:p w14:paraId="402CA4E0">
                  <w:pPr>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放标准》（GB16297-1996）、《工业企业挥发性有机物排放控制标准》（DB13/2322-2016）及《挥发性有机物无组织排放控制标准》（GB37822-2019）</w:t>
                  </w:r>
                </w:p>
              </w:tc>
            </w:tr>
            <w:tr w14:paraId="1FDF327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386" w:type="dxa"/>
                  <w:vMerge w:val="continue"/>
                  <w:tcBorders>
                    <w:tl2br w:val="nil"/>
                    <w:tr2bl w:val="nil"/>
                  </w:tcBorders>
                  <w:shd w:val="clear" w:color="auto" w:fill="auto"/>
                  <w:vAlign w:val="center"/>
                </w:tcPr>
                <w:p w14:paraId="53A2C2E8">
                  <w:pPr>
                    <w:jc w:val="center"/>
                    <w:rPr>
                      <w:color w:val="auto"/>
                    </w:rPr>
                  </w:pPr>
                </w:p>
              </w:tc>
              <w:tc>
                <w:tcPr>
                  <w:tcW w:w="1175" w:type="dxa"/>
                  <w:vMerge w:val="continue"/>
                  <w:tcBorders>
                    <w:tl2br w:val="nil"/>
                    <w:tr2bl w:val="nil"/>
                  </w:tcBorders>
                  <w:shd w:val="clear" w:color="auto" w:fill="auto"/>
                  <w:vAlign w:val="center"/>
                </w:tcPr>
                <w:p w14:paraId="251A800B">
                  <w:pPr>
                    <w:jc w:val="center"/>
                    <w:rPr>
                      <w:color w:val="auto"/>
                    </w:rPr>
                  </w:pPr>
                </w:p>
              </w:tc>
              <w:tc>
                <w:tcPr>
                  <w:tcW w:w="782" w:type="dxa"/>
                  <w:tcBorders>
                    <w:tl2br w:val="nil"/>
                    <w:tr2bl w:val="nil"/>
                  </w:tcBorders>
                  <w:shd w:val="clear" w:color="auto" w:fill="auto"/>
                  <w:vAlign w:val="center"/>
                </w:tcPr>
                <w:p w14:paraId="54D85A06">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硫酸雾</w:t>
                  </w:r>
                </w:p>
              </w:tc>
              <w:tc>
                <w:tcPr>
                  <w:tcW w:w="525" w:type="dxa"/>
                  <w:vMerge w:val="continue"/>
                  <w:tcBorders>
                    <w:tl2br w:val="nil"/>
                    <w:tr2bl w:val="nil"/>
                  </w:tcBorders>
                  <w:shd w:val="clear" w:color="auto" w:fill="auto"/>
                  <w:vAlign w:val="center"/>
                </w:tcPr>
                <w:p w14:paraId="346DE9C4">
                  <w:pPr>
                    <w:jc w:val="center"/>
                    <w:rPr>
                      <w:color w:val="auto"/>
                      <w:spacing w:val="-20"/>
                      <w:sz w:val="18"/>
                      <w:szCs w:val="18"/>
                      <w:highlight w:val="none"/>
                    </w:rPr>
                  </w:pPr>
                </w:p>
              </w:tc>
              <w:tc>
                <w:tcPr>
                  <w:tcW w:w="669" w:type="dxa"/>
                  <w:vMerge w:val="continue"/>
                  <w:tcBorders>
                    <w:tl2br w:val="nil"/>
                    <w:tr2bl w:val="nil"/>
                  </w:tcBorders>
                  <w:shd w:val="clear" w:color="auto" w:fill="auto"/>
                  <w:vAlign w:val="center"/>
                </w:tcPr>
                <w:p w14:paraId="5DC0F844">
                  <w:pPr>
                    <w:jc w:val="center"/>
                    <w:rPr>
                      <w:color w:val="auto"/>
                      <w:spacing w:val="-20"/>
                      <w:sz w:val="18"/>
                      <w:szCs w:val="18"/>
                      <w:highlight w:val="none"/>
                    </w:rPr>
                  </w:pPr>
                </w:p>
              </w:tc>
              <w:tc>
                <w:tcPr>
                  <w:tcW w:w="542" w:type="dxa"/>
                  <w:vMerge w:val="continue"/>
                  <w:tcBorders>
                    <w:tl2br w:val="nil"/>
                    <w:tr2bl w:val="nil"/>
                  </w:tcBorders>
                  <w:shd w:val="clear" w:color="auto" w:fill="auto"/>
                  <w:vAlign w:val="center"/>
                </w:tcPr>
                <w:p w14:paraId="6F12A194">
                  <w:pPr>
                    <w:jc w:val="center"/>
                    <w:rPr>
                      <w:color w:val="auto"/>
                      <w:spacing w:val="-20"/>
                      <w:sz w:val="18"/>
                      <w:szCs w:val="18"/>
                      <w:highlight w:val="none"/>
                    </w:rPr>
                  </w:pPr>
                </w:p>
              </w:tc>
              <w:tc>
                <w:tcPr>
                  <w:tcW w:w="516" w:type="dxa"/>
                  <w:vMerge w:val="continue"/>
                  <w:tcBorders>
                    <w:tl2br w:val="nil"/>
                    <w:tr2bl w:val="nil"/>
                  </w:tcBorders>
                  <w:shd w:val="clear" w:color="auto" w:fill="auto"/>
                  <w:vAlign w:val="center"/>
                </w:tcPr>
                <w:p w14:paraId="5C0ECBC2">
                  <w:pPr>
                    <w:jc w:val="center"/>
                    <w:rPr>
                      <w:color w:val="auto"/>
                      <w:spacing w:val="-20"/>
                      <w:sz w:val="18"/>
                      <w:szCs w:val="18"/>
                      <w:highlight w:val="none"/>
                    </w:rPr>
                  </w:pPr>
                </w:p>
              </w:tc>
              <w:tc>
                <w:tcPr>
                  <w:tcW w:w="1022" w:type="dxa"/>
                  <w:vMerge w:val="continue"/>
                  <w:tcBorders>
                    <w:tl2br w:val="nil"/>
                    <w:tr2bl w:val="nil"/>
                  </w:tcBorders>
                  <w:shd w:val="clear" w:color="auto" w:fill="auto"/>
                  <w:vAlign w:val="center"/>
                </w:tcPr>
                <w:p w14:paraId="5D7BDD23">
                  <w:pPr>
                    <w:jc w:val="center"/>
                    <w:rPr>
                      <w:color w:val="auto"/>
                      <w:spacing w:val="-20"/>
                      <w:sz w:val="18"/>
                      <w:szCs w:val="18"/>
                      <w:highlight w:val="none"/>
                    </w:rPr>
                  </w:pPr>
                </w:p>
              </w:tc>
              <w:tc>
                <w:tcPr>
                  <w:tcW w:w="943" w:type="dxa"/>
                  <w:vMerge w:val="continue"/>
                  <w:tcBorders>
                    <w:tl2br w:val="nil"/>
                    <w:tr2bl w:val="nil"/>
                  </w:tcBorders>
                  <w:shd w:val="clear" w:color="auto" w:fill="auto"/>
                  <w:vAlign w:val="center"/>
                </w:tcPr>
                <w:p w14:paraId="7C1DDDC7">
                  <w:pPr>
                    <w:jc w:val="center"/>
                    <w:rPr>
                      <w:color w:val="auto"/>
                      <w:spacing w:val="-20"/>
                      <w:sz w:val="18"/>
                      <w:szCs w:val="18"/>
                      <w:highlight w:val="none"/>
                    </w:rPr>
                  </w:pPr>
                </w:p>
              </w:tc>
              <w:tc>
                <w:tcPr>
                  <w:tcW w:w="1417" w:type="dxa"/>
                  <w:vMerge w:val="continue"/>
                  <w:tcBorders>
                    <w:tl2br w:val="nil"/>
                    <w:tr2bl w:val="nil"/>
                  </w:tcBorders>
                  <w:shd w:val="clear" w:color="auto" w:fill="auto"/>
                  <w:vAlign w:val="center"/>
                </w:tcPr>
                <w:p w14:paraId="57998FE1">
                  <w:pPr>
                    <w:jc w:val="center"/>
                    <w:rPr>
                      <w:color w:val="auto"/>
                      <w:spacing w:val="-20"/>
                      <w:sz w:val="18"/>
                      <w:szCs w:val="18"/>
                      <w:highlight w:val="none"/>
                    </w:rPr>
                  </w:pPr>
                </w:p>
              </w:tc>
            </w:tr>
            <w:tr w14:paraId="742BF6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386" w:type="dxa"/>
                  <w:vMerge w:val="continue"/>
                  <w:tcBorders>
                    <w:tl2br w:val="nil"/>
                    <w:tr2bl w:val="nil"/>
                  </w:tcBorders>
                  <w:shd w:val="clear" w:color="auto" w:fill="auto"/>
                  <w:vAlign w:val="center"/>
                </w:tcPr>
                <w:p w14:paraId="3A4A46FF">
                  <w:pPr>
                    <w:jc w:val="center"/>
                    <w:rPr>
                      <w:color w:val="auto"/>
                      <w:spacing w:val="-20"/>
                      <w:sz w:val="18"/>
                      <w:szCs w:val="18"/>
                      <w:highlight w:val="none"/>
                    </w:rPr>
                  </w:pPr>
                </w:p>
              </w:tc>
              <w:tc>
                <w:tcPr>
                  <w:tcW w:w="1175" w:type="dxa"/>
                  <w:vMerge w:val="continue"/>
                  <w:tcBorders>
                    <w:tl2br w:val="nil"/>
                    <w:tr2bl w:val="nil"/>
                  </w:tcBorders>
                  <w:shd w:val="clear" w:color="auto" w:fill="auto"/>
                  <w:vAlign w:val="center"/>
                </w:tcPr>
                <w:p w14:paraId="5854FF97">
                  <w:pPr>
                    <w:jc w:val="center"/>
                    <w:rPr>
                      <w:color w:val="auto"/>
                      <w:spacing w:val="-20"/>
                      <w:sz w:val="18"/>
                      <w:szCs w:val="18"/>
                      <w:highlight w:val="none"/>
                    </w:rPr>
                  </w:pPr>
                </w:p>
              </w:tc>
              <w:tc>
                <w:tcPr>
                  <w:tcW w:w="782" w:type="dxa"/>
                  <w:tcBorders>
                    <w:tl2br w:val="nil"/>
                    <w:tr2bl w:val="nil"/>
                  </w:tcBorders>
                  <w:shd w:val="clear" w:color="auto" w:fill="auto"/>
                  <w:vAlign w:val="center"/>
                </w:tcPr>
                <w:p w14:paraId="734727A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NMHC</w:t>
                  </w:r>
                </w:p>
              </w:tc>
              <w:tc>
                <w:tcPr>
                  <w:tcW w:w="525" w:type="dxa"/>
                  <w:vMerge w:val="continue"/>
                  <w:tcBorders>
                    <w:tl2br w:val="nil"/>
                    <w:tr2bl w:val="nil"/>
                  </w:tcBorders>
                  <w:shd w:val="clear" w:color="auto" w:fill="auto"/>
                  <w:vAlign w:val="center"/>
                </w:tcPr>
                <w:p w14:paraId="20E0AEC9">
                  <w:pPr>
                    <w:jc w:val="center"/>
                    <w:rPr>
                      <w:color w:val="auto"/>
                      <w:spacing w:val="-20"/>
                      <w:sz w:val="18"/>
                      <w:szCs w:val="18"/>
                      <w:highlight w:val="none"/>
                    </w:rPr>
                  </w:pPr>
                </w:p>
              </w:tc>
              <w:tc>
                <w:tcPr>
                  <w:tcW w:w="669" w:type="dxa"/>
                  <w:vMerge w:val="continue"/>
                  <w:tcBorders>
                    <w:tl2br w:val="nil"/>
                    <w:tr2bl w:val="nil"/>
                  </w:tcBorders>
                  <w:shd w:val="clear" w:color="auto" w:fill="auto"/>
                  <w:vAlign w:val="center"/>
                </w:tcPr>
                <w:p w14:paraId="7A78FD7E">
                  <w:pPr>
                    <w:jc w:val="center"/>
                    <w:rPr>
                      <w:color w:val="auto"/>
                      <w:spacing w:val="-20"/>
                      <w:sz w:val="18"/>
                      <w:szCs w:val="18"/>
                      <w:highlight w:val="none"/>
                    </w:rPr>
                  </w:pPr>
                </w:p>
              </w:tc>
              <w:tc>
                <w:tcPr>
                  <w:tcW w:w="542" w:type="dxa"/>
                  <w:vMerge w:val="continue"/>
                  <w:tcBorders>
                    <w:tl2br w:val="nil"/>
                    <w:tr2bl w:val="nil"/>
                  </w:tcBorders>
                  <w:shd w:val="clear" w:color="auto" w:fill="auto"/>
                  <w:vAlign w:val="center"/>
                </w:tcPr>
                <w:p w14:paraId="1EA3B1A6">
                  <w:pPr>
                    <w:jc w:val="center"/>
                    <w:rPr>
                      <w:color w:val="auto"/>
                      <w:spacing w:val="-20"/>
                      <w:sz w:val="18"/>
                      <w:szCs w:val="18"/>
                      <w:highlight w:val="none"/>
                    </w:rPr>
                  </w:pPr>
                </w:p>
              </w:tc>
              <w:tc>
                <w:tcPr>
                  <w:tcW w:w="516" w:type="dxa"/>
                  <w:vMerge w:val="continue"/>
                  <w:tcBorders>
                    <w:tl2br w:val="nil"/>
                    <w:tr2bl w:val="nil"/>
                  </w:tcBorders>
                  <w:shd w:val="clear" w:color="auto" w:fill="auto"/>
                  <w:vAlign w:val="center"/>
                </w:tcPr>
                <w:p w14:paraId="426DBFAF">
                  <w:pPr>
                    <w:jc w:val="center"/>
                    <w:rPr>
                      <w:color w:val="auto"/>
                      <w:spacing w:val="-20"/>
                      <w:sz w:val="18"/>
                      <w:szCs w:val="18"/>
                      <w:highlight w:val="none"/>
                    </w:rPr>
                  </w:pPr>
                </w:p>
              </w:tc>
              <w:tc>
                <w:tcPr>
                  <w:tcW w:w="1022" w:type="dxa"/>
                  <w:vMerge w:val="continue"/>
                  <w:tcBorders>
                    <w:tl2br w:val="nil"/>
                    <w:tr2bl w:val="nil"/>
                  </w:tcBorders>
                  <w:shd w:val="clear" w:color="auto" w:fill="auto"/>
                  <w:vAlign w:val="center"/>
                </w:tcPr>
                <w:p w14:paraId="2A6D1077">
                  <w:pPr>
                    <w:jc w:val="center"/>
                    <w:rPr>
                      <w:color w:val="auto"/>
                      <w:spacing w:val="-20"/>
                      <w:sz w:val="18"/>
                      <w:szCs w:val="18"/>
                      <w:highlight w:val="none"/>
                    </w:rPr>
                  </w:pPr>
                </w:p>
              </w:tc>
              <w:tc>
                <w:tcPr>
                  <w:tcW w:w="943" w:type="dxa"/>
                  <w:vMerge w:val="continue"/>
                  <w:tcBorders>
                    <w:tl2br w:val="nil"/>
                    <w:tr2bl w:val="nil"/>
                  </w:tcBorders>
                  <w:shd w:val="clear" w:color="auto" w:fill="auto"/>
                  <w:vAlign w:val="center"/>
                </w:tcPr>
                <w:p w14:paraId="3750D37C">
                  <w:pPr>
                    <w:jc w:val="center"/>
                    <w:rPr>
                      <w:color w:val="auto"/>
                      <w:spacing w:val="-20"/>
                      <w:sz w:val="18"/>
                      <w:szCs w:val="18"/>
                      <w:highlight w:val="none"/>
                    </w:rPr>
                  </w:pPr>
                </w:p>
              </w:tc>
              <w:tc>
                <w:tcPr>
                  <w:tcW w:w="1417" w:type="dxa"/>
                  <w:vMerge w:val="continue"/>
                  <w:tcBorders>
                    <w:tl2br w:val="nil"/>
                    <w:tr2bl w:val="nil"/>
                  </w:tcBorders>
                  <w:shd w:val="clear" w:color="auto" w:fill="auto"/>
                  <w:vAlign w:val="center"/>
                </w:tcPr>
                <w:p w14:paraId="284EFAD7">
                  <w:pPr>
                    <w:jc w:val="center"/>
                    <w:rPr>
                      <w:color w:val="auto"/>
                      <w:spacing w:val="-20"/>
                      <w:sz w:val="18"/>
                      <w:szCs w:val="18"/>
                      <w:highlight w:val="none"/>
                    </w:rPr>
                  </w:pPr>
                </w:p>
              </w:tc>
            </w:tr>
            <w:tr w14:paraId="65CF633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386" w:type="dxa"/>
                  <w:vMerge w:val="restart"/>
                  <w:tcBorders>
                    <w:tl2br w:val="nil"/>
                    <w:tr2bl w:val="nil"/>
                  </w:tcBorders>
                  <w:shd w:val="clear" w:color="auto" w:fill="auto"/>
                  <w:vAlign w:val="center"/>
                </w:tcPr>
                <w:p w14:paraId="7C18D33C">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2</w:t>
                  </w:r>
                </w:p>
              </w:tc>
              <w:tc>
                <w:tcPr>
                  <w:tcW w:w="1175" w:type="dxa"/>
                  <w:vMerge w:val="restart"/>
                  <w:tcBorders>
                    <w:tl2br w:val="nil"/>
                    <w:tr2bl w:val="nil"/>
                  </w:tcBorders>
                  <w:shd w:val="clear" w:color="auto" w:fill="auto"/>
                  <w:vAlign w:val="center"/>
                </w:tcPr>
                <w:p w14:paraId="4B0C0AA4">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实验室</w:t>
                  </w:r>
                </w:p>
              </w:tc>
              <w:tc>
                <w:tcPr>
                  <w:tcW w:w="782" w:type="dxa"/>
                  <w:tcBorders>
                    <w:tl2br w:val="nil"/>
                    <w:tr2bl w:val="nil"/>
                  </w:tcBorders>
                  <w:shd w:val="clear" w:color="auto" w:fill="auto"/>
                  <w:vAlign w:val="center"/>
                </w:tcPr>
                <w:p w14:paraId="200AEBC7">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颗粒物</w:t>
                  </w:r>
                </w:p>
              </w:tc>
              <w:tc>
                <w:tcPr>
                  <w:tcW w:w="4217" w:type="dxa"/>
                  <w:gridSpan w:val="6"/>
                  <w:tcBorders>
                    <w:tl2br w:val="nil"/>
                    <w:tr2bl w:val="nil"/>
                  </w:tcBorders>
                  <w:shd w:val="clear" w:color="auto" w:fill="auto"/>
                  <w:vAlign w:val="center"/>
                </w:tcPr>
                <w:p w14:paraId="1A98999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规范操作，颗粒物经破碎间沉降后无组织排放</w:t>
                  </w:r>
                </w:p>
              </w:tc>
              <w:tc>
                <w:tcPr>
                  <w:tcW w:w="1417" w:type="dxa"/>
                  <w:vMerge w:val="continue"/>
                  <w:tcBorders>
                    <w:tl2br w:val="nil"/>
                    <w:tr2bl w:val="nil"/>
                  </w:tcBorders>
                  <w:shd w:val="clear" w:color="auto" w:fill="auto"/>
                  <w:vAlign w:val="center"/>
                </w:tcPr>
                <w:p w14:paraId="3055157C">
                  <w:pPr>
                    <w:jc w:val="center"/>
                    <w:rPr>
                      <w:color w:val="auto"/>
                      <w:spacing w:val="-20"/>
                      <w:sz w:val="18"/>
                      <w:szCs w:val="18"/>
                      <w:highlight w:val="none"/>
                    </w:rPr>
                  </w:pPr>
                </w:p>
              </w:tc>
            </w:tr>
            <w:tr w14:paraId="210D47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4" w:hRule="atLeast"/>
              </w:trPr>
              <w:tc>
                <w:tcPr>
                  <w:tcW w:w="386" w:type="dxa"/>
                  <w:vMerge w:val="continue"/>
                  <w:tcBorders>
                    <w:tl2br w:val="nil"/>
                    <w:tr2bl w:val="nil"/>
                  </w:tcBorders>
                  <w:shd w:val="clear" w:color="auto" w:fill="auto"/>
                  <w:vAlign w:val="center"/>
                </w:tcPr>
                <w:p w14:paraId="06974BE9">
                  <w:pPr>
                    <w:jc w:val="center"/>
                    <w:rPr>
                      <w:rFonts w:hint="default" w:eastAsia="宋体"/>
                      <w:color w:val="auto"/>
                      <w:spacing w:val="-20"/>
                      <w:sz w:val="18"/>
                      <w:szCs w:val="18"/>
                      <w:highlight w:val="none"/>
                      <w:lang w:val="en-US" w:eastAsia="zh-CN"/>
                    </w:rPr>
                  </w:pPr>
                </w:p>
              </w:tc>
              <w:tc>
                <w:tcPr>
                  <w:tcW w:w="1175" w:type="dxa"/>
                  <w:vMerge w:val="continue"/>
                  <w:tcBorders>
                    <w:tl2br w:val="nil"/>
                    <w:tr2bl w:val="nil"/>
                  </w:tcBorders>
                  <w:shd w:val="clear" w:color="auto" w:fill="auto"/>
                  <w:vAlign w:val="center"/>
                </w:tcPr>
                <w:p w14:paraId="100B4E5A">
                  <w:pPr>
                    <w:jc w:val="center"/>
                    <w:rPr>
                      <w:rFonts w:hint="default" w:eastAsia="宋体"/>
                      <w:color w:val="auto"/>
                      <w:spacing w:val="-20"/>
                      <w:sz w:val="18"/>
                      <w:szCs w:val="18"/>
                      <w:highlight w:val="none"/>
                      <w:lang w:val="en-US" w:eastAsia="zh-CN"/>
                    </w:rPr>
                  </w:pPr>
                </w:p>
              </w:tc>
              <w:tc>
                <w:tcPr>
                  <w:tcW w:w="782" w:type="dxa"/>
                  <w:tcBorders>
                    <w:tl2br w:val="nil"/>
                    <w:tr2bl w:val="nil"/>
                  </w:tcBorders>
                  <w:shd w:val="clear" w:color="auto" w:fill="auto"/>
                  <w:vAlign w:val="center"/>
                </w:tcPr>
                <w:p w14:paraId="64A73AB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4217" w:type="dxa"/>
                  <w:gridSpan w:val="6"/>
                  <w:vMerge w:val="restart"/>
                  <w:tcBorders>
                    <w:tl2br w:val="nil"/>
                    <w:tr2bl w:val="nil"/>
                  </w:tcBorders>
                  <w:shd w:val="clear" w:color="auto" w:fill="auto"/>
                  <w:vAlign w:val="center"/>
                </w:tcPr>
                <w:p w14:paraId="3228B38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规范操作，加强有组织收集</w:t>
                  </w:r>
                </w:p>
              </w:tc>
              <w:tc>
                <w:tcPr>
                  <w:tcW w:w="1417" w:type="dxa"/>
                  <w:vMerge w:val="continue"/>
                  <w:tcBorders>
                    <w:tl2br w:val="nil"/>
                    <w:tr2bl w:val="nil"/>
                  </w:tcBorders>
                  <w:shd w:val="clear" w:color="auto" w:fill="auto"/>
                  <w:vAlign w:val="center"/>
                </w:tcPr>
                <w:p w14:paraId="1F2CD89E">
                  <w:pPr>
                    <w:jc w:val="center"/>
                    <w:rPr>
                      <w:color w:val="auto"/>
                      <w:spacing w:val="-10"/>
                      <w:sz w:val="18"/>
                      <w:szCs w:val="18"/>
                      <w:highlight w:val="none"/>
                    </w:rPr>
                  </w:pPr>
                </w:p>
              </w:tc>
            </w:tr>
            <w:tr w14:paraId="41D375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4" w:hRule="atLeast"/>
              </w:trPr>
              <w:tc>
                <w:tcPr>
                  <w:tcW w:w="386" w:type="dxa"/>
                  <w:vMerge w:val="continue"/>
                  <w:tcBorders>
                    <w:tl2br w:val="nil"/>
                    <w:tr2bl w:val="nil"/>
                  </w:tcBorders>
                  <w:shd w:val="clear" w:color="auto" w:fill="auto"/>
                  <w:vAlign w:val="center"/>
                </w:tcPr>
                <w:p w14:paraId="02D4B60F">
                  <w:pPr>
                    <w:jc w:val="center"/>
                    <w:rPr>
                      <w:color w:val="auto"/>
                    </w:rPr>
                  </w:pPr>
                </w:p>
              </w:tc>
              <w:tc>
                <w:tcPr>
                  <w:tcW w:w="1175" w:type="dxa"/>
                  <w:vMerge w:val="continue"/>
                  <w:tcBorders>
                    <w:tl2br w:val="nil"/>
                    <w:tr2bl w:val="nil"/>
                  </w:tcBorders>
                  <w:shd w:val="clear" w:color="auto" w:fill="auto"/>
                  <w:vAlign w:val="center"/>
                </w:tcPr>
                <w:p w14:paraId="2708AB73">
                  <w:pPr>
                    <w:jc w:val="center"/>
                    <w:rPr>
                      <w:color w:val="auto"/>
                    </w:rPr>
                  </w:pPr>
                </w:p>
              </w:tc>
              <w:tc>
                <w:tcPr>
                  <w:tcW w:w="782" w:type="dxa"/>
                  <w:tcBorders>
                    <w:tl2br w:val="nil"/>
                    <w:tr2bl w:val="nil"/>
                  </w:tcBorders>
                  <w:shd w:val="clear" w:color="auto" w:fill="auto"/>
                  <w:vAlign w:val="center"/>
                </w:tcPr>
                <w:p w14:paraId="6375E471">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硫酸雾</w:t>
                  </w:r>
                </w:p>
              </w:tc>
              <w:tc>
                <w:tcPr>
                  <w:tcW w:w="4217" w:type="dxa"/>
                  <w:gridSpan w:val="6"/>
                  <w:vMerge w:val="continue"/>
                  <w:tcBorders>
                    <w:tl2br w:val="nil"/>
                    <w:tr2bl w:val="nil"/>
                  </w:tcBorders>
                  <w:shd w:val="clear" w:color="auto" w:fill="auto"/>
                  <w:vAlign w:val="center"/>
                </w:tcPr>
                <w:p w14:paraId="693D01F2">
                  <w:pPr>
                    <w:jc w:val="center"/>
                    <w:rPr>
                      <w:rFonts w:hint="eastAsia" w:cs="Times New Roman"/>
                      <w:color w:val="auto"/>
                      <w:spacing w:val="-10"/>
                      <w:kern w:val="2"/>
                      <w:sz w:val="18"/>
                      <w:szCs w:val="18"/>
                      <w:highlight w:val="none"/>
                      <w:lang w:val="en-US" w:eastAsia="zh-CN" w:bidi="ar-SA"/>
                    </w:rPr>
                  </w:pPr>
                </w:p>
              </w:tc>
              <w:tc>
                <w:tcPr>
                  <w:tcW w:w="1417" w:type="dxa"/>
                  <w:vMerge w:val="continue"/>
                  <w:tcBorders>
                    <w:tl2br w:val="nil"/>
                    <w:tr2bl w:val="nil"/>
                  </w:tcBorders>
                  <w:shd w:val="clear" w:color="auto" w:fill="auto"/>
                  <w:vAlign w:val="center"/>
                </w:tcPr>
                <w:p w14:paraId="51586330">
                  <w:pPr>
                    <w:jc w:val="center"/>
                    <w:rPr>
                      <w:rFonts w:hint="eastAsia" w:cs="Times New Roman"/>
                      <w:color w:val="auto"/>
                      <w:spacing w:val="-10"/>
                      <w:kern w:val="2"/>
                      <w:sz w:val="18"/>
                      <w:szCs w:val="18"/>
                      <w:highlight w:val="none"/>
                      <w:lang w:val="en-US" w:eastAsia="zh-CN" w:bidi="ar-SA"/>
                    </w:rPr>
                  </w:pPr>
                </w:p>
              </w:tc>
            </w:tr>
            <w:tr w14:paraId="0443F2C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4" w:hRule="atLeast"/>
              </w:trPr>
              <w:tc>
                <w:tcPr>
                  <w:tcW w:w="386" w:type="dxa"/>
                  <w:vMerge w:val="continue"/>
                  <w:tcBorders>
                    <w:tl2br w:val="nil"/>
                    <w:tr2bl w:val="nil"/>
                  </w:tcBorders>
                  <w:shd w:val="clear" w:color="auto" w:fill="auto"/>
                  <w:vAlign w:val="center"/>
                </w:tcPr>
                <w:p w14:paraId="3F5F847A">
                  <w:pPr>
                    <w:jc w:val="center"/>
                    <w:rPr>
                      <w:rFonts w:hint="eastAsia" w:cs="Times New Roman"/>
                      <w:color w:val="auto"/>
                      <w:spacing w:val="-10"/>
                      <w:kern w:val="2"/>
                      <w:sz w:val="18"/>
                      <w:szCs w:val="18"/>
                      <w:highlight w:val="none"/>
                      <w:lang w:val="en-US" w:eastAsia="zh-CN" w:bidi="ar-SA"/>
                    </w:rPr>
                  </w:pPr>
                </w:p>
              </w:tc>
              <w:tc>
                <w:tcPr>
                  <w:tcW w:w="1175" w:type="dxa"/>
                  <w:vMerge w:val="continue"/>
                  <w:tcBorders>
                    <w:tl2br w:val="nil"/>
                    <w:tr2bl w:val="nil"/>
                  </w:tcBorders>
                  <w:shd w:val="clear" w:color="auto" w:fill="auto"/>
                  <w:vAlign w:val="center"/>
                </w:tcPr>
                <w:p w14:paraId="4DBB8C4C">
                  <w:pPr>
                    <w:jc w:val="center"/>
                    <w:rPr>
                      <w:rFonts w:hint="eastAsia" w:cs="Times New Roman"/>
                      <w:color w:val="auto"/>
                      <w:spacing w:val="-10"/>
                      <w:kern w:val="2"/>
                      <w:sz w:val="18"/>
                      <w:szCs w:val="18"/>
                      <w:highlight w:val="none"/>
                      <w:lang w:val="en-US" w:eastAsia="zh-CN" w:bidi="ar-SA"/>
                    </w:rPr>
                  </w:pPr>
                </w:p>
              </w:tc>
              <w:tc>
                <w:tcPr>
                  <w:tcW w:w="782" w:type="dxa"/>
                  <w:tcBorders>
                    <w:tl2br w:val="nil"/>
                    <w:tr2bl w:val="nil"/>
                  </w:tcBorders>
                  <w:shd w:val="clear" w:color="auto" w:fill="auto"/>
                  <w:vAlign w:val="center"/>
                </w:tcPr>
                <w:p w14:paraId="32D99FAA">
                  <w:pPr>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NMHC</w:t>
                  </w:r>
                </w:p>
              </w:tc>
              <w:tc>
                <w:tcPr>
                  <w:tcW w:w="4217" w:type="dxa"/>
                  <w:gridSpan w:val="6"/>
                  <w:vMerge w:val="continue"/>
                  <w:tcBorders>
                    <w:tl2br w:val="nil"/>
                    <w:tr2bl w:val="nil"/>
                  </w:tcBorders>
                  <w:shd w:val="clear" w:color="auto" w:fill="auto"/>
                  <w:vAlign w:val="center"/>
                </w:tcPr>
                <w:p w14:paraId="2886116A">
                  <w:pPr>
                    <w:jc w:val="center"/>
                    <w:rPr>
                      <w:rFonts w:hint="eastAsia" w:cs="Times New Roman"/>
                      <w:color w:val="auto"/>
                      <w:spacing w:val="-10"/>
                      <w:kern w:val="2"/>
                      <w:sz w:val="18"/>
                      <w:szCs w:val="18"/>
                      <w:highlight w:val="none"/>
                      <w:lang w:val="en-US" w:eastAsia="zh-CN" w:bidi="ar-SA"/>
                    </w:rPr>
                  </w:pPr>
                </w:p>
              </w:tc>
              <w:tc>
                <w:tcPr>
                  <w:tcW w:w="1417" w:type="dxa"/>
                  <w:vMerge w:val="continue"/>
                  <w:tcBorders>
                    <w:tl2br w:val="nil"/>
                    <w:tr2bl w:val="nil"/>
                  </w:tcBorders>
                  <w:shd w:val="clear" w:color="auto" w:fill="auto"/>
                  <w:vAlign w:val="center"/>
                </w:tcPr>
                <w:p w14:paraId="3CE874D3">
                  <w:pPr>
                    <w:jc w:val="center"/>
                    <w:rPr>
                      <w:rFonts w:hint="eastAsia" w:cs="Times New Roman"/>
                      <w:color w:val="auto"/>
                      <w:spacing w:val="-10"/>
                      <w:kern w:val="2"/>
                      <w:sz w:val="18"/>
                      <w:szCs w:val="18"/>
                      <w:highlight w:val="none"/>
                      <w:lang w:val="en-US" w:eastAsia="zh-CN" w:bidi="ar-SA"/>
                    </w:rPr>
                  </w:pPr>
                </w:p>
              </w:tc>
            </w:tr>
          </w:tbl>
          <w:p w14:paraId="403F0C6A">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b/>
                <w:color w:val="auto"/>
                <w:sz w:val="21"/>
                <w:szCs w:val="21"/>
                <w:highlight w:val="none"/>
              </w:rPr>
            </w:pPr>
            <w:r>
              <w:rPr>
                <w:rFonts w:hint="eastAsia" w:ascii="Times New Roman" w:hAnsi="Times New Roman"/>
                <w:b/>
                <w:color w:val="auto"/>
                <w:sz w:val="21"/>
                <w:szCs w:val="21"/>
                <w:highlight w:val="none"/>
              </w:rPr>
              <w:t>1.4废气污染源监测计划</w:t>
            </w:r>
          </w:p>
          <w:p w14:paraId="5571C8DF">
            <w:pPr>
              <w:keepNext w:val="0"/>
              <w:keepLines w:val="0"/>
              <w:pageBreakBefore w:val="0"/>
              <w:kinsoku/>
              <w:wordWrap/>
              <w:overflowPunct/>
              <w:topLinePunct w:val="0"/>
              <w:autoSpaceDE/>
              <w:autoSpaceDN/>
              <w:bidi w:val="0"/>
              <w:spacing w:line="440" w:lineRule="exact"/>
              <w:ind w:firstLine="422" w:firstLineChars="200"/>
              <w:jc w:val="center"/>
              <w:textAlignment w:val="auto"/>
              <w:rPr>
                <w:b/>
                <w:snapToGrid w:val="0"/>
                <w:color w:val="auto"/>
                <w:kern w:val="0"/>
                <w:highlight w:val="none"/>
                <w:lang w:bidi="ar"/>
              </w:rPr>
            </w:pPr>
            <w:r>
              <w:rPr>
                <w:rFonts w:hint="eastAsia"/>
                <w:b/>
                <w:snapToGrid w:val="0"/>
                <w:color w:val="auto"/>
                <w:kern w:val="0"/>
                <w:highlight w:val="none"/>
                <w:lang w:bidi="ar"/>
              </w:rPr>
              <w:t>表</w:t>
            </w:r>
            <w:r>
              <w:rPr>
                <w:rFonts w:hint="eastAsia"/>
                <w:b/>
                <w:snapToGrid w:val="0"/>
                <w:color w:val="auto"/>
                <w:kern w:val="0"/>
                <w:highlight w:val="none"/>
                <w:lang w:val="en-US" w:eastAsia="zh-CN" w:bidi="ar"/>
              </w:rPr>
              <w:t>26</w:t>
            </w:r>
            <w:r>
              <w:rPr>
                <w:b/>
                <w:snapToGrid w:val="0"/>
                <w:color w:val="auto"/>
                <w:kern w:val="0"/>
                <w:highlight w:val="none"/>
                <w:lang w:bidi="ar"/>
              </w:rPr>
              <w:t xml:space="preserve"> </w:t>
            </w:r>
            <w:r>
              <w:rPr>
                <w:rFonts w:hint="eastAsia"/>
                <w:b/>
                <w:snapToGrid w:val="0"/>
                <w:color w:val="auto"/>
                <w:kern w:val="0"/>
                <w:highlight w:val="none"/>
                <w:lang w:bidi="ar"/>
              </w:rPr>
              <w:t>废气污染源监测计划一览表</w:t>
            </w:r>
          </w:p>
          <w:tbl>
            <w:tblPr>
              <w:tblStyle w:val="26"/>
              <w:tblW w:w="4997"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02"/>
              <w:gridCol w:w="725"/>
              <w:gridCol w:w="2369"/>
              <w:gridCol w:w="1188"/>
              <w:gridCol w:w="2176"/>
              <w:gridCol w:w="890"/>
            </w:tblGrid>
            <w:tr w14:paraId="20B675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tcBorders>
                    <w:tl2br w:val="nil"/>
                    <w:tr2bl w:val="nil"/>
                  </w:tcBorders>
                  <w:vAlign w:val="center"/>
                </w:tcPr>
                <w:p w14:paraId="41A2C2CD">
                  <w:pPr>
                    <w:jc w:val="center"/>
                    <w:rPr>
                      <w:color w:val="auto"/>
                      <w:spacing w:val="-20"/>
                      <w:sz w:val="18"/>
                      <w:szCs w:val="18"/>
                      <w:highlight w:val="none"/>
                    </w:rPr>
                  </w:pPr>
                  <w:r>
                    <w:rPr>
                      <w:color w:val="auto"/>
                      <w:spacing w:val="-20"/>
                      <w:sz w:val="18"/>
                      <w:szCs w:val="18"/>
                      <w:highlight w:val="none"/>
                    </w:rPr>
                    <w:t>序号</w:t>
                  </w:r>
                </w:p>
              </w:tc>
              <w:tc>
                <w:tcPr>
                  <w:tcW w:w="1970" w:type="pct"/>
                  <w:gridSpan w:val="2"/>
                  <w:tcBorders>
                    <w:tl2br w:val="nil"/>
                    <w:tr2bl w:val="nil"/>
                  </w:tcBorders>
                  <w:vAlign w:val="center"/>
                </w:tcPr>
                <w:p w14:paraId="410DE051">
                  <w:pPr>
                    <w:jc w:val="center"/>
                    <w:rPr>
                      <w:color w:val="auto"/>
                      <w:spacing w:val="-20"/>
                      <w:sz w:val="18"/>
                      <w:szCs w:val="18"/>
                      <w:highlight w:val="none"/>
                    </w:rPr>
                  </w:pPr>
                  <w:r>
                    <w:rPr>
                      <w:rFonts w:hint="eastAsia"/>
                      <w:color w:val="auto"/>
                      <w:spacing w:val="-20"/>
                      <w:sz w:val="18"/>
                      <w:szCs w:val="18"/>
                      <w:highlight w:val="none"/>
                    </w:rPr>
                    <w:t>污染源</w:t>
                  </w:r>
                </w:p>
              </w:tc>
              <w:tc>
                <w:tcPr>
                  <w:tcW w:w="756" w:type="pct"/>
                  <w:tcBorders>
                    <w:tl2br w:val="nil"/>
                    <w:tr2bl w:val="nil"/>
                  </w:tcBorders>
                  <w:vAlign w:val="center"/>
                </w:tcPr>
                <w:p w14:paraId="05F3CE72">
                  <w:pPr>
                    <w:jc w:val="center"/>
                    <w:rPr>
                      <w:color w:val="auto"/>
                      <w:spacing w:val="-20"/>
                      <w:sz w:val="18"/>
                      <w:szCs w:val="18"/>
                      <w:highlight w:val="none"/>
                    </w:rPr>
                  </w:pPr>
                  <w:r>
                    <w:rPr>
                      <w:color w:val="auto"/>
                      <w:spacing w:val="-20"/>
                      <w:sz w:val="18"/>
                      <w:szCs w:val="18"/>
                      <w:highlight w:val="none"/>
                    </w:rPr>
                    <w:t>监测因子</w:t>
                  </w:r>
                </w:p>
              </w:tc>
              <w:tc>
                <w:tcPr>
                  <w:tcW w:w="1385" w:type="pct"/>
                  <w:tcBorders>
                    <w:tl2br w:val="nil"/>
                    <w:tr2bl w:val="nil"/>
                  </w:tcBorders>
                  <w:vAlign w:val="center"/>
                </w:tcPr>
                <w:p w14:paraId="07D62C22">
                  <w:pPr>
                    <w:jc w:val="center"/>
                    <w:rPr>
                      <w:color w:val="auto"/>
                      <w:spacing w:val="-20"/>
                      <w:sz w:val="18"/>
                      <w:szCs w:val="18"/>
                      <w:highlight w:val="none"/>
                    </w:rPr>
                  </w:pPr>
                  <w:r>
                    <w:rPr>
                      <w:color w:val="auto"/>
                      <w:spacing w:val="-20"/>
                      <w:sz w:val="18"/>
                      <w:szCs w:val="18"/>
                      <w:highlight w:val="none"/>
                    </w:rPr>
                    <w:t>监测点位</w:t>
                  </w:r>
                </w:p>
              </w:tc>
              <w:tc>
                <w:tcPr>
                  <w:tcW w:w="566" w:type="pct"/>
                  <w:tcBorders>
                    <w:tl2br w:val="nil"/>
                    <w:tr2bl w:val="nil"/>
                  </w:tcBorders>
                  <w:vAlign w:val="center"/>
                </w:tcPr>
                <w:p w14:paraId="13F1CC1D">
                  <w:pPr>
                    <w:jc w:val="center"/>
                    <w:rPr>
                      <w:color w:val="auto"/>
                      <w:spacing w:val="-20"/>
                      <w:sz w:val="18"/>
                      <w:szCs w:val="18"/>
                      <w:highlight w:val="none"/>
                    </w:rPr>
                  </w:pPr>
                  <w:r>
                    <w:rPr>
                      <w:color w:val="auto"/>
                      <w:spacing w:val="-20"/>
                      <w:sz w:val="18"/>
                      <w:szCs w:val="18"/>
                      <w:highlight w:val="none"/>
                    </w:rPr>
                    <w:t>监测频次</w:t>
                  </w:r>
                </w:p>
              </w:tc>
            </w:tr>
            <w:tr w14:paraId="681765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tcBorders>
                    <w:tl2br w:val="nil"/>
                    <w:tr2bl w:val="nil"/>
                  </w:tcBorders>
                  <w:vAlign w:val="center"/>
                </w:tcPr>
                <w:p w14:paraId="4E4C687E">
                  <w:pPr>
                    <w:jc w:val="center"/>
                    <w:rPr>
                      <w:color w:val="auto"/>
                      <w:spacing w:val="-20"/>
                      <w:sz w:val="18"/>
                      <w:szCs w:val="18"/>
                      <w:highlight w:val="none"/>
                    </w:rPr>
                  </w:pPr>
                  <w:r>
                    <w:rPr>
                      <w:rFonts w:hint="eastAsia"/>
                      <w:color w:val="auto"/>
                      <w:spacing w:val="-20"/>
                      <w:sz w:val="18"/>
                      <w:szCs w:val="18"/>
                      <w:highlight w:val="none"/>
                    </w:rPr>
                    <w:t>1</w:t>
                  </w:r>
                </w:p>
              </w:tc>
              <w:tc>
                <w:tcPr>
                  <w:tcW w:w="461" w:type="pct"/>
                  <w:tcBorders>
                    <w:tl2br w:val="nil"/>
                    <w:tr2bl w:val="nil"/>
                  </w:tcBorders>
                  <w:vAlign w:val="center"/>
                </w:tcPr>
                <w:p w14:paraId="04B53740">
                  <w:pPr>
                    <w:jc w:val="center"/>
                    <w:rPr>
                      <w:color w:val="auto"/>
                      <w:spacing w:val="-20"/>
                      <w:sz w:val="18"/>
                      <w:szCs w:val="18"/>
                      <w:highlight w:val="none"/>
                    </w:rPr>
                  </w:pPr>
                  <w:r>
                    <w:rPr>
                      <w:rFonts w:hint="eastAsia"/>
                      <w:color w:val="auto"/>
                      <w:spacing w:val="-20"/>
                      <w:sz w:val="18"/>
                      <w:szCs w:val="18"/>
                      <w:highlight w:val="none"/>
                    </w:rPr>
                    <w:t>有组织</w:t>
                  </w:r>
                </w:p>
              </w:tc>
              <w:tc>
                <w:tcPr>
                  <w:tcW w:w="1508" w:type="pct"/>
                  <w:tcBorders>
                    <w:tl2br w:val="nil"/>
                    <w:tr2bl w:val="nil"/>
                  </w:tcBorders>
                  <w:shd w:val="clear" w:color="auto" w:fill="auto"/>
                  <w:vAlign w:val="center"/>
                </w:tcPr>
                <w:p w14:paraId="629B331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10"/>
                      <w:sz w:val="18"/>
                      <w:szCs w:val="18"/>
                      <w:highlight w:val="none"/>
                      <w:lang w:val="en-US" w:eastAsia="zh-CN"/>
                    </w:rPr>
                    <w:t>二级活性炭吸附装置排气筒（DA001）</w:t>
                  </w:r>
                </w:p>
              </w:tc>
              <w:tc>
                <w:tcPr>
                  <w:tcW w:w="756" w:type="pct"/>
                  <w:tcBorders>
                    <w:tl2br w:val="nil"/>
                    <w:tr2bl w:val="nil"/>
                  </w:tcBorders>
                  <w:shd w:val="clear" w:color="auto" w:fill="auto"/>
                  <w:vAlign w:val="center"/>
                </w:tcPr>
                <w:p w14:paraId="7316835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1385" w:type="pct"/>
                  <w:tcBorders>
                    <w:tl2br w:val="nil"/>
                    <w:tr2bl w:val="nil"/>
                  </w:tcBorders>
                  <w:shd w:val="clear" w:color="auto" w:fill="auto"/>
                  <w:vAlign w:val="center"/>
                </w:tcPr>
                <w:p w14:paraId="3EC1D98D">
                  <w:pPr>
                    <w:jc w:val="center"/>
                    <w:rPr>
                      <w:rFonts w:ascii="Times New Roman" w:hAnsi="Times New Roman" w:eastAsia="宋体" w:cs="Times New Roman"/>
                      <w:color w:val="auto"/>
                      <w:spacing w:val="-20"/>
                      <w:kern w:val="2"/>
                      <w:sz w:val="18"/>
                      <w:szCs w:val="18"/>
                      <w:highlight w:val="none"/>
                      <w:lang w:val="en-US" w:eastAsia="zh-CN" w:bidi="ar-SA"/>
                    </w:rPr>
                  </w:pPr>
                  <w:r>
                    <w:rPr>
                      <w:color w:val="auto"/>
                      <w:spacing w:val="-20"/>
                      <w:sz w:val="18"/>
                      <w:szCs w:val="18"/>
                      <w:highlight w:val="none"/>
                    </w:rPr>
                    <w:t>排气筒监测口</w:t>
                  </w:r>
                </w:p>
              </w:tc>
              <w:tc>
                <w:tcPr>
                  <w:tcW w:w="566" w:type="pct"/>
                  <w:tcBorders>
                    <w:tl2br w:val="nil"/>
                    <w:tr2bl w:val="nil"/>
                  </w:tcBorders>
                  <w:shd w:val="clear" w:color="auto" w:fill="auto"/>
                  <w:vAlign w:val="center"/>
                </w:tcPr>
                <w:p w14:paraId="3B3ED127">
                  <w:pPr>
                    <w:jc w:val="center"/>
                    <w:rPr>
                      <w:rFonts w:ascii="Times New Roman" w:hAnsi="Times New Roman" w:eastAsia="宋体" w:cs="Times New Roman"/>
                      <w:color w:val="auto"/>
                      <w:spacing w:val="-20"/>
                      <w:kern w:val="2"/>
                      <w:sz w:val="18"/>
                      <w:szCs w:val="18"/>
                      <w:highlight w:val="none"/>
                      <w:lang w:val="en-US" w:eastAsia="zh-CN" w:bidi="ar-SA"/>
                    </w:rPr>
                  </w:pPr>
                  <w:r>
                    <w:rPr>
                      <w:color w:val="auto"/>
                      <w:spacing w:val="-20"/>
                      <w:sz w:val="18"/>
                      <w:szCs w:val="18"/>
                      <w:highlight w:val="none"/>
                    </w:rPr>
                    <w:t>1次/年</w:t>
                  </w:r>
                </w:p>
              </w:tc>
            </w:tr>
            <w:tr w14:paraId="36B117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vMerge w:val="restart"/>
                  <w:tcBorders>
                    <w:tl2br w:val="nil"/>
                    <w:tr2bl w:val="nil"/>
                  </w:tcBorders>
                  <w:vAlign w:val="center"/>
                </w:tcPr>
                <w:p w14:paraId="1AC646DD">
                  <w:pPr>
                    <w:jc w:val="center"/>
                    <w:rPr>
                      <w:color w:val="auto"/>
                      <w:spacing w:val="-20"/>
                      <w:sz w:val="18"/>
                      <w:szCs w:val="18"/>
                      <w:highlight w:val="none"/>
                    </w:rPr>
                  </w:pPr>
                  <w:r>
                    <w:rPr>
                      <w:rFonts w:hint="eastAsia"/>
                      <w:color w:val="auto"/>
                      <w:spacing w:val="-20"/>
                      <w:sz w:val="18"/>
                      <w:szCs w:val="18"/>
                      <w:highlight w:val="none"/>
                    </w:rPr>
                    <w:t>2</w:t>
                  </w:r>
                </w:p>
              </w:tc>
              <w:tc>
                <w:tcPr>
                  <w:tcW w:w="461" w:type="pct"/>
                  <w:vMerge w:val="restart"/>
                  <w:tcBorders>
                    <w:tl2br w:val="nil"/>
                    <w:tr2bl w:val="nil"/>
                  </w:tcBorders>
                  <w:vAlign w:val="center"/>
                </w:tcPr>
                <w:p w14:paraId="08E77CE3">
                  <w:pPr>
                    <w:jc w:val="center"/>
                    <w:rPr>
                      <w:color w:val="auto"/>
                      <w:spacing w:val="-20"/>
                      <w:sz w:val="18"/>
                      <w:szCs w:val="18"/>
                      <w:highlight w:val="none"/>
                    </w:rPr>
                  </w:pPr>
                  <w:r>
                    <w:rPr>
                      <w:rFonts w:hint="eastAsia"/>
                      <w:color w:val="auto"/>
                      <w:spacing w:val="-20"/>
                      <w:sz w:val="18"/>
                      <w:szCs w:val="18"/>
                      <w:highlight w:val="none"/>
                    </w:rPr>
                    <w:t>无组织</w:t>
                  </w:r>
                </w:p>
              </w:tc>
              <w:tc>
                <w:tcPr>
                  <w:tcW w:w="1508" w:type="pct"/>
                  <w:tcBorders>
                    <w:tl2br w:val="nil"/>
                    <w:tr2bl w:val="nil"/>
                  </w:tcBorders>
                  <w:vAlign w:val="center"/>
                </w:tcPr>
                <w:p w14:paraId="0F249914">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厂区内</w:t>
                  </w:r>
                </w:p>
              </w:tc>
              <w:tc>
                <w:tcPr>
                  <w:tcW w:w="756" w:type="pct"/>
                  <w:tcBorders>
                    <w:tl2br w:val="nil"/>
                    <w:tr2bl w:val="nil"/>
                  </w:tcBorders>
                  <w:shd w:val="clear" w:color="auto" w:fill="auto"/>
                  <w:vAlign w:val="center"/>
                </w:tcPr>
                <w:p w14:paraId="67F697B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1385" w:type="pct"/>
                  <w:tcBorders>
                    <w:tl2br w:val="nil"/>
                    <w:tr2bl w:val="nil"/>
                  </w:tcBorders>
                  <w:shd w:val="clear" w:color="auto" w:fill="auto"/>
                  <w:vAlign w:val="center"/>
                </w:tcPr>
                <w:p w14:paraId="35961D7C">
                  <w:pPr>
                    <w:jc w:val="center"/>
                    <w:rPr>
                      <w:rFonts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实验室大楼</w:t>
                  </w:r>
                  <w:r>
                    <w:rPr>
                      <w:color w:val="auto"/>
                      <w:spacing w:val="-20"/>
                      <w:sz w:val="18"/>
                      <w:szCs w:val="18"/>
                      <w:highlight w:val="none"/>
                    </w:rPr>
                    <w:t>门窗、屋顶等排放口处</w:t>
                  </w:r>
                </w:p>
              </w:tc>
              <w:tc>
                <w:tcPr>
                  <w:tcW w:w="566" w:type="pct"/>
                  <w:tcBorders>
                    <w:tl2br w:val="nil"/>
                    <w:tr2bl w:val="nil"/>
                  </w:tcBorders>
                  <w:vAlign w:val="center"/>
                </w:tcPr>
                <w:p w14:paraId="4AC66FE9">
                  <w:pPr>
                    <w:jc w:val="center"/>
                    <w:rPr>
                      <w:color w:val="auto"/>
                      <w:spacing w:val="-20"/>
                      <w:sz w:val="18"/>
                      <w:szCs w:val="18"/>
                      <w:highlight w:val="none"/>
                    </w:rPr>
                  </w:pPr>
                  <w:r>
                    <w:rPr>
                      <w:color w:val="auto"/>
                      <w:spacing w:val="-20"/>
                      <w:sz w:val="18"/>
                      <w:szCs w:val="18"/>
                      <w:highlight w:val="none"/>
                    </w:rPr>
                    <w:t>1次/年</w:t>
                  </w:r>
                </w:p>
              </w:tc>
            </w:tr>
            <w:tr w14:paraId="7556FE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319" w:type="pct"/>
                  <w:vMerge w:val="continue"/>
                  <w:tcBorders>
                    <w:tl2br w:val="nil"/>
                    <w:tr2bl w:val="nil"/>
                  </w:tcBorders>
                  <w:vAlign w:val="center"/>
                </w:tcPr>
                <w:p w14:paraId="44B7060A">
                  <w:pPr>
                    <w:jc w:val="center"/>
                    <w:rPr>
                      <w:rFonts w:hint="eastAsia"/>
                      <w:color w:val="auto"/>
                      <w:spacing w:val="-20"/>
                      <w:sz w:val="18"/>
                      <w:szCs w:val="18"/>
                      <w:highlight w:val="none"/>
                    </w:rPr>
                  </w:pPr>
                </w:p>
              </w:tc>
              <w:tc>
                <w:tcPr>
                  <w:tcW w:w="461" w:type="pct"/>
                  <w:vMerge w:val="continue"/>
                  <w:tcBorders>
                    <w:tl2br w:val="nil"/>
                    <w:tr2bl w:val="nil"/>
                  </w:tcBorders>
                  <w:vAlign w:val="center"/>
                </w:tcPr>
                <w:p w14:paraId="0AF905CE">
                  <w:pPr>
                    <w:jc w:val="center"/>
                    <w:rPr>
                      <w:rFonts w:hint="eastAsia"/>
                      <w:color w:val="auto"/>
                      <w:spacing w:val="-20"/>
                      <w:sz w:val="18"/>
                      <w:szCs w:val="18"/>
                      <w:highlight w:val="none"/>
                    </w:rPr>
                  </w:pPr>
                </w:p>
              </w:tc>
              <w:tc>
                <w:tcPr>
                  <w:tcW w:w="1508" w:type="pct"/>
                  <w:tcBorders>
                    <w:tl2br w:val="nil"/>
                    <w:tr2bl w:val="nil"/>
                  </w:tcBorders>
                  <w:shd w:val="clear" w:color="auto" w:fill="auto"/>
                  <w:vAlign w:val="center"/>
                </w:tcPr>
                <w:p w14:paraId="65F6920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厂</w:t>
                  </w:r>
                  <w:r>
                    <w:rPr>
                      <w:rFonts w:hint="eastAsia"/>
                      <w:color w:val="auto"/>
                      <w:spacing w:val="-20"/>
                      <w:sz w:val="18"/>
                      <w:szCs w:val="18"/>
                      <w:highlight w:val="none"/>
                    </w:rPr>
                    <w:t>界</w:t>
                  </w:r>
                </w:p>
              </w:tc>
              <w:tc>
                <w:tcPr>
                  <w:tcW w:w="756" w:type="pct"/>
                  <w:tcBorders>
                    <w:tl2br w:val="nil"/>
                    <w:tr2bl w:val="nil"/>
                  </w:tcBorders>
                  <w:shd w:val="clear" w:color="auto" w:fill="auto"/>
                  <w:vAlign w:val="center"/>
                </w:tcPr>
                <w:p w14:paraId="48F5165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颗粒物、HC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1385" w:type="pct"/>
                  <w:tcBorders>
                    <w:tl2br w:val="nil"/>
                    <w:tr2bl w:val="nil"/>
                  </w:tcBorders>
                  <w:shd w:val="clear" w:color="auto" w:fill="auto"/>
                  <w:vAlign w:val="center"/>
                </w:tcPr>
                <w:p w14:paraId="69C2E43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上风向1个参照点，下风向3个监测点</w:t>
                  </w:r>
                </w:p>
              </w:tc>
              <w:tc>
                <w:tcPr>
                  <w:tcW w:w="566" w:type="pct"/>
                  <w:tcBorders>
                    <w:tl2br w:val="nil"/>
                    <w:tr2bl w:val="nil"/>
                  </w:tcBorders>
                  <w:shd w:val="clear" w:color="auto" w:fill="auto"/>
                  <w:vAlign w:val="center"/>
                </w:tcPr>
                <w:p w14:paraId="1E8FEF99">
                  <w:pPr>
                    <w:jc w:val="center"/>
                    <w:rPr>
                      <w:rFonts w:ascii="Times New Roman" w:hAnsi="Times New Roman" w:eastAsia="宋体" w:cs="Times New Roman"/>
                      <w:color w:val="auto"/>
                      <w:spacing w:val="-20"/>
                      <w:kern w:val="2"/>
                      <w:sz w:val="18"/>
                      <w:szCs w:val="18"/>
                      <w:highlight w:val="none"/>
                      <w:lang w:val="en-US" w:eastAsia="zh-CN" w:bidi="ar-SA"/>
                    </w:rPr>
                  </w:pPr>
                  <w:r>
                    <w:rPr>
                      <w:color w:val="auto"/>
                      <w:spacing w:val="-20"/>
                      <w:sz w:val="18"/>
                      <w:szCs w:val="18"/>
                      <w:highlight w:val="none"/>
                    </w:rPr>
                    <w:t>1次/年</w:t>
                  </w:r>
                </w:p>
              </w:tc>
            </w:tr>
          </w:tbl>
          <w:p w14:paraId="2AD8921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1.5非正常情况分析</w:t>
            </w:r>
          </w:p>
          <w:p w14:paraId="3DF92F2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ascii="Times New Roman" w:hAnsi="Times New Roman"/>
                <w:color w:val="auto"/>
                <w:sz w:val="21"/>
                <w:szCs w:val="21"/>
                <w:highlight w:val="none"/>
              </w:rPr>
              <w:t>开、停车时，环保设施的运行未达到处理效果，本项目非正常工况主要考虑</w:t>
            </w:r>
            <w:r>
              <w:rPr>
                <w:rFonts w:hint="eastAsia" w:ascii="Times New Roman" w:hAnsi="Times New Roman"/>
                <w:color w:val="auto"/>
                <w:sz w:val="21"/>
                <w:szCs w:val="21"/>
                <w:highlight w:val="none"/>
                <w:lang w:val="en-US" w:eastAsia="zh-CN"/>
              </w:rPr>
              <w:t>处理设施</w:t>
            </w:r>
            <w:r>
              <w:rPr>
                <w:rFonts w:hint="eastAsia" w:ascii="Times New Roman" w:hAnsi="Times New Roman"/>
                <w:color w:val="auto"/>
                <w:sz w:val="21"/>
                <w:szCs w:val="21"/>
                <w:highlight w:val="none"/>
              </w:rPr>
              <w:t>未达到设计处理效率</w:t>
            </w:r>
            <w:r>
              <w:rPr>
                <w:rFonts w:ascii="Times New Roman" w:hAnsi="Times New Roman"/>
                <w:color w:val="auto"/>
                <w:sz w:val="21"/>
                <w:szCs w:val="21"/>
                <w:highlight w:val="none"/>
              </w:rPr>
              <w:t>。</w:t>
            </w:r>
          </w:p>
          <w:p w14:paraId="79C9FF9C">
            <w:pPr>
              <w:tabs>
                <w:tab w:val="left" w:pos="4253"/>
              </w:tabs>
              <w:spacing w:line="440" w:lineRule="exact"/>
              <w:jc w:val="center"/>
              <w:rPr>
                <w:b/>
                <w:color w:val="auto"/>
                <w:szCs w:val="21"/>
                <w:highlight w:val="none"/>
              </w:rPr>
            </w:pPr>
            <w:r>
              <w:rPr>
                <w:b/>
                <w:color w:val="auto"/>
                <w:szCs w:val="21"/>
                <w:highlight w:val="none"/>
              </w:rPr>
              <w:t>表</w:t>
            </w:r>
            <w:r>
              <w:rPr>
                <w:rFonts w:hint="eastAsia"/>
                <w:b/>
                <w:color w:val="auto"/>
                <w:szCs w:val="21"/>
                <w:highlight w:val="none"/>
                <w:lang w:val="en-US" w:eastAsia="zh-CN"/>
              </w:rPr>
              <w:t>27</w:t>
            </w:r>
            <w:r>
              <w:rPr>
                <w:b/>
                <w:color w:val="auto"/>
                <w:szCs w:val="21"/>
                <w:highlight w:val="none"/>
              </w:rPr>
              <w:t xml:space="preserve"> 大气污染物非正常工况</w:t>
            </w:r>
            <w:r>
              <w:rPr>
                <w:rFonts w:hint="eastAsia"/>
                <w:b/>
                <w:color w:val="auto"/>
                <w:szCs w:val="21"/>
                <w:highlight w:val="none"/>
              </w:rPr>
              <w:t>源强</w:t>
            </w:r>
            <w:r>
              <w:rPr>
                <w:b/>
                <w:color w:val="auto"/>
                <w:szCs w:val="21"/>
                <w:highlight w:val="none"/>
              </w:rPr>
              <w:t>核算表</w:t>
            </w:r>
          </w:p>
          <w:tbl>
            <w:tblPr>
              <w:tblStyle w:val="26"/>
              <w:tblW w:w="7982"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95"/>
              <w:gridCol w:w="1457"/>
              <w:gridCol w:w="745"/>
              <w:gridCol w:w="562"/>
              <w:gridCol w:w="763"/>
              <w:gridCol w:w="887"/>
              <w:gridCol w:w="972"/>
              <w:gridCol w:w="902"/>
              <w:gridCol w:w="635"/>
              <w:gridCol w:w="664"/>
            </w:tblGrid>
            <w:tr w14:paraId="011ACE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395" w:type="dxa"/>
                  <w:vMerge w:val="restart"/>
                  <w:tcBorders>
                    <w:tl2br w:val="nil"/>
                    <w:tr2bl w:val="nil"/>
                  </w:tcBorders>
                  <w:vAlign w:val="center"/>
                </w:tcPr>
                <w:p w14:paraId="3394A357">
                  <w:pPr>
                    <w:spacing w:line="280" w:lineRule="exact"/>
                    <w:jc w:val="center"/>
                    <w:rPr>
                      <w:color w:val="auto"/>
                      <w:spacing w:val="-20"/>
                      <w:sz w:val="18"/>
                      <w:szCs w:val="18"/>
                      <w:highlight w:val="none"/>
                    </w:rPr>
                  </w:pPr>
                  <w:r>
                    <w:rPr>
                      <w:color w:val="auto"/>
                      <w:spacing w:val="-20"/>
                      <w:sz w:val="18"/>
                      <w:szCs w:val="18"/>
                      <w:highlight w:val="none"/>
                    </w:rPr>
                    <w:t>序号</w:t>
                  </w:r>
                </w:p>
              </w:tc>
              <w:tc>
                <w:tcPr>
                  <w:tcW w:w="1457" w:type="dxa"/>
                  <w:vMerge w:val="restart"/>
                  <w:tcBorders>
                    <w:tl2br w:val="nil"/>
                    <w:tr2bl w:val="nil"/>
                  </w:tcBorders>
                  <w:vAlign w:val="center"/>
                </w:tcPr>
                <w:p w14:paraId="6D049528">
                  <w:pPr>
                    <w:spacing w:line="280" w:lineRule="exact"/>
                    <w:jc w:val="center"/>
                    <w:rPr>
                      <w:color w:val="auto"/>
                      <w:spacing w:val="-20"/>
                      <w:sz w:val="18"/>
                      <w:szCs w:val="18"/>
                      <w:highlight w:val="none"/>
                    </w:rPr>
                  </w:pPr>
                  <w:r>
                    <w:rPr>
                      <w:color w:val="auto"/>
                      <w:spacing w:val="-20"/>
                      <w:sz w:val="18"/>
                      <w:szCs w:val="18"/>
                      <w:highlight w:val="none"/>
                    </w:rPr>
                    <w:t>污染源</w:t>
                  </w:r>
                </w:p>
              </w:tc>
              <w:tc>
                <w:tcPr>
                  <w:tcW w:w="745" w:type="dxa"/>
                  <w:vMerge w:val="restart"/>
                  <w:tcBorders>
                    <w:tl2br w:val="nil"/>
                    <w:tr2bl w:val="nil"/>
                  </w:tcBorders>
                  <w:vAlign w:val="center"/>
                </w:tcPr>
                <w:p w14:paraId="622A73BD">
                  <w:pPr>
                    <w:spacing w:line="280" w:lineRule="exact"/>
                    <w:jc w:val="center"/>
                    <w:rPr>
                      <w:color w:val="auto"/>
                      <w:spacing w:val="-20"/>
                      <w:sz w:val="18"/>
                      <w:szCs w:val="18"/>
                      <w:highlight w:val="none"/>
                    </w:rPr>
                  </w:pPr>
                  <w:r>
                    <w:rPr>
                      <w:rFonts w:hint="eastAsia"/>
                      <w:color w:val="auto"/>
                      <w:spacing w:val="-20"/>
                      <w:sz w:val="18"/>
                      <w:szCs w:val="18"/>
                      <w:highlight w:val="none"/>
                    </w:rPr>
                    <w:t>污染</w:t>
                  </w:r>
                </w:p>
                <w:p w14:paraId="40E026EB">
                  <w:pPr>
                    <w:spacing w:line="280" w:lineRule="exact"/>
                    <w:jc w:val="center"/>
                    <w:rPr>
                      <w:color w:val="auto"/>
                      <w:spacing w:val="-20"/>
                      <w:sz w:val="18"/>
                      <w:szCs w:val="18"/>
                      <w:highlight w:val="none"/>
                    </w:rPr>
                  </w:pPr>
                  <w:r>
                    <w:rPr>
                      <w:rFonts w:hint="eastAsia"/>
                      <w:color w:val="auto"/>
                      <w:spacing w:val="-20"/>
                      <w:sz w:val="18"/>
                      <w:szCs w:val="18"/>
                      <w:highlight w:val="none"/>
                    </w:rPr>
                    <w:t>因子</w:t>
                  </w:r>
                </w:p>
              </w:tc>
              <w:tc>
                <w:tcPr>
                  <w:tcW w:w="562" w:type="dxa"/>
                  <w:vMerge w:val="restart"/>
                  <w:tcBorders>
                    <w:tl2br w:val="nil"/>
                    <w:tr2bl w:val="nil"/>
                  </w:tcBorders>
                  <w:vAlign w:val="center"/>
                </w:tcPr>
                <w:p w14:paraId="5F89C2DB">
                  <w:pPr>
                    <w:spacing w:line="280" w:lineRule="exact"/>
                    <w:jc w:val="center"/>
                    <w:rPr>
                      <w:color w:val="auto"/>
                      <w:spacing w:val="-20"/>
                      <w:sz w:val="18"/>
                      <w:szCs w:val="18"/>
                      <w:highlight w:val="none"/>
                    </w:rPr>
                  </w:pPr>
                  <w:r>
                    <w:rPr>
                      <w:rFonts w:hint="eastAsia"/>
                      <w:color w:val="auto"/>
                      <w:spacing w:val="-20"/>
                      <w:sz w:val="18"/>
                      <w:szCs w:val="18"/>
                      <w:highlight w:val="none"/>
                    </w:rPr>
                    <w:t>处理措施</w:t>
                  </w:r>
                </w:p>
              </w:tc>
              <w:tc>
                <w:tcPr>
                  <w:tcW w:w="763" w:type="dxa"/>
                  <w:vMerge w:val="restart"/>
                  <w:tcBorders>
                    <w:tl2br w:val="nil"/>
                    <w:tr2bl w:val="nil"/>
                  </w:tcBorders>
                  <w:vAlign w:val="center"/>
                </w:tcPr>
                <w:p w14:paraId="2C2D8057">
                  <w:pPr>
                    <w:spacing w:line="280" w:lineRule="exact"/>
                    <w:jc w:val="center"/>
                    <w:rPr>
                      <w:color w:val="auto"/>
                      <w:spacing w:val="-20"/>
                      <w:sz w:val="18"/>
                      <w:szCs w:val="18"/>
                      <w:highlight w:val="none"/>
                    </w:rPr>
                  </w:pPr>
                  <w:r>
                    <w:rPr>
                      <w:color w:val="auto"/>
                      <w:spacing w:val="-20"/>
                      <w:sz w:val="18"/>
                      <w:szCs w:val="18"/>
                      <w:highlight w:val="none"/>
                    </w:rPr>
                    <w:t>非正常</w:t>
                  </w:r>
                  <w:r>
                    <w:rPr>
                      <w:rFonts w:hint="eastAsia"/>
                      <w:color w:val="auto"/>
                      <w:spacing w:val="-20"/>
                      <w:sz w:val="18"/>
                      <w:szCs w:val="18"/>
                      <w:highlight w:val="none"/>
                    </w:rPr>
                    <w:t>工况处理效率（%）</w:t>
                  </w:r>
                </w:p>
              </w:tc>
              <w:tc>
                <w:tcPr>
                  <w:tcW w:w="2761" w:type="dxa"/>
                  <w:gridSpan w:val="3"/>
                  <w:tcBorders>
                    <w:tl2br w:val="nil"/>
                    <w:tr2bl w:val="nil"/>
                  </w:tcBorders>
                  <w:vAlign w:val="center"/>
                </w:tcPr>
                <w:p w14:paraId="06EAF031">
                  <w:pPr>
                    <w:spacing w:line="280" w:lineRule="exact"/>
                    <w:jc w:val="center"/>
                    <w:rPr>
                      <w:color w:val="auto"/>
                      <w:spacing w:val="-20"/>
                      <w:sz w:val="18"/>
                      <w:szCs w:val="18"/>
                      <w:highlight w:val="none"/>
                    </w:rPr>
                  </w:pPr>
                  <w:r>
                    <w:rPr>
                      <w:color w:val="auto"/>
                      <w:spacing w:val="-20"/>
                      <w:sz w:val="18"/>
                      <w:szCs w:val="18"/>
                      <w:highlight w:val="none"/>
                    </w:rPr>
                    <w:t>非正常</w:t>
                  </w:r>
                  <w:r>
                    <w:rPr>
                      <w:rFonts w:hint="eastAsia"/>
                      <w:color w:val="auto"/>
                      <w:spacing w:val="-20"/>
                      <w:sz w:val="18"/>
                      <w:szCs w:val="18"/>
                      <w:highlight w:val="none"/>
                    </w:rPr>
                    <w:t>工况排放情况</w:t>
                  </w:r>
                </w:p>
              </w:tc>
              <w:tc>
                <w:tcPr>
                  <w:tcW w:w="635" w:type="dxa"/>
                  <w:vMerge w:val="restart"/>
                  <w:tcBorders>
                    <w:tl2br w:val="nil"/>
                    <w:tr2bl w:val="nil"/>
                  </w:tcBorders>
                  <w:vAlign w:val="center"/>
                </w:tcPr>
                <w:p w14:paraId="6FD2F45B">
                  <w:pPr>
                    <w:spacing w:line="280" w:lineRule="exact"/>
                    <w:jc w:val="center"/>
                    <w:rPr>
                      <w:color w:val="auto"/>
                      <w:spacing w:val="-20"/>
                      <w:sz w:val="18"/>
                      <w:szCs w:val="18"/>
                      <w:highlight w:val="none"/>
                    </w:rPr>
                  </w:pPr>
                  <w:r>
                    <w:rPr>
                      <w:color w:val="auto"/>
                      <w:spacing w:val="-20"/>
                      <w:sz w:val="18"/>
                      <w:szCs w:val="18"/>
                      <w:highlight w:val="none"/>
                    </w:rPr>
                    <w:t>单次持续时间（h）</w:t>
                  </w:r>
                </w:p>
              </w:tc>
              <w:tc>
                <w:tcPr>
                  <w:tcW w:w="664" w:type="dxa"/>
                  <w:vMerge w:val="restart"/>
                  <w:tcBorders>
                    <w:tl2br w:val="nil"/>
                    <w:tr2bl w:val="nil"/>
                  </w:tcBorders>
                  <w:vAlign w:val="center"/>
                </w:tcPr>
                <w:p w14:paraId="742D87D4">
                  <w:pPr>
                    <w:spacing w:line="280" w:lineRule="exact"/>
                    <w:jc w:val="center"/>
                    <w:rPr>
                      <w:color w:val="auto"/>
                      <w:spacing w:val="-20"/>
                      <w:sz w:val="18"/>
                      <w:szCs w:val="18"/>
                      <w:highlight w:val="none"/>
                    </w:rPr>
                  </w:pPr>
                  <w:r>
                    <w:rPr>
                      <w:color w:val="auto"/>
                      <w:spacing w:val="-20"/>
                      <w:sz w:val="18"/>
                      <w:szCs w:val="18"/>
                      <w:highlight w:val="none"/>
                    </w:rPr>
                    <w:t>年发生频次（次）</w:t>
                  </w:r>
                </w:p>
              </w:tc>
            </w:tr>
            <w:tr w14:paraId="696433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395" w:type="dxa"/>
                  <w:vMerge w:val="continue"/>
                  <w:tcBorders>
                    <w:tl2br w:val="nil"/>
                    <w:tr2bl w:val="nil"/>
                  </w:tcBorders>
                  <w:vAlign w:val="center"/>
                </w:tcPr>
                <w:p w14:paraId="046D970D">
                  <w:pPr>
                    <w:spacing w:line="280" w:lineRule="exact"/>
                    <w:jc w:val="center"/>
                    <w:rPr>
                      <w:color w:val="auto"/>
                      <w:spacing w:val="-20"/>
                      <w:sz w:val="18"/>
                      <w:szCs w:val="18"/>
                      <w:highlight w:val="none"/>
                    </w:rPr>
                  </w:pPr>
                </w:p>
              </w:tc>
              <w:tc>
                <w:tcPr>
                  <w:tcW w:w="1457" w:type="dxa"/>
                  <w:vMerge w:val="continue"/>
                  <w:tcBorders>
                    <w:tl2br w:val="nil"/>
                    <w:tr2bl w:val="nil"/>
                  </w:tcBorders>
                  <w:vAlign w:val="center"/>
                </w:tcPr>
                <w:p w14:paraId="46B5E12E">
                  <w:pPr>
                    <w:spacing w:line="280" w:lineRule="exact"/>
                    <w:jc w:val="center"/>
                    <w:rPr>
                      <w:color w:val="auto"/>
                      <w:spacing w:val="-20"/>
                      <w:sz w:val="18"/>
                      <w:szCs w:val="18"/>
                      <w:highlight w:val="none"/>
                    </w:rPr>
                  </w:pPr>
                </w:p>
              </w:tc>
              <w:tc>
                <w:tcPr>
                  <w:tcW w:w="745" w:type="dxa"/>
                  <w:vMerge w:val="continue"/>
                  <w:tcBorders>
                    <w:tl2br w:val="nil"/>
                    <w:tr2bl w:val="nil"/>
                  </w:tcBorders>
                  <w:vAlign w:val="center"/>
                </w:tcPr>
                <w:p w14:paraId="48BD9BDA">
                  <w:pPr>
                    <w:spacing w:line="280" w:lineRule="exact"/>
                    <w:jc w:val="center"/>
                    <w:rPr>
                      <w:color w:val="auto"/>
                      <w:spacing w:val="-20"/>
                      <w:sz w:val="18"/>
                      <w:szCs w:val="18"/>
                      <w:highlight w:val="none"/>
                    </w:rPr>
                  </w:pPr>
                </w:p>
              </w:tc>
              <w:tc>
                <w:tcPr>
                  <w:tcW w:w="562" w:type="dxa"/>
                  <w:vMerge w:val="continue"/>
                  <w:tcBorders>
                    <w:tl2br w:val="nil"/>
                    <w:tr2bl w:val="nil"/>
                  </w:tcBorders>
                  <w:vAlign w:val="center"/>
                </w:tcPr>
                <w:p w14:paraId="5BBC2514">
                  <w:pPr>
                    <w:spacing w:line="280" w:lineRule="exact"/>
                    <w:jc w:val="center"/>
                    <w:rPr>
                      <w:color w:val="auto"/>
                      <w:spacing w:val="-20"/>
                      <w:sz w:val="18"/>
                      <w:szCs w:val="18"/>
                      <w:highlight w:val="none"/>
                    </w:rPr>
                  </w:pPr>
                </w:p>
              </w:tc>
              <w:tc>
                <w:tcPr>
                  <w:tcW w:w="763" w:type="dxa"/>
                  <w:vMerge w:val="continue"/>
                  <w:tcBorders>
                    <w:tl2br w:val="nil"/>
                    <w:tr2bl w:val="nil"/>
                  </w:tcBorders>
                  <w:vAlign w:val="center"/>
                </w:tcPr>
                <w:p w14:paraId="065F0930">
                  <w:pPr>
                    <w:spacing w:line="280" w:lineRule="exact"/>
                    <w:jc w:val="center"/>
                    <w:rPr>
                      <w:color w:val="auto"/>
                      <w:spacing w:val="-20"/>
                      <w:sz w:val="18"/>
                      <w:szCs w:val="18"/>
                      <w:highlight w:val="none"/>
                    </w:rPr>
                  </w:pPr>
                </w:p>
              </w:tc>
              <w:tc>
                <w:tcPr>
                  <w:tcW w:w="887" w:type="dxa"/>
                  <w:tcBorders>
                    <w:tl2br w:val="nil"/>
                    <w:tr2bl w:val="nil"/>
                  </w:tcBorders>
                  <w:vAlign w:val="center"/>
                </w:tcPr>
                <w:p w14:paraId="75FD72A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排放浓度mg/m</w:t>
                  </w:r>
                  <w:r>
                    <w:rPr>
                      <w:rFonts w:hint="eastAsia" w:ascii="Times New Roman" w:hAnsi="Times New Roman" w:eastAsia="宋体" w:cs="Times New Roman"/>
                      <w:color w:val="auto"/>
                      <w:spacing w:val="-10"/>
                      <w:sz w:val="18"/>
                      <w:szCs w:val="18"/>
                      <w:highlight w:val="none"/>
                      <w:vertAlign w:val="superscript"/>
                      <w:lang w:val="en-US" w:eastAsia="zh-CN"/>
                    </w:rPr>
                    <w:t>3</w:t>
                  </w:r>
                </w:p>
              </w:tc>
              <w:tc>
                <w:tcPr>
                  <w:tcW w:w="972" w:type="dxa"/>
                  <w:tcBorders>
                    <w:tl2br w:val="nil"/>
                    <w:tr2bl w:val="nil"/>
                  </w:tcBorders>
                  <w:vAlign w:val="center"/>
                </w:tcPr>
                <w:p w14:paraId="5C234A77">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排放速率kg/h</w:t>
                  </w:r>
                </w:p>
              </w:tc>
              <w:tc>
                <w:tcPr>
                  <w:tcW w:w="902" w:type="dxa"/>
                  <w:tcBorders>
                    <w:tl2br w:val="nil"/>
                    <w:tr2bl w:val="nil"/>
                  </w:tcBorders>
                  <w:vAlign w:val="center"/>
                </w:tcPr>
                <w:p w14:paraId="51ED5AC7">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排放量kg/a</w:t>
                  </w:r>
                </w:p>
              </w:tc>
              <w:tc>
                <w:tcPr>
                  <w:tcW w:w="635" w:type="dxa"/>
                  <w:vMerge w:val="continue"/>
                  <w:tcBorders>
                    <w:tl2br w:val="nil"/>
                    <w:tr2bl w:val="nil"/>
                  </w:tcBorders>
                  <w:vAlign w:val="center"/>
                </w:tcPr>
                <w:p w14:paraId="2A2FB713">
                  <w:pPr>
                    <w:spacing w:line="280" w:lineRule="exact"/>
                    <w:rPr>
                      <w:color w:val="auto"/>
                      <w:spacing w:val="-20"/>
                      <w:sz w:val="18"/>
                      <w:szCs w:val="18"/>
                      <w:highlight w:val="none"/>
                    </w:rPr>
                  </w:pPr>
                </w:p>
              </w:tc>
              <w:tc>
                <w:tcPr>
                  <w:tcW w:w="664" w:type="dxa"/>
                  <w:vMerge w:val="continue"/>
                  <w:tcBorders>
                    <w:tl2br w:val="nil"/>
                    <w:tr2bl w:val="nil"/>
                  </w:tcBorders>
                  <w:vAlign w:val="center"/>
                </w:tcPr>
                <w:p w14:paraId="3B8931E9">
                  <w:pPr>
                    <w:spacing w:line="280" w:lineRule="exact"/>
                    <w:jc w:val="center"/>
                    <w:rPr>
                      <w:color w:val="auto"/>
                      <w:spacing w:val="-20"/>
                      <w:sz w:val="18"/>
                      <w:szCs w:val="18"/>
                      <w:highlight w:val="none"/>
                    </w:rPr>
                  </w:pPr>
                </w:p>
              </w:tc>
            </w:tr>
            <w:tr w14:paraId="19A325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95" w:type="dxa"/>
                  <w:vMerge w:val="restart"/>
                  <w:tcBorders>
                    <w:tl2br w:val="nil"/>
                    <w:tr2bl w:val="nil"/>
                  </w:tcBorders>
                  <w:vAlign w:val="center"/>
                </w:tcPr>
                <w:p w14:paraId="046BAE29">
                  <w:pPr>
                    <w:spacing w:line="280" w:lineRule="exact"/>
                    <w:jc w:val="center"/>
                    <w:rPr>
                      <w:rFonts w:hint="eastAsia" w:eastAsia="宋体"/>
                      <w:color w:val="auto"/>
                      <w:spacing w:val="-20"/>
                      <w:sz w:val="18"/>
                      <w:szCs w:val="18"/>
                      <w:highlight w:val="none"/>
                      <w:lang w:eastAsia="zh-CN"/>
                    </w:rPr>
                  </w:pPr>
                  <w:r>
                    <w:rPr>
                      <w:rFonts w:hint="eastAsia"/>
                      <w:color w:val="auto"/>
                      <w:spacing w:val="-20"/>
                      <w:sz w:val="18"/>
                      <w:szCs w:val="18"/>
                      <w:highlight w:val="none"/>
                      <w:lang w:val="en-US" w:eastAsia="zh-CN"/>
                    </w:rPr>
                    <w:t>1</w:t>
                  </w:r>
                </w:p>
              </w:tc>
              <w:tc>
                <w:tcPr>
                  <w:tcW w:w="1457" w:type="dxa"/>
                  <w:vMerge w:val="restart"/>
                  <w:tcBorders>
                    <w:tl2br w:val="nil"/>
                    <w:tr2bl w:val="nil"/>
                  </w:tcBorders>
                  <w:vAlign w:val="center"/>
                </w:tcPr>
                <w:p w14:paraId="0AF36F0E">
                  <w:pPr>
                    <w:jc w:val="center"/>
                    <w:rPr>
                      <w:rFonts w:hint="default" w:ascii="Times New Roman" w:hAnsi="Times New Roman" w:eastAsia="宋体" w:cs="Times New Roman"/>
                      <w:color w:val="auto"/>
                      <w:spacing w:val="-11"/>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理化一室、理化二室、测油室、离子色谱室、气质一室、气质二室、色谱室、半挥发前处理室</w:t>
                  </w:r>
                </w:p>
              </w:tc>
              <w:tc>
                <w:tcPr>
                  <w:tcW w:w="745" w:type="dxa"/>
                  <w:tcBorders>
                    <w:tl2br w:val="nil"/>
                    <w:tr2bl w:val="nil"/>
                  </w:tcBorders>
                  <w:vAlign w:val="center"/>
                </w:tcPr>
                <w:p w14:paraId="64F7854A">
                  <w:pPr>
                    <w:jc w:val="center"/>
                    <w:rPr>
                      <w:rFonts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p>
              </w:tc>
              <w:tc>
                <w:tcPr>
                  <w:tcW w:w="562" w:type="dxa"/>
                  <w:vMerge w:val="restart"/>
                  <w:tcBorders>
                    <w:tl2br w:val="nil"/>
                    <w:tr2bl w:val="nil"/>
                  </w:tcBorders>
                  <w:vAlign w:val="center"/>
                </w:tcPr>
                <w:p w14:paraId="3BD66C6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二级活性炭吸附装置</w:t>
                  </w:r>
                </w:p>
              </w:tc>
              <w:tc>
                <w:tcPr>
                  <w:tcW w:w="763" w:type="dxa"/>
                  <w:tcBorders>
                    <w:tl2br w:val="nil"/>
                    <w:tr2bl w:val="nil"/>
                  </w:tcBorders>
                  <w:vAlign w:val="center"/>
                </w:tcPr>
                <w:p w14:paraId="29BE220F">
                  <w:pPr>
                    <w:spacing w:line="280" w:lineRule="exac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15</w:t>
                  </w:r>
                </w:p>
              </w:tc>
              <w:tc>
                <w:tcPr>
                  <w:tcW w:w="887" w:type="dxa"/>
                  <w:tcBorders>
                    <w:tl2br w:val="nil"/>
                    <w:tr2bl w:val="nil"/>
                  </w:tcBorders>
                  <w:vAlign w:val="center"/>
                </w:tcPr>
                <w:p w14:paraId="6A64FCB2">
                  <w:pPr>
                    <w:jc w:val="center"/>
                    <w:rPr>
                      <w:rFonts w:hint="eastAsia" w:ascii="Times New Roman" w:hAnsi="Times New Roman" w:eastAsia="宋体" w:cs="Times New Roman"/>
                      <w:color w:val="auto"/>
                      <w:spacing w:val="-10"/>
                      <w:sz w:val="18"/>
                      <w:szCs w:val="18"/>
                      <w:highlight w:val="none"/>
                    </w:rPr>
                  </w:pPr>
                  <w:r>
                    <w:rPr>
                      <w:rFonts w:hint="eastAsia" w:ascii="Times New Roman" w:hAnsi="Times New Roman" w:eastAsia="宋体" w:cs="Times New Roman"/>
                      <w:color w:val="auto"/>
                      <w:spacing w:val="-10"/>
                      <w:sz w:val="18"/>
                      <w:szCs w:val="18"/>
                      <w:highlight w:val="none"/>
                      <w:lang w:val="en-US" w:eastAsia="zh-CN"/>
                    </w:rPr>
                    <w:t>0.388</w:t>
                  </w:r>
                </w:p>
              </w:tc>
              <w:tc>
                <w:tcPr>
                  <w:tcW w:w="972" w:type="dxa"/>
                  <w:tcBorders>
                    <w:tl2br w:val="nil"/>
                    <w:tr2bl w:val="nil"/>
                  </w:tcBorders>
                  <w:vAlign w:val="center"/>
                </w:tcPr>
                <w:p w14:paraId="46D8340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0.0039</w:t>
                  </w:r>
                </w:p>
              </w:tc>
              <w:tc>
                <w:tcPr>
                  <w:tcW w:w="902" w:type="dxa"/>
                  <w:tcBorders>
                    <w:tl2br w:val="nil"/>
                    <w:tr2bl w:val="nil"/>
                  </w:tcBorders>
                  <w:vAlign w:val="center"/>
                </w:tcPr>
                <w:p w14:paraId="6032FB07">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0.0078</w:t>
                  </w:r>
                </w:p>
              </w:tc>
              <w:tc>
                <w:tcPr>
                  <w:tcW w:w="635" w:type="dxa"/>
                  <w:vMerge w:val="restart"/>
                  <w:tcBorders>
                    <w:tl2br w:val="nil"/>
                    <w:tr2bl w:val="nil"/>
                  </w:tcBorders>
                  <w:vAlign w:val="center"/>
                </w:tcPr>
                <w:p w14:paraId="067F72C3">
                  <w:pPr>
                    <w:spacing w:line="280" w:lineRule="exact"/>
                    <w:jc w:val="center"/>
                    <w:rPr>
                      <w:color w:val="auto"/>
                      <w:spacing w:val="-20"/>
                      <w:sz w:val="18"/>
                      <w:szCs w:val="18"/>
                      <w:highlight w:val="none"/>
                    </w:rPr>
                  </w:pPr>
                  <w:r>
                    <w:rPr>
                      <w:rFonts w:hint="eastAsia"/>
                      <w:color w:val="auto"/>
                      <w:spacing w:val="-20"/>
                      <w:sz w:val="18"/>
                      <w:szCs w:val="18"/>
                      <w:highlight w:val="none"/>
                    </w:rPr>
                    <w:t>1</w:t>
                  </w:r>
                </w:p>
              </w:tc>
              <w:tc>
                <w:tcPr>
                  <w:tcW w:w="664" w:type="dxa"/>
                  <w:vMerge w:val="restart"/>
                  <w:tcBorders>
                    <w:tl2br w:val="nil"/>
                    <w:tr2bl w:val="nil"/>
                  </w:tcBorders>
                  <w:vAlign w:val="center"/>
                </w:tcPr>
                <w:p w14:paraId="79D729E3">
                  <w:pPr>
                    <w:spacing w:line="280" w:lineRule="exact"/>
                    <w:jc w:val="center"/>
                    <w:rPr>
                      <w:color w:val="auto"/>
                      <w:spacing w:val="-20"/>
                      <w:sz w:val="18"/>
                      <w:szCs w:val="18"/>
                      <w:highlight w:val="none"/>
                    </w:rPr>
                  </w:pPr>
                  <w:r>
                    <w:rPr>
                      <w:rFonts w:hint="eastAsia"/>
                      <w:color w:val="auto"/>
                      <w:spacing w:val="-20"/>
                      <w:sz w:val="18"/>
                      <w:szCs w:val="18"/>
                      <w:highlight w:val="none"/>
                    </w:rPr>
                    <w:t>2</w:t>
                  </w:r>
                </w:p>
              </w:tc>
            </w:tr>
            <w:tr w14:paraId="355F45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395" w:type="dxa"/>
                  <w:vMerge w:val="continue"/>
                  <w:tcBorders>
                    <w:tl2br w:val="nil"/>
                    <w:tr2bl w:val="nil"/>
                  </w:tcBorders>
                  <w:vAlign w:val="center"/>
                </w:tcPr>
                <w:p w14:paraId="626C3FEE">
                  <w:pPr>
                    <w:spacing w:line="280" w:lineRule="exact"/>
                    <w:jc w:val="center"/>
                    <w:rPr>
                      <w:color w:val="auto"/>
                      <w:spacing w:val="-20"/>
                      <w:sz w:val="18"/>
                      <w:szCs w:val="18"/>
                      <w:highlight w:val="none"/>
                    </w:rPr>
                  </w:pPr>
                </w:p>
              </w:tc>
              <w:tc>
                <w:tcPr>
                  <w:tcW w:w="1457" w:type="dxa"/>
                  <w:vMerge w:val="continue"/>
                  <w:tcBorders>
                    <w:tl2br w:val="nil"/>
                    <w:tr2bl w:val="nil"/>
                  </w:tcBorders>
                  <w:vAlign w:val="center"/>
                </w:tcPr>
                <w:p w14:paraId="780E8473">
                  <w:pPr>
                    <w:jc w:val="center"/>
                    <w:rPr>
                      <w:rFonts w:hint="default" w:ascii="Times New Roman" w:hAnsi="Times New Roman" w:eastAsia="宋体" w:cs="Times New Roman"/>
                      <w:color w:val="auto"/>
                      <w:spacing w:val="-11"/>
                      <w:kern w:val="2"/>
                      <w:sz w:val="18"/>
                      <w:szCs w:val="18"/>
                      <w:highlight w:val="none"/>
                      <w:lang w:val="en-US" w:eastAsia="zh-CN" w:bidi="ar-SA"/>
                    </w:rPr>
                  </w:pPr>
                </w:p>
              </w:tc>
              <w:tc>
                <w:tcPr>
                  <w:tcW w:w="745" w:type="dxa"/>
                  <w:tcBorders>
                    <w:tl2br w:val="nil"/>
                    <w:tr2bl w:val="nil"/>
                  </w:tcBorders>
                  <w:vAlign w:val="center"/>
                </w:tcPr>
                <w:p w14:paraId="5F65F283">
                  <w:pPr>
                    <w:jc w:val="center"/>
                    <w:rPr>
                      <w:rFonts w:hint="eastAsia" w:cs="Times New Roman"/>
                      <w:color w:val="auto"/>
                      <w:spacing w:val="-20"/>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硫酸雾</w:t>
                  </w:r>
                </w:p>
              </w:tc>
              <w:tc>
                <w:tcPr>
                  <w:tcW w:w="562" w:type="dxa"/>
                  <w:vMerge w:val="continue"/>
                  <w:tcBorders>
                    <w:tl2br w:val="nil"/>
                    <w:tr2bl w:val="nil"/>
                  </w:tcBorders>
                  <w:vAlign w:val="center"/>
                </w:tcPr>
                <w:p w14:paraId="3AAC5AD5">
                  <w:pPr>
                    <w:jc w:val="center"/>
                    <w:rPr>
                      <w:rFonts w:hint="eastAsia" w:cs="Times New Roman"/>
                      <w:color w:val="auto"/>
                      <w:spacing w:val="-20"/>
                      <w:kern w:val="2"/>
                      <w:sz w:val="18"/>
                      <w:szCs w:val="18"/>
                      <w:highlight w:val="none"/>
                      <w:lang w:val="en-US" w:eastAsia="zh-CN" w:bidi="ar-SA"/>
                    </w:rPr>
                  </w:pPr>
                </w:p>
              </w:tc>
              <w:tc>
                <w:tcPr>
                  <w:tcW w:w="763" w:type="dxa"/>
                  <w:tcBorders>
                    <w:tl2br w:val="nil"/>
                    <w:tr2bl w:val="nil"/>
                  </w:tcBorders>
                  <w:vAlign w:val="center"/>
                </w:tcPr>
                <w:p w14:paraId="6C7E411E">
                  <w:pPr>
                    <w:spacing w:line="280" w:lineRule="exac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15</w:t>
                  </w:r>
                </w:p>
              </w:tc>
              <w:tc>
                <w:tcPr>
                  <w:tcW w:w="887" w:type="dxa"/>
                  <w:tcBorders>
                    <w:tl2br w:val="nil"/>
                    <w:tr2bl w:val="nil"/>
                  </w:tcBorders>
                  <w:vAlign w:val="center"/>
                </w:tcPr>
                <w:p w14:paraId="49981B22">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2.27</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vertAlign w:val="superscript"/>
                      <w:lang w:val="en-US" w:eastAsia="zh-CN"/>
                    </w:rPr>
                    <w:t>-6</w:t>
                  </w:r>
                </w:p>
              </w:tc>
              <w:tc>
                <w:tcPr>
                  <w:tcW w:w="972" w:type="dxa"/>
                  <w:tcBorders>
                    <w:tl2br w:val="nil"/>
                    <w:tr2bl w:val="nil"/>
                  </w:tcBorders>
                  <w:vAlign w:val="center"/>
                </w:tcPr>
                <w:p w14:paraId="74803D95">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2.27</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vertAlign w:val="superscript"/>
                      <w:lang w:val="en-US" w:eastAsia="zh-CN"/>
                    </w:rPr>
                    <w:t>-8</w:t>
                  </w:r>
                </w:p>
              </w:tc>
              <w:tc>
                <w:tcPr>
                  <w:tcW w:w="902" w:type="dxa"/>
                  <w:tcBorders>
                    <w:tl2br w:val="nil"/>
                    <w:tr2bl w:val="nil"/>
                  </w:tcBorders>
                  <w:vAlign w:val="center"/>
                </w:tcPr>
                <w:p w14:paraId="487CDFFC">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4.54</w:t>
                  </w:r>
                  <w:r>
                    <w:rPr>
                      <w:rFonts w:hint="default"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10</w:t>
                  </w:r>
                  <w:r>
                    <w:rPr>
                      <w:rFonts w:hint="eastAsia" w:cs="Times New Roman"/>
                      <w:color w:val="auto"/>
                      <w:spacing w:val="-10"/>
                      <w:sz w:val="18"/>
                      <w:szCs w:val="18"/>
                      <w:highlight w:val="none"/>
                      <w:vertAlign w:val="superscript"/>
                      <w:lang w:val="en-US" w:eastAsia="zh-CN"/>
                    </w:rPr>
                    <w:t>-8</w:t>
                  </w:r>
                </w:p>
              </w:tc>
              <w:tc>
                <w:tcPr>
                  <w:tcW w:w="635" w:type="dxa"/>
                  <w:vMerge w:val="continue"/>
                  <w:tcBorders>
                    <w:tl2br w:val="nil"/>
                    <w:tr2bl w:val="nil"/>
                  </w:tcBorders>
                  <w:vAlign w:val="center"/>
                </w:tcPr>
                <w:p w14:paraId="66F6F11E">
                  <w:pPr>
                    <w:spacing w:line="280" w:lineRule="exact"/>
                    <w:jc w:val="center"/>
                    <w:rPr>
                      <w:rFonts w:hint="eastAsia"/>
                      <w:color w:val="auto"/>
                      <w:spacing w:val="-20"/>
                      <w:sz w:val="18"/>
                      <w:szCs w:val="18"/>
                      <w:highlight w:val="none"/>
                    </w:rPr>
                  </w:pPr>
                </w:p>
              </w:tc>
              <w:tc>
                <w:tcPr>
                  <w:tcW w:w="664" w:type="dxa"/>
                  <w:vMerge w:val="continue"/>
                  <w:tcBorders>
                    <w:tl2br w:val="nil"/>
                    <w:tr2bl w:val="nil"/>
                  </w:tcBorders>
                  <w:vAlign w:val="center"/>
                </w:tcPr>
                <w:p w14:paraId="7640BA15">
                  <w:pPr>
                    <w:spacing w:line="280" w:lineRule="exact"/>
                    <w:jc w:val="center"/>
                    <w:rPr>
                      <w:rFonts w:hint="eastAsia"/>
                      <w:color w:val="auto"/>
                      <w:spacing w:val="-20"/>
                      <w:sz w:val="18"/>
                      <w:szCs w:val="18"/>
                      <w:highlight w:val="none"/>
                    </w:rPr>
                  </w:pPr>
                </w:p>
              </w:tc>
            </w:tr>
            <w:tr w14:paraId="7A51C03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95" w:type="dxa"/>
                  <w:vMerge w:val="continue"/>
                  <w:tcBorders>
                    <w:tl2br w:val="nil"/>
                    <w:tr2bl w:val="nil"/>
                  </w:tcBorders>
                  <w:vAlign w:val="center"/>
                </w:tcPr>
                <w:p w14:paraId="0B9A38F5">
                  <w:pPr>
                    <w:spacing w:line="280" w:lineRule="exact"/>
                    <w:jc w:val="center"/>
                    <w:rPr>
                      <w:color w:val="auto"/>
                      <w:spacing w:val="-20"/>
                      <w:sz w:val="18"/>
                      <w:szCs w:val="18"/>
                      <w:highlight w:val="none"/>
                    </w:rPr>
                  </w:pPr>
                </w:p>
              </w:tc>
              <w:tc>
                <w:tcPr>
                  <w:tcW w:w="1457" w:type="dxa"/>
                  <w:vMerge w:val="continue"/>
                  <w:tcBorders>
                    <w:tl2br w:val="nil"/>
                    <w:tr2bl w:val="nil"/>
                  </w:tcBorders>
                  <w:vAlign w:val="center"/>
                </w:tcPr>
                <w:p w14:paraId="0B55E25D">
                  <w:pPr>
                    <w:jc w:val="center"/>
                    <w:rPr>
                      <w:rFonts w:hint="default" w:ascii="Times New Roman" w:hAnsi="Times New Roman" w:eastAsia="宋体" w:cs="Times New Roman"/>
                      <w:color w:val="auto"/>
                      <w:spacing w:val="-11"/>
                      <w:kern w:val="2"/>
                      <w:sz w:val="18"/>
                      <w:szCs w:val="18"/>
                      <w:highlight w:val="none"/>
                      <w:lang w:val="en-US" w:eastAsia="zh-CN" w:bidi="ar-SA"/>
                    </w:rPr>
                  </w:pPr>
                </w:p>
              </w:tc>
              <w:tc>
                <w:tcPr>
                  <w:tcW w:w="745" w:type="dxa"/>
                  <w:tcBorders>
                    <w:tl2br w:val="nil"/>
                    <w:tr2bl w:val="nil"/>
                  </w:tcBorders>
                  <w:vAlign w:val="center"/>
                </w:tcPr>
                <w:p w14:paraId="164E16C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562" w:type="dxa"/>
                  <w:vMerge w:val="continue"/>
                  <w:tcBorders>
                    <w:tl2br w:val="nil"/>
                    <w:tr2bl w:val="nil"/>
                  </w:tcBorders>
                  <w:vAlign w:val="center"/>
                </w:tcPr>
                <w:p w14:paraId="7D22DBBE">
                  <w:pPr>
                    <w:jc w:val="center"/>
                    <w:rPr>
                      <w:rFonts w:hint="eastAsia" w:cs="Times New Roman"/>
                      <w:color w:val="auto"/>
                      <w:spacing w:val="-20"/>
                      <w:kern w:val="2"/>
                      <w:sz w:val="18"/>
                      <w:szCs w:val="18"/>
                      <w:highlight w:val="none"/>
                      <w:lang w:val="en-US" w:eastAsia="zh-CN" w:bidi="ar-SA"/>
                    </w:rPr>
                  </w:pPr>
                </w:p>
              </w:tc>
              <w:tc>
                <w:tcPr>
                  <w:tcW w:w="763" w:type="dxa"/>
                  <w:tcBorders>
                    <w:tl2br w:val="nil"/>
                    <w:tr2bl w:val="nil"/>
                  </w:tcBorders>
                  <w:vAlign w:val="center"/>
                </w:tcPr>
                <w:p w14:paraId="38B5C72C">
                  <w:pPr>
                    <w:spacing w:line="280" w:lineRule="exac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30</w:t>
                  </w:r>
                </w:p>
              </w:tc>
              <w:tc>
                <w:tcPr>
                  <w:tcW w:w="887" w:type="dxa"/>
                  <w:tcBorders>
                    <w:tl2br w:val="nil"/>
                    <w:tr2bl w:val="nil"/>
                  </w:tcBorders>
                  <w:vAlign w:val="center"/>
                </w:tcPr>
                <w:p w14:paraId="4153B152">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2.71</w:t>
                  </w:r>
                </w:p>
              </w:tc>
              <w:tc>
                <w:tcPr>
                  <w:tcW w:w="972" w:type="dxa"/>
                  <w:tcBorders>
                    <w:tl2br w:val="nil"/>
                    <w:tr2bl w:val="nil"/>
                  </w:tcBorders>
                  <w:vAlign w:val="center"/>
                </w:tcPr>
                <w:p w14:paraId="651E7FE2">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0.027</w:t>
                  </w:r>
                  <w:r>
                    <w:rPr>
                      <w:rFonts w:hint="eastAsia" w:cs="Times New Roman"/>
                      <w:color w:val="auto"/>
                      <w:spacing w:val="-10"/>
                      <w:sz w:val="18"/>
                      <w:szCs w:val="18"/>
                      <w:highlight w:val="none"/>
                      <w:lang w:val="en-US" w:eastAsia="zh-CN"/>
                    </w:rPr>
                    <w:t>1</w:t>
                  </w:r>
                </w:p>
              </w:tc>
              <w:tc>
                <w:tcPr>
                  <w:tcW w:w="902" w:type="dxa"/>
                  <w:tcBorders>
                    <w:tl2br w:val="nil"/>
                    <w:tr2bl w:val="nil"/>
                  </w:tcBorders>
                  <w:vAlign w:val="center"/>
                </w:tcPr>
                <w:p w14:paraId="47B37C82">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0.0542</w:t>
                  </w:r>
                </w:p>
              </w:tc>
              <w:tc>
                <w:tcPr>
                  <w:tcW w:w="635" w:type="dxa"/>
                  <w:vMerge w:val="continue"/>
                  <w:tcBorders>
                    <w:tl2br w:val="nil"/>
                    <w:tr2bl w:val="nil"/>
                  </w:tcBorders>
                  <w:vAlign w:val="center"/>
                </w:tcPr>
                <w:p w14:paraId="160668A7">
                  <w:pPr>
                    <w:spacing w:line="280" w:lineRule="exact"/>
                    <w:jc w:val="center"/>
                    <w:rPr>
                      <w:rFonts w:hint="eastAsia"/>
                      <w:color w:val="auto"/>
                      <w:spacing w:val="-20"/>
                      <w:sz w:val="18"/>
                      <w:szCs w:val="18"/>
                      <w:highlight w:val="none"/>
                    </w:rPr>
                  </w:pPr>
                </w:p>
              </w:tc>
              <w:tc>
                <w:tcPr>
                  <w:tcW w:w="664" w:type="dxa"/>
                  <w:vMerge w:val="continue"/>
                  <w:tcBorders>
                    <w:tl2br w:val="nil"/>
                    <w:tr2bl w:val="nil"/>
                  </w:tcBorders>
                  <w:vAlign w:val="center"/>
                </w:tcPr>
                <w:p w14:paraId="63602404">
                  <w:pPr>
                    <w:spacing w:line="280" w:lineRule="exact"/>
                    <w:jc w:val="center"/>
                    <w:rPr>
                      <w:rFonts w:hint="eastAsia"/>
                      <w:color w:val="auto"/>
                      <w:spacing w:val="-20"/>
                      <w:sz w:val="18"/>
                      <w:szCs w:val="18"/>
                      <w:highlight w:val="none"/>
                    </w:rPr>
                  </w:pPr>
                </w:p>
              </w:tc>
            </w:tr>
          </w:tbl>
          <w:p w14:paraId="0E15054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由</w:t>
            </w:r>
            <w:r>
              <w:rPr>
                <w:rFonts w:hint="eastAsia" w:ascii="Times New Roman" w:hAnsi="Times New Roman"/>
                <w:color w:val="auto"/>
                <w:sz w:val="21"/>
                <w:szCs w:val="21"/>
                <w:highlight w:val="none"/>
              </w:rPr>
              <w:t>上表</w:t>
            </w:r>
            <w:r>
              <w:rPr>
                <w:rFonts w:ascii="Times New Roman" w:hAnsi="Times New Roman"/>
                <w:color w:val="auto"/>
                <w:sz w:val="21"/>
                <w:szCs w:val="21"/>
                <w:highlight w:val="none"/>
              </w:rPr>
              <w:t>分析可知，相较于正常排放，本项目非正常排放对环境空气影响较大。为防止非正常排放的发生，本项目拟采取加强设备维护，定期进行维修，</w:t>
            </w:r>
            <w:r>
              <w:rPr>
                <w:rFonts w:hint="eastAsia" w:ascii="Times New Roman" w:hAnsi="Times New Roman"/>
                <w:color w:val="auto"/>
                <w:sz w:val="21"/>
                <w:szCs w:val="21"/>
                <w:highlight w:val="none"/>
              </w:rPr>
              <w:t>可较</w:t>
            </w:r>
            <w:r>
              <w:rPr>
                <w:rFonts w:ascii="Times New Roman" w:hAnsi="Times New Roman"/>
                <w:color w:val="auto"/>
                <w:sz w:val="21"/>
                <w:szCs w:val="21"/>
                <w:highlight w:val="none"/>
              </w:rPr>
              <w:t xml:space="preserve">大程度减少故障发生的可能性。 </w:t>
            </w:r>
          </w:p>
          <w:p w14:paraId="4D42BC8F">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highlight w:val="none"/>
              </w:rPr>
            </w:pPr>
            <w:r>
              <w:rPr>
                <w:rFonts w:ascii="Times New Roman" w:hAnsi="Times New Roman"/>
                <w:color w:val="auto"/>
                <w:sz w:val="21"/>
                <w:szCs w:val="21"/>
                <w:highlight w:val="none"/>
              </w:rPr>
              <w:t>如严格按照上述措施进行实施，严格操作、严格管理，基本可将非正常排放控制在低水平。</w:t>
            </w:r>
          </w:p>
          <w:p w14:paraId="4792774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1.</w:t>
            </w:r>
            <w:r>
              <w:rPr>
                <w:rFonts w:hint="eastAsia" w:ascii="Times New Roman" w:hAnsi="Times New Roman"/>
                <w:b/>
                <w:color w:val="auto"/>
                <w:sz w:val="21"/>
                <w:szCs w:val="21"/>
                <w:highlight w:val="none"/>
                <w:lang w:val="en-US" w:eastAsia="zh-CN"/>
              </w:rPr>
              <w:t>6</w:t>
            </w:r>
            <w:r>
              <w:rPr>
                <w:rFonts w:hint="eastAsia" w:ascii="Times New Roman" w:hAnsi="Times New Roman"/>
                <w:b/>
                <w:color w:val="auto"/>
                <w:sz w:val="21"/>
                <w:szCs w:val="21"/>
                <w:highlight w:val="none"/>
              </w:rPr>
              <w:t>废气排放的环境影响分析</w:t>
            </w:r>
          </w:p>
          <w:p w14:paraId="6F38AF0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lang w:val="en-US" w:eastAsia="zh-CN"/>
              </w:rPr>
              <w:t>拟建项目采取相应的</w:t>
            </w:r>
            <w:r>
              <w:rPr>
                <w:rFonts w:ascii="Times New Roman" w:hAnsi="Times New Roman"/>
                <w:color w:val="auto"/>
                <w:sz w:val="21"/>
                <w:szCs w:val="21"/>
                <w:highlight w:val="none"/>
              </w:rPr>
              <w:t>污染防治措施技术可行，污染物排放满足相关标准要求，污染物可实现稳定达标排放，对周围环境影响较小。</w:t>
            </w:r>
          </w:p>
          <w:p w14:paraId="448E7AB5">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2</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废水</w:t>
            </w:r>
          </w:p>
          <w:p w14:paraId="0D651EE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2.1废水污染物排放信息</w:t>
            </w:r>
          </w:p>
          <w:p w14:paraId="3ABC579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2.1.1废水种类、产排情况及治理措施</w:t>
            </w:r>
          </w:p>
          <w:p w14:paraId="57CCC0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本项目废水种类包括</w:t>
            </w:r>
            <w:r>
              <w:rPr>
                <w:rFonts w:hint="eastAsia" w:cs="Times New Roman"/>
                <w:color w:val="auto"/>
                <w:sz w:val="21"/>
                <w:szCs w:val="21"/>
                <w:highlight w:val="none"/>
                <w:lang w:val="en-US" w:eastAsia="zh-CN"/>
              </w:rPr>
              <w:t>器皿后续清洗废水、器皿纯水清洗废水、未用于加药检测的不含有第一类污染物及重金属的外来企业样品废水、</w:t>
            </w:r>
            <w:r>
              <w:rPr>
                <w:rFonts w:hint="eastAsia" w:ascii="Times New Roman" w:hAnsi="Times New Roman" w:cs="Times New Roman"/>
                <w:color w:val="auto"/>
                <w:sz w:val="21"/>
                <w:szCs w:val="21"/>
                <w:highlight w:val="none"/>
                <w:lang w:val="en-US" w:eastAsia="zh-CN"/>
              </w:rPr>
              <w:t>纯水制备废水、水浴锅排污水、压力蒸汽灭菌器</w:t>
            </w:r>
            <w:r>
              <w:rPr>
                <w:rFonts w:hint="eastAsia" w:ascii="Times New Roman" w:hAnsi="Times New Roman" w:eastAsia="宋体" w:cs="Times New Roman"/>
                <w:color w:val="auto"/>
                <w:sz w:val="21"/>
                <w:szCs w:val="21"/>
                <w:highlight w:val="none"/>
                <w:lang w:val="en-US" w:eastAsia="zh-CN"/>
              </w:rPr>
              <w:t>排污水</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恒温恒湿室废水</w:t>
            </w:r>
            <w:r>
              <w:rPr>
                <w:rFonts w:hint="eastAsia" w:ascii="Times New Roman" w:hAnsi="Times New Roman" w:cs="Times New Roman"/>
                <w:color w:val="auto"/>
                <w:sz w:val="21"/>
                <w:szCs w:val="21"/>
                <w:highlight w:val="none"/>
                <w:lang w:val="en-US" w:eastAsia="zh-CN"/>
              </w:rPr>
              <w:t>、地面清洗废水及生活污水。</w:t>
            </w:r>
          </w:p>
          <w:p w14:paraId="585583E6">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w:t>
            </w:r>
            <w:r>
              <w:rPr>
                <w:rFonts w:hint="eastAsia" w:cs="Times New Roman"/>
                <w:color w:val="auto"/>
                <w:sz w:val="21"/>
                <w:szCs w:val="21"/>
                <w:highlight w:val="none"/>
                <w:lang w:val="en-US" w:eastAsia="zh-CN"/>
              </w:rPr>
              <w:t>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p>
          <w:p w14:paraId="1F8F73FD">
            <w:pPr>
              <w:pStyle w:val="6"/>
              <w:rPr>
                <w:rFonts w:hint="eastAsia" w:cs="Times New Roman"/>
                <w:color w:val="auto"/>
                <w:sz w:val="21"/>
                <w:szCs w:val="21"/>
                <w:highlight w:val="none"/>
                <w:lang w:val="en-US" w:eastAsia="zh-CN"/>
              </w:rPr>
            </w:pPr>
          </w:p>
          <w:p w14:paraId="52826ACB">
            <w:pPr>
              <w:pStyle w:val="5"/>
              <w:rPr>
                <w:rFonts w:hint="eastAsia" w:cs="Times New Roman"/>
                <w:color w:val="auto"/>
                <w:sz w:val="21"/>
                <w:szCs w:val="21"/>
                <w:highlight w:val="none"/>
                <w:lang w:val="en-US" w:eastAsia="zh-CN"/>
              </w:rPr>
            </w:pPr>
          </w:p>
          <w:p w14:paraId="092C3E24">
            <w:pPr>
              <w:rPr>
                <w:rFonts w:hint="eastAsia" w:cs="Times New Roman"/>
                <w:color w:val="auto"/>
                <w:sz w:val="21"/>
                <w:szCs w:val="21"/>
                <w:highlight w:val="none"/>
                <w:lang w:val="en-US" w:eastAsia="zh-CN"/>
              </w:rPr>
            </w:pPr>
          </w:p>
          <w:p w14:paraId="0427790D">
            <w:pPr>
              <w:pStyle w:val="6"/>
              <w:rPr>
                <w:rFonts w:hint="eastAsia" w:cs="Times New Roman"/>
                <w:color w:val="auto"/>
                <w:sz w:val="21"/>
                <w:szCs w:val="21"/>
                <w:highlight w:val="none"/>
                <w:lang w:val="en-US" w:eastAsia="zh-CN"/>
              </w:rPr>
            </w:pPr>
          </w:p>
          <w:p w14:paraId="41C71B2F">
            <w:pPr>
              <w:pStyle w:val="5"/>
              <w:rPr>
                <w:rFonts w:hint="eastAsia" w:cs="Times New Roman"/>
                <w:color w:val="auto"/>
                <w:sz w:val="21"/>
                <w:szCs w:val="21"/>
                <w:highlight w:val="none"/>
                <w:lang w:val="en-US" w:eastAsia="zh-CN"/>
              </w:rPr>
            </w:pPr>
          </w:p>
          <w:p w14:paraId="46C55381">
            <w:pPr>
              <w:rPr>
                <w:rFonts w:hint="eastAsia" w:cs="Times New Roman"/>
                <w:color w:val="auto"/>
                <w:sz w:val="21"/>
                <w:szCs w:val="21"/>
                <w:highlight w:val="none"/>
                <w:lang w:val="en-US" w:eastAsia="zh-CN"/>
              </w:rPr>
            </w:pPr>
          </w:p>
          <w:p w14:paraId="33CEB982">
            <w:pPr>
              <w:pStyle w:val="6"/>
              <w:rPr>
                <w:rFonts w:hint="eastAsia" w:cs="Times New Roman"/>
                <w:color w:val="auto"/>
                <w:sz w:val="21"/>
                <w:szCs w:val="21"/>
                <w:highlight w:val="none"/>
                <w:lang w:val="en-US" w:eastAsia="zh-CN"/>
              </w:rPr>
            </w:pPr>
          </w:p>
          <w:p w14:paraId="1C002C66">
            <w:pPr>
              <w:pStyle w:val="5"/>
              <w:rPr>
                <w:rFonts w:hint="eastAsia" w:cs="Times New Roman"/>
                <w:color w:val="auto"/>
                <w:sz w:val="21"/>
                <w:szCs w:val="21"/>
                <w:highlight w:val="none"/>
                <w:lang w:val="en-US" w:eastAsia="zh-CN"/>
              </w:rPr>
            </w:pPr>
          </w:p>
          <w:p w14:paraId="5E209FAD">
            <w:pPr>
              <w:rPr>
                <w:rFonts w:hint="eastAsia" w:cs="Times New Roman"/>
                <w:color w:val="auto"/>
                <w:sz w:val="21"/>
                <w:szCs w:val="21"/>
                <w:highlight w:val="none"/>
                <w:lang w:val="en-US" w:eastAsia="zh-CN"/>
              </w:rPr>
            </w:pPr>
          </w:p>
          <w:p w14:paraId="30D00C87">
            <w:pPr>
              <w:pStyle w:val="6"/>
              <w:rPr>
                <w:rFonts w:hint="eastAsia" w:cs="Times New Roman"/>
                <w:color w:val="auto"/>
                <w:sz w:val="21"/>
                <w:szCs w:val="21"/>
                <w:highlight w:val="none"/>
                <w:lang w:val="en-US" w:eastAsia="zh-CN"/>
              </w:rPr>
            </w:pPr>
          </w:p>
          <w:p w14:paraId="7096DCDC">
            <w:pPr>
              <w:tabs>
                <w:tab w:val="left" w:pos="4253"/>
              </w:tabs>
              <w:spacing w:line="440" w:lineRule="exact"/>
              <w:jc w:val="center"/>
              <w:rPr>
                <w:rFonts w:hint="eastAsia"/>
                <w:b/>
                <w:color w:val="auto"/>
                <w:szCs w:val="21"/>
                <w:highlight w:val="none"/>
                <w:lang w:val="en-US" w:eastAsia="zh-CN"/>
              </w:rPr>
            </w:pPr>
          </w:p>
          <w:p w14:paraId="776C946B">
            <w:pPr>
              <w:tabs>
                <w:tab w:val="left" w:pos="4253"/>
              </w:tabs>
              <w:spacing w:line="440" w:lineRule="exact"/>
              <w:jc w:val="center"/>
              <w:rPr>
                <w:rFonts w:hint="eastAsia"/>
                <w:b/>
                <w:color w:val="auto"/>
                <w:szCs w:val="21"/>
                <w:highlight w:val="none"/>
                <w:lang w:val="en-US" w:eastAsia="zh-CN"/>
              </w:rPr>
            </w:pPr>
          </w:p>
          <w:p w14:paraId="64409948">
            <w:pPr>
              <w:tabs>
                <w:tab w:val="left" w:pos="4253"/>
              </w:tabs>
              <w:spacing w:line="440" w:lineRule="exact"/>
              <w:jc w:val="center"/>
              <w:rPr>
                <w:rFonts w:hint="eastAsia"/>
                <w:b/>
                <w:color w:val="auto"/>
                <w:szCs w:val="21"/>
                <w:highlight w:val="none"/>
                <w:lang w:val="en-US" w:eastAsia="zh-CN"/>
              </w:rPr>
            </w:pPr>
            <w:r>
              <w:rPr>
                <w:rFonts w:hint="eastAsia"/>
                <w:b/>
                <w:color w:val="auto"/>
                <w:szCs w:val="21"/>
                <w:highlight w:val="none"/>
                <w:lang w:val="en-US" w:eastAsia="zh-CN"/>
              </w:rPr>
              <w:t>表28</w:t>
            </w:r>
            <w:r>
              <w:rPr>
                <w:rFonts w:hint="default"/>
                <w:b/>
                <w:color w:val="auto"/>
                <w:szCs w:val="21"/>
                <w:highlight w:val="none"/>
                <w:lang w:val="en-US" w:eastAsia="zh-CN"/>
              </w:rPr>
              <w:t xml:space="preserve"> </w:t>
            </w:r>
            <w:r>
              <w:rPr>
                <w:rFonts w:hint="eastAsia"/>
                <w:b/>
                <w:color w:val="auto"/>
                <w:szCs w:val="21"/>
                <w:highlight w:val="none"/>
                <w:lang w:val="en-US" w:eastAsia="zh-CN"/>
              </w:rPr>
              <w:t>废水主要污染物源强一览表</w:t>
            </w:r>
          </w:p>
          <w:tbl>
            <w:tblPr>
              <w:tblStyle w:val="27"/>
              <w:tblW w:w="7997" w:type="dxa"/>
              <w:tblInd w:w="-57"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60"/>
              <w:gridCol w:w="1615"/>
              <w:gridCol w:w="881"/>
              <w:gridCol w:w="671"/>
              <w:gridCol w:w="766"/>
              <w:gridCol w:w="682"/>
              <w:gridCol w:w="797"/>
              <w:gridCol w:w="661"/>
              <w:gridCol w:w="619"/>
              <w:gridCol w:w="745"/>
            </w:tblGrid>
            <w:tr w14:paraId="1498D0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560" w:type="dxa"/>
                  <w:tcBorders>
                    <w:tl2br w:val="nil"/>
                    <w:tr2bl w:val="nil"/>
                  </w:tcBorders>
                </w:tcPr>
                <w:p w14:paraId="195DE62D">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序号</w:t>
                  </w:r>
                </w:p>
              </w:tc>
              <w:tc>
                <w:tcPr>
                  <w:tcW w:w="2496" w:type="dxa"/>
                  <w:gridSpan w:val="2"/>
                  <w:tcBorders>
                    <w:tl2br w:val="nil"/>
                    <w:tr2bl w:val="nil"/>
                  </w:tcBorders>
                </w:tcPr>
                <w:p w14:paraId="1251599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废水类别</w:t>
                  </w:r>
                </w:p>
              </w:tc>
              <w:tc>
                <w:tcPr>
                  <w:tcW w:w="671" w:type="dxa"/>
                  <w:tcBorders>
                    <w:tl2br w:val="nil"/>
                    <w:tr2bl w:val="nil"/>
                  </w:tcBorders>
                  <w:shd w:val="clear" w:color="auto" w:fill="auto"/>
                  <w:vAlign w:val="center"/>
                </w:tcPr>
                <w:p w14:paraId="2C734F4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COD</w:t>
                  </w:r>
                </w:p>
              </w:tc>
              <w:tc>
                <w:tcPr>
                  <w:tcW w:w="766" w:type="dxa"/>
                  <w:tcBorders>
                    <w:tl2br w:val="nil"/>
                    <w:tr2bl w:val="nil"/>
                  </w:tcBorders>
                  <w:shd w:val="clear" w:color="auto" w:fill="auto"/>
                  <w:vAlign w:val="center"/>
                </w:tcPr>
                <w:p w14:paraId="088423E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BOD</w:t>
                  </w:r>
                  <w:r>
                    <w:rPr>
                      <w:rFonts w:hint="eastAsia" w:cs="Times New Roman"/>
                      <w:color w:val="auto"/>
                      <w:spacing w:val="-20"/>
                      <w:kern w:val="2"/>
                      <w:sz w:val="18"/>
                      <w:szCs w:val="18"/>
                      <w:highlight w:val="none"/>
                      <w:vertAlign w:val="subscript"/>
                      <w:lang w:val="en-US" w:eastAsia="zh-CN" w:bidi="ar-SA"/>
                    </w:rPr>
                    <w:t>5</w:t>
                  </w:r>
                </w:p>
              </w:tc>
              <w:tc>
                <w:tcPr>
                  <w:tcW w:w="682" w:type="dxa"/>
                  <w:tcBorders>
                    <w:tl2br w:val="nil"/>
                    <w:tr2bl w:val="nil"/>
                  </w:tcBorders>
                  <w:shd w:val="clear" w:color="auto" w:fill="auto"/>
                  <w:vAlign w:val="center"/>
                </w:tcPr>
                <w:p w14:paraId="3BEE483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SS</w:t>
                  </w:r>
                </w:p>
              </w:tc>
              <w:tc>
                <w:tcPr>
                  <w:tcW w:w="797" w:type="dxa"/>
                  <w:tcBorders>
                    <w:tl2br w:val="nil"/>
                    <w:tr2bl w:val="nil"/>
                  </w:tcBorders>
                  <w:shd w:val="clear" w:color="auto" w:fill="auto"/>
                  <w:vAlign w:val="center"/>
                </w:tcPr>
                <w:p w14:paraId="573DD6F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氨氮</w:t>
                  </w:r>
                </w:p>
              </w:tc>
              <w:tc>
                <w:tcPr>
                  <w:tcW w:w="661" w:type="dxa"/>
                  <w:tcBorders>
                    <w:tl2br w:val="nil"/>
                    <w:tr2bl w:val="nil"/>
                  </w:tcBorders>
                  <w:shd w:val="clear" w:color="auto" w:fill="auto"/>
                  <w:vAlign w:val="top"/>
                </w:tcPr>
                <w:p w14:paraId="36CB873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TP</w:t>
                  </w:r>
                </w:p>
              </w:tc>
              <w:tc>
                <w:tcPr>
                  <w:tcW w:w="619" w:type="dxa"/>
                  <w:tcBorders>
                    <w:tl2br w:val="nil"/>
                    <w:tr2bl w:val="nil"/>
                  </w:tcBorders>
                </w:tcPr>
                <w:p w14:paraId="557E129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p>
              </w:tc>
              <w:tc>
                <w:tcPr>
                  <w:tcW w:w="745" w:type="dxa"/>
                  <w:tcBorders>
                    <w:tl2br w:val="nil"/>
                    <w:tr2bl w:val="nil"/>
                  </w:tcBorders>
                </w:tcPr>
                <w:p w14:paraId="2ECB89A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全盐量</w:t>
                  </w:r>
                </w:p>
              </w:tc>
            </w:tr>
            <w:tr w14:paraId="770F0E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15" w:hRule="atLeast"/>
              </w:trPr>
              <w:tc>
                <w:tcPr>
                  <w:tcW w:w="560" w:type="dxa"/>
                  <w:vMerge w:val="restart"/>
                  <w:tcBorders>
                    <w:tl2br w:val="nil"/>
                    <w:tr2bl w:val="nil"/>
                  </w:tcBorders>
                  <w:vAlign w:val="center"/>
                </w:tcPr>
                <w:p w14:paraId="15959AF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1.1</w:t>
                  </w:r>
                </w:p>
              </w:tc>
              <w:tc>
                <w:tcPr>
                  <w:tcW w:w="1615" w:type="dxa"/>
                  <w:vMerge w:val="restart"/>
                  <w:tcBorders>
                    <w:tl2br w:val="nil"/>
                    <w:tr2bl w:val="nil"/>
                  </w:tcBorders>
                  <w:vAlign w:val="center"/>
                </w:tcPr>
                <w:p w14:paraId="79BD0A84">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器皿后续清洗废水、器皿纯水清洗废水及未用于加药检测的不含有第一类污染物及重金属的外来企业样品废水（91.494m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6139A0C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4DCFA0D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200</w:t>
                  </w:r>
                </w:p>
              </w:tc>
              <w:tc>
                <w:tcPr>
                  <w:tcW w:w="766" w:type="dxa"/>
                  <w:tcBorders>
                    <w:tl2br w:val="nil"/>
                    <w:tr2bl w:val="nil"/>
                  </w:tcBorders>
                  <w:shd w:val="clear" w:color="auto" w:fill="auto"/>
                  <w:vAlign w:val="center"/>
                </w:tcPr>
                <w:p w14:paraId="3007B5B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150</w:t>
                  </w:r>
                </w:p>
              </w:tc>
              <w:tc>
                <w:tcPr>
                  <w:tcW w:w="682" w:type="dxa"/>
                  <w:tcBorders>
                    <w:tl2br w:val="nil"/>
                    <w:tr2bl w:val="nil"/>
                  </w:tcBorders>
                  <w:shd w:val="clear" w:color="auto" w:fill="auto"/>
                  <w:vAlign w:val="center"/>
                </w:tcPr>
                <w:p w14:paraId="1B224B4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w:t>
                  </w:r>
                </w:p>
              </w:tc>
              <w:tc>
                <w:tcPr>
                  <w:tcW w:w="797" w:type="dxa"/>
                  <w:tcBorders>
                    <w:tl2br w:val="nil"/>
                    <w:tr2bl w:val="nil"/>
                  </w:tcBorders>
                  <w:shd w:val="clear" w:color="auto" w:fill="auto"/>
                  <w:vAlign w:val="center"/>
                </w:tcPr>
                <w:p w14:paraId="27EA2C0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w:t>
                  </w:r>
                </w:p>
              </w:tc>
              <w:tc>
                <w:tcPr>
                  <w:tcW w:w="661" w:type="dxa"/>
                  <w:tcBorders>
                    <w:tl2br w:val="nil"/>
                    <w:tr2bl w:val="nil"/>
                  </w:tcBorders>
                  <w:shd w:val="clear" w:color="auto" w:fill="auto"/>
                  <w:vAlign w:val="center"/>
                </w:tcPr>
                <w:p w14:paraId="243C950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619" w:type="dxa"/>
                  <w:tcBorders>
                    <w:tl2br w:val="nil"/>
                    <w:tr2bl w:val="nil"/>
                  </w:tcBorders>
                  <w:vAlign w:val="center"/>
                </w:tcPr>
                <w:p w14:paraId="58A35E9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2-12</w:t>
                  </w:r>
                </w:p>
              </w:tc>
              <w:tc>
                <w:tcPr>
                  <w:tcW w:w="745" w:type="dxa"/>
                  <w:tcBorders>
                    <w:tl2br w:val="nil"/>
                    <w:tr2bl w:val="nil"/>
                  </w:tcBorders>
                  <w:vAlign w:val="center"/>
                </w:tcPr>
                <w:p w14:paraId="2AFABDD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29309E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3B61875B">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6A99EE61">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06EFAE2C">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w:t>
                  </w:r>
                </w:p>
                <w:p w14:paraId="08091E3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t/a</w:t>
                  </w:r>
                </w:p>
              </w:tc>
              <w:tc>
                <w:tcPr>
                  <w:tcW w:w="671" w:type="dxa"/>
                  <w:tcBorders>
                    <w:tl2br w:val="nil"/>
                    <w:tr2bl w:val="nil"/>
                  </w:tcBorders>
                  <w:vAlign w:val="center"/>
                </w:tcPr>
                <w:p w14:paraId="7EB10FC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0.0183 </w:t>
                  </w:r>
                </w:p>
              </w:tc>
              <w:tc>
                <w:tcPr>
                  <w:tcW w:w="766" w:type="dxa"/>
                  <w:tcBorders>
                    <w:tl2br w:val="nil"/>
                    <w:tr2bl w:val="nil"/>
                  </w:tcBorders>
                  <w:vAlign w:val="center"/>
                </w:tcPr>
                <w:p w14:paraId="39B7AB3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0.0137 </w:t>
                  </w:r>
                </w:p>
              </w:tc>
              <w:tc>
                <w:tcPr>
                  <w:tcW w:w="682" w:type="dxa"/>
                  <w:tcBorders>
                    <w:tl2br w:val="nil"/>
                    <w:tr2bl w:val="nil"/>
                  </w:tcBorders>
                  <w:vAlign w:val="center"/>
                </w:tcPr>
                <w:p w14:paraId="74E6E32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0.0091 </w:t>
                  </w:r>
                </w:p>
              </w:tc>
              <w:tc>
                <w:tcPr>
                  <w:tcW w:w="797" w:type="dxa"/>
                  <w:tcBorders>
                    <w:tl2br w:val="nil"/>
                    <w:tr2bl w:val="nil"/>
                  </w:tcBorders>
                  <w:vAlign w:val="center"/>
                </w:tcPr>
                <w:p w14:paraId="56F0A7B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0.0023 </w:t>
                  </w:r>
                </w:p>
              </w:tc>
              <w:tc>
                <w:tcPr>
                  <w:tcW w:w="661" w:type="dxa"/>
                  <w:tcBorders>
                    <w:tl2br w:val="nil"/>
                    <w:tr2bl w:val="nil"/>
                  </w:tcBorders>
                  <w:vAlign w:val="center"/>
                </w:tcPr>
                <w:p w14:paraId="2FC459B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0.0001 </w:t>
                  </w:r>
                </w:p>
              </w:tc>
              <w:tc>
                <w:tcPr>
                  <w:tcW w:w="619" w:type="dxa"/>
                  <w:tcBorders>
                    <w:tl2br w:val="nil"/>
                    <w:tr2bl w:val="nil"/>
                  </w:tcBorders>
                  <w:vAlign w:val="center"/>
                </w:tcPr>
                <w:p w14:paraId="4FA7745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vAlign w:val="center"/>
                </w:tcPr>
                <w:p w14:paraId="6B7FA2D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83DB4A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tcBorders>
                    <w:tl2br w:val="nil"/>
                    <w:tr2bl w:val="nil"/>
                  </w:tcBorders>
                  <w:vAlign w:val="center"/>
                </w:tcPr>
                <w:p w14:paraId="16B886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1.2</w:t>
                  </w:r>
                </w:p>
              </w:tc>
              <w:tc>
                <w:tcPr>
                  <w:tcW w:w="1615" w:type="dxa"/>
                  <w:tcBorders>
                    <w:tl2br w:val="nil"/>
                    <w:tr2bl w:val="nil"/>
                  </w:tcBorders>
                  <w:vAlign w:val="center"/>
                </w:tcPr>
                <w:p w14:paraId="49DD853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处理措施</w:t>
                  </w:r>
                </w:p>
              </w:tc>
              <w:tc>
                <w:tcPr>
                  <w:tcW w:w="5822" w:type="dxa"/>
                  <w:gridSpan w:val="8"/>
                  <w:tcBorders>
                    <w:tl2br w:val="nil"/>
                    <w:tr2bl w:val="nil"/>
                  </w:tcBorders>
                  <w:shd w:val="clear" w:color="auto" w:fill="auto"/>
                  <w:vAlign w:val="center"/>
                </w:tcPr>
                <w:p w14:paraId="489E422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中和处理</w:t>
                  </w:r>
                </w:p>
              </w:tc>
            </w:tr>
            <w:tr w14:paraId="7C19FF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58" w:hRule="atLeast"/>
              </w:trPr>
              <w:tc>
                <w:tcPr>
                  <w:tcW w:w="560" w:type="dxa"/>
                  <w:vMerge w:val="restart"/>
                  <w:tcBorders>
                    <w:tl2br w:val="nil"/>
                    <w:tr2bl w:val="nil"/>
                  </w:tcBorders>
                  <w:vAlign w:val="center"/>
                </w:tcPr>
                <w:p w14:paraId="014ECC9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1.3</w:t>
                  </w:r>
                </w:p>
              </w:tc>
              <w:tc>
                <w:tcPr>
                  <w:tcW w:w="1615" w:type="dxa"/>
                  <w:vMerge w:val="restart"/>
                  <w:tcBorders>
                    <w:tl2br w:val="nil"/>
                    <w:tr2bl w:val="nil"/>
                  </w:tcBorders>
                  <w:vAlign w:val="center"/>
                </w:tcPr>
                <w:p w14:paraId="3AA123F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中和后器皿后续清洗废水、器皿纯水清洗废水及未用于加药检测的不含有第一类污染物及重金属的外来企业样品废水（91.494m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041A0A3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3D764C9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200</w:t>
                  </w:r>
                </w:p>
              </w:tc>
              <w:tc>
                <w:tcPr>
                  <w:tcW w:w="766" w:type="dxa"/>
                  <w:tcBorders>
                    <w:tl2br w:val="nil"/>
                    <w:tr2bl w:val="nil"/>
                  </w:tcBorders>
                  <w:shd w:val="clear" w:color="auto" w:fill="auto"/>
                  <w:vAlign w:val="center"/>
                </w:tcPr>
                <w:p w14:paraId="4F0D2CA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150</w:t>
                  </w:r>
                </w:p>
              </w:tc>
              <w:tc>
                <w:tcPr>
                  <w:tcW w:w="682" w:type="dxa"/>
                  <w:tcBorders>
                    <w:tl2br w:val="nil"/>
                    <w:tr2bl w:val="nil"/>
                  </w:tcBorders>
                  <w:shd w:val="clear" w:color="auto" w:fill="auto"/>
                  <w:vAlign w:val="center"/>
                </w:tcPr>
                <w:p w14:paraId="13015AA4">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100</w:t>
                  </w:r>
                </w:p>
              </w:tc>
              <w:tc>
                <w:tcPr>
                  <w:tcW w:w="797" w:type="dxa"/>
                  <w:tcBorders>
                    <w:tl2br w:val="nil"/>
                    <w:tr2bl w:val="nil"/>
                  </w:tcBorders>
                  <w:shd w:val="clear" w:color="auto" w:fill="auto"/>
                  <w:vAlign w:val="center"/>
                </w:tcPr>
                <w:p w14:paraId="6B48ADE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w:t>
                  </w:r>
                </w:p>
              </w:tc>
              <w:tc>
                <w:tcPr>
                  <w:tcW w:w="661" w:type="dxa"/>
                  <w:tcBorders>
                    <w:tl2br w:val="nil"/>
                    <w:tr2bl w:val="nil"/>
                  </w:tcBorders>
                  <w:shd w:val="clear" w:color="auto" w:fill="auto"/>
                  <w:vAlign w:val="center"/>
                </w:tcPr>
                <w:p w14:paraId="40343C8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619" w:type="dxa"/>
                  <w:tcBorders>
                    <w:tl2br w:val="nil"/>
                    <w:tr2bl w:val="nil"/>
                  </w:tcBorders>
                  <w:shd w:val="clear" w:color="auto" w:fill="auto"/>
                  <w:vAlign w:val="center"/>
                </w:tcPr>
                <w:p w14:paraId="79ABD13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64DF9B2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C09AD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7B850150">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4A868F45">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2867B60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217AF5E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0.0183 </w:t>
                  </w:r>
                </w:p>
              </w:tc>
              <w:tc>
                <w:tcPr>
                  <w:tcW w:w="766" w:type="dxa"/>
                  <w:tcBorders>
                    <w:tl2br w:val="nil"/>
                    <w:tr2bl w:val="nil"/>
                  </w:tcBorders>
                  <w:shd w:val="clear" w:color="auto" w:fill="auto"/>
                  <w:vAlign w:val="center"/>
                </w:tcPr>
                <w:p w14:paraId="63312B6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0.0137 </w:t>
                  </w:r>
                </w:p>
              </w:tc>
              <w:tc>
                <w:tcPr>
                  <w:tcW w:w="682" w:type="dxa"/>
                  <w:tcBorders>
                    <w:tl2br w:val="nil"/>
                    <w:tr2bl w:val="nil"/>
                  </w:tcBorders>
                  <w:shd w:val="clear" w:color="auto" w:fill="auto"/>
                  <w:vAlign w:val="center"/>
                </w:tcPr>
                <w:p w14:paraId="080101C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0.0091 </w:t>
                  </w:r>
                </w:p>
              </w:tc>
              <w:tc>
                <w:tcPr>
                  <w:tcW w:w="797" w:type="dxa"/>
                  <w:tcBorders>
                    <w:tl2br w:val="nil"/>
                    <w:tr2bl w:val="nil"/>
                  </w:tcBorders>
                  <w:shd w:val="clear" w:color="auto" w:fill="auto"/>
                  <w:vAlign w:val="center"/>
                </w:tcPr>
                <w:p w14:paraId="2B15BE5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0.0023 </w:t>
                  </w:r>
                </w:p>
              </w:tc>
              <w:tc>
                <w:tcPr>
                  <w:tcW w:w="661" w:type="dxa"/>
                  <w:tcBorders>
                    <w:tl2br w:val="nil"/>
                    <w:tr2bl w:val="nil"/>
                  </w:tcBorders>
                  <w:shd w:val="clear" w:color="auto" w:fill="auto"/>
                  <w:vAlign w:val="center"/>
                </w:tcPr>
                <w:p w14:paraId="33D01D1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0.0001 </w:t>
                  </w:r>
                </w:p>
              </w:tc>
              <w:tc>
                <w:tcPr>
                  <w:tcW w:w="619" w:type="dxa"/>
                  <w:tcBorders>
                    <w:tl2br w:val="nil"/>
                    <w:tr2bl w:val="nil"/>
                  </w:tcBorders>
                  <w:shd w:val="clear" w:color="auto" w:fill="auto"/>
                  <w:vAlign w:val="center"/>
                </w:tcPr>
                <w:p w14:paraId="6E30FAD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F958B6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40843D0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1D39315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w:t>
                  </w:r>
                </w:p>
              </w:tc>
              <w:tc>
                <w:tcPr>
                  <w:tcW w:w="1615" w:type="dxa"/>
                  <w:vMerge w:val="restart"/>
                  <w:tcBorders>
                    <w:tl2br w:val="nil"/>
                    <w:tr2bl w:val="nil"/>
                  </w:tcBorders>
                  <w:vAlign w:val="center"/>
                </w:tcPr>
                <w:p w14:paraId="773CB1A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纯水制备废水</w:t>
                  </w:r>
                </w:p>
                <w:p w14:paraId="36D8E3C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0800BCE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5093229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5BD1D9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7D0EB62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57FE03A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10A13BC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470BCEF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107942E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400</w:t>
                  </w:r>
                </w:p>
              </w:tc>
            </w:tr>
            <w:tr w14:paraId="140EAF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5068815F">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5C77722F">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07591DB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0EE5723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06F14AF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2C95B30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3B7E882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63B73D0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40FEF45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448C13F">
                  <w:pPr>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0.0120</w:t>
                  </w:r>
                </w:p>
              </w:tc>
            </w:tr>
            <w:tr w14:paraId="2E6B2A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987D0C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w:t>
                  </w:r>
                </w:p>
              </w:tc>
              <w:tc>
                <w:tcPr>
                  <w:tcW w:w="1615" w:type="dxa"/>
                  <w:vMerge w:val="restart"/>
                  <w:tcBorders>
                    <w:tl2br w:val="nil"/>
                    <w:tr2bl w:val="nil"/>
                  </w:tcBorders>
                  <w:vAlign w:val="center"/>
                </w:tcPr>
                <w:p w14:paraId="5DE584F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水浴锅排污水（0.96m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1901191B">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20B5C52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B49BB3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1095181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30004AF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7137FEBC">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39282E87">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3EB624D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17E5DB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525F3090">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075763B8">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69C4982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7312144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96945B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5AA4B0B8">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00731ED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627F5D8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0167FB1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1577463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5A12E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6D06DA4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4</w:t>
                  </w:r>
                </w:p>
              </w:tc>
              <w:tc>
                <w:tcPr>
                  <w:tcW w:w="1615" w:type="dxa"/>
                  <w:vMerge w:val="restart"/>
                  <w:tcBorders>
                    <w:tl2br w:val="nil"/>
                    <w:tr2bl w:val="nil"/>
                  </w:tcBorders>
                  <w:vAlign w:val="center"/>
                </w:tcPr>
                <w:p w14:paraId="0CCF78E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压力蒸汽灭菌器排污水（1.26m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63DDD16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55207CC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BEC6C7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3B973B9C">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5B58A19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3F88EB9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223C688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7427708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A75656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2EB94D2D">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53288828">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61D3C1A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68967C3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5B8027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4AE4A96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3BC14ED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12859E38">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19D1A775">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0858DE6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4BA72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257F59E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5</w:t>
                  </w:r>
                </w:p>
              </w:tc>
              <w:tc>
                <w:tcPr>
                  <w:tcW w:w="1615" w:type="dxa"/>
                  <w:vMerge w:val="restart"/>
                  <w:tcBorders>
                    <w:tl2br w:val="nil"/>
                    <w:tr2bl w:val="nil"/>
                  </w:tcBorders>
                  <w:vAlign w:val="center"/>
                </w:tcPr>
                <w:p w14:paraId="0F84EA6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恒温恒湿室排水（1.5m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39EC0D6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7C2DB7A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D19E8EE">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07357C9C">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10B1CF5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1A5C3AD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235B732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6-9</w:t>
                  </w:r>
                </w:p>
              </w:tc>
              <w:tc>
                <w:tcPr>
                  <w:tcW w:w="745" w:type="dxa"/>
                  <w:tcBorders>
                    <w:tl2br w:val="nil"/>
                    <w:tr2bl w:val="nil"/>
                  </w:tcBorders>
                  <w:shd w:val="clear" w:color="auto" w:fill="auto"/>
                  <w:vAlign w:val="center"/>
                </w:tcPr>
                <w:p w14:paraId="548C4EF4">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7E4A6B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0FD9EB6A">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27841840">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72B75AC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3CB3F90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57AA38E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15D7D11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97" w:type="dxa"/>
                  <w:tcBorders>
                    <w:tl2br w:val="nil"/>
                    <w:tr2bl w:val="nil"/>
                  </w:tcBorders>
                  <w:shd w:val="clear" w:color="auto" w:fill="auto"/>
                  <w:vAlign w:val="center"/>
                </w:tcPr>
                <w:p w14:paraId="2284B0C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center"/>
                </w:tcPr>
                <w:p w14:paraId="420F286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center"/>
                </w:tcPr>
                <w:p w14:paraId="5634BA41">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A933415">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4BC7A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7B2EB7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6</w:t>
                  </w:r>
                </w:p>
              </w:tc>
              <w:tc>
                <w:tcPr>
                  <w:tcW w:w="1615" w:type="dxa"/>
                  <w:vMerge w:val="restart"/>
                  <w:tcBorders>
                    <w:tl2br w:val="nil"/>
                    <w:tr2bl w:val="nil"/>
                  </w:tcBorders>
                  <w:vAlign w:val="center"/>
                </w:tcPr>
                <w:p w14:paraId="714908B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地面清洗废水（168m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7761448C">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31D66D9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300</w:t>
                  </w:r>
                </w:p>
              </w:tc>
              <w:tc>
                <w:tcPr>
                  <w:tcW w:w="766" w:type="dxa"/>
                  <w:tcBorders>
                    <w:tl2br w:val="nil"/>
                    <w:tr2bl w:val="nil"/>
                  </w:tcBorders>
                  <w:shd w:val="clear" w:color="auto" w:fill="auto"/>
                  <w:vAlign w:val="center"/>
                </w:tcPr>
                <w:p w14:paraId="188CEDD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250</w:t>
                  </w:r>
                </w:p>
              </w:tc>
              <w:tc>
                <w:tcPr>
                  <w:tcW w:w="682" w:type="dxa"/>
                  <w:tcBorders>
                    <w:tl2br w:val="nil"/>
                    <w:tr2bl w:val="nil"/>
                  </w:tcBorders>
                  <w:shd w:val="clear" w:color="auto" w:fill="auto"/>
                  <w:vAlign w:val="center"/>
                </w:tcPr>
                <w:p w14:paraId="6C74867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150</w:t>
                  </w:r>
                </w:p>
              </w:tc>
              <w:tc>
                <w:tcPr>
                  <w:tcW w:w="797" w:type="dxa"/>
                  <w:tcBorders>
                    <w:tl2br w:val="nil"/>
                    <w:tr2bl w:val="nil"/>
                  </w:tcBorders>
                  <w:shd w:val="clear" w:color="auto" w:fill="auto"/>
                  <w:vAlign w:val="center"/>
                </w:tcPr>
                <w:p w14:paraId="02E5C55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15</w:t>
                  </w:r>
                </w:p>
              </w:tc>
              <w:tc>
                <w:tcPr>
                  <w:tcW w:w="661" w:type="dxa"/>
                  <w:tcBorders>
                    <w:tl2br w:val="nil"/>
                    <w:tr2bl w:val="nil"/>
                  </w:tcBorders>
                  <w:shd w:val="clear" w:color="auto" w:fill="auto"/>
                  <w:vAlign w:val="center"/>
                </w:tcPr>
                <w:p w14:paraId="61F9AFB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vAlign w:val="center"/>
                </w:tcPr>
                <w:p w14:paraId="16C3A5D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3E536D23">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510DA0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6068AB7D">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7406826B">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183A502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vAlign w:val="center"/>
                </w:tcPr>
                <w:p w14:paraId="5DA07AA1">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0.0504 </w:t>
                  </w:r>
                </w:p>
              </w:tc>
              <w:tc>
                <w:tcPr>
                  <w:tcW w:w="766" w:type="dxa"/>
                  <w:tcBorders>
                    <w:tl2br w:val="nil"/>
                    <w:tr2bl w:val="nil"/>
                  </w:tcBorders>
                  <w:vAlign w:val="center"/>
                </w:tcPr>
                <w:p w14:paraId="69A9D7B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0.0420 </w:t>
                  </w:r>
                </w:p>
              </w:tc>
              <w:tc>
                <w:tcPr>
                  <w:tcW w:w="682" w:type="dxa"/>
                  <w:tcBorders>
                    <w:tl2br w:val="nil"/>
                    <w:tr2bl w:val="nil"/>
                  </w:tcBorders>
                  <w:vAlign w:val="center"/>
                </w:tcPr>
                <w:p w14:paraId="40A1CE9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0.0252 </w:t>
                  </w:r>
                </w:p>
              </w:tc>
              <w:tc>
                <w:tcPr>
                  <w:tcW w:w="797" w:type="dxa"/>
                  <w:tcBorders>
                    <w:tl2br w:val="nil"/>
                    <w:tr2bl w:val="nil"/>
                  </w:tcBorders>
                  <w:vAlign w:val="center"/>
                </w:tcPr>
                <w:p w14:paraId="701D8A6E">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0.0025 </w:t>
                  </w:r>
                </w:p>
              </w:tc>
              <w:tc>
                <w:tcPr>
                  <w:tcW w:w="661" w:type="dxa"/>
                  <w:tcBorders>
                    <w:tl2br w:val="nil"/>
                    <w:tr2bl w:val="nil"/>
                  </w:tcBorders>
                  <w:vAlign w:val="center"/>
                </w:tcPr>
                <w:p w14:paraId="57095DF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vAlign w:val="center"/>
                </w:tcPr>
                <w:p w14:paraId="17F62F4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3000D25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3A95B0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FFF717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w:t>
                  </w:r>
                </w:p>
              </w:tc>
              <w:tc>
                <w:tcPr>
                  <w:tcW w:w="1615" w:type="dxa"/>
                  <w:vMerge w:val="restart"/>
                  <w:tcBorders>
                    <w:tl2br w:val="nil"/>
                    <w:tr2bl w:val="nil"/>
                  </w:tcBorders>
                  <w:shd w:val="clear" w:color="auto" w:fill="auto"/>
                  <w:vAlign w:val="center"/>
                </w:tcPr>
                <w:p w14:paraId="3AF5753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生活污水（1140m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2500E17B">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09A5A3B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300</w:t>
                  </w:r>
                </w:p>
              </w:tc>
              <w:tc>
                <w:tcPr>
                  <w:tcW w:w="766" w:type="dxa"/>
                  <w:tcBorders>
                    <w:tl2br w:val="nil"/>
                    <w:tr2bl w:val="nil"/>
                  </w:tcBorders>
                  <w:shd w:val="clear" w:color="auto" w:fill="auto"/>
                  <w:vAlign w:val="center"/>
                </w:tcPr>
                <w:p w14:paraId="5562202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250</w:t>
                  </w:r>
                </w:p>
              </w:tc>
              <w:tc>
                <w:tcPr>
                  <w:tcW w:w="682" w:type="dxa"/>
                  <w:tcBorders>
                    <w:tl2br w:val="nil"/>
                    <w:tr2bl w:val="nil"/>
                  </w:tcBorders>
                  <w:shd w:val="clear" w:color="auto" w:fill="auto"/>
                  <w:vAlign w:val="center"/>
                </w:tcPr>
                <w:p w14:paraId="0CB3BBA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200</w:t>
                  </w:r>
                </w:p>
              </w:tc>
              <w:tc>
                <w:tcPr>
                  <w:tcW w:w="797" w:type="dxa"/>
                  <w:tcBorders>
                    <w:tl2br w:val="nil"/>
                    <w:tr2bl w:val="nil"/>
                  </w:tcBorders>
                  <w:shd w:val="clear" w:color="auto" w:fill="auto"/>
                  <w:vAlign w:val="center"/>
                </w:tcPr>
                <w:p w14:paraId="28E4F659">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25</w:t>
                  </w:r>
                </w:p>
              </w:tc>
              <w:tc>
                <w:tcPr>
                  <w:tcW w:w="661" w:type="dxa"/>
                  <w:tcBorders>
                    <w:tl2br w:val="nil"/>
                    <w:tr2bl w:val="nil"/>
                  </w:tcBorders>
                  <w:shd w:val="clear" w:color="auto" w:fill="auto"/>
                  <w:vAlign w:val="center"/>
                </w:tcPr>
                <w:p w14:paraId="47AAE0B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3.5</w:t>
                  </w:r>
                </w:p>
              </w:tc>
              <w:tc>
                <w:tcPr>
                  <w:tcW w:w="619" w:type="dxa"/>
                  <w:tcBorders>
                    <w:tl2br w:val="nil"/>
                    <w:tr2bl w:val="nil"/>
                  </w:tcBorders>
                  <w:vAlign w:val="center"/>
                </w:tcPr>
                <w:p w14:paraId="70CEB69C">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5BB3F6EF">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372A3E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1D885698">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096F7821">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7C11275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vAlign w:val="center"/>
                </w:tcPr>
                <w:p w14:paraId="224023A5">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0.3420 </w:t>
                  </w:r>
                </w:p>
              </w:tc>
              <w:tc>
                <w:tcPr>
                  <w:tcW w:w="766" w:type="dxa"/>
                  <w:tcBorders>
                    <w:tl2br w:val="nil"/>
                    <w:tr2bl w:val="nil"/>
                  </w:tcBorders>
                  <w:vAlign w:val="center"/>
                </w:tcPr>
                <w:p w14:paraId="50F7592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0.2850 </w:t>
                  </w:r>
                </w:p>
              </w:tc>
              <w:tc>
                <w:tcPr>
                  <w:tcW w:w="682" w:type="dxa"/>
                  <w:tcBorders>
                    <w:tl2br w:val="nil"/>
                    <w:tr2bl w:val="nil"/>
                  </w:tcBorders>
                  <w:vAlign w:val="center"/>
                </w:tcPr>
                <w:p w14:paraId="2FC39900">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0.2280 </w:t>
                  </w:r>
                </w:p>
              </w:tc>
              <w:tc>
                <w:tcPr>
                  <w:tcW w:w="797" w:type="dxa"/>
                  <w:tcBorders>
                    <w:tl2br w:val="nil"/>
                    <w:tr2bl w:val="nil"/>
                  </w:tcBorders>
                  <w:vAlign w:val="center"/>
                </w:tcPr>
                <w:p w14:paraId="2CBBEF0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0.0285 </w:t>
                  </w:r>
                </w:p>
              </w:tc>
              <w:tc>
                <w:tcPr>
                  <w:tcW w:w="661" w:type="dxa"/>
                  <w:tcBorders>
                    <w:tl2br w:val="nil"/>
                    <w:tr2bl w:val="nil"/>
                  </w:tcBorders>
                  <w:vAlign w:val="center"/>
                </w:tcPr>
                <w:p w14:paraId="2CA653CD">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 xml:space="preserve">0.0040 </w:t>
                  </w:r>
                </w:p>
              </w:tc>
              <w:tc>
                <w:tcPr>
                  <w:tcW w:w="619" w:type="dxa"/>
                  <w:tcBorders>
                    <w:tl2br w:val="nil"/>
                    <w:tr2bl w:val="nil"/>
                  </w:tcBorders>
                  <w:vAlign w:val="center"/>
                </w:tcPr>
                <w:p w14:paraId="45E6460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center"/>
                </w:tcPr>
                <w:p w14:paraId="631902D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3767DE9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067E9747">
                  <w:pPr>
                    <w:jc w:val="center"/>
                    <w:rPr>
                      <w:rFonts w:hint="default" w:cs="Times New Roman"/>
                      <w:color w:val="auto"/>
                      <w:spacing w:val="-20"/>
                      <w:kern w:val="2"/>
                      <w:sz w:val="18"/>
                      <w:szCs w:val="18"/>
                      <w:highlight w:val="yellow"/>
                      <w:lang w:val="en-US" w:eastAsia="zh-CN" w:bidi="ar-SA"/>
                    </w:rPr>
                  </w:pPr>
                  <w:r>
                    <w:rPr>
                      <w:rFonts w:hint="eastAsia" w:cs="Times New Roman"/>
                      <w:color w:val="auto"/>
                      <w:spacing w:val="-20"/>
                      <w:kern w:val="2"/>
                      <w:sz w:val="18"/>
                      <w:szCs w:val="18"/>
                      <w:highlight w:val="none"/>
                      <w:lang w:val="en-US" w:eastAsia="zh-CN" w:bidi="ar-SA"/>
                    </w:rPr>
                    <w:t>8</w:t>
                  </w:r>
                </w:p>
              </w:tc>
              <w:tc>
                <w:tcPr>
                  <w:tcW w:w="1615" w:type="dxa"/>
                  <w:vMerge w:val="restart"/>
                  <w:tcBorders>
                    <w:tl2br w:val="nil"/>
                    <w:tr2bl w:val="nil"/>
                  </w:tcBorders>
                  <w:vAlign w:val="center"/>
                </w:tcPr>
                <w:p w14:paraId="799F895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混合后废水（1433.214m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73A79E2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产生浓度mg/L</w:t>
                  </w:r>
                </w:p>
              </w:tc>
              <w:tc>
                <w:tcPr>
                  <w:tcW w:w="671" w:type="dxa"/>
                  <w:tcBorders>
                    <w:tl2br w:val="nil"/>
                    <w:tr2bl w:val="nil"/>
                  </w:tcBorders>
                  <w:shd w:val="clear" w:color="auto" w:fill="auto"/>
                  <w:vAlign w:val="center"/>
                </w:tcPr>
                <w:p w14:paraId="70F3DC02">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286.6</w:t>
                  </w:r>
                </w:p>
              </w:tc>
              <w:tc>
                <w:tcPr>
                  <w:tcW w:w="766" w:type="dxa"/>
                  <w:tcBorders>
                    <w:tl2br w:val="nil"/>
                    <w:tr2bl w:val="nil"/>
                  </w:tcBorders>
                  <w:shd w:val="clear" w:color="auto" w:fill="auto"/>
                  <w:vAlign w:val="center"/>
                </w:tcPr>
                <w:p w14:paraId="05753559">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237.7</w:t>
                  </w:r>
                </w:p>
              </w:tc>
              <w:tc>
                <w:tcPr>
                  <w:tcW w:w="682" w:type="dxa"/>
                  <w:tcBorders>
                    <w:tl2br w:val="nil"/>
                    <w:tr2bl w:val="nil"/>
                  </w:tcBorders>
                  <w:shd w:val="clear" w:color="auto" w:fill="auto"/>
                  <w:vAlign w:val="center"/>
                </w:tcPr>
                <w:p w14:paraId="5219F9BF">
                  <w:pPr>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183.0</w:t>
                  </w:r>
                </w:p>
              </w:tc>
              <w:tc>
                <w:tcPr>
                  <w:tcW w:w="797" w:type="dxa"/>
                  <w:tcBorders>
                    <w:tl2br w:val="nil"/>
                    <w:tr2bl w:val="nil"/>
                  </w:tcBorders>
                  <w:shd w:val="clear" w:color="auto" w:fill="auto"/>
                  <w:vAlign w:val="center"/>
                </w:tcPr>
                <w:p w14:paraId="1DD666E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23.2</w:t>
                  </w:r>
                </w:p>
              </w:tc>
              <w:tc>
                <w:tcPr>
                  <w:tcW w:w="661" w:type="dxa"/>
                  <w:tcBorders>
                    <w:tl2br w:val="nil"/>
                    <w:tr2bl w:val="nil"/>
                  </w:tcBorders>
                  <w:shd w:val="clear" w:color="auto" w:fill="auto"/>
                  <w:vAlign w:val="center"/>
                </w:tcPr>
                <w:p w14:paraId="3B33426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w:t>
                  </w:r>
                </w:p>
              </w:tc>
              <w:tc>
                <w:tcPr>
                  <w:tcW w:w="619" w:type="dxa"/>
                  <w:tcBorders>
                    <w:tl2br w:val="nil"/>
                    <w:tr2bl w:val="nil"/>
                  </w:tcBorders>
                  <w:vAlign w:val="center"/>
                </w:tcPr>
                <w:p w14:paraId="27AEC7F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382098E5">
                  <w:pPr>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8.4</w:t>
                  </w:r>
                </w:p>
              </w:tc>
            </w:tr>
            <w:tr w14:paraId="1FEB21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09ED73E7">
                  <w:pPr>
                    <w:jc w:val="center"/>
                    <w:rPr>
                      <w:rFonts w:hint="eastAsia" w:cs="Times New Roman"/>
                      <w:color w:val="auto"/>
                      <w:spacing w:val="-20"/>
                      <w:kern w:val="2"/>
                      <w:sz w:val="18"/>
                      <w:szCs w:val="18"/>
                      <w:highlight w:val="yellow"/>
                      <w:lang w:val="en-US" w:eastAsia="zh-CN" w:bidi="ar-SA"/>
                    </w:rPr>
                  </w:pPr>
                </w:p>
              </w:tc>
              <w:tc>
                <w:tcPr>
                  <w:tcW w:w="1615" w:type="dxa"/>
                  <w:vMerge w:val="continue"/>
                  <w:tcBorders>
                    <w:tl2br w:val="nil"/>
                    <w:tr2bl w:val="nil"/>
                  </w:tcBorders>
                  <w:vAlign w:val="center"/>
                </w:tcPr>
                <w:p w14:paraId="21685095">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3C8FC76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产生量t/a</w:t>
                  </w:r>
                </w:p>
              </w:tc>
              <w:tc>
                <w:tcPr>
                  <w:tcW w:w="671" w:type="dxa"/>
                  <w:tcBorders>
                    <w:tl2br w:val="nil"/>
                    <w:tr2bl w:val="nil"/>
                  </w:tcBorders>
                  <w:shd w:val="clear" w:color="auto" w:fill="auto"/>
                  <w:vAlign w:val="center"/>
                </w:tcPr>
                <w:p w14:paraId="04EB79A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0.4107</w:t>
                  </w:r>
                </w:p>
              </w:tc>
              <w:tc>
                <w:tcPr>
                  <w:tcW w:w="766" w:type="dxa"/>
                  <w:tcBorders>
                    <w:tl2br w:val="nil"/>
                    <w:tr2bl w:val="nil"/>
                  </w:tcBorders>
                  <w:shd w:val="clear" w:color="auto" w:fill="auto"/>
                  <w:vAlign w:val="center"/>
                </w:tcPr>
                <w:p w14:paraId="3F2B48B0">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0.3407</w:t>
                  </w:r>
                </w:p>
              </w:tc>
              <w:tc>
                <w:tcPr>
                  <w:tcW w:w="682" w:type="dxa"/>
                  <w:tcBorders>
                    <w:tl2br w:val="nil"/>
                    <w:tr2bl w:val="nil"/>
                  </w:tcBorders>
                  <w:shd w:val="clear" w:color="auto" w:fill="auto"/>
                  <w:vAlign w:val="center"/>
                </w:tcPr>
                <w:p w14:paraId="3874ADB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0.2623</w:t>
                  </w:r>
                </w:p>
              </w:tc>
              <w:tc>
                <w:tcPr>
                  <w:tcW w:w="797" w:type="dxa"/>
                  <w:tcBorders>
                    <w:tl2br w:val="nil"/>
                    <w:tr2bl w:val="nil"/>
                  </w:tcBorders>
                  <w:shd w:val="clear" w:color="auto" w:fill="auto"/>
                  <w:vAlign w:val="center"/>
                </w:tcPr>
                <w:p w14:paraId="7E8FFA4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0.0333</w:t>
                  </w:r>
                </w:p>
              </w:tc>
              <w:tc>
                <w:tcPr>
                  <w:tcW w:w="661" w:type="dxa"/>
                  <w:tcBorders>
                    <w:tl2br w:val="nil"/>
                    <w:tr2bl w:val="nil"/>
                  </w:tcBorders>
                  <w:shd w:val="clear" w:color="auto" w:fill="auto"/>
                  <w:vAlign w:val="center"/>
                </w:tcPr>
                <w:p w14:paraId="1B11269A">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0.0041</w:t>
                  </w:r>
                </w:p>
              </w:tc>
              <w:tc>
                <w:tcPr>
                  <w:tcW w:w="619" w:type="dxa"/>
                  <w:tcBorders>
                    <w:tl2br w:val="nil"/>
                    <w:tr2bl w:val="nil"/>
                  </w:tcBorders>
                  <w:shd w:val="clear" w:color="auto" w:fill="auto"/>
                  <w:vAlign w:val="top"/>
                </w:tcPr>
                <w:p w14:paraId="1205AEB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top"/>
                </w:tcPr>
                <w:p w14:paraId="29E21FC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0.0120</w:t>
                  </w:r>
                </w:p>
              </w:tc>
            </w:tr>
            <w:tr w14:paraId="2AACE6B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10E76CF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9</w:t>
                  </w:r>
                </w:p>
              </w:tc>
              <w:tc>
                <w:tcPr>
                  <w:tcW w:w="2496" w:type="dxa"/>
                  <w:gridSpan w:val="2"/>
                  <w:tcBorders>
                    <w:tl2br w:val="nil"/>
                    <w:tr2bl w:val="nil"/>
                  </w:tcBorders>
                  <w:vAlign w:val="center"/>
                </w:tcPr>
                <w:p w14:paraId="2215D9A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处理措施</w:t>
                  </w:r>
                </w:p>
              </w:tc>
              <w:tc>
                <w:tcPr>
                  <w:tcW w:w="4941" w:type="dxa"/>
                  <w:gridSpan w:val="7"/>
                  <w:tcBorders>
                    <w:tl2br w:val="nil"/>
                    <w:tr2bl w:val="nil"/>
                  </w:tcBorders>
                  <w:shd w:val="clear" w:color="auto" w:fill="auto"/>
                  <w:vAlign w:val="center"/>
                </w:tcPr>
                <w:p w14:paraId="13E03018">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化粪池</w:t>
                  </w:r>
                </w:p>
              </w:tc>
            </w:tr>
            <w:tr w14:paraId="5840EE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36D9E4D3">
                  <w:pPr>
                    <w:jc w:val="center"/>
                    <w:rPr>
                      <w:rFonts w:hint="eastAsia" w:cs="Times New Roman"/>
                      <w:color w:val="auto"/>
                      <w:spacing w:val="-20"/>
                      <w:kern w:val="2"/>
                      <w:sz w:val="18"/>
                      <w:szCs w:val="18"/>
                      <w:highlight w:val="none"/>
                      <w:lang w:val="en-US" w:eastAsia="zh-CN" w:bidi="ar-SA"/>
                    </w:rPr>
                  </w:pPr>
                </w:p>
              </w:tc>
              <w:tc>
                <w:tcPr>
                  <w:tcW w:w="2496" w:type="dxa"/>
                  <w:gridSpan w:val="2"/>
                  <w:tcBorders>
                    <w:tl2br w:val="nil"/>
                    <w:tr2bl w:val="nil"/>
                  </w:tcBorders>
                  <w:vAlign w:val="center"/>
                </w:tcPr>
                <w:p w14:paraId="1DA99E2C">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处理效果</w:t>
                  </w:r>
                </w:p>
              </w:tc>
              <w:tc>
                <w:tcPr>
                  <w:tcW w:w="671" w:type="dxa"/>
                  <w:tcBorders>
                    <w:tl2br w:val="nil"/>
                    <w:tr2bl w:val="nil"/>
                  </w:tcBorders>
                  <w:shd w:val="clear" w:color="auto" w:fill="auto"/>
                  <w:vAlign w:val="center"/>
                </w:tcPr>
                <w:p w14:paraId="0014D79F">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66" w:type="dxa"/>
                  <w:tcBorders>
                    <w:tl2br w:val="nil"/>
                    <w:tr2bl w:val="nil"/>
                  </w:tcBorders>
                  <w:shd w:val="clear" w:color="auto" w:fill="auto"/>
                  <w:vAlign w:val="center"/>
                </w:tcPr>
                <w:p w14:paraId="61C0E81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82" w:type="dxa"/>
                  <w:tcBorders>
                    <w:tl2br w:val="nil"/>
                    <w:tr2bl w:val="nil"/>
                  </w:tcBorders>
                  <w:shd w:val="clear" w:color="auto" w:fill="auto"/>
                  <w:vAlign w:val="center"/>
                </w:tcPr>
                <w:p w14:paraId="0359F9B1">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50</w:t>
                  </w:r>
                </w:p>
              </w:tc>
              <w:tc>
                <w:tcPr>
                  <w:tcW w:w="797" w:type="dxa"/>
                  <w:tcBorders>
                    <w:tl2br w:val="nil"/>
                    <w:tr2bl w:val="nil"/>
                  </w:tcBorders>
                  <w:shd w:val="clear" w:color="auto" w:fill="auto"/>
                  <w:vAlign w:val="top"/>
                </w:tcPr>
                <w:p w14:paraId="70D2423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61" w:type="dxa"/>
                  <w:tcBorders>
                    <w:tl2br w:val="nil"/>
                    <w:tr2bl w:val="nil"/>
                  </w:tcBorders>
                  <w:shd w:val="clear" w:color="auto" w:fill="auto"/>
                  <w:vAlign w:val="top"/>
                </w:tcPr>
                <w:p w14:paraId="3F2E4F3A">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619" w:type="dxa"/>
                  <w:tcBorders>
                    <w:tl2br w:val="nil"/>
                    <w:tr2bl w:val="nil"/>
                  </w:tcBorders>
                  <w:shd w:val="clear" w:color="auto" w:fill="auto"/>
                  <w:vAlign w:val="top"/>
                </w:tcPr>
                <w:p w14:paraId="487F1EB3">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top"/>
                </w:tcPr>
                <w:p w14:paraId="4973B19C">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r>
            <w:tr w14:paraId="032238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restart"/>
                  <w:tcBorders>
                    <w:tl2br w:val="nil"/>
                    <w:tr2bl w:val="nil"/>
                  </w:tcBorders>
                  <w:vAlign w:val="center"/>
                </w:tcPr>
                <w:p w14:paraId="618A418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10</w:t>
                  </w:r>
                </w:p>
              </w:tc>
              <w:tc>
                <w:tcPr>
                  <w:tcW w:w="1615" w:type="dxa"/>
                  <w:vMerge w:val="restart"/>
                  <w:tcBorders>
                    <w:tl2br w:val="nil"/>
                    <w:tr2bl w:val="nil"/>
                  </w:tcBorders>
                  <w:vAlign w:val="center"/>
                </w:tcPr>
                <w:p w14:paraId="61F69CB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外排废水（1433.214m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/a）</w:t>
                  </w:r>
                </w:p>
              </w:tc>
              <w:tc>
                <w:tcPr>
                  <w:tcW w:w="881" w:type="dxa"/>
                  <w:tcBorders>
                    <w:tl2br w:val="nil"/>
                    <w:tr2bl w:val="nil"/>
                  </w:tcBorders>
                  <w:shd w:val="clear" w:color="auto" w:fill="auto"/>
                  <w:vAlign w:val="center"/>
                </w:tcPr>
                <w:p w14:paraId="23C7F0D7">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排放浓度mg/L</w:t>
                  </w:r>
                </w:p>
              </w:tc>
              <w:tc>
                <w:tcPr>
                  <w:tcW w:w="671" w:type="dxa"/>
                  <w:tcBorders>
                    <w:tl2br w:val="nil"/>
                    <w:tr2bl w:val="nil"/>
                  </w:tcBorders>
                  <w:shd w:val="clear" w:color="auto" w:fill="auto"/>
                  <w:vAlign w:val="center"/>
                </w:tcPr>
                <w:p w14:paraId="5B52907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286.6</w:t>
                  </w:r>
                </w:p>
              </w:tc>
              <w:tc>
                <w:tcPr>
                  <w:tcW w:w="766" w:type="dxa"/>
                  <w:tcBorders>
                    <w:tl2br w:val="nil"/>
                    <w:tr2bl w:val="nil"/>
                  </w:tcBorders>
                  <w:shd w:val="clear" w:color="auto" w:fill="auto"/>
                  <w:vAlign w:val="center"/>
                </w:tcPr>
                <w:p w14:paraId="3150FCD0">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237.7</w:t>
                  </w:r>
                </w:p>
              </w:tc>
              <w:tc>
                <w:tcPr>
                  <w:tcW w:w="682" w:type="dxa"/>
                  <w:tcBorders>
                    <w:tl2br w:val="nil"/>
                    <w:tr2bl w:val="nil"/>
                  </w:tcBorders>
                  <w:shd w:val="clear" w:color="auto" w:fill="auto"/>
                  <w:vAlign w:val="center"/>
                </w:tcPr>
                <w:p w14:paraId="67F3ED8E">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91.5</w:t>
                  </w:r>
                </w:p>
              </w:tc>
              <w:tc>
                <w:tcPr>
                  <w:tcW w:w="797" w:type="dxa"/>
                  <w:tcBorders>
                    <w:tl2br w:val="nil"/>
                    <w:tr2bl w:val="nil"/>
                  </w:tcBorders>
                  <w:shd w:val="clear" w:color="auto" w:fill="auto"/>
                  <w:vAlign w:val="center"/>
                </w:tcPr>
                <w:p w14:paraId="48EE3CF2">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23.2</w:t>
                  </w:r>
                </w:p>
              </w:tc>
              <w:tc>
                <w:tcPr>
                  <w:tcW w:w="661" w:type="dxa"/>
                  <w:tcBorders>
                    <w:tl2br w:val="nil"/>
                    <w:tr2bl w:val="nil"/>
                  </w:tcBorders>
                  <w:shd w:val="clear" w:color="auto" w:fill="auto"/>
                  <w:vAlign w:val="center"/>
                </w:tcPr>
                <w:p w14:paraId="4A8AD108">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2.9</w:t>
                  </w:r>
                </w:p>
              </w:tc>
              <w:tc>
                <w:tcPr>
                  <w:tcW w:w="619" w:type="dxa"/>
                  <w:tcBorders>
                    <w:tl2br w:val="nil"/>
                    <w:tr2bl w:val="nil"/>
                  </w:tcBorders>
                  <w:shd w:val="clear" w:color="auto" w:fill="auto"/>
                  <w:vAlign w:val="center"/>
                </w:tcPr>
                <w:p w14:paraId="7F42B14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7-9</w:t>
                  </w:r>
                </w:p>
              </w:tc>
              <w:tc>
                <w:tcPr>
                  <w:tcW w:w="745" w:type="dxa"/>
                  <w:tcBorders>
                    <w:tl2br w:val="nil"/>
                    <w:tr2bl w:val="nil"/>
                  </w:tcBorders>
                  <w:shd w:val="clear" w:color="auto" w:fill="auto"/>
                  <w:vAlign w:val="center"/>
                </w:tcPr>
                <w:p w14:paraId="3412E81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8.4</w:t>
                  </w:r>
                </w:p>
              </w:tc>
            </w:tr>
            <w:tr w14:paraId="5F0394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0" w:type="dxa"/>
                  <w:vMerge w:val="continue"/>
                  <w:tcBorders>
                    <w:tl2br w:val="nil"/>
                    <w:tr2bl w:val="nil"/>
                  </w:tcBorders>
                  <w:vAlign w:val="center"/>
                </w:tcPr>
                <w:p w14:paraId="1258C1A3">
                  <w:pPr>
                    <w:jc w:val="center"/>
                    <w:rPr>
                      <w:rFonts w:hint="eastAsia" w:cs="Times New Roman"/>
                      <w:color w:val="auto"/>
                      <w:spacing w:val="-20"/>
                      <w:kern w:val="2"/>
                      <w:sz w:val="18"/>
                      <w:szCs w:val="18"/>
                      <w:highlight w:val="none"/>
                      <w:lang w:val="en-US" w:eastAsia="zh-CN" w:bidi="ar-SA"/>
                    </w:rPr>
                  </w:pPr>
                </w:p>
              </w:tc>
              <w:tc>
                <w:tcPr>
                  <w:tcW w:w="1615" w:type="dxa"/>
                  <w:vMerge w:val="continue"/>
                  <w:tcBorders>
                    <w:tl2br w:val="nil"/>
                    <w:tr2bl w:val="nil"/>
                  </w:tcBorders>
                  <w:vAlign w:val="center"/>
                </w:tcPr>
                <w:p w14:paraId="146D73E9">
                  <w:pPr>
                    <w:jc w:val="center"/>
                    <w:rPr>
                      <w:rFonts w:hint="eastAsia" w:cs="Times New Roman"/>
                      <w:color w:val="auto"/>
                      <w:spacing w:val="-20"/>
                      <w:kern w:val="2"/>
                      <w:sz w:val="18"/>
                      <w:szCs w:val="18"/>
                      <w:highlight w:val="none"/>
                      <w:lang w:val="en-US" w:eastAsia="zh-CN" w:bidi="ar-SA"/>
                    </w:rPr>
                  </w:pPr>
                </w:p>
              </w:tc>
              <w:tc>
                <w:tcPr>
                  <w:tcW w:w="881" w:type="dxa"/>
                  <w:tcBorders>
                    <w:tl2br w:val="nil"/>
                    <w:tr2bl w:val="nil"/>
                  </w:tcBorders>
                  <w:shd w:val="clear" w:color="auto" w:fill="auto"/>
                  <w:vAlign w:val="center"/>
                </w:tcPr>
                <w:p w14:paraId="250C3D46">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排放量t/a</w:t>
                  </w:r>
                </w:p>
              </w:tc>
              <w:tc>
                <w:tcPr>
                  <w:tcW w:w="671" w:type="dxa"/>
                  <w:tcBorders>
                    <w:tl2br w:val="nil"/>
                    <w:tr2bl w:val="nil"/>
                  </w:tcBorders>
                  <w:shd w:val="clear" w:color="auto" w:fill="auto"/>
                  <w:vAlign w:val="center"/>
                </w:tcPr>
                <w:p w14:paraId="69B101BF">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0.4107</w:t>
                  </w:r>
                </w:p>
              </w:tc>
              <w:tc>
                <w:tcPr>
                  <w:tcW w:w="766" w:type="dxa"/>
                  <w:tcBorders>
                    <w:tl2br w:val="nil"/>
                    <w:tr2bl w:val="nil"/>
                  </w:tcBorders>
                  <w:shd w:val="clear" w:color="auto" w:fill="auto"/>
                  <w:vAlign w:val="center"/>
                </w:tcPr>
                <w:p w14:paraId="1165CB89">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0.3407</w:t>
                  </w:r>
                </w:p>
              </w:tc>
              <w:tc>
                <w:tcPr>
                  <w:tcW w:w="682" w:type="dxa"/>
                  <w:tcBorders>
                    <w:tl2br w:val="nil"/>
                    <w:tr2bl w:val="nil"/>
                  </w:tcBorders>
                  <w:shd w:val="clear" w:color="auto" w:fill="auto"/>
                  <w:vAlign w:val="center"/>
                </w:tcPr>
                <w:p w14:paraId="6D27E81D">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0.1312</w:t>
                  </w:r>
                </w:p>
              </w:tc>
              <w:tc>
                <w:tcPr>
                  <w:tcW w:w="797" w:type="dxa"/>
                  <w:tcBorders>
                    <w:tl2br w:val="nil"/>
                    <w:tr2bl w:val="nil"/>
                  </w:tcBorders>
                  <w:shd w:val="clear" w:color="auto" w:fill="auto"/>
                  <w:vAlign w:val="center"/>
                </w:tcPr>
                <w:p w14:paraId="69618F6A">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0.0333</w:t>
                  </w:r>
                </w:p>
              </w:tc>
              <w:tc>
                <w:tcPr>
                  <w:tcW w:w="661" w:type="dxa"/>
                  <w:tcBorders>
                    <w:tl2br w:val="nil"/>
                    <w:tr2bl w:val="nil"/>
                  </w:tcBorders>
                  <w:shd w:val="clear" w:color="auto" w:fill="auto"/>
                  <w:vAlign w:val="center"/>
                </w:tcPr>
                <w:p w14:paraId="592F10BB">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0.0041</w:t>
                  </w:r>
                </w:p>
              </w:tc>
              <w:tc>
                <w:tcPr>
                  <w:tcW w:w="619" w:type="dxa"/>
                  <w:tcBorders>
                    <w:tl2br w:val="nil"/>
                    <w:tr2bl w:val="nil"/>
                  </w:tcBorders>
                  <w:shd w:val="clear" w:color="auto" w:fill="auto"/>
                  <w:vAlign w:val="top"/>
                </w:tcPr>
                <w:p w14:paraId="641A9D02">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745" w:type="dxa"/>
                  <w:tcBorders>
                    <w:tl2br w:val="nil"/>
                    <w:tr2bl w:val="nil"/>
                  </w:tcBorders>
                  <w:shd w:val="clear" w:color="auto" w:fill="auto"/>
                  <w:vAlign w:val="top"/>
                </w:tcPr>
                <w:p w14:paraId="3F414C73">
                  <w:pPr>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0.0120</w:t>
                  </w:r>
                </w:p>
              </w:tc>
            </w:tr>
          </w:tbl>
          <w:p w14:paraId="2D0643F9">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综上所述，本项目年总排水量为</w:t>
            </w:r>
            <w:r>
              <w:rPr>
                <w:rFonts w:hint="eastAsia" w:cs="Times New Roman"/>
                <w:color w:val="auto"/>
                <w:sz w:val="21"/>
                <w:szCs w:val="21"/>
                <w:highlight w:val="none"/>
                <w:lang w:val="en-US" w:eastAsia="zh-CN"/>
              </w:rPr>
              <w:t>1433.214</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，故综合废水达标情况见下表。</w:t>
            </w:r>
          </w:p>
          <w:p w14:paraId="3E282B4C">
            <w:pPr>
              <w:tabs>
                <w:tab w:val="left" w:pos="4253"/>
              </w:tabs>
              <w:spacing w:line="440" w:lineRule="exact"/>
              <w:jc w:val="center"/>
              <w:rPr>
                <w:rFonts w:hint="eastAsia" w:eastAsia="宋体"/>
                <w:b/>
                <w:color w:val="auto"/>
                <w:szCs w:val="21"/>
                <w:highlight w:val="none"/>
                <w:lang w:val="en-US" w:eastAsia="zh-CN"/>
              </w:rPr>
            </w:pPr>
            <w:r>
              <w:rPr>
                <w:rFonts w:hint="eastAsia" w:eastAsia="宋体"/>
                <w:b/>
                <w:color w:val="auto"/>
                <w:szCs w:val="21"/>
                <w:highlight w:val="none"/>
                <w:lang w:val="en-US" w:eastAsia="zh-CN"/>
              </w:rPr>
              <w:t>表2</w:t>
            </w:r>
            <w:r>
              <w:rPr>
                <w:rFonts w:hint="eastAsia"/>
                <w:b/>
                <w:color w:val="auto"/>
                <w:szCs w:val="21"/>
                <w:highlight w:val="none"/>
                <w:lang w:val="en-US" w:eastAsia="zh-CN"/>
              </w:rPr>
              <w:t>9</w:t>
            </w:r>
            <w:r>
              <w:rPr>
                <w:rFonts w:hint="default" w:eastAsia="宋体"/>
                <w:b/>
                <w:color w:val="auto"/>
                <w:szCs w:val="21"/>
                <w:highlight w:val="none"/>
                <w:lang w:val="en-US" w:eastAsia="zh-CN"/>
              </w:rPr>
              <w:t xml:space="preserve"> </w:t>
            </w:r>
            <w:r>
              <w:rPr>
                <w:rFonts w:hint="eastAsia" w:eastAsia="宋体"/>
                <w:b/>
                <w:color w:val="auto"/>
                <w:szCs w:val="21"/>
                <w:highlight w:val="none"/>
                <w:lang w:val="en-US" w:eastAsia="zh-CN"/>
              </w:rPr>
              <w:t>废水主要污染物源强一览表</w:t>
            </w:r>
          </w:p>
          <w:tbl>
            <w:tblPr>
              <w:tblStyle w:val="27"/>
              <w:tblW w:w="7854"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963"/>
              <w:gridCol w:w="1963"/>
              <w:gridCol w:w="1964"/>
              <w:gridCol w:w="1964"/>
            </w:tblGrid>
            <w:tr w14:paraId="0010DF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51111F81">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污染物</w:t>
                  </w:r>
                </w:p>
              </w:tc>
              <w:tc>
                <w:tcPr>
                  <w:tcW w:w="1963" w:type="dxa"/>
                  <w:tcBorders>
                    <w:tl2br w:val="nil"/>
                    <w:tr2bl w:val="nil"/>
                  </w:tcBorders>
                </w:tcPr>
                <w:p w14:paraId="74C6F376">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排放浓度（</w:t>
                  </w:r>
                  <w:r>
                    <w:rPr>
                      <w:rFonts w:hint="default" w:eastAsia="宋体" w:cs="Times New Roman"/>
                      <w:color w:val="auto"/>
                      <w:spacing w:val="-10"/>
                      <w:sz w:val="18"/>
                      <w:szCs w:val="18"/>
                      <w:highlight w:val="none"/>
                      <w:lang w:val="en-US" w:eastAsia="zh-CN"/>
                    </w:rPr>
                    <w:t>mg/L</w:t>
                  </w:r>
                  <w:r>
                    <w:rPr>
                      <w:rFonts w:hint="eastAsia" w:eastAsia="宋体" w:cs="Times New Roman"/>
                      <w:color w:val="auto"/>
                      <w:spacing w:val="-10"/>
                      <w:sz w:val="18"/>
                      <w:szCs w:val="18"/>
                      <w:highlight w:val="none"/>
                      <w:lang w:val="en-US" w:eastAsia="zh-CN"/>
                    </w:rPr>
                    <w:t>）</w:t>
                  </w:r>
                </w:p>
              </w:tc>
              <w:tc>
                <w:tcPr>
                  <w:tcW w:w="1964" w:type="dxa"/>
                  <w:tcBorders>
                    <w:tl2br w:val="nil"/>
                    <w:tr2bl w:val="nil"/>
                  </w:tcBorders>
                </w:tcPr>
                <w:p w14:paraId="62927FA4">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标准限值（</w:t>
                  </w:r>
                  <w:r>
                    <w:rPr>
                      <w:rFonts w:hint="default" w:eastAsia="宋体" w:cs="Times New Roman"/>
                      <w:color w:val="auto"/>
                      <w:spacing w:val="-10"/>
                      <w:sz w:val="18"/>
                      <w:szCs w:val="18"/>
                      <w:highlight w:val="none"/>
                      <w:lang w:val="en-US" w:eastAsia="zh-CN"/>
                    </w:rPr>
                    <w:t>mg/L</w:t>
                  </w:r>
                  <w:r>
                    <w:rPr>
                      <w:rFonts w:hint="eastAsia" w:eastAsia="宋体" w:cs="Times New Roman"/>
                      <w:color w:val="auto"/>
                      <w:spacing w:val="-10"/>
                      <w:sz w:val="18"/>
                      <w:szCs w:val="18"/>
                      <w:highlight w:val="none"/>
                      <w:lang w:val="en-US" w:eastAsia="zh-CN"/>
                    </w:rPr>
                    <w:t>）</w:t>
                  </w:r>
                </w:p>
              </w:tc>
              <w:tc>
                <w:tcPr>
                  <w:tcW w:w="1964" w:type="dxa"/>
                  <w:tcBorders>
                    <w:tl2br w:val="nil"/>
                    <w:tr2bl w:val="nil"/>
                  </w:tcBorders>
                </w:tcPr>
                <w:p w14:paraId="5F78B892">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是否达标</w:t>
                  </w:r>
                </w:p>
              </w:tc>
            </w:tr>
            <w:tr w14:paraId="23F0379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34B9F8AA">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pH</w:t>
                  </w:r>
                </w:p>
              </w:tc>
              <w:tc>
                <w:tcPr>
                  <w:tcW w:w="1963" w:type="dxa"/>
                  <w:tcBorders>
                    <w:tl2br w:val="nil"/>
                    <w:tr2bl w:val="nil"/>
                  </w:tcBorders>
                </w:tcPr>
                <w:p w14:paraId="4ECD2165">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7-9</w:t>
                  </w:r>
                </w:p>
              </w:tc>
              <w:tc>
                <w:tcPr>
                  <w:tcW w:w="1964" w:type="dxa"/>
                  <w:tcBorders>
                    <w:tl2br w:val="nil"/>
                    <w:tr2bl w:val="nil"/>
                  </w:tcBorders>
                </w:tcPr>
                <w:p w14:paraId="24C7D58E">
                  <w:pPr>
                    <w:jc w:val="center"/>
                    <w:rPr>
                      <w:rFonts w:hint="eastAsia" w:eastAsia="宋体" w:cs="Times New Roman"/>
                      <w:color w:val="auto"/>
                      <w:spacing w:val="-10"/>
                      <w:sz w:val="18"/>
                      <w:szCs w:val="18"/>
                      <w:highlight w:val="none"/>
                      <w:lang w:val="en-US" w:eastAsia="zh-CN"/>
                    </w:rPr>
                  </w:pPr>
                  <w:r>
                    <w:rPr>
                      <w:rFonts w:hint="default" w:eastAsia="宋体" w:cs="Times New Roman"/>
                      <w:color w:val="auto"/>
                      <w:spacing w:val="-10"/>
                      <w:sz w:val="18"/>
                      <w:szCs w:val="18"/>
                      <w:highlight w:val="none"/>
                      <w:lang w:val="en-US" w:eastAsia="zh-CN"/>
                    </w:rPr>
                    <w:t>6.5-9</w:t>
                  </w:r>
                </w:p>
              </w:tc>
              <w:tc>
                <w:tcPr>
                  <w:tcW w:w="1964" w:type="dxa"/>
                  <w:tcBorders>
                    <w:tl2br w:val="nil"/>
                    <w:tr2bl w:val="nil"/>
                  </w:tcBorders>
                </w:tcPr>
                <w:p w14:paraId="5F320640">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0A89D7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shd w:val="clear" w:color="auto" w:fill="auto"/>
                  <w:vAlign w:val="center"/>
                </w:tcPr>
                <w:p w14:paraId="4BDD43B7">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COD</w:t>
                  </w:r>
                </w:p>
              </w:tc>
              <w:tc>
                <w:tcPr>
                  <w:tcW w:w="1963" w:type="dxa"/>
                  <w:tcBorders>
                    <w:tl2br w:val="nil"/>
                    <w:tr2bl w:val="nil"/>
                  </w:tcBorders>
                  <w:shd w:val="clear" w:color="auto" w:fill="auto"/>
                  <w:vAlign w:val="center"/>
                </w:tcPr>
                <w:p w14:paraId="1167F5F4">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268.</w:t>
                  </w:r>
                  <w:r>
                    <w:rPr>
                      <w:rFonts w:hint="eastAsia" w:cs="Times New Roman"/>
                      <w:color w:val="auto"/>
                      <w:spacing w:val="-10"/>
                      <w:sz w:val="18"/>
                      <w:szCs w:val="18"/>
                      <w:highlight w:val="none"/>
                      <w:lang w:val="en-US" w:eastAsia="zh-CN"/>
                    </w:rPr>
                    <w:t>6</w:t>
                  </w:r>
                </w:p>
              </w:tc>
              <w:tc>
                <w:tcPr>
                  <w:tcW w:w="1964" w:type="dxa"/>
                  <w:tcBorders>
                    <w:tl2br w:val="nil"/>
                    <w:tr2bl w:val="nil"/>
                  </w:tcBorders>
                </w:tcPr>
                <w:p w14:paraId="782BB17F">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500</w:t>
                  </w:r>
                </w:p>
              </w:tc>
              <w:tc>
                <w:tcPr>
                  <w:tcW w:w="1964" w:type="dxa"/>
                  <w:tcBorders>
                    <w:tl2br w:val="nil"/>
                    <w:tr2bl w:val="nil"/>
                  </w:tcBorders>
                </w:tcPr>
                <w:p w14:paraId="370F088A">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78EF9F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0AF6C8BB">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BOD</w:t>
                  </w:r>
                  <w:r>
                    <w:rPr>
                      <w:rFonts w:hint="eastAsia" w:eastAsia="宋体" w:cs="Times New Roman"/>
                      <w:color w:val="auto"/>
                      <w:spacing w:val="-10"/>
                      <w:sz w:val="18"/>
                      <w:szCs w:val="18"/>
                      <w:highlight w:val="none"/>
                      <w:vertAlign w:val="subscript"/>
                      <w:lang w:val="en-US" w:eastAsia="zh-CN"/>
                    </w:rPr>
                    <w:t>5</w:t>
                  </w:r>
                </w:p>
              </w:tc>
              <w:tc>
                <w:tcPr>
                  <w:tcW w:w="1963" w:type="dxa"/>
                  <w:tcBorders>
                    <w:tl2br w:val="nil"/>
                    <w:tr2bl w:val="nil"/>
                  </w:tcBorders>
                </w:tcPr>
                <w:p w14:paraId="7ED4BACA">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2</w:t>
                  </w:r>
                  <w:r>
                    <w:rPr>
                      <w:rFonts w:hint="eastAsia" w:cs="Times New Roman"/>
                      <w:color w:val="auto"/>
                      <w:spacing w:val="-10"/>
                      <w:sz w:val="18"/>
                      <w:szCs w:val="18"/>
                      <w:highlight w:val="none"/>
                      <w:lang w:val="en-US" w:eastAsia="zh-CN"/>
                    </w:rPr>
                    <w:t>37.7</w:t>
                  </w:r>
                </w:p>
              </w:tc>
              <w:tc>
                <w:tcPr>
                  <w:tcW w:w="1964" w:type="dxa"/>
                  <w:tcBorders>
                    <w:tl2br w:val="nil"/>
                    <w:tr2bl w:val="nil"/>
                  </w:tcBorders>
                </w:tcPr>
                <w:p w14:paraId="1CBAD671">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300</w:t>
                  </w:r>
                </w:p>
              </w:tc>
              <w:tc>
                <w:tcPr>
                  <w:tcW w:w="1964" w:type="dxa"/>
                  <w:tcBorders>
                    <w:tl2br w:val="nil"/>
                    <w:tr2bl w:val="nil"/>
                  </w:tcBorders>
                </w:tcPr>
                <w:p w14:paraId="63CEC6C8">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6DE934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shd w:val="clear" w:color="auto" w:fill="auto"/>
                  <w:vAlign w:val="center"/>
                </w:tcPr>
                <w:p w14:paraId="49DC0413">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SS</w:t>
                  </w:r>
                </w:p>
              </w:tc>
              <w:tc>
                <w:tcPr>
                  <w:tcW w:w="1963" w:type="dxa"/>
                  <w:tcBorders>
                    <w:tl2br w:val="nil"/>
                    <w:tr2bl w:val="nil"/>
                  </w:tcBorders>
                  <w:shd w:val="clear" w:color="auto" w:fill="auto"/>
                  <w:vAlign w:val="center"/>
                </w:tcPr>
                <w:p w14:paraId="0B02E825">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91.5</w:t>
                  </w:r>
                </w:p>
              </w:tc>
              <w:tc>
                <w:tcPr>
                  <w:tcW w:w="1964" w:type="dxa"/>
                  <w:tcBorders>
                    <w:tl2br w:val="nil"/>
                    <w:tr2bl w:val="nil"/>
                  </w:tcBorders>
                  <w:shd w:val="clear" w:color="auto" w:fill="auto"/>
                  <w:vAlign w:val="top"/>
                </w:tcPr>
                <w:p w14:paraId="73D48F11">
                  <w:pPr>
                    <w:jc w:val="center"/>
                    <w:rPr>
                      <w:rFonts w:hint="eastAsia" w:eastAsia="宋体" w:cs="Times New Roman"/>
                      <w:color w:val="auto"/>
                      <w:spacing w:val="-10"/>
                      <w:sz w:val="18"/>
                      <w:szCs w:val="18"/>
                      <w:highlight w:val="none"/>
                      <w:lang w:val="en-US" w:eastAsia="zh-CN"/>
                    </w:rPr>
                  </w:pPr>
                  <w:r>
                    <w:rPr>
                      <w:rFonts w:hint="default" w:eastAsia="宋体" w:cs="Times New Roman"/>
                      <w:color w:val="auto"/>
                      <w:spacing w:val="-10"/>
                      <w:sz w:val="18"/>
                      <w:szCs w:val="18"/>
                      <w:highlight w:val="none"/>
                      <w:lang w:val="en-US" w:eastAsia="zh-CN"/>
                    </w:rPr>
                    <w:t>400</w:t>
                  </w:r>
                </w:p>
              </w:tc>
              <w:tc>
                <w:tcPr>
                  <w:tcW w:w="1964" w:type="dxa"/>
                  <w:tcBorders>
                    <w:tl2br w:val="nil"/>
                    <w:tr2bl w:val="nil"/>
                  </w:tcBorders>
                  <w:shd w:val="clear" w:color="auto" w:fill="auto"/>
                  <w:vAlign w:val="top"/>
                </w:tcPr>
                <w:p w14:paraId="2DB5BBFB">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0292E3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43CCA38E">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氨氮</w:t>
                  </w:r>
                </w:p>
              </w:tc>
              <w:tc>
                <w:tcPr>
                  <w:tcW w:w="1963" w:type="dxa"/>
                  <w:tcBorders>
                    <w:tl2br w:val="nil"/>
                    <w:tr2bl w:val="nil"/>
                  </w:tcBorders>
                </w:tcPr>
                <w:p w14:paraId="2EB92A56">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23.2</w:t>
                  </w:r>
                </w:p>
              </w:tc>
              <w:tc>
                <w:tcPr>
                  <w:tcW w:w="1964" w:type="dxa"/>
                  <w:tcBorders>
                    <w:tl2br w:val="nil"/>
                    <w:tr2bl w:val="nil"/>
                  </w:tcBorders>
                </w:tcPr>
                <w:p w14:paraId="4480DE46">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45</w:t>
                  </w:r>
                </w:p>
              </w:tc>
              <w:tc>
                <w:tcPr>
                  <w:tcW w:w="1964" w:type="dxa"/>
                  <w:tcBorders>
                    <w:tl2br w:val="nil"/>
                    <w:tr2bl w:val="nil"/>
                  </w:tcBorders>
                </w:tcPr>
                <w:p w14:paraId="7B7C0BCA">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21EBBC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487AB4B3">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TP</w:t>
                  </w:r>
                </w:p>
              </w:tc>
              <w:tc>
                <w:tcPr>
                  <w:tcW w:w="1963" w:type="dxa"/>
                  <w:tcBorders>
                    <w:tl2br w:val="nil"/>
                    <w:tr2bl w:val="nil"/>
                  </w:tcBorders>
                </w:tcPr>
                <w:p w14:paraId="0BFFB13B">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2.9</w:t>
                  </w:r>
                </w:p>
              </w:tc>
              <w:tc>
                <w:tcPr>
                  <w:tcW w:w="1964" w:type="dxa"/>
                  <w:tcBorders>
                    <w:tl2br w:val="nil"/>
                    <w:tr2bl w:val="nil"/>
                  </w:tcBorders>
                </w:tcPr>
                <w:p w14:paraId="41EEA018">
                  <w:pPr>
                    <w:jc w:val="center"/>
                    <w:rPr>
                      <w:rFonts w:hint="default"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8</w:t>
                  </w:r>
                </w:p>
              </w:tc>
              <w:tc>
                <w:tcPr>
                  <w:tcW w:w="1964" w:type="dxa"/>
                  <w:tcBorders>
                    <w:tl2br w:val="nil"/>
                    <w:tr2bl w:val="nil"/>
                  </w:tcBorders>
                </w:tcPr>
                <w:p w14:paraId="66E4C731">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r w14:paraId="5EDDAE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963" w:type="dxa"/>
                  <w:tcBorders>
                    <w:tl2br w:val="nil"/>
                    <w:tr2bl w:val="nil"/>
                  </w:tcBorders>
                </w:tcPr>
                <w:p w14:paraId="40F9E549">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全盐量</w:t>
                  </w:r>
                </w:p>
              </w:tc>
              <w:tc>
                <w:tcPr>
                  <w:tcW w:w="1963" w:type="dxa"/>
                  <w:tcBorders>
                    <w:tl2br w:val="nil"/>
                    <w:tr2bl w:val="nil"/>
                  </w:tcBorders>
                </w:tcPr>
                <w:p w14:paraId="0E0F7941">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8.4</w:t>
                  </w:r>
                </w:p>
              </w:tc>
              <w:tc>
                <w:tcPr>
                  <w:tcW w:w="1964" w:type="dxa"/>
                  <w:tcBorders>
                    <w:tl2br w:val="nil"/>
                    <w:tr2bl w:val="nil"/>
                  </w:tcBorders>
                </w:tcPr>
                <w:p w14:paraId="778FDCF2">
                  <w:pPr>
                    <w:jc w:val="center"/>
                    <w:rPr>
                      <w:rFonts w:hint="default"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1964" w:type="dxa"/>
                  <w:tcBorders>
                    <w:tl2br w:val="nil"/>
                    <w:tr2bl w:val="nil"/>
                  </w:tcBorders>
                </w:tcPr>
                <w:p w14:paraId="39F19C49">
                  <w:pPr>
                    <w:jc w:val="center"/>
                    <w:rPr>
                      <w:rFonts w:hint="eastAsia" w:eastAsia="宋体" w:cs="Times New Roman"/>
                      <w:color w:val="auto"/>
                      <w:spacing w:val="-10"/>
                      <w:sz w:val="18"/>
                      <w:szCs w:val="18"/>
                      <w:highlight w:val="none"/>
                      <w:lang w:val="en-US" w:eastAsia="zh-CN"/>
                    </w:rPr>
                  </w:pPr>
                  <w:r>
                    <w:rPr>
                      <w:rFonts w:hint="eastAsia" w:eastAsia="宋体" w:cs="Times New Roman"/>
                      <w:color w:val="auto"/>
                      <w:spacing w:val="-10"/>
                      <w:sz w:val="18"/>
                      <w:szCs w:val="18"/>
                      <w:highlight w:val="none"/>
                      <w:lang w:val="en-US" w:eastAsia="zh-CN"/>
                    </w:rPr>
                    <w:t>达标</w:t>
                  </w:r>
                </w:p>
              </w:tc>
            </w:tr>
          </w:tbl>
          <w:p w14:paraId="2E25E739">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由上表知，本项目综合废水排放浓度满足《污水综合排放标准》（GB8978-1996）表4三级标准、《污水排入城镇下水道水质标准》（GB/T 31962-2015）表1A级标准，同时满足迁安污水处理厂的收水水质标准</w:t>
            </w:r>
            <w:r>
              <w:rPr>
                <w:rFonts w:hint="eastAsia" w:eastAsia="宋体" w:cs="Times New Roman"/>
                <w:color w:val="auto"/>
                <w:sz w:val="21"/>
                <w:szCs w:val="21"/>
                <w:highlight w:val="none"/>
                <w:lang w:val="en-US" w:eastAsia="zh-CN"/>
              </w:rPr>
              <w:t>。</w:t>
            </w:r>
          </w:p>
          <w:p w14:paraId="3218AA1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2.1.</w:t>
            </w:r>
            <w:r>
              <w:rPr>
                <w:rFonts w:hint="eastAsia" w:ascii="Times New Roman" w:hAnsi="Times New Roman" w:cs="Times New Roman"/>
                <w:b/>
                <w:color w:val="auto"/>
                <w:sz w:val="21"/>
                <w:szCs w:val="21"/>
                <w:highlight w:val="none"/>
                <w:lang w:val="en-US" w:eastAsia="zh-CN"/>
              </w:rPr>
              <w:t>2废水排放口基本情况</w:t>
            </w:r>
          </w:p>
          <w:p w14:paraId="6CA64B6E">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本项目废水排放口基本情况见下表</w:t>
            </w:r>
            <w:r>
              <w:rPr>
                <w:rFonts w:hint="eastAsia" w:cs="Times New Roman"/>
                <w:color w:val="auto"/>
                <w:szCs w:val="21"/>
                <w:highlight w:val="none"/>
                <w:lang w:val="en-US" w:eastAsia="zh-CN"/>
              </w:rPr>
              <w:t>30</w:t>
            </w:r>
            <w:r>
              <w:rPr>
                <w:rFonts w:hint="eastAsia" w:ascii="Times New Roman" w:hAnsi="Times New Roman" w:cs="Times New Roman"/>
                <w:color w:val="auto"/>
                <w:szCs w:val="21"/>
                <w:highlight w:val="none"/>
                <w:lang w:val="en-US" w:eastAsia="zh-CN"/>
              </w:rPr>
              <w:t>。</w:t>
            </w:r>
          </w:p>
          <w:p w14:paraId="63219808">
            <w:pPr>
              <w:tabs>
                <w:tab w:val="left" w:pos="4253"/>
              </w:tabs>
              <w:spacing w:line="440" w:lineRule="exact"/>
              <w:jc w:val="center"/>
              <w:rPr>
                <w:b/>
                <w:color w:val="auto"/>
                <w:szCs w:val="21"/>
              </w:rPr>
            </w:pPr>
            <w:r>
              <w:rPr>
                <w:b/>
                <w:color w:val="auto"/>
                <w:szCs w:val="21"/>
              </w:rPr>
              <w:t>表</w:t>
            </w:r>
            <w:r>
              <w:rPr>
                <w:rFonts w:hint="eastAsia"/>
                <w:b/>
                <w:color w:val="auto"/>
                <w:szCs w:val="21"/>
                <w:lang w:val="en-US" w:eastAsia="zh-CN"/>
              </w:rPr>
              <w:t>30</w:t>
            </w:r>
            <w:r>
              <w:rPr>
                <w:rFonts w:hint="eastAsia"/>
                <w:b/>
                <w:color w:val="auto"/>
                <w:szCs w:val="21"/>
              </w:rPr>
              <w:t xml:space="preserve"> </w:t>
            </w:r>
            <w:r>
              <w:rPr>
                <w:b/>
                <w:color w:val="auto"/>
                <w:szCs w:val="21"/>
              </w:rPr>
              <w:t xml:space="preserve"> 项目废水</w:t>
            </w:r>
            <w:r>
              <w:rPr>
                <w:rFonts w:hint="eastAsia"/>
                <w:b/>
                <w:color w:val="auto"/>
                <w:szCs w:val="21"/>
                <w:lang w:val="en-US" w:eastAsia="zh-CN"/>
              </w:rPr>
              <w:t>排放口基本</w:t>
            </w:r>
            <w:r>
              <w:rPr>
                <w:b/>
                <w:color w:val="auto"/>
                <w:szCs w:val="21"/>
              </w:rPr>
              <w:t>信息表</w:t>
            </w:r>
          </w:p>
          <w:tbl>
            <w:tblPr>
              <w:tblStyle w:val="26"/>
              <w:tblW w:w="797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01"/>
              <w:gridCol w:w="766"/>
              <w:gridCol w:w="514"/>
              <w:gridCol w:w="545"/>
              <w:gridCol w:w="598"/>
              <w:gridCol w:w="713"/>
              <w:gridCol w:w="598"/>
              <w:gridCol w:w="682"/>
              <w:gridCol w:w="608"/>
              <w:gridCol w:w="546"/>
              <w:gridCol w:w="1706"/>
            </w:tblGrid>
            <w:tr w14:paraId="29B1AD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701" w:type="dxa"/>
                  <w:vMerge w:val="restart"/>
                  <w:noWrap/>
                  <w:vAlign w:val="center"/>
                </w:tcPr>
                <w:p w14:paraId="577E664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废水类别</w:t>
                  </w:r>
                </w:p>
              </w:tc>
              <w:tc>
                <w:tcPr>
                  <w:tcW w:w="766" w:type="dxa"/>
                  <w:vMerge w:val="restart"/>
                  <w:noWrap/>
                  <w:vAlign w:val="center"/>
                </w:tcPr>
                <w:p w14:paraId="05CC847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污染物种类</w:t>
                  </w:r>
                </w:p>
              </w:tc>
              <w:tc>
                <w:tcPr>
                  <w:tcW w:w="2968" w:type="dxa"/>
                  <w:gridSpan w:val="5"/>
                  <w:tcBorders>
                    <w:bottom w:val="single" w:color="auto" w:sz="4" w:space="0"/>
                  </w:tcBorders>
                  <w:noWrap/>
                  <w:vAlign w:val="center"/>
                </w:tcPr>
                <w:p w14:paraId="1BC9A60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排放口基本情况</w:t>
                  </w:r>
                </w:p>
              </w:tc>
              <w:tc>
                <w:tcPr>
                  <w:tcW w:w="682" w:type="dxa"/>
                  <w:vMerge w:val="restart"/>
                  <w:noWrap/>
                  <w:vAlign w:val="center"/>
                </w:tcPr>
                <w:p w14:paraId="3775A2C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排放</w:t>
                  </w:r>
                  <w:r>
                    <w:rPr>
                      <w:rFonts w:hint="eastAsia" w:eastAsia="宋体" w:cs="Times New Roman"/>
                      <w:color w:val="auto"/>
                      <w:spacing w:val="-20"/>
                      <w:sz w:val="18"/>
                      <w:szCs w:val="18"/>
                      <w:highlight w:val="none"/>
                      <w:lang w:val="en-US" w:eastAsia="zh-CN"/>
                    </w:rPr>
                    <w:t>规律</w:t>
                  </w:r>
                </w:p>
              </w:tc>
              <w:tc>
                <w:tcPr>
                  <w:tcW w:w="608" w:type="dxa"/>
                  <w:vMerge w:val="restart"/>
                  <w:noWrap/>
                  <w:vAlign w:val="center"/>
                </w:tcPr>
                <w:p w14:paraId="50EC8DF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排放方式</w:t>
                  </w:r>
                </w:p>
              </w:tc>
              <w:tc>
                <w:tcPr>
                  <w:tcW w:w="546" w:type="dxa"/>
                  <w:vMerge w:val="restart"/>
                  <w:noWrap/>
                  <w:vAlign w:val="center"/>
                </w:tcPr>
                <w:p w14:paraId="3EA7631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排放去向</w:t>
                  </w:r>
                </w:p>
              </w:tc>
              <w:tc>
                <w:tcPr>
                  <w:tcW w:w="1706" w:type="dxa"/>
                  <w:vMerge w:val="restart"/>
                  <w:noWrap/>
                  <w:vAlign w:val="center"/>
                </w:tcPr>
                <w:p w14:paraId="6F86505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排放标准</w:t>
                  </w:r>
                </w:p>
              </w:tc>
            </w:tr>
            <w:tr w14:paraId="7CE96D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701" w:type="dxa"/>
                  <w:vMerge w:val="continue"/>
                  <w:noWrap/>
                  <w:vAlign w:val="center"/>
                </w:tcPr>
                <w:p w14:paraId="01F2049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766" w:type="dxa"/>
                  <w:vMerge w:val="continue"/>
                  <w:noWrap/>
                  <w:vAlign w:val="center"/>
                </w:tcPr>
                <w:p w14:paraId="25E3FFE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14" w:type="dxa"/>
                  <w:vMerge w:val="restart"/>
                  <w:tcBorders>
                    <w:top w:val="single" w:color="auto" w:sz="4" w:space="0"/>
                  </w:tcBorders>
                  <w:noWrap/>
                  <w:vAlign w:val="center"/>
                </w:tcPr>
                <w:p w14:paraId="49CA9EE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编号</w:t>
                  </w:r>
                </w:p>
              </w:tc>
              <w:tc>
                <w:tcPr>
                  <w:tcW w:w="545" w:type="dxa"/>
                  <w:vMerge w:val="restart"/>
                  <w:tcBorders>
                    <w:top w:val="single" w:color="auto" w:sz="4" w:space="0"/>
                  </w:tcBorders>
                  <w:noWrap/>
                  <w:vAlign w:val="center"/>
                </w:tcPr>
                <w:p w14:paraId="5539329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名称</w:t>
                  </w:r>
                </w:p>
              </w:tc>
              <w:tc>
                <w:tcPr>
                  <w:tcW w:w="598" w:type="dxa"/>
                  <w:vMerge w:val="restart"/>
                  <w:tcBorders>
                    <w:top w:val="single" w:color="auto" w:sz="4" w:space="0"/>
                  </w:tcBorders>
                  <w:vAlign w:val="center"/>
                </w:tcPr>
                <w:p w14:paraId="62A6410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类型</w:t>
                  </w:r>
                </w:p>
              </w:tc>
              <w:tc>
                <w:tcPr>
                  <w:tcW w:w="1311" w:type="dxa"/>
                  <w:gridSpan w:val="2"/>
                  <w:tcBorders>
                    <w:top w:val="single" w:color="auto" w:sz="4" w:space="0"/>
                  </w:tcBorders>
                  <w:vAlign w:val="center"/>
                </w:tcPr>
                <w:p w14:paraId="6640BA3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地理坐标</w:t>
                  </w:r>
                </w:p>
              </w:tc>
              <w:tc>
                <w:tcPr>
                  <w:tcW w:w="682" w:type="dxa"/>
                  <w:vMerge w:val="continue"/>
                  <w:noWrap/>
                  <w:vAlign w:val="center"/>
                </w:tcPr>
                <w:p w14:paraId="1C8EFD7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608" w:type="dxa"/>
                  <w:vMerge w:val="continue"/>
                  <w:noWrap/>
                  <w:vAlign w:val="center"/>
                </w:tcPr>
                <w:p w14:paraId="433BB94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46" w:type="dxa"/>
                  <w:vMerge w:val="continue"/>
                  <w:noWrap/>
                  <w:vAlign w:val="center"/>
                </w:tcPr>
                <w:p w14:paraId="15F420C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1706" w:type="dxa"/>
                  <w:vMerge w:val="continue"/>
                  <w:noWrap/>
                  <w:vAlign w:val="center"/>
                </w:tcPr>
                <w:p w14:paraId="4C49154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r>
            <w:tr w14:paraId="339700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701" w:type="dxa"/>
                  <w:vMerge w:val="continue"/>
                  <w:noWrap/>
                  <w:vAlign w:val="center"/>
                </w:tcPr>
                <w:p w14:paraId="1D14495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766" w:type="dxa"/>
                  <w:vMerge w:val="continue"/>
                  <w:noWrap/>
                  <w:vAlign w:val="center"/>
                </w:tcPr>
                <w:p w14:paraId="2BEE48A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14" w:type="dxa"/>
                  <w:vMerge w:val="continue"/>
                  <w:noWrap/>
                  <w:vAlign w:val="center"/>
                </w:tcPr>
                <w:p w14:paraId="4A4EFF9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45" w:type="dxa"/>
                  <w:vMerge w:val="continue"/>
                  <w:noWrap/>
                  <w:vAlign w:val="center"/>
                </w:tcPr>
                <w:p w14:paraId="0E0A26E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98" w:type="dxa"/>
                  <w:vMerge w:val="continue"/>
                  <w:vAlign w:val="center"/>
                </w:tcPr>
                <w:p w14:paraId="3E9AFB4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713" w:type="dxa"/>
                  <w:tcBorders>
                    <w:top w:val="single" w:color="auto" w:sz="4" w:space="0"/>
                  </w:tcBorders>
                  <w:vAlign w:val="center"/>
                </w:tcPr>
                <w:p w14:paraId="3FBE998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经度</w:t>
                  </w:r>
                </w:p>
              </w:tc>
              <w:tc>
                <w:tcPr>
                  <w:tcW w:w="598" w:type="dxa"/>
                  <w:tcBorders>
                    <w:top w:val="single" w:color="auto" w:sz="4" w:space="0"/>
                  </w:tcBorders>
                  <w:noWrap/>
                  <w:vAlign w:val="center"/>
                </w:tcPr>
                <w:p w14:paraId="00C6BAE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经度</w:t>
                  </w:r>
                </w:p>
              </w:tc>
              <w:tc>
                <w:tcPr>
                  <w:tcW w:w="682" w:type="dxa"/>
                  <w:vMerge w:val="continue"/>
                  <w:noWrap/>
                  <w:vAlign w:val="center"/>
                </w:tcPr>
                <w:p w14:paraId="302B373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608" w:type="dxa"/>
                  <w:vMerge w:val="continue"/>
                  <w:noWrap/>
                  <w:vAlign w:val="center"/>
                </w:tcPr>
                <w:p w14:paraId="67CB93A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546" w:type="dxa"/>
                  <w:vMerge w:val="continue"/>
                  <w:noWrap/>
                  <w:vAlign w:val="center"/>
                </w:tcPr>
                <w:p w14:paraId="1AF0AA2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c>
                <w:tcPr>
                  <w:tcW w:w="1706" w:type="dxa"/>
                  <w:vMerge w:val="continue"/>
                  <w:noWrap/>
                  <w:vAlign w:val="center"/>
                </w:tcPr>
                <w:p w14:paraId="12EB23F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p>
              </w:tc>
            </w:tr>
            <w:tr w14:paraId="7AE43B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45" w:hRule="atLeast"/>
                <w:jc w:val="center"/>
              </w:trPr>
              <w:tc>
                <w:tcPr>
                  <w:tcW w:w="701" w:type="dxa"/>
                  <w:noWrap/>
                  <w:vAlign w:val="center"/>
                </w:tcPr>
                <w:p w14:paraId="0C913A8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综合废水</w:t>
                  </w:r>
                </w:p>
              </w:tc>
              <w:tc>
                <w:tcPr>
                  <w:tcW w:w="766" w:type="dxa"/>
                  <w:noWrap/>
                  <w:vAlign w:val="center"/>
                </w:tcPr>
                <w:p w14:paraId="541D642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PH、</w:t>
                  </w:r>
                  <w:r>
                    <w:rPr>
                      <w:rFonts w:hint="eastAsia" w:ascii="Times New Roman" w:hAnsi="Times New Roman" w:eastAsia="宋体" w:cs="Times New Roman"/>
                      <w:color w:val="auto"/>
                      <w:spacing w:val="-20"/>
                      <w:sz w:val="18"/>
                      <w:szCs w:val="18"/>
                      <w:highlight w:val="none"/>
                      <w:lang w:val="en-US" w:eastAsia="zh-CN"/>
                    </w:rPr>
                    <w:t>COD、BOD</w:t>
                  </w:r>
                  <w:r>
                    <w:rPr>
                      <w:rFonts w:hint="eastAsia" w:ascii="Times New Roman" w:hAnsi="Times New Roman" w:eastAsia="宋体" w:cs="Times New Roman"/>
                      <w:color w:val="auto"/>
                      <w:spacing w:val="-20"/>
                      <w:sz w:val="18"/>
                      <w:szCs w:val="18"/>
                      <w:highlight w:val="none"/>
                      <w:vertAlign w:val="subscript"/>
                      <w:lang w:val="en-US" w:eastAsia="zh-CN"/>
                    </w:rPr>
                    <w:t>5</w:t>
                  </w:r>
                  <w:r>
                    <w:rPr>
                      <w:rFonts w:hint="eastAsia" w:ascii="Times New Roman" w:hAnsi="Times New Roman" w:eastAsia="宋体" w:cs="Times New Roman"/>
                      <w:color w:val="auto"/>
                      <w:spacing w:val="-20"/>
                      <w:sz w:val="18"/>
                      <w:szCs w:val="18"/>
                      <w:highlight w:val="none"/>
                      <w:lang w:val="en-US" w:eastAsia="zh-CN"/>
                    </w:rPr>
                    <w:t>、SS、氨氮、</w:t>
                  </w:r>
                  <w:r>
                    <w:rPr>
                      <w:rFonts w:hint="eastAsia" w:cs="Times New Roman"/>
                      <w:color w:val="auto"/>
                      <w:spacing w:val="-20"/>
                      <w:sz w:val="18"/>
                      <w:szCs w:val="18"/>
                      <w:highlight w:val="none"/>
                      <w:lang w:val="en-US" w:eastAsia="zh-CN"/>
                    </w:rPr>
                    <w:t>总磷、全盐量</w:t>
                  </w:r>
                </w:p>
              </w:tc>
              <w:tc>
                <w:tcPr>
                  <w:tcW w:w="514" w:type="dxa"/>
                  <w:noWrap/>
                  <w:vAlign w:val="center"/>
                </w:tcPr>
                <w:p w14:paraId="1DC4BEB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TW</w:t>
                  </w:r>
                </w:p>
                <w:p w14:paraId="477C2B6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001</w:t>
                  </w:r>
                </w:p>
              </w:tc>
              <w:tc>
                <w:tcPr>
                  <w:tcW w:w="545" w:type="dxa"/>
                  <w:noWrap/>
                  <w:vAlign w:val="center"/>
                </w:tcPr>
                <w:p w14:paraId="696FE04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总排口</w:t>
                  </w:r>
                </w:p>
              </w:tc>
              <w:tc>
                <w:tcPr>
                  <w:tcW w:w="598" w:type="dxa"/>
                  <w:vAlign w:val="center"/>
                </w:tcPr>
                <w:p w14:paraId="752B40F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总排口</w:t>
                  </w:r>
                </w:p>
              </w:tc>
              <w:tc>
                <w:tcPr>
                  <w:tcW w:w="713" w:type="dxa"/>
                  <w:vAlign w:val="center"/>
                </w:tcPr>
                <w:p w14:paraId="77F6CFA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118.691347°</w:t>
                  </w:r>
                </w:p>
              </w:tc>
              <w:tc>
                <w:tcPr>
                  <w:tcW w:w="598" w:type="dxa"/>
                  <w:noWrap/>
                  <w:vAlign w:val="center"/>
                </w:tcPr>
                <w:p w14:paraId="06B1A3B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40.013584°</w:t>
                  </w:r>
                </w:p>
              </w:tc>
              <w:tc>
                <w:tcPr>
                  <w:tcW w:w="682" w:type="dxa"/>
                  <w:noWrap/>
                  <w:vAlign w:val="center"/>
                </w:tcPr>
                <w:p w14:paraId="5EE524F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间断排放，排放期间流量不稳定</w:t>
                  </w:r>
                </w:p>
              </w:tc>
              <w:tc>
                <w:tcPr>
                  <w:tcW w:w="608" w:type="dxa"/>
                  <w:noWrap/>
                  <w:vAlign w:val="center"/>
                </w:tcPr>
                <w:p w14:paraId="0E03917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间接排放</w:t>
                  </w:r>
                </w:p>
              </w:tc>
              <w:tc>
                <w:tcPr>
                  <w:tcW w:w="546" w:type="dxa"/>
                  <w:noWrap/>
                  <w:vAlign w:val="center"/>
                </w:tcPr>
                <w:p w14:paraId="43B51EB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迁安市污水处理厂</w:t>
                  </w:r>
                </w:p>
              </w:tc>
              <w:tc>
                <w:tcPr>
                  <w:tcW w:w="1706" w:type="dxa"/>
                  <w:noWrap/>
                  <w:vAlign w:val="center"/>
                </w:tcPr>
                <w:p w14:paraId="3EA1946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《污水综合排放标准》（GB8978-1996）表4三级标准、《污水排入城镇下水道水质标准》（GB/T 31962-2015）表1A级标准，同时满足迁安污水处理厂的收水水质标准</w:t>
                  </w:r>
                </w:p>
              </w:tc>
            </w:tr>
          </w:tbl>
          <w:p w14:paraId="07933ABB">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ascii="Times New Roman" w:hAnsi="Times New Roman" w:cs="Times New Roman"/>
                <w:b/>
                <w:color w:val="auto"/>
                <w:sz w:val="21"/>
                <w:szCs w:val="21"/>
                <w:highlight w:val="none"/>
                <w:lang w:val="en-US" w:eastAsia="zh-CN"/>
              </w:rPr>
              <w:t>2</w:t>
            </w:r>
            <w:r>
              <w:rPr>
                <w:rFonts w:hint="eastAsia" w:ascii="Times New Roman" w:hAnsi="Times New Roman" w:eastAsia="宋体" w:cs="Times New Roman"/>
                <w:b/>
                <w:color w:val="auto"/>
                <w:sz w:val="21"/>
                <w:szCs w:val="21"/>
                <w:highlight w:val="none"/>
                <w:lang w:val="en-US" w:eastAsia="zh-CN"/>
              </w:rPr>
              <w:t xml:space="preserve">措施可行性分析 </w:t>
            </w:r>
          </w:p>
          <w:p w14:paraId="213AFDA0">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w:t>
            </w:r>
            <w:r>
              <w:rPr>
                <w:rFonts w:hint="default" w:ascii="Times New Roman" w:hAnsi="Times New Roman" w:cs="Times New Roman"/>
                <w:color w:val="auto"/>
                <w:szCs w:val="21"/>
                <w:highlight w:val="none"/>
                <w:lang w:val="en-US" w:eastAsia="zh-CN"/>
              </w:rPr>
              <w:t>1</w:t>
            </w:r>
            <w:r>
              <w:rPr>
                <w:rFonts w:hint="eastAsia" w:ascii="Times New Roman" w:hAnsi="Times New Roman" w:cs="Times New Roman"/>
                <w:color w:val="auto"/>
                <w:szCs w:val="21"/>
                <w:highlight w:val="none"/>
                <w:lang w:val="en-US" w:eastAsia="zh-CN"/>
              </w:rPr>
              <w:t xml:space="preserve">）化粪池处理措施可行性 </w:t>
            </w:r>
          </w:p>
          <w:p w14:paraId="7A265BD4">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化粪池工作原理：固化物在池底分解，上层的水化物体，进入管道流走，防止了管道堵塞，给固化物（粪便等垃圾）有充足的时间水解。化粪池对</w:t>
            </w:r>
            <w:r>
              <w:rPr>
                <w:rFonts w:hint="default" w:ascii="Times New Roman" w:hAnsi="Times New Roman" w:cs="Times New Roman"/>
                <w:color w:val="auto"/>
                <w:szCs w:val="21"/>
                <w:highlight w:val="none"/>
                <w:lang w:val="en-US" w:eastAsia="zh-CN"/>
              </w:rPr>
              <w:t>SS</w:t>
            </w:r>
            <w:r>
              <w:rPr>
                <w:rFonts w:hint="eastAsia" w:ascii="Times New Roman" w:hAnsi="Times New Roman" w:cs="Times New Roman"/>
                <w:color w:val="auto"/>
                <w:szCs w:val="21"/>
                <w:highlight w:val="none"/>
                <w:lang w:val="en-US" w:eastAsia="zh-CN"/>
              </w:rPr>
              <w:t>的去除效率为</w:t>
            </w:r>
            <w:r>
              <w:rPr>
                <w:rFonts w:hint="eastAsia" w:cs="Times New Roman"/>
                <w:color w:val="auto"/>
                <w:szCs w:val="21"/>
                <w:highlight w:val="none"/>
                <w:lang w:val="en-US" w:eastAsia="zh-CN"/>
              </w:rPr>
              <w:t>50</w:t>
            </w:r>
            <w:r>
              <w:rPr>
                <w:rFonts w:hint="default" w:ascii="Times New Roman" w:hAnsi="Times New Roman" w:cs="Times New Roman"/>
                <w:color w:val="auto"/>
                <w:szCs w:val="21"/>
                <w:highlight w:val="none"/>
                <w:lang w:val="en-US" w:eastAsia="zh-CN"/>
              </w:rPr>
              <w:t>%</w:t>
            </w:r>
            <w:r>
              <w:rPr>
                <w:rFonts w:hint="eastAsia" w:ascii="Times New Roman" w:hAnsi="Times New Roman" w:cs="Times New Roman"/>
                <w:color w:val="auto"/>
                <w:szCs w:val="21"/>
                <w:highlight w:val="none"/>
                <w:lang w:val="en-US" w:eastAsia="zh-CN"/>
              </w:rPr>
              <w:t>。 项目</w:t>
            </w:r>
            <w:r>
              <w:rPr>
                <w:rFonts w:hint="eastAsia" w:cs="Times New Roman"/>
                <w:color w:val="auto"/>
                <w:szCs w:val="21"/>
                <w:highlight w:val="none"/>
                <w:lang w:val="en-US" w:eastAsia="zh-CN"/>
              </w:rPr>
              <w:t>综合废水经</w:t>
            </w:r>
            <w:r>
              <w:rPr>
                <w:rFonts w:hint="eastAsia" w:ascii="Times New Roman" w:hAnsi="Times New Roman" w:cs="Times New Roman"/>
                <w:color w:val="auto"/>
                <w:szCs w:val="21"/>
                <w:highlight w:val="none"/>
                <w:lang w:val="en-US" w:eastAsia="zh-CN"/>
              </w:rPr>
              <w:t>化粪池进行处</w:t>
            </w:r>
            <w:r>
              <w:rPr>
                <w:rFonts w:hint="eastAsia" w:ascii="Times New Roman" w:hAnsi="Times New Roman" w:eastAsia="宋体" w:cs="Times New Roman"/>
                <w:color w:val="auto"/>
                <w:szCs w:val="21"/>
                <w:highlight w:val="none"/>
                <w:lang w:val="en-US" w:eastAsia="zh-CN"/>
              </w:rPr>
              <w:t>理，目前项目已接入城市污水管网，本项目排入化粪池废水总量</w:t>
            </w:r>
            <w:r>
              <w:rPr>
                <w:rFonts w:hint="eastAsia" w:cs="Times New Roman"/>
                <w:color w:val="auto"/>
                <w:szCs w:val="21"/>
                <w:highlight w:val="none"/>
                <w:lang w:val="en-US" w:eastAsia="zh-CN"/>
              </w:rPr>
              <w:t>1433.214</w:t>
            </w:r>
            <w:r>
              <w:rPr>
                <w:rFonts w:hint="default" w:ascii="Times New Roman" w:hAnsi="Times New Roman" w:eastAsia="宋体" w:cs="Times New Roman"/>
                <w:color w:val="auto"/>
                <w:szCs w:val="21"/>
                <w:highlight w:val="none"/>
                <w:lang w:val="en-US" w:eastAsia="zh-CN"/>
              </w:rPr>
              <w:t>t/</w:t>
            </w:r>
            <w:r>
              <w:rPr>
                <w:rFonts w:hint="eastAsia" w:ascii="Times New Roman" w:hAnsi="Times New Roman" w:eastAsia="宋体" w:cs="Times New Roman"/>
                <w:color w:val="auto"/>
                <w:szCs w:val="21"/>
                <w:highlight w:val="none"/>
                <w:lang w:val="en-US" w:eastAsia="zh-CN"/>
              </w:rPr>
              <w:t>a，故排入现有化粪池可行。</w:t>
            </w:r>
          </w:p>
          <w:p w14:paraId="5DA39E51">
            <w:pPr>
              <w:keepNext w:val="0"/>
              <w:keepLines w:val="0"/>
              <w:pageBreakBefore w:val="0"/>
              <w:widowControl w:val="0"/>
              <w:numPr>
                <w:ilvl w:val="0"/>
                <w:numId w:val="0"/>
              </w:numPr>
              <w:kinsoku/>
              <w:wordWrap/>
              <w:overflowPunct/>
              <w:topLinePunct w:val="0"/>
              <w:autoSpaceDE/>
              <w:autoSpaceDN/>
              <w:bidi w:val="0"/>
              <w:adjustRightInd w:val="0"/>
              <w:snapToGrid/>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（2）本项目器皿后续清洗废水、器皿纯水清洗废水及未用于加药检测的不含有第一类污染物及重金属的外来企业样品废水中主要产生污染为</w:t>
            </w:r>
            <w:r>
              <w:rPr>
                <w:rFonts w:hint="default" w:ascii="Times New Roman" w:hAnsi="Times New Roman" w:cs="Times New Roman"/>
                <w:color w:val="auto"/>
                <w:szCs w:val="21"/>
                <w:highlight w:val="none"/>
                <w:lang w:val="en-US" w:eastAsia="zh-CN"/>
              </w:rPr>
              <w:t>pH</w:t>
            </w:r>
            <w:r>
              <w:rPr>
                <w:rFonts w:hint="eastAsia" w:ascii="Times New Roman" w:hAnsi="Times New Roman" w:cs="Times New Roman"/>
                <w:color w:val="auto"/>
                <w:szCs w:val="21"/>
                <w:highlight w:val="none"/>
                <w:lang w:val="en-US" w:eastAsia="zh-CN"/>
              </w:rPr>
              <w:t>值，本项目对这实验废水进行中和处理，调节酸碱度，处理后进行</w:t>
            </w:r>
            <w:r>
              <w:rPr>
                <w:rFonts w:hint="default" w:ascii="Times New Roman" w:hAnsi="Times New Roman" w:cs="Times New Roman"/>
                <w:color w:val="auto"/>
                <w:szCs w:val="21"/>
                <w:highlight w:val="none"/>
                <w:lang w:val="en-US" w:eastAsia="zh-CN"/>
              </w:rPr>
              <w:t>pH</w:t>
            </w:r>
            <w:r>
              <w:rPr>
                <w:rFonts w:hint="eastAsia" w:ascii="Times New Roman" w:hAnsi="Times New Roman" w:cs="Times New Roman"/>
                <w:color w:val="auto"/>
                <w:szCs w:val="21"/>
                <w:highlight w:val="none"/>
                <w:lang w:val="en-US" w:eastAsia="zh-CN"/>
              </w:rPr>
              <w:t>进行测定，</w:t>
            </w:r>
            <w:r>
              <w:rPr>
                <w:rFonts w:hint="default" w:ascii="Times New Roman" w:hAnsi="Times New Roman" w:cs="Times New Roman"/>
                <w:color w:val="auto"/>
                <w:szCs w:val="21"/>
                <w:highlight w:val="none"/>
                <w:lang w:val="en-US" w:eastAsia="zh-CN"/>
              </w:rPr>
              <w:t>pH</w:t>
            </w:r>
            <w:r>
              <w:rPr>
                <w:rFonts w:hint="eastAsia" w:ascii="Times New Roman" w:hAnsi="Times New Roman" w:cs="Times New Roman"/>
                <w:color w:val="auto"/>
                <w:szCs w:val="21"/>
                <w:highlight w:val="none"/>
                <w:lang w:val="en-US" w:eastAsia="zh-CN"/>
              </w:rPr>
              <w:t>值调节为</w:t>
            </w:r>
            <w:r>
              <w:rPr>
                <w:rFonts w:hint="default" w:ascii="Times New Roman" w:hAnsi="Times New Roman" w:cs="Times New Roman"/>
                <w:color w:val="auto"/>
                <w:szCs w:val="21"/>
                <w:highlight w:val="none"/>
                <w:lang w:val="en-US" w:eastAsia="zh-CN"/>
              </w:rPr>
              <w:t>6</w:t>
            </w:r>
            <w:r>
              <w:rPr>
                <w:rFonts w:hint="eastAsia" w:ascii="Times New Roman" w:hAnsi="Times New Roman" w:cs="Times New Roman"/>
                <w:color w:val="auto"/>
                <w:szCs w:val="21"/>
                <w:highlight w:val="none"/>
                <w:lang w:val="en-US" w:eastAsia="zh-CN"/>
              </w:rPr>
              <w:t>.5</w:t>
            </w:r>
            <w:r>
              <w:rPr>
                <w:rFonts w:hint="default" w:ascii="Times New Roman" w:hAnsi="Times New Roman" w:cs="Times New Roman"/>
                <w:color w:val="auto"/>
                <w:szCs w:val="21"/>
                <w:highlight w:val="none"/>
                <w:lang w:val="en-US" w:eastAsia="zh-CN"/>
              </w:rPr>
              <w:t>-9</w:t>
            </w:r>
            <w:r>
              <w:rPr>
                <w:rFonts w:hint="eastAsia" w:ascii="Times New Roman" w:hAnsi="Times New Roman" w:cs="Times New Roman"/>
                <w:color w:val="auto"/>
                <w:szCs w:val="21"/>
                <w:highlight w:val="none"/>
                <w:lang w:val="en-US" w:eastAsia="zh-CN"/>
              </w:rPr>
              <w:t>之间方可排入市政污水管网。</w:t>
            </w:r>
            <w:r>
              <w:rPr>
                <w:rFonts w:hint="eastAsia" w:ascii="Times New Roman" w:hAnsi="Times New Roman" w:eastAsia="宋体" w:cs="Times New Roman"/>
                <w:color w:val="auto"/>
                <w:szCs w:val="21"/>
                <w:highlight w:val="none"/>
                <w:lang w:val="en-US" w:eastAsia="zh-CN"/>
              </w:rPr>
              <w:t xml:space="preserve"> </w:t>
            </w:r>
          </w:p>
          <w:p w14:paraId="75467C1E">
            <w:pPr>
              <w:keepNext w:val="0"/>
              <w:keepLines w:val="0"/>
              <w:pageBreakBefore w:val="0"/>
              <w:kinsoku/>
              <w:wordWrap/>
              <w:overflowPunct/>
              <w:topLinePunct w:val="0"/>
              <w:autoSpaceDE/>
              <w:autoSpaceDN/>
              <w:bidi w:val="0"/>
              <w:adjustRightInd w:val="0"/>
              <w:spacing w:line="440" w:lineRule="exact"/>
              <w:ind w:firstLine="422" w:firstLineChars="200"/>
              <w:textAlignment w:val="auto"/>
              <w:outlineLvl w:val="2"/>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cs="Times New Roman"/>
                <w:b/>
                <w:color w:val="auto"/>
                <w:sz w:val="21"/>
                <w:szCs w:val="21"/>
                <w:highlight w:val="none"/>
                <w:lang w:val="en-US" w:eastAsia="zh-CN"/>
              </w:rPr>
              <w:t>3</w:t>
            </w:r>
            <w:r>
              <w:rPr>
                <w:rFonts w:hint="eastAsia" w:ascii="Times New Roman" w:hAnsi="Times New Roman" w:eastAsia="宋体" w:cs="Times New Roman"/>
                <w:b/>
                <w:color w:val="auto"/>
                <w:sz w:val="21"/>
                <w:szCs w:val="21"/>
                <w:highlight w:val="none"/>
                <w:lang w:val="en-US" w:eastAsia="zh-CN"/>
              </w:rPr>
              <w:t xml:space="preserve">污水处理厂依托可行性 </w:t>
            </w:r>
          </w:p>
          <w:p w14:paraId="4182F44C">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迁安污水处理厂位于迁安市三里庄村南，污水处理采用“格栅+旋流沉砂池+A段曝气池+A段沉淀池+厌氧池+缺氧池+B段曝气池+B段沉淀池”处理后，其中部分出水经“混凝池+沉淀池+活性砂滤池+消毒接触池”处理后达到回用水的标准后用于中水用户用水，另一部分出水经“混凝池+滤布滤池+消毒接触池”处理后达到《城镇污水处理厂污染物排放标准》（GB18918-2002）一级A排放标准后排入滦河。迁安污水处理厂设计处理能力为8万m</w:t>
            </w:r>
            <w:r>
              <w:rPr>
                <w:rFonts w:hint="eastAsia" w:ascii="Times New Roman" w:hAnsi="Times New Roman" w:eastAsia="宋体" w:cs="Times New Roman"/>
                <w:color w:val="auto"/>
                <w:szCs w:val="21"/>
                <w:highlight w:val="none"/>
                <w:vertAlign w:val="superscript"/>
                <w:lang w:val="en-US" w:eastAsia="zh-CN"/>
              </w:rPr>
              <w:t>3</w:t>
            </w:r>
            <w:r>
              <w:rPr>
                <w:rFonts w:hint="eastAsia" w:ascii="Times New Roman" w:hAnsi="Times New Roman" w:eastAsia="宋体" w:cs="Times New Roman"/>
                <w:color w:val="auto"/>
                <w:szCs w:val="21"/>
                <w:highlight w:val="none"/>
                <w:lang w:val="en-US" w:eastAsia="zh-CN"/>
              </w:rPr>
              <w:t>/d，目前实际最大处理量7.6万m</w:t>
            </w:r>
            <w:r>
              <w:rPr>
                <w:rFonts w:hint="eastAsia" w:ascii="Times New Roman" w:hAnsi="Times New Roman" w:eastAsia="宋体" w:cs="Times New Roman"/>
                <w:color w:val="auto"/>
                <w:szCs w:val="21"/>
                <w:highlight w:val="none"/>
                <w:vertAlign w:val="superscript"/>
                <w:lang w:val="en-US" w:eastAsia="zh-CN"/>
              </w:rPr>
              <w:t>3</w:t>
            </w:r>
            <w:r>
              <w:rPr>
                <w:rFonts w:hint="eastAsia" w:ascii="Times New Roman" w:hAnsi="Times New Roman" w:eastAsia="宋体" w:cs="Times New Roman"/>
                <w:color w:val="auto"/>
                <w:szCs w:val="21"/>
                <w:highlight w:val="none"/>
                <w:lang w:val="en-US" w:eastAsia="zh-CN"/>
              </w:rPr>
              <w:t>/d，余量为0.4万m</w:t>
            </w:r>
            <w:r>
              <w:rPr>
                <w:rFonts w:hint="eastAsia" w:ascii="Times New Roman" w:hAnsi="Times New Roman" w:eastAsia="宋体" w:cs="Times New Roman"/>
                <w:color w:val="auto"/>
                <w:szCs w:val="21"/>
                <w:highlight w:val="none"/>
                <w:vertAlign w:val="superscript"/>
                <w:lang w:val="en-US" w:eastAsia="zh-CN"/>
              </w:rPr>
              <w:t>3</w:t>
            </w:r>
            <w:r>
              <w:rPr>
                <w:rFonts w:hint="eastAsia" w:ascii="Times New Roman" w:hAnsi="Times New Roman" w:eastAsia="宋体" w:cs="Times New Roman"/>
                <w:color w:val="auto"/>
                <w:szCs w:val="21"/>
                <w:highlight w:val="none"/>
                <w:lang w:val="en-US" w:eastAsia="zh-CN"/>
              </w:rPr>
              <w:t>/h。本项目废水水质满足迁安污水处理厂进水水质限值要求，不会对迁安污水处理厂的运行负荷产生冲击，迁安污水处理厂富余处理量满足本项目需求，且本项目在其收水范围内，项目已接入城市污水管网。因此，本项目废水排入迁安市污水处理厂可行。</w:t>
            </w:r>
          </w:p>
          <w:p w14:paraId="4F8FCFD4">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综上，本项目废水排入迁安市污水处理厂是可行的。</w:t>
            </w:r>
          </w:p>
          <w:p w14:paraId="23567AE3">
            <w:pPr>
              <w:keepNext w:val="0"/>
              <w:keepLines w:val="0"/>
              <w:pageBreakBefore w:val="0"/>
              <w:kinsoku/>
              <w:wordWrap/>
              <w:overflowPunct/>
              <w:topLinePunct w:val="0"/>
              <w:autoSpaceDE/>
              <w:autoSpaceDN/>
              <w:bidi w:val="0"/>
              <w:adjustRightInd w:val="0"/>
              <w:spacing w:line="440" w:lineRule="exact"/>
              <w:ind w:firstLine="422" w:firstLineChars="200"/>
              <w:textAlignment w:val="auto"/>
              <w:outlineLvl w:val="2"/>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cs="Times New Roman"/>
                <w:b/>
                <w:color w:val="auto"/>
                <w:sz w:val="21"/>
                <w:szCs w:val="21"/>
                <w:highlight w:val="none"/>
                <w:lang w:val="en-US" w:eastAsia="zh-CN"/>
              </w:rPr>
              <w:t>4</w:t>
            </w:r>
            <w:r>
              <w:rPr>
                <w:rFonts w:hint="eastAsia" w:ascii="Times New Roman" w:hAnsi="Times New Roman" w:eastAsia="宋体" w:cs="Times New Roman"/>
                <w:b/>
                <w:color w:val="auto"/>
                <w:sz w:val="21"/>
                <w:szCs w:val="21"/>
                <w:highlight w:val="none"/>
                <w:lang w:val="en-US" w:eastAsia="zh-CN"/>
              </w:rPr>
              <w:t>监测</w:t>
            </w:r>
            <w:r>
              <w:rPr>
                <w:rFonts w:hint="eastAsia" w:cs="Times New Roman"/>
                <w:b/>
                <w:color w:val="auto"/>
                <w:sz w:val="21"/>
                <w:szCs w:val="21"/>
                <w:highlight w:val="none"/>
                <w:lang w:val="en-US" w:eastAsia="zh-CN"/>
              </w:rPr>
              <w:t>计划</w:t>
            </w:r>
          </w:p>
          <w:p w14:paraId="2BB92F3C">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根据《排污单位自行监测技术指南 总则》（</w:t>
            </w:r>
            <w:r>
              <w:rPr>
                <w:rFonts w:hint="default" w:ascii="Times New Roman" w:hAnsi="Times New Roman" w:cs="Times New Roman"/>
                <w:color w:val="auto"/>
                <w:szCs w:val="21"/>
                <w:highlight w:val="none"/>
                <w:lang w:val="en-US" w:eastAsia="zh-CN"/>
              </w:rPr>
              <w:t>HJ819-2017</w:t>
            </w:r>
            <w:r>
              <w:rPr>
                <w:rFonts w:hint="eastAsia" w:ascii="Times New Roman" w:hAnsi="Times New Roman" w:cs="Times New Roman"/>
                <w:color w:val="auto"/>
                <w:szCs w:val="21"/>
                <w:highlight w:val="none"/>
                <w:lang w:val="en-US" w:eastAsia="zh-CN"/>
              </w:rPr>
              <w:t xml:space="preserve">），结合本项目的自身特点，确定环境监测的主要工作内容如下： </w:t>
            </w:r>
          </w:p>
          <w:p w14:paraId="1473431B">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 xml:space="preserve">监测布点的基本原则：监测点的布设要能够准确反映企业的污染物排放情况、企业附近地区的环境质量情况及污染物危害情况。根据本项目实际情况布设监测点。 </w:t>
            </w:r>
          </w:p>
          <w:p w14:paraId="052F7457">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根据项目生产特征和污染物的排放特征，按照国家颁布的环境质量标准、污染物排放标准及地方环保部门的要求，依据《排污单位自行监测技术指南 总则》（</w:t>
            </w:r>
            <w:r>
              <w:rPr>
                <w:rFonts w:hint="default" w:ascii="Times New Roman" w:hAnsi="Times New Roman" w:cs="Times New Roman"/>
                <w:color w:val="auto"/>
                <w:szCs w:val="21"/>
                <w:highlight w:val="none"/>
                <w:lang w:val="en-US" w:eastAsia="zh-CN"/>
              </w:rPr>
              <w:t>HJ819-2017</w:t>
            </w:r>
            <w:r>
              <w:rPr>
                <w:rFonts w:hint="eastAsia" w:ascii="Times New Roman" w:hAnsi="Times New Roman" w:cs="Times New Roman"/>
                <w:color w:val="auto"/>
                <w:szCs w:val="21"/>
                <w:highlight w:val="none"/>
                <w:lang w:val="en-US" w:eastAsia="zh-CN"/>
              </w:rPr>
              <w:t>）要求。确定环境监测的内容，主要废水监测的监测项目、频率、点位见下表</w:t>
            </w:r>
            <w:r>
              <w:rPr>
                <w:rFonts w:hint="eastAsia" w:cs="Times New Roman"/>
                <w:color w:val="auto"/>
                <w:szCs w:val="21"/>
                <w:highlight w:val="none"/>
                <w:lang w:val="en-US" w:eastAsia="zh-CN"/>
              </w:rPr>
              <w:t>31</w:t>
            </w:r>
            <w:r>
              <w:rPr>
                <w:rFonts w:hint="eastAsia" w:ascii="Times New Roman" w:hAnsi="Times New Roman" w:cs="Times New Roman"/>
                <w:color w:val="auto"/>
                <w:szCs w:val="21"/>
                <w:highlight w:val="none"/>
                <w:lang w:val="en-US" w:eastAsia="zh-CN"/>
              </w:rPr>
              <w:t>。</w:t>
            </w:r>
          </w:p>
          <w:p w14:paraId="1CDD555D">
            <w:pPr>
              <w:tabs>
                <w:tab w:val="left" w:pos="4253"/>
              </w:tabs>
              <w:spacing w:line="440" w:lineRule="exact"/>
              <w:jc w:val="center"/>
              <w:rPr>
                <w:rFonts w:hint="eastAsia"/>
                <w:b/>
                <w:snapToGrid w:val="0"/>
                <w:color w:val="auto"/>
                <w:kern w:val="0"/>
                <w:highlight w:val="none"/>
                <w:lang w:bidi="ar"/>
              </w:rPr>
            </w:pPr>
            <w:r>
              <w:rPr>
                <w:rFonts w:hint="eastAsia"/>
                <w:b/>
                <w:color w:val="auto"/>
                <w:szCs w:val="21"/>
              </w:rPr>
              <w:t>表</w:t>
            </w:r>
            <w:r>
              <w:rPr>
                <w:rFonts w:hint="eastAsia"/>
                <w:b/>
                <w:color w:val="auto"/>
                <w:szCs w:val="21"/>
                <w:lang w:val="en-US" w:eastAsia="zh-CN"/>
              </w:rPr>
              <w:t>31</w:t>
            </w:r>
            <w:r>
              <w:rPr>
                <w:rFonts w:hint="eastAsia"/>
                <w:b/>
                <w:color w:val="auto"/>
                <w:szCs w:val="21"/>
              </w:rPr>
              <w:t xml:space="preserve"> </w:t>
            </w:r>
            <w:r>
              <w:rPr>
                <w:b/>
                <w:color w:val="auto"/>
                <w:szCs w:val="21"/>
              </w:rPr>
              <w:t xml:space="preserve"> </w:t>
            </w:r>
            <w:r>
              <w:rPr>
                <w:rFonts w:hint="eastAsia"/>
                <w:b/>
                <w:snapToGrid w:val="0"/>
                <w:color w:val="auto"/>
                <w:kern w:val="0"/>
                <w:highlight w:val="none"/>
                <w:lang w:bidi="ar"/>
              </w:rPr>
              <w:t>废</w:t>
            </w:r>
            <w:r>
              <w:rPr>
                <w:rFonts w:hint="eastAsia"/>
                <w:b/>
                <w:snapToGrid w:val="0"/>
                <w:color w:val="auto"/>
                <w:kern w:val="0"/>
                <w:highlight w:val="none"/>
                <w:lang w:val="en-US" w:eastAsia="zh-CN" w:bidi="ar"/>
              </w:rPr>
              <w:t>水</w:t>
            </w:r>
            <w:r>
              <w:rPr>
                <w:rFonts w:hint="eastAsia"/>
                <w:b/>
                <w:snapToGrid w:val="0"/>
                <w:color w:val="auto"/>
                <w:kern w:val="0"/>
                <w:highlight w:val="none"/>
                <w:lang w:bidi="ar"/>
              </w:rPr>
              <w:t>污染源监测计划一览表</w:t>
            </w:r>
          </w:p>
          <w:tbl>
            <w:tblPr>
              <w:tblStyle w:val="26"/>
              <w:tblW w:w="793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13"/>
              <w:gridCol w:w="797"/>
              <w:gridCol w:w="1246"/>
              <w:gridCol w:w="969"/>
              <w:gridCol w:w="842"/>
              <w:gridCol w:w="3671"/>
            </w:tblGrid>
            <w:tr w14:paraId="3C1D01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260" w:type="pct"/>
                  <w:tcBorders>
                    <w:tl2br w:val="nil"/>
                    <w:tr2bl w:val="nil"/>
                  </w:tcBorders>
                  <w:vAlign w:val="center"/>
                </w:tcPr>
                <w:p w14:paraId="79E2770B">
                  <w:pPr>
                    <w:jc w:val="center"/>
                    <w:rPr>
                      <w:color w:val="auto"/>
                      <w:spacing w:val="-20"/>
                      <w:sz w:val="18"/>
                      <w:szCs w:val="18"/>
                      <w:highlight w:val="none"/>
                    </w:rPr>
                  </w:pPr>
                  <w:r>
                    <w:rPr>
                      <w:color w:val="auto"/>
                      <w:spacing w:val="-20"/>
                      <w:sz w:val="18"/>
                      <w:szCs w:val="18"/>
                      <w:highlight w:val="none"/>
                    </w:rPr>
                    <w:t>序号</w:t>
                  </w:r>
                </w:p>
              </w:tc>
              <w:tc>
                <w:tcPr>
                  <w:tcW w:w="502" w:type="pct"/>
                  <w:tcBorders>
                    <w:tl2br w:val="nil"/>
                    <w:tr2bl w:val="nil"/>
                  </w:tcBorders>
                  <w:vAlign w:val="center"/>
                </w:tcPr>
                <w:p w14:paraId="5402CF33">
                  <w:pPr>
                    <w:jc w:val="center"/>
                    <w:rPr>
                      <w:color w:val="auto"/>
                      <w:spacing w:val="-20"/>
                      <w:sz w:val="18"/>
                      <w:szCs w:val="18"/>
                      <w:highlight w:val="none"/>
                    </w:rPr>
                  </w:pPr>
                  <w:r>
                    <w:rPr>
                      <w:rFonts w:hint="eastAsia"/>
                      <w:color w:val="auto"/>
                      <w:spacing w:val="-20"/>
                      <w:sz w:val="18"/>
                      <w:szCs w:val="18"/>
                      <w:highlight w:val="none"/>
                    </w:rPr>
                    <w:t>污染源</w:t>
                  </w:r>
                </w:p>
              </w:tc>
              <w:tc>
                <w:tcPr>
                  <w:tcW w:w="784" w:type="pct"/>
                  <w:tcBorders>
                    <w:tl2br w:val="nil"/>
                    <w:tr2bl w:val="nil"/>
                  </w:tcBorders>
                  <w:vAlign w:val="center"/>
                </w:tcPr>
                <w:p w14:paraId="4540C470">
                  <w:pPr>
                    <w:jc w:val="center"/>
                    <w:rPr>
                      <w:rFonts w:hint="eastAsia" w:eastAsia="宋体"/>
                      <w:color w:val="auto"/>
                      <w:spacing w:val="-20"/>
                      <w:sz w:val="18"/>
                      <w:szCs w:val="18"/>
                      <w:highlight w:val="none"/>
                      <w:lang w:val="en-US" w:eastAsia="zh-CN"/>
                    </w:rPr>
                  </w:pPr>
                  <w:r>
                    <w:rPr>
                      <w:color w:val="auto"/>
                      <w:spacing w:val="-20"/>
                      <w:sz w:val="18"/>
                      <w:szCs w:val="18"/>
                      <w:highlight w:val="none"/>
                    </w:rPr>
                    <w:t>监测因子</w:t>
                  </w:r>
                </w:p>
              </w:tc>
              <w:tc>
                <w:tcPr>
                  <w:tcW w:w="610" w:type="pct"/>
                  <w:tcBorders>
                    <w:tl2br w:val="nil"/>
                    <w:tr2bl w:val="nil"/>
                  </w:tcBorders>
                  <w:vAlign w:val="center"/>
                </w:tcPr>
                <w:p w14:paraId="480261FF">
                  <w:pPr>
                    <w:jc w:val="center"/>
                    <w:rPr>
                      <w:color w:val="auto"/>
                      <w:spacing w:val="-20"/>
                      <w:sz w:val="18"/>
                      <w:szCs w:val="18"/>
                      <w:highlight w:val="none"/>
                    </w:rPr>
                  </w:pPr>
                  <w:r>
                    <w:rPr>
                      <w:color w:val="auto"/>
                      <w:spacing w:val="-20"/>
                      <w:sz w:val="18"/>
                      <w:szCs w:val="18"/>
                      <w:highlight w:val="none"/>
                    </w:rPr>
                    <w:t>监测点位</w:t>
                  </w:r>
                </w:p>
              </w:tc>
              <w:tc>
                <w:tcPr>
                  <w:tcW w:w="530" w:type="pct"/>
                  <w:tcBorders>
                    <w:tl2br w:val="nil"/>
                    <w:tr2bl w:val="nil"/>
                  </w:tcBorders>
                  <w:vAlign w:val="center"/>
                </w:tcPr>
                <w:p w14:paraId="1A2A2D76">
                  <w:pPr>
                    <w:jc w:val="center"/>
                    <w:rPr>
                      <w:color w:val="auto"/>
                      <w:spacing w:val="-20"/>
                      <w:sz w:val="18"/>
                      <w:szCs w:val="18"/>
                      <w:highlight w:val="none"/>
                    </w:rPr>
                  </w:pPr>
                  <w:r>
                    <w:rPr>
                      <w:color w:val="auto"/>
                      <w:spacing w:val="-20"/>
                      <w:sz w:val="18"/>
                      <w:szCs w:val="18"/>
                      <w:highlight w:val="none"/>
                    </w:rPr>
                    <w:t>监测频次</w:t>
                  </w:r>
                </w:p>
              </w:tc>
              <w:tc>
                <w:tcPr>
                  <w:tcW w:w="2312" w:type="pct"/>
                  <w:tcBorders>
                    <w:tl2br w:val="nil"/>
                    <w:tr2bl w:val="nil"/>
                  </w:tcBorders>
                  <w:vAlign w:val="center"/>
                </w:tcPr>
                <w:p w14:paraId="10BAC089">
                  <w:pPr>
                    <w:jc w:val="center"/>
                    <w:rPr>
                      <w:rFonts w:hint="default" w:ascii="Times New Roman" w:hAnsi="Times New Roman" w:cs="Times New Roman"/>
                      <w:color w:val="auto"/>
                      <w:spacing w:val="-10"/>
                      <w:kern w:val="2"/>
                      <w:sz w:val="18"/>
                      <w:szCs w:val="18"/>
                      <w:highlight w:val="yellow"/>
                      <w:lang w:val="en-US" w:eastAsia="zh-CN" w:bidi="ar-SA"/>
                    </w:rPr>
                  </w:pPr>
                  <w:r>
                    <w:rPr>
                      <w:rFonts w:hint="eastAsia" w:ascii="Times New Roman" w:hAnsi="Times New Roman" w:cs="Times New Roman"/>
                      <w:color w:val="auto"/>
                      <w:spacing w:val="-10"/>
                      <w:kern w:val="2"/>
                      <w:sz w:val="18"/>
                      <w:szCs w:val="18"/>
                      <w:highlight w:val="none"/>
                      <w:lang w:val="en-US" w:eastAsia="zh-CN" w:bidi="ar-SA"/>
                    </w:rPr>
                    <w:t>排放标准</w:t>
                  </w:r>
                </w:p>
              </w:tc>
            </w:tr>
            <w:tr w14:paraId="2068C1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7" w:hRule="atLeast"/>
                <w:jc w:val="center"/>
              </w:trPr>
              <w:tc>
                <w:tcPr>
                  <w:tcW w:w="260" w:type="pct"/>
                  <w:tcBorders>
                    <w:tl2br w:val="nil"/>
                    <w:tr2bl w:val="nil"/>
                  </w:tcBorders>
                  <w:vAlign w:val="center"/>
                </w:tcPr>
                <w:p w14:paraId="05669D43">
                  <w:pPr>
                    <w:jc w:val="center"/>
                    <w:rPr>
                      <w:color w:val="auto"/>
                      <w:spacing w:val="-20"/>
                      <w:sz w:val="18"/>
                      <w:szCs w:val="18"/>
                      <w:highlight w:val="none"/>
                    </w:rPr>
                  </w:pPr>
                  <w:r>
                    <w:rPr>
                      <w:rFonts w:hint="eastAsia"/>
                      <w:color w:val="auto"/>
                      <w:spacing w:val="-20"/>
                      <w:sz w:val="18"/>
                      <w:szCs w:val="18"/>
                      <w:highlight w:val="none"/>
                    </w:rPr>
                    <w:t>1</w:t>
                  </w:r>
                </w:p>
              </w:tc>
              <w:tc>
                <w:tcPr>
                  <w:tcW w:w="502" w:type="pct"/>
                  <w:tcBorders>
                    <w:tl2br w:val="nil"/>
                    <w:tr2bl w:val="nil"/>
                  </w:tcBorders>
                  <w:vAlign w:val="center"/>
                </w:tcPr>
                <w:p w14:paraId="08C07384">
                  <w:pPr>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综合废水</w:t>
                  </w:r>
                </w:p>
              </w:tc>
              <w:tc>
                <w:tcPr>
                  <w:tcW w:w="784" w:type="pct"/>
                  <w:tcBorders>
                    <w:tl2br w:val="nil"/>
                    <w:tr2bl w:val="nil"/>
                  </w:tcBorders>
                  <w:vAlign w:val="center"/>
                </w:tcPr>
                <w:p w14:paraId="51D059A7">
                  <w:pPr>
                    <w:jc w:val="center"/>
                    <w:rPr>
                      <w:rFonts w:hint="default"/>
                      <w:color w:val="auto"/>
                      <w:spacing w:val="-20"/>
                      <w:sz w:val="18"/>
                      <w:szCs w:val="18"/>
                      <w:highlight w:val="none"/>
                      <w:lang w:val="en-US" w:eastAsia="zh-CN"/>
                    </w:rPr>
                  </w:pPr>
                  <w:r>
                    <w:rPr>
                      <w:rFonts w:hint="eastAsia" w:eastAsia="宋体" w:cs="Times New Roman"/>
                      <w:color w:val="auto"/>
                      <w:spacing w:val="-20"/>
                      <w:sz w:val="18"/>
                      <w:szCs w:val="18"/>
                      <w:highlight w:val="none"/>
                      <w:lang w:val="en-US" w:eastAsia="zh-CN"/>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、总氮、总磷、全盐量</w:t>
                  </w:r>
                </w:p>
              </w:tc>
              <w:tc>
                <w:tcPr>
                  <w:tcW w:w="610" w:type="pct"/>
                  <w:tcBorders>
                    <w:tl2br w:val="nil"/>
                    <w:tr2bl w:val="nil"/>
                  </w:tcBorders>
                  <w:vAlign w:val="center"/>
                </w:tcPr>
                <w:p w14:paraId="10C9C9D1">
                  <w:pPr>
                    <w:jc w:val="center"/>
                    <w:rPr>
                      <w:rFonts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废水总排口</w:t>
                  </w:r>
                </w:p>
              </w:tc>
              <w:tc>
                <w:tcPr>
                  <w:tcW w:w="530" w:type="pct"/>
                  <w:tcBorders>
                    <w:tl2br w:val="nil"/>
                    <w:tr2bl w:val="nil"/>
                  </w:tcBorders>
                  <w:vAlign w:val="center"/>
                </w:tcPr>
                <w:p w14:paraId="7D3F3CA1">
                  <w:pPr>
                    <w:jc w:val="center"/>
                    <w:rPr>
                      <w:rFonts w:hint="default" w:eastAsia="宋体"/>
                      <w:color w:val="auto"/>
                      <w:spacing w:val="-20"/>
                      <w:sz w:val="18"/>
                      <w:szCs w:val="18"/>
                      <w:highlight w:val="none"/>
                      <w:lang w:val="en-US" w:eastAsia="zh-CN"/>
                    </w:rPr>
                  </w:pPr>
                  <w:r>
                    <w:rPr>
                      <w:color w:val="auto"/>
                      <w:spacing w:val="-20"/>
                      <w:sz w:val="18"/>
                      <w:szCs w:val="18"/>
                      <w:highlight w:val="none"/>
                    </w:rPr>
                    <w:t>1次/年</w:t>
                  </w:r>
                </w:p>
              </w:tc>
              <w:tc>
                <w:tcPr>
                  <w:tcW w:w="2312" w:type="pct"/>
                  <w:tcBorders>
                    <w:tl2br w:val="nil"/>
                    <w:tr2bl w:val="nil"/>
                  </w:tcBorders>
                  <w:vAlign w:val="center"/>
                </w:tcPr>
                <w:p w14:paraId="75DAA5E4">
                  <w:pPr>
                    <w:jc w:val="center"/>
                    <w:rPr>
                      <w:rFonts w:hint="eastAsia" w:ascii="Times New Roman" w:hAnsi="Times New Roman" w:cs="Times New Roman"/>
                      <w:color w:val="auto"/>
                      <w:spacing w:val="-10"/>
                      <w:kern w:val="2"/>
                      <w:sz w:val="18"/>
                      <w:szCs w:val="18"/>
                      <w:highlight w:val="yellow"/>
                      <w:lang w:val="en-US" w:eastAsia="zh-CN" w:bidi="ar-SA"/>
                    </w:rPr>
                  </w:pPr>
                  <w:r>
                    <w:rPr>
                      <w:rFonts w:hint="eastAsia" w:ascii="Times New Roman" w:hAnsi="Times New Roman" w:eastAsia="宋体" w:cs="Times New Roman"/>
                      <w:color w:val="auto"/>
                      <w:spacing w:val="-20"/>
                      <w:sz w:val="18"/>
                      <w:szCs w:val="18"/>
                      <w:highlight w:val="none"/>
                      <w:lang w:val="en-US" w:eastAsia="zh-CN"/>
                    </w:rPr>
                    <w:t>《污水综合排放标准》（GB8978-1996）表4三级标准、《污水排入城镇下水道水质标准》（GB/T 31962-2015）表1A级标准及迁安污水处理厂的收水水质标准</w:t>
                  </w:r>
                </w:p>
              </w:tc>
            </w:tr>
          </w:tbl>
          <w:p w14:paraId="696C6EB1">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2.</w:t>
            </w:r>
            <w:r>
              <w:rPr>
                <w:rFonts w:hint="eastAsia" w:ascii="Times New Roman" w:hAnsi="Times New Roman" w:cs="Times New Roman"/>
                <w:b/>
                <w:color w:val="auto"/>
                <w:sz w:val="21"/>
                <w:szCs w:val="21"/>
                <w:highlight w:val="none"/>
                <w:lang w:val="en-US" w:eastAsia="zh-CN"/>
              </w:rPr>
              <w:t>5</w:t>
            </w:r>
            <w:r>
              <w:rPr>
                <w:rFonts w:hint="eastAsia" w:ascii="Times New Roman" w:hAnsi="Times New Roman" w:eastAsia="宋体" w:cs="Times New Roman"/>
                <w:b/>
                <w:color w:val="auto"/>
                <w:sz w:val="21"/>
                <w:szCs w:val="21"/>
                <w:highlight w:val="none"/>
                <w:lang w:val="en-US" w:eastAsia="zh-CN"/>
              </w:rPr>
              <w:t>废水排放的环境影响分析</w:t>
            </w:r>
          </w:p>
          <w:p w14:paraId="5F3A6C6F">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综上所述，本项目废水采取的污染防治措施可行，污染物排放满足《污水综合排放标准》（GB8978-1996）表4三级标准、《污水排入城镇下水道水质标准》（GB/T 31962-2015）表1A级标准及迁安污水处理厂的收水水质标准要求后，排入迁安市污水处理厂，因此，项目排水不会对当地地表水环境产生明显影响。地表水环境影响可以接受。</w:t>
            </w:r>
            <w:bookmarkStart w:id="3" w:name="5.2.2.2_依托污水处理设施的环境可行性评价"/>
            <w:bookmarkEnd w:id="3"/>
          </w:p>
          <w:p w14:paraId="1F3378B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3</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噪声</w:t>
            </w:r>
          </w:p>
          <w:p w14:paraId="32AB5544">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3.1拟建项目主要噪声源</w:t>
            </w:r>
          </w:p>
          <w:p w14:paraId="6B9C1F58">
            <w:pPr>
              <w:keepNext w:val="0"/>
              <w:keepLines w:val="0"/>
              <w:pageBreakBefore w:val="0"/>
              <w:kinsoku/>
              <w:wordWrap/>
              <w:overflowPunct/>
              <w:topLinePunct w:val="0"/>
              <w:autoSpaceDE/>
              <w:autoSpaceDN/>
              <w:bidi w:val="0"/>
              <w:adjustRightInd w:val="0"/>
              <w:spacing w:line="440" w:lineRule="exact"/>
              <w:ind w:firstLine="420" w:firstLineChars="200"/>
              <w:textAlignment w:val="auto"/>
              <w:outlineLvl w:val="2"/>
              <w:rPr>
                <w:color w:val="auto"/>
                <w:highlight w:val="none"/>
              </w:rPr>
            </w:pPr>
            <w:r>
              <w:rPr>
                <w:rFonts w:hint="eastAsia" w:ascii="Times New Roman" w:hAnsi="Times New Roman" w:eastAsia="宋体" w:cs="Times New Roman"/>
                <w:color w:val="auto"/>
                <w:sz w:val="21"/>
                <w:szCs w:val="21"/>
                <w:highlight w:val="none"/>
                <w:lang w:val="en-US" w:eastAsia="zh-CN"/>
              </w:rPr>
              <w:t>拟建</w:t>
            </w:r>
            <w:r>
              <w:rPr>
                <w:rFonts w:hint="eastAsia" w:ascii="Times New Roman" w:hAnsi="Times New Roman" w:eastAsia="宋体" w:cs="Times New Roman"/>
                <w:color w:val="auto"/>
                <w:sz w:val="21"/>
                <w:szCs w:val="21"/>
                <w:highlight w:val="none"/>
              </w:rPr>
              <w:t>项目</w:t>
            </w:r>
            <w:r>
              <w:rPr>
                <w:rFonts w:hint="eastAsia" w:ascii="Times New Roman" w:hAnsi="Times New Roman" w:eastAsia="宋体" w:cs="Times New Roman"/>
                <w:color w:val="auto"/>
                <w:sz w:val="21"/>
                <w:szCs w:val="21"/>
                <w:highlight w:val="none"/>
                <w:lang w:val="en-US" w:eastAsia="zh-CN"/>
              </w:rPr>
              <w:t>噪声源</w:t>
            </w:r>
            <w:r>
              <w:rPr>
                <w:rFonts w:hint="eastAsia" w:ascii="Times New Roman" w:hAnsi="Times New Roman" w:eastAsia="宋体" w:cs="Times New Roman"/>
                <w:color w:val="auto"/>
                <w:sz w:val="21"/>
                <w:szCs w:val="21"/>
                <w:highlight w:val="none"/>
                <w:lang w:val="zh-CN" w:eastAsia="zh-CN"/>
              </w:rPr>
              <w:t>主要为</w:t>
            </w:r>
            <w:r>
              <w:rPr>
                <w:rFonts w:hint="eastAsia" w:ascii="Times New Roman" w:hAnsi="Times New Roman" w:eastAsia="宋体" w:cs="Times New Roman"/>
                <w:color w:val="auto"/>
                <w:sz w:val="21"/>
                <w:szCs w:val="21"/>
                <w:highlight w:val="none"/>
                <w:lang w:val="en-US" w:eastAsia="zh-CN"/>
              </w:rPr>
              <w:t>实验仪器以及风机运行噪声</w:t>
            </w:r>
            <w:r>
              <w:rPr>
                <w:rFonts w:hint="eastAsia" w:ascii="Times New Roman" w:hAnsi="Times New Roman" w:eastAsia="宋体" w:cs="Times New Roman"/>
                <w:color w:val="auto"/>
                <w:sz w:val="21"/>
                <w:szCs w:val="21"/>
                <w:highlight w:val="none"/>
              </w:rPr>
              <w:t>，噪声源强约为</w:t>
            </w:r>
            <w:r>
              <w:rPr>
                <w:rFonts w:hint="eastAsia" w:ascii="Times New Roman" w:hAnsi="Times New Roman" w:cs="Times New Roman"/>
                <w:color w:val="auto"/>
                <w:sz w:val="21"/>
                <w:szCs w:val="21"/>
                <w:highlight w:val="none"/>
                <w:lang w:val="en-US" w:eastAsia="zh-CN"/>
              </w:rPr>
              <w:t>5</w:t>
            </w:r>
            <w:r>
              <w:rPr>
                <w:rFonts w:hint="eastAsia"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rPr>
              <w:t>-</w:t>
            </w:r>
            <w:r>
              <w:rPr>
                <w:rFonts w:hint="eastAsia" w:cs="Times New Roman"/>
                <w:color w:val="auto"/>
                <w:sz w:val="21"/>
                <w:szCs w:val="21"/>
                <w:highlight w:val="none"/>
                <w:lang w:val="en-US" w:eastAsia="zh-CN"/>
              </w:rPr>
              <w:t>90</w:t>
            </w:r>
            <w:r>
              <w:rPr>
                <w:rFonts w:hint="eastAsia" w:ascii="Times New Roman" w:hAnsi="Times New Roman" w:eastAsia="宋体" w:cs="Times New Roman"/>
                <w:color w:val="auto"/>
                <w:sz w:val="21"/>
                <w:szCs w:val="21"/>
                <w:highlight w:val="none"/>
              </w:rPr>
              <w:t>dB（A）。根据同类项目资料类比分析可知，</w:t>
            </w:r>
            <w:r>
              <w:rPr>
                <w:rFonts w:hint="eastAsia" w:ascii="Times New Roman" w:hAnsi="Times New Roman" w:eastAsia="宋体" w:cs="Times New Roman"/>
                <w:color w:val="auto"/>
                <w:sz w:val="21"/>
                <w:szCs w:val="21"/>
                <w:highlight w:val="none"/>
                <w:lang w:val="zh-CN"/>
              </w:rPr>
              <w:t>采取选用低噪声设备、厂房隔声、基础减振等措施</w:t>
            </w:r>
            <w:r>
              <w:rPr>
                <w:rFonts w:hint="eastAsia" w:ascii="Times New Roman" w:hAnsi="Times New Roman" w:eastAsia="宋体" w:cs="Times New Roman"/>
                <w:color w:val="auto"/>
                <w:sz w:val="21"/>
                <w:szCs w:val="21"/>
                <w:highlight w:val="none"/>
              </w:rPr>
              <w:t>。</w:t>
            </w:r>
            <w:r>
              <w:rPr>
                <w:rFonts w:hint="eastAsia" w:ascii="Times New Roman" w:hAnsi="Times New Roman" w:eastAsia="宋体" w:cs="Times New Roman"/>
                <w:color w:val="auto"/>
                <w:sz w:val="21"/>
                <w:szCs w:val="21"/>
                <w:highlight w:val="none"/>
                <w:lang w:val="en-US" w:eastAsia="zh-CN"/>
              </w:rPr>
              <w:t>拟建项目主要</w:t>
            </w:r>
            <w:r>
              <w:rPr>
                <w:rFonts w:ascii="Times New Roman" w:hAnsi="Times New Roman" w:eastAsia="宋体" w:cs="Times New Roman"/>
                <w:color w:val="auto"/>
                <w:sz w:val="21"/>
                <w:szCs w:val="21"/>
                <w:highlight w:val="none"/>
              </w:rPr>
              <w:t>噪声</w:t>
            </w:r>
            <w:r>
              <w:rPr>
                <w:rFonts w:hint="eastAsia" w:ascii="Times New Roman" w:hAnsi="Times New Roman" w:eastAsia="宋体" w:cs="Times New Roman"/>
                <w:color w:val="auto"/>
                <w:sz w:val="21"/>
                <w:szCs w:val="21"/>
                <w:highlight w:val="none"/>
                <w:lang w:val="en-US" w:eastAsia="zh-CN"/>
              </w:rPr>
              <w:t>源源强及</w:t>
            </w:r>
            <w:r>
              <w:rPr>
                <w:rFonts w:ascii="Times New Roman" w:hAnsi="Times New Roman" w:eastAsia="宋体" w:cs="Times New Roman"/>
                <w:color w:val="auto"/>
                <w:sz w:val="21"/>
                <w:szCs w:val="21"/>
                <w:highlight w:val="none"/>
              </w:rPr>
              <w:t>治理</w:t>
            </w:r>
            <w:r>
              <w:rPr>
                <w:rFonts w:hint="eastAsia" w:ascii="Times New Roman" w:hAnsi="Times New Roman" w:eastAsia="宋体" w:cs="Times New Roman"/>
                <w:color w:val="auto"/>
                <w:sz w:val="21"/>
                <w:szCs w:val="21"/>
                <w:highlight w:val="none"/>
                <w:lang w:val="en-US" w:eastAsia="zh-CN"/>
              </w:rPr>
              <w:t>情况见</w:t>
            </w:r>
            <w:r>
              <w:rPr>
                <w:rFonts w:ascii="Times New Roman" w:hAnsi="Times New Roman" w:eastAsia="宋体"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3</w:t>
            </w:r>
            <w:r>
              <w:rPr>
                <w:rFonts w:hint="eastAsia"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Cs w:val="21"/>
                <w:highlight w:val="none"/>
                <w:lang w:val="en-US" w:eastAsia="zh-CN"/>
              </w:rPr>
              <w:t>项目噪声环境影响预测基础数据见表</w:t>
            </w:r>
            <w:r>
              <w:rPr>
                <w:rFonts w:hint="eastAsia" w:ascii="Times New Roman" w:hAnsi="Times New Roman" w:cs="Times New Roman"/>
                <w:color w:val="auto"/>
                <w:szCs w:val="21"/>
                <w:highlight w:val="none"/>
                <w:lang w:val="en-US" w:eastAsia="zh-CN"/>
              </w:rPr>
              <w:t>3</w:t>
            </w:r>
            <w:r>
              <w:rPr>
                <w:rFonts w:hint="eastAsia" w:cs="Times New Roman"/>
                <w:color w:val="auto"/>
                <w:szCs w:val="21"/>
                <w:highlight w:val="none"/>
                <w:lang w:val="en-US" w:eastAsia="zh-CN"/>
              </w:rPr>
              <w:t>3</w:t>
            </w:r>
            <w:r>
              <w:rPr>
                <w:rFonts w:hint="default" w:ascii="Times New Roman" w:hAnsi="Times New Roman" w:eastAsia="宋体" w:cs="Times New Roman"/>
                <w:color w:val="auto"/>
                <w:szCs w:val="21"/>
                <w:highlight w:val="none"/>
                <w:lang w:val="en-US" w:eastAsia="zh-CN"/>
              </w:rPr>
              <w:t>。</w:t>
            </w:r>
          </w:p>
        </w:tc>
      </w:tr>
    </w:tbl>
    <w:p w14:paraId="3B746AD5">
      <w:pPr>
        <w:adjustRightInd w:val="0"/>
        <w:snapToGrid w:val="0"/>
        <w:spacing w:line="360" w:lineRule="auto"/>
        <w:rPr>
          <w:rFonts w:ascii="宋体" w:cs="宋体"/>
          <w:b/>
          <w:color w:val="auto"/>
          <w:kern w:val="0"/>
          <w:sz w:val="28"/>
          <w:szCs w:val="28"/>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6"/>
        <w:tblW w:w="133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594"/>
      </w:tblGrid>
      <w:tr w14:paraId="3093E5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99" w:hRule="atLeast"/>
          <w:jc w:val="center"/>
        </w:trPr>
        <w:tc>
          <w:tcPr>
            <w:tcW w:w="761" w:type="dxa"/>
            <w:tcMar>
              <w:left w:w="28" w:type="dxa"/>
              <w:right w:w="28" w:type="dxa"/>
            </w:tcMar>
            <w:vAlign w:val="center"/>
          </w:tcPr>
          <w:p w14:paraId="2B335F4A">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运营</w:t>
            </w:r>
          </w:p>
          <w:p w14:paraId="342D505A">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期环</w:t>
            </w:r>
          </w:p>
          <w:p w14:paraId="31A974EC">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境影</w:t>
            </w:r>
          </w:p>
          <w:p w14:paraId="49E8C3FB">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响和</w:t>
            </w:r>
          </w:p>
          <w:p w14:paraId="6492BFE4">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保护</w:t>
            </w:r>
          </w:p>
          <w:p w14:paraId="5B62FF5B">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措施</w:t>
            </w:r>
          </w:p>
        </w:tc>
        <w:tc>
          <w:tcPr>
            <w:tcW w:w="12594" w:type="dxa"/>
            <w:vAlign w:val="center"/>
          </w:tcPr>
          <w:p w14:paraId="22194C92">
            <w:pPr>
              <w:tabs>
                <w:tab w:val="left" w:pos="4253"/>
              </w:tabs>
              <w:spacing w:line="440" w:lineRule="exact"/>
              <w:jc w:val="center"/>
              <w:rPr>
                <w:b/>
                <w:color w:val="auto"/>
                <w:szCs w:val="21"/>
              </w:rPr>
            </w:pPr>
            <w:r>
              <w:rPr>
                <w:b/>
                <w:color w:val="auto"/>
                <w:szCs w:val="21"/>
              </w:rPr>
              <w:t>表</w:t>
            </w:r>
            <w:r>
              <w:rPr>
                <w:rFonts w:hint="eastAsia"/>
                <w:b/>
                <w:color w:val="auto"/>
                <w:szCs w:val="21"/>
                <w:lang w:val="en-US" w:eastAsia="zh-CN"/>
              </w:rPr>
              <w:t>32</w:t>
            </w:r>
            <w:r>
              <w:rPr>
                <w:rFonts w:hint="eastAsia"/>
                <w:b/>
                <w:color w:val="auto"/>
                <w:szCs w:val="21"/>
              </w:rPr>
              <w:t xml:space="preserve">  </w:t>
            </w:r>
            <w:r>
              <w:rPr>
                <w:b/>
                <w:color w:val="auto"/>
                <w:szCs w:val="21"/>
              </w:rPr>
              <w:t>主要噪声源源强及治理情况表</w:t>
            </w:r>
          </w:p>
          <w:tbl>
            <w:tblPr>
              <w:tblStyle w:val="26"/>
              <w:tblW w:w="5022"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74"/>
              <w:gridCol w:w="390"/>
              <w:gridCol w:w="793"/>
              <w:gridCol w:w="1329"/>
              <w:gridCol w:w="500"/>
              <w:gridCol w:w="537"/>
              <w:gridCol w:w="621"/>
              <w:gridCol w:w="561"/>
              <w:gridCol w:w="561"/>
              <w:gridCol w:w="561"/>
              <w:gridCol w:w="525"/>
              <w:gridCol w:w="536"/>
              <w:gridCol w:w="561"/>
              <w:gridCol w:w="537"/>
              <w:gridCol w:w="512"/>
              <w:gridCol w:w="390"/>
              <w:gridCol w:w="659"/>
              <w:gridCol w:w="488"/>
              <w:gridCol w:w="475"/>
              <w:gridCol w:w="403"/>
              <w:gridCol w:w="463"/>
              <w:gridCol w:w="658"/>
            </w:tblGrid>
            <w:tr w14:paraId="6A2C78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6" w:hRule="exact"/>
                <w:jc w:val="center"/>
              </w:trPr>
              <w:tc>
                <w:tcPr>
                  <w:tcW w:w="150" w:type="pct"/>
                  <w:vMerge w:val="restart"/>
                  <w:vAlign w:val="center"/>
                </w:tcPr>
                <w:p w14:paraId="3998D454">
                  <w:pPr>
                    <w:spacing w:line="220" w:lineRule="exact"/>
                    <w:jc w:val="center"/>
                    <w:rPr>
                      <w:rFonts w:hint="eastAsia"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序号</w:t>
                  </w:r>
                </w:p>
              </w:tc>
              <w:tc>
                <w:tcPr>
                  <w:tcW w:w="156" w:type="pct"/>
                  <w:vMerge w:val="restart"/>
                  <w:vAlign w:val="center"/>
                </w:tcPr>
                <w:p w14:paraId="00629D5A">
                  <w:pPr>
                    <w:spacing w:line="220" w:lineRule="exact"/>
                    <w:jc w:val="center"/>
                    <w:rPr>
                      <w:rFonts w:hint="default" w:ascii="Times New Roman" w:hAnsi="Times New Roman" w:eastAsia="宋体" w:cs="Times New Roman"/>
                      <w:color w:val="auto"/>
                      <w:spacing w:val="-17"/>
                      <w:kern w:val="2"/>
                      <w:sz w:val="18"/>
                      <w:szCs w:val="18"/>
                      <w:lang w:val="en-US" w:eastAsia="zh-CN" w:bidi="ar-SA"/>
                    </w:rPr>
                  </w:pPr>
                  <w:r>
                    <w:rPr>
                      <w:rFonts w:hint="eastAsia" w:ascii="Times New Roman" w:hAnsi="Times New Roman" w:cs="Times New Roman"/>
                      <w:color w:val="auto"/>
                      <w:spacing w:val="-17"/>
                      <w:sz w:val="18"/>
                      <w:szCs w:val="18"/>
                      <w:lang w:val="en-US" w:eastAsia="zh-CN"/>
                    </w:rPr>
                    <w:t>建筑物名称</w:t>
                  </w:r>
                </w:p>
              </w:tc>
              <w:tc>
                <w:tcPr>
                  <w:tcW w:w="318" w:type="pct"/>
                  <w:vMerge w:val="restart"/>
                  <w:vAlign w:val="center"/>
                </w:tcPr>
                <w:p w14:paraId="3167EA7E">
                  <w:pPr>
                    <w:spacing w:line="220" w:lineRule="exact"/>
                    <w:jc w:val="center"/>
                    <w:rPr>
                      <w:rFonts w:hint="default"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位置</w:t>
                  </w:r>
                </w:p>
              </w:tc>
              <w:tc>
                <w:tcPr>
                  <w:tcW w:w="534" w:type="pct"/>
                  <w:vMerge w:val="restart"/>
                  <w:vAlign w:val="center"/>
                </w:tcPr>
                <w:p w14:paraId="10DE1CD6">
                  <w:pPr>
                    <w:spacing w:line="220" w:lineRule="exact"/>
                    <w:jc w:val="center"/>
                    <w:rPr>
                      <w:rFonts w:ascii="Times New Roman" w:hAnsi="Times New Roman" w:eastAsia="宋体" w:cs="Times New Roman"/>
                      <w:color w:val="auto"/>
                      <w:spacing w:val="-17"/>
                      <w:sz w:val="18"/>
                      <w:szCs w:val="18"/>
                    </w:rPr>
                  </w:pPr>
                  <w:r>
                    <w:rPr>
                      <w:rFonts w:ascii="Times New Roman" w:hAnsi="Times New Roman" w:eastAsia="宋体" w:cs="Times New Roman"/>
                      <w:color w:val="auto"/>
                      <w:spacing w:val="-17"/>
                      <w:sz w:val="18"/>
                      <w:szCs w:val="18"/>
                    </w:rPr>
                    <w:t>设备名称</w:t>
                  </w:r>
                </w:p>
              </w:tc>
              <w:tc>
                <w:tcPr>
                  <w:tcW w:w="201" w:type="pct"/>
                  <w:vMerge w:val="restart"/>
                  <w:vAlign w:val="center"/>
                </w:tcPr>
                <w:p w14:paraId="3EE43A68">
                  <w:pPr>
                    <w:spacing w:line="220" w:lineRule="exact"/>
                    <w:jc w:val="center"/>
                    <w:rPr>
                      <w:color w:val="auto"/>
                      <w:spacing w:val="-17"/>
                      <w:sz w:val="18"/>
                      <w:szCs w:val="18"/>
                    </w:rPr>
                  </w:pPr>
                  <w:r>
                    <w:rPr>
                      <w:color w:val="auto"/>
                      <w:spacing w:val="-17"/>
                      <w:sz w:val="18"/>
                      <w:szCs w:val="18"/>
                    </w:rPr>
                    <w:t>数量(台套)</w:t>
                  </w:r>
                </w:p>
              </w:tc>
              <w:tc>
                <w:tcPr>
                  <w:tcW w:w="215" w:type="pct"/>
                  <w:vMerge w:val="restart"/>
                  <w:vAlign w:val="center"/>
                </w:tcPr>
                <w:p w14:paraId="4617E46D">
                  <w:pPr>
                    <w:spacing w:line="220" w:lineRule="exact"/>
                    <w:jc w:val="center"/>
                    <w:rPr>
                      <w:color w:val="auto"/>
                      <w:spacing w:val="-17"/>
                      <w:sz w:val="18"/>
                      <w:szCs w:val="18"/>
                    </w:rPr>
                  </w:pPr>
                  <w:r>
                    <w:rPr>
                      <w:rFonts w:hint="default" w:ascii="Times New Roman" w:hAnsi="Times New Roman" w:eastAsia="宋体" w:cs="Times New Roman"/>
                      <w:color w:val="auto"/>
                      <w:spacing w:val="-20"/>
                      <w:sz w:val="18"/>
                      <w:szCs w:val="18"/>
                    </w:rPr>
                    <w:t>声源强度/dB（A）</w:t>
                  </w:r>
                </w:p>
              </w:tc>
              <w:tc>
                <w:tcPr>
                  <w:tcW w:w="249" w:type="pct"/>
                  <w:vMerge w:val="restart"/>
                  <w:vAlign w:val="center"/>
                </w:tcPr>
                <w:p w14:paraId="5AC64C01">
                  <w:pPr>
                    <w:spacing w:line="220" w:lineRule="exact"/>
                    <w:jc w:val="center"/>
                    <w:rPr>
                      <w:rFonts w:hint="default" w:eastAsia="宋体"/>
                      <w:color w:val="auto"/>
                      <w:spacing w:val="-17"/>
                      <w:sz w:val="18"/>
                      <w:szCs w:val="18"/>
                      <w:lang w:val="en-US" w:eastAsia="zh-CN"/>
                    </w:rPr>
                  </w:pPr>
                  <w:r>
                    <w:rPr>
                      <w:rFonts w:hint="eastAsia"/>
                      <w:color w:val="auto"/>
                      <w:spacing w:val="-17"/>
                      <w:sz w:val="18"/>
                      <w:szCs w:val="18"/>
                      <w:lang w:val="en-US" w:eastAsia="zh-CN"/>
                    </w:rPr>
                    <w:t>声源控制措施</w:t>
                  </w:r>
                </w:p>
              </w:tc>
              <w:tc>
                <w:tcPr>
                  <w:tcW w:w="887" w:type="pct"/>
                  <w:gridSpan w:val="4"/>
                  <w:vAlign w:val="center"/>
                </w:tcPr>
                <w:p w14:paraId="0A9CD636">
                  <w:pPr>
                    <w:pStyle w:val="73"/>
                    <w:spacing w:line="220" w:lineRule="exact"/>
                    <w:jc w:val="center"/>
                    <w:rPr>
                      <w:rFonts w:hint="eastAsia" w:ascii="Times New Roman" w:hAnsi="Times New Roman"/>
                      <w:color w:val="auto"/>
                      <w:spacing w:val="-17"/>
                      <w:sz w:val="18"/>
                      <w:szCs w:val="18"/>
                      <w:lang w:val="en-US" w:eastAsia="zh-CN"/>
                    </w:rPr>
                  </w:pPr>
                  <w:r>
                    <w:rPr>
                      <w:rFonts w:hint="default" w:ascii="Times New Roman" w:hAnsi="Times New Roman"/>
                      <w:color w:val="auto"/>
                      <w:spacing w:val="-17"/>
                      <w:sz w:val="18"/>
                      <w:szCs w:val="18"/>
                      <w:lang w:val="en-US" w:eastAsia="zh-CN"/>
                    </w:rPr>
                    <w:t>距室内边界距离/m</w:t>
                  </w:r>
                </w:p>
              </w:tc>
              <w:tc>
                <w:tcPr>
                  <w:tcW w:w="862" w:type="pct"/>
                  <w:gridSpan w:val="4"/>
                  <w:vAlign w:val="center"/>
                </w:tcPr>
                <w:p w14:paraId="2BED5A8E">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室内边界声级/dB(A)</w:t>
                  </w:r>
                </w:p>
              </w:tc>
              <w:tc>
                <w:tcPr>
                  <w:tcW w:w="156" w:type="pct"/>
                  <w:vMerge w:val="restart"/>
                  <w:vAlign w:val="center"/>
                </w:tcPr>
                <w:p w14:paraId="1AC1C7F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运行时段</w:t>
                  </w:r>
                </w:p>
              </w:tc>
              <w:tc>
                <w:tcPr>
                  <w:tcW w:w="264" w:type="pct"/>
                  <w:vMerge w:val="restart"/>
                  <w:vAlign w:val="center"/>
                </w:tcPr>
                <w:p w14:paraId="01BC1BA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default" w:ascii="Times New Roman" w:hAnsi="Times New Roman" w:eastAsia="宋体" w:cs="Calibri"/>
                      <w:color w:val="auto"/>
                      <w:spacing w:val="-17"/>
                      <w:kern w:val="0"/>
                      <w:sz w:val="18"/>
                      <w:szCs w:val="18"/>
                      <w:lang w:val="en-US" w:eastAsia="zh-CN" w:bidi="ar-SA"/>
                    </w:rPr>
                    <w:t>建筑物插入损失 / dB(A)</w:t>
                  </w:r>
                </w:p>
              </w:tc>
              <w:tc>
                <w:tcPr>
                  <w:tcW w:w="1000" w:type="pct"/>
                  <w:gridSpan w:val="5"/>
                  <w:vAlign w:val="center"/>
                </w:tcPr>
                <w:p w14:paraId="70BC6DE3">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建筑物外噪声声压级/dB(A)</w:t>
                  </w:r>
                </w:p>
              </w:tc>
            </w:tr>
            <w:tr w14:paraId="37F5D5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43" w:hRule="exact"/>
                <w:jc w:val="center"/>
              </w:trPr>
              <w:tc>
                <w:tcPr>
                  <w:tcW w:w="150" w:type="pct"/>
                  <w:vMerge w:val="continue"/>
                  <w:vAlign w:val="center"/>
                </w:tcPr>
                <w:p w14:paraId="2769CE9B">
                  <w:pPr>
                    <w:spacing w:line="220" w:lineRule="exact"/>
                    <w:jc w:val="center"/>
                    <w:rPr>
                      <w:rFonts w:hint="eastAsia" w:cs="Times New Roman"/>
                      <w:color w:val="auto"/>
                      <w:spacing w:val="-17"/>
                      <w:sz w:val="18"/>
                      <w:szCs w:val="18"/>
                      <w:lang w:val="en-US" w:eastAsia="zh-CN"/>
                    </w:rPr>
                  </w:pPr>
                </w:p>
              </w:tc>
              <w:tc>
                <w:tcPr>
                  <w:tcW w:w="156" w:type="pct"/>
                  <w:vMerge w:val="continue"/>
                  <w:vAlign w:val="center"/>
                </w:tcPr>
                <w:p w14:paraId="08230777">
                  <w:pPr>
                    <w:spacing w:line="220" w:lineRule="exact"/>
                    <w:jc w:val="center"/>
                    <w:rPr>
                      <w:rFonts w:hint="eastAsia" w:ascii="Times New Roman" w:hAnsi="Times New Roman" w:cs="Times New Roman"/>
                      <w:color w:val="auto"/>
                      <w:spacing w:val="-17"/>
                      <w:kern w:val="2"/>
                      <w:sz w:val="18"/>
                      <w:szCs w:val="18"/>
                      <w:lang w:val="en-US" w:eastAsia="zh-CN" w:bidi="ar-SA"/>
                    </w:rPr>
                  </w:pPr>
                </w:p>
              </w:tc>
              <w:tc>
                <w:tcPr>
                  <w:tcW w:w="318" w:type="pct"/>
                  <w:vMerge w:val="continue"/>
                  <w:vAlign w:val="center"/>
                </w:tcPr>
                <w:p w14:paraId="21C02BCC">
                  <w:pPr>
                    <w:spacing w:line="220" w:lineRule="exact"/>
                    <w:jc w:val="center"/>
                    <w:rPr>
                      <w:rFonts w:hint="eastAsia" w:ascii="Times New Roman" w:hAnsi="Times New Roman" w:cs="Times New Roman"/>
                      <w:color w:val="auto"/>
                      <w:spacing w:val="-17"/>
                      <w:sz w:val="18"/>
                      <w:szCs w:val="18"/>
                      <w:lang w:val="en-US" w:eastAsia="zh-CN"/>
                    </w:rPr>
                  </w:pPr>
                </w:p>
              </w:tc>
              <w:tc>
                <w:tcPr>
                  <w:tcW w:w="534" w:type="pct"/>
                  <w:vMerge w:val="continue"/>
                  <w:vAlign w:val="center"/>
                </w:tcPr>
                <w:p w14:paraId="3931836B">
                  <w:pPr>
                    <w:spacing w:line="220" w:lineRule="exact"/>
                    <w:jc w:val="center"/>
                    <w:rPr>
                      <w:rFonts w:ascii="Times New Roman" w:hAnsi="Times New Roman" w:eastAsia="宋体" w:cs="Times New Roman"/>
                      <w:color w:val="auto"/>
                      <w:spacing w:val="-17"/>
                      <w:sz w:val="18"/>
                      <w:szCs w:val="18"/>
                    </w:rPr>
                  </w:pPr>
                </w:p>
              </w:tc>
              <w:tc>
                <w:tcPr>
                  <w:tcW w:w="201" w:type="pct"/>
                  <w:vMerge w:val="continue"/>
                  <w:vAlign w:val="center"/>
                </w:tcPr>
                <w:p w14:paraId="013B6A9B">
                  <w:pPr>
                    <w:spacing w:line="220" w:lineRule="exact"/>
                    <w:jc w:val="center"/>
                    <w:rPr>
                      <w:color w:val="auto"/>
                      <w:spacing w:val="-17"/>
                      <w:sz w:val="18"/>
                      <w:szCs w:val="18"/>
                    </w:rPr>
                  </w:pPr>
                </w:p>
              </w:tc>
              <w:tc>
                <w:tcPr>
                  <w:tcW w:w="215" w:type="pct"/>
                  <w:vMerge w:val="continue"/>
                  <w:vAlign w:val="center"/>
                </w:tcPr>
                <w:p w14:paraId="0789B85B">
                  <w:pPr>
                    <w:spacing w:line="220" w:lineRule="exact"/>
                    <w:jc w:val="center"/>
                    <w:rPr>
                      <w:rFonts w:hint="default" w:ascii="Times New Roman" w:hAnsi="Times New Roman" w:eastAsia="宋体" w:cs="Times New Roman"/>
                      <w:color w:val="auto"/>
                      <w:spacing w:val="-20"/>
                      <w:sz w:val="18"/>
                      <w:szCs w:val="18"/>
                    </w:rPr>
                  </w:pPr>
                </w:p>
              </w:tc>
              <w:tc>
                <w:tcPr>
                  <w:tcW w:w="249" w:type="pct"/>
                  <w:vMerge w:val="continue"/>
                  <w:vAlign w:val="center"/>
                </w:tcPr>
                <w:p w14:paraId="54953527">
                  <w:pPr>
                    <w:spacing w:line="220" w:lineRule="exact"/>
                    <w:jc w:val="center"/>
                    <w:rPr>
                      <w:rFonts w:hint="eastAsia"/>
                      <w:color w:val="auto"/>
                      <w:spacing w:val="-17"/>
                      <w:sz w:val="18"/>
                      <w:szCs w:val="18"/>
                      <w:lang w:val="en-US" w:eastAsia="zh-CN"/>
                    </w:rPr>
                  </w:pPr>
                </w:p>
              </w:tc>
              <w:tc>
                <w:tcPr>
                  <w:tcW w:w="225" w:type="pct"/>
                  <w:vAlign w:val="center"/>
                </w:tcPr>
                <w:p w14:paraId="799C3AE6">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东</w:t>
                  </w:r>
                </w:p>
              </w:tc>
              <w:tc>
                <w:tcPr>
                  <w:tcW w:w="225" w:type="pct"/>
                  <w:vAlign w:val="center"/>
                </w:tcPr>
                <w:p w14:paraId="6E5BF23B">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南</w:t>
                  </w:r>
                </w:p>
              </w:tc>
              <w:tc>
                <w:tcPr>
                  <w:tcW w:w="225" w:type="pct"/>
                  <w:vAlign w:val="center"/>
                </w:tcPr>
                <w:p w14:paraId="16BA9B7C">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西</w:t>
                  </w:r>
                </w:p>
              </w:tc>
              <w:tc>
                <w:tcPr>
                  <w:tcW w:w="211" w:type="pct"/>
                  <w:vAlign w:val="center"/>
                </w:tcPr>
                <w:p w14:paraId="2B25011A">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北</w:t>
                  </w:r>
                </w:p>
              </w:tc>
              <w:tc>
                <w:tcPr>
                  <w:tcW w:w="215" w:type="pct"/>
                  <w:vAlign w:val="center"/>
                </w:tcPr>
                <w:p w14:paraId="6C99D2CF">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225" w:type="pct"/>
                  <w:vAlign w:val="center"/>
                </w:tcPr>
                <w:p w14:paraId="2B8413DB">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215" w:type="pct"/>
                  <w:vAlign w:val="center"/>
                </w:tcPr>
                <w:p w14:paraId="52CE452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205" w:type="pct"/>
                  <w:vAlign w:val="center"/>
                </w:tcPr>
                <w:p w14:paraId="3D58011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156" w:type="pct"/>
                  <w:vMerge w:val="continue"/>
                  <w:vAlign w:val="center"/>
                </w:tcPr>
                <w:p w14:paraId="3272FA3B">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264" w:type="pct"/>
                  <w:vMerge w:val="continue"/>
                  <w:vAlign w:val="center"/>
                </w:tcPr>
                <w:p w14:paraId="4C4D87E3">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196" w:type="pct"/>
                  <w:vAlign w:val="center"/>
                </w:tcPr>
                <w:p w14:paraId="440E64F2">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191" w:type="pct"/>
                  <w:vAlign w:val="center"/>
                </w:tcPr>
                <w:p w14:paraId="7E9A573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162" w:type="pct"/>
                  <w:vAlign w:val="center"/>
                </w:tcPr>
                <w:p w14:paraId="7260E96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186" w:type="pct"/>
                  <w:vAlign w:val="center"/>
                </w:tcPr>
                <w:p w14:paraId="31BC0256">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264" w:type="pct"/>
                  <w:vAlign w:val="center"/>
                </w:tcPr>
                <w:p w14:paraId="1F4EE23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建筑物外距离</w:t>
                  </w:r>
                </w:p>
              </w:tc>
            </w:tr>
            <w:tr w14:paraId="304BA37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5909D6C">
                  <w:pPr>
                    <w:spacing w:line="220" w:lineRule="exact"/>
                    <w:jc w:val="center"/>
                    <w:rPr>
                      <w:rFonts w:hint="default" w:ascii="Times New Roman" w:hAnsi="Times New Roman" w:eastAsia="宋体"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w:t>
                  </w:r>
                </w:p>
              </w:tc>
              <w:tc>
                <w:tcPr>
                  <w:tcW w:w="156" w:type="pct"/>
                  <w:vMerge w:val="restart"/>
                  <w:vAlign w:val="center"/>
                </w:tcPr>
                <w:p w14:paraId="52D9B6E7">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实验室大楼</w:t>
                  </w:r>
                </w:p>
              </w:tc>
              <w:tc>
                <w:tcPr>
                  <w:tcW w:w="318" w:type="pct"/>
                  <w:vMerge w:val="restart"/>
                  <w:vAlign w:val="center"/>
                </w:tcPr>
                <w:p w14:paraId="05A1D56B">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2楼理化二室</w:t>
                  </w:r>
                </w:p>
              </w:tc>
              <w:tc>
                <w:tcPr>
                  <w:tcW w:w="534" w:type="pct"/>
                  <w:vAlign w:val="center"/>
                </w:tcPr>
                <w:p w14:paraId="638B99A6">
                  <w:pPr>
                    <w:pStyle w:val="73"/>
                    <w:spacing w:line="220" w:lineRule="exact"/>
                    <w:jc w:val="center"/>
                    <w:rPr>
                      <w:rFonts w:hint="eastAsia" w:ascii="Times New Roman" w:hAnsi="Times New Roman"/>
                      <w:color w:val="auto"/>
                      <w:spacing w:val="-17"/>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隔膜真空泵</w:t>
                  </w:r>
                </w:p>
              </w:tc>
              <w:tc>
                <w:tcPr>
                  <w:tcW w:w="201" w:type="pct"/>
                  <w:vAlign w:val="center"/>
                </w:tcPr>
                <w:p w14:paraId="14ED922E">
                  <w:pPr>
                    <w:spacing w:line="220" w:lineRule="exact"/>
                    <w:jc w:val="center"/>
                    <w:rPr>
                      <w:rFonts w:hint="eastAsia"/>
                      <w:color w:val="auto"/>
                      <w:spacing w:val="-17"/>
                      <w:sz w:val="18"/>
                      <w:szCs w:val="18"/>
                      <w:highlight w:val="none"/>
                    </w:rPr>
                  </w:pPr>
                  <w:r>
                    <w:rPr>
                      <w:rFonts w:hint="eastAsia" w:ascii="Times New Roman" w:hAnsi="Times New Roman" w:cs="Times New Roman"/>
                      <w:color w:val="auto"/>
                      <w:spacing w:val="-17"/>
                      <w:sz w:val="18"/>
                      <w:szCs w:val="18"/>
                      <w:highlight w:val="none"/>
                      <w:lang w:val="en-US" w:eastAsia="zh-CN"/>
                    </w:rPr>
                    <w:t>1</w:t>
                  </w:r>
                </w:p>
              </w:tc>
              <w:tc>
                <w:tcPr>
                  <w:tcW w:w="215" w:type="pct"/>
                  <w:vAlign w:val="center"/>
                </w:tcPr>
                <w:p w14:paraId="7E222FEB">
                  <w:pPr>
                    <w:pStyle w:val="73"/>
                    <w:spacing w:line="220" w:lineRule="exact"/>
                    <w:jc w:val="center"/>
                    <w:rPr>
                      <w:rFonts w:hint="default"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65</w:t>
                  </w:r>
                </w:p>
              </w:tc>
              <w:tc>
                <w:tcPr>
                  <w:tcW w:w="249" w:type="pct"/>
                  <w:vMerge w:val="restart"/>
                  <w:vAlign w:val="center"/>
                </w:tcPr>
                <w:p w14:paraId="0ED2D41B">
                  <w:pPr>
                    <w:spacing w:line="220" w:lineRule="exact"/>
                    <w:jc w:val="center"/>
                    <w:rPr>
                      <w:rFonts w:hint="eastAsia" w:ascii="Times New Roman" w:hAnsi="Times New Roman" w:eastAsia="宋体" w:cs="Times New Roman"/>
                      <w:color w:val="auto"/>
                      <w:spacing w:val="-17"/>
                      <w:kern w:val="2"/>
                      <w:sz w:val="18"/>
                      <w:szCs w:val="18"/>
                      <w:lang w:val="en-US" w:eastAsia="zh-CN" w:bidi="ar-SA"/>
                    </w:rPr>
                  </w:pPr>
                  <w:r>
                    <w:rPr>
                      <w:rFonts w:hint="eastAsia"/>
                      <w:color w:val="auto"/>
                      <w:spacing w:val="-17"/>
                      <w:sz w:val="18"/>
                      <w:szCs w:val="18"/>
                      <w:lang w:val="en-US" w:eastAsia="zh-CN"/>
                    </w:rPr>
                    <w:t>低噪声设备，实验室设备室内布置，风机设置消声装置</w:t>
                  </w:r>
                </w:p>
              </w:tc>
              <w:tc>
                <w:tcPr>
                  <w:tcW w:w="561" w:type="dxa"/>
                  <w:vAlign w:val="center"/>
                </w:tcPr>
                <w:p w14:paraId="6220F94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8.9</w:t>
                  </w:r>
                </w:p>
              </w:tc>
              <w:tc>
                <w:tcPr>
                  <w:tcW w:w="561" w:type="dxa"/>
                  <w:vAlign w:val="center"/>
                </w:tcPr>
                <w:p w14:paraId="39A0358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0F63F37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7.9</w:t>
                  </w:r>
                </w:p>
              </w:tc>
              <w:tc>
                <w:tcPr>
                  <w:tcW w:w="525" w:type="dxa"/>
                  <w:vAlign w:val="center"/>
                </w:tcPr>
                <w:p w14:paraId="6482CC0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22.1</w:t>
                  </w:r>
                </w:p>
              </w:tc>
              <w:tc>
                <w:tcPr>
                  <w:tcW w:w="536" w:type="dxa"/>
                  <w:vAlign w:val="center"/>
                </w:tcPr>
                <w:p w14:paraId="2E01A79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50.6</w:t>
                  </w:r>
                </w:p>
              </w:tc>
              <w:tc>
                <w:tcPr>
                  <w:tcW w:w="561" w:type="dxa"/>
                  <w:vAlign w:val="center"/>
                </w:tcPr>
                <w:p w14:paraId="36463FA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37" w:type="dxa"/>
                  <w:vAlign w:val="center"/>
                </w:tcPr>
                <w:p w14:paraId="6985ACC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50.6</w:t>
                  </w:r>
                </w:p>
              </w:tc>
              <w:tc>
                <w:tcPr>
                  <w:tcW w:w="512" w:type="dxa"/>
                  <w:vAlign w:val="center"/>
                </w:tcPr>
                <w:p w14:paraId="6148843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156" w:type="pct"/>
                  <w:vMerge w:val="restart"/>
                  <w:vAlign w:val="center"/>
                </w:tcPr>
                <w:p w14:paraId="0B4A388F">
                  <w:pPr>
                    <w:spacing w:line="220" w:lineRule="exact"/>
                    <w:jc w:val="center"/>
                    <w:rPr>
                      <w:rFonts w:hint="default" w:ascii="Times New Roman" w:hAnsi="Times New Roman" w:eastAsia="宋体" w:cs="Times New Roman"/>
                      <w:color w:val="auto"/>
                      <w:spacing w:val="-17"/>
                      <w:kern w:val="2"/>
                      <w:sz w:val="18"/>
                      <w:szCs w:val="18"/>
                      <w:lang w:val="en-US" w:eastAsia="zh-CN" w:bidi="ar-SA"/>
                    </w:rPr>
                  </w:pPr>
                  <w:r>
                    <w:rPr>
                      <w:rFonts w:hint="eastAsia" w:cs="Times New Roman"/>
                      <w:color w:val="auto"/>
                      <w:spacing w:val="-17"/>
                      <w:kern w:val="2"/>
                      <w:sz w:val="18"/>
                      <w:szCs w:val="18"/>
                      <w:lang w:val="en-US" w:eastAsia="zh-CN" w:bidi="ar-SA"/>
                    </w:rPr>
                    <w:t>白天</w:t>
                  </w:r>
                  <w:r>
                    <w:rPr>
                      <w:rFonts w:hint="eastAsia" w:ascii="Times New Roman" w:hAnsi="Times New Roman" w:eastAsia="宋体" w:cs="Times New Roman"/>
                      <w:color w:val="auto"/>
                      <w:spacing w:val="-17"/>
                      <w:kern w:val="2"/>
                      <w:sz w:val="18"/>
                      <w:szCs w:val="18"/>
                      <w:lang w:val="en-US" w:eastAsia="zh-CN" w:bidi="ar-SA"/>
                    </w:rPr>
                    <w:t>运行</w:t>
                  </w:r>
                </w:p>
              </w:tc>
              <w:tc>
                <w:tcPr>
                  <w:tcW w:w="659" w:type="dxa"/>
                  <w:vAlign w:val="center"/>
                </w:tcPr>
                <w:p w14:paraId="471A301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E480D4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24.6</w:t>
                  </w:r>
                </w:p>
              </w:tc>
              <w:tc>
                <w:tcPr>
                  <w:tcW w:w="475" w:type="dxa"/>
                  <w:vAlign w:val="center"/>
                </w:tcPr>
                <w:p w14:paraId="0974907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03" w:type="dxa"/>
                  <w:vAlign w:val="center"/>
                </w:tcPr>
                <w:p w14:paraId="1F81C1B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24.6</w:t>
                  </w:r>
                </w:p>
              </w:tc>
              <w:tc>
                <w:tcPr>
                  <w:tcW w:w="463" w:type="dxa"/>
                  <w:vAlign w:val="center"/>
                </w:tcPr>
                <w:p w14:paraId="6768085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658" w:type="dxa"/>
                  <w:vAlign w:val="center"/>
                </w:tcPr>
                <w:p w14:paraId="3F7CDB9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204A9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5ABA5B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w:t>
                  </w:r>
                </w:p>
              </w:tc>
              <w:tc>
                <w:tcPr>
                  <w:tcW w:w="156" w:type="pct"/>
                  <w:vMerge w:val="continue"/>
                  <w:vAlign w:val="center"/>
                </w:tcPr>
                <w:p w14:paraId="0AB533D8">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5D8427C8">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0FBB230B">
                  <w:pPr>
                    <w:pStyle w:val="73"/>
                    <w:spacing w:line="220" w:lineRule="exact"/>
                    <w:jc w:val="center"/>
                    <w:rPr>
                      <w:rFonts w:hint="default"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201" w:type="pct"/>
                  <w:shd w:val="clear" w:color="auto" w:fill="auto"/>
                  <w:vAlign w:val="center"/>
                </w:tcPr>
                <w:p w14:paraId="3B926BB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049FE9AD">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B6CB1D8">
                  <w:pPr>
                    <w:spacing w:line="220" w:lineRule="exact"/>
                    <w:jc w:val="center"/>
                    <w:rPr>
                      <w:rFonts w:hint="eastAsia"/>
                      <w:color w:val="auto"/>
                      <w:spacing w:val="-17"/>
                      <w:sz w:val="18"/>
                      <w:szCs w:val="18"/>
                      <w:lang w:val="en-US" w:eastAsia="zh-CN"/>
                    </w:rPr>
                  </w:pPr>
                </w:p>
              </w:tc>
              <w:tc>
                <w:tcPr>
                  <w:tcW w:w="561" w:type="dxa"/>
                  <w:vAlign w:val="center"/>
                </w:tcPr>
                <w:p w14:paraId="5C2AB24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355EF88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62B344A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8.6</w:t>
                  </w:r>
                </w:p>
              </w:tc>
              <w:tc>
                <w:tcPr>
                  <w:tcW w:w="525" w:type="dxa"/>
                  <w:vAlign w:val="center"/>
                </w:tcPr>
                <w:p w14:paraId="31C128A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22.0</w:t>
                  </w:r>
                </w:p>
              </w:tc>
              <w:tc>
                <w:tcPr>
                  <w:tcW w:w="536" w:type="dxa"/>
                  <w:vAlign w:val="center"/>
                </w:tcPr>
                <w:p w14:paraId="650FF27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61" w:type="dxa"/>
                  <w:vAlign w:val="center"/>
                </w:tcPr>
                <w:p w14:paraId="6F91DFF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07B1A04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12" w:type="dxa"/>
                  <w:vAlign w:val="center"/>
                </w:tcPr>
                <w:p w14:paraId="0FC0073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3C8A0C40">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06417EF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60C302E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75" w:type="dxa"/>
                  <w:vAlign w:val="center"/>
                </w:tcPr>
                <w:p w14:paraId="6A1BB06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392E06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63" w:type="dxa"/>
                  <w:vAlign w:val="center"/>
                </w:tcPr>
                <w:p w14:paraId="36CE1AC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4840C8F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3347D2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2B5A346">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3</w:t>
                  </w:r>
                </w:p>
              </w:tc>
              <w:tc>
                <w:tcPr>
                  <w:tcW w:w="156" w:type="pct"/>
                  <w:vMerge w:val="continue"/>
                  <w:vAlign w:val="center"/>
                </w:tcPr>
                <w:p w14:paraId="78666F49">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2C9B71D7">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1E8396C9">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台式低速离心机</w:t>
                  </w:r>
                </w:p>
              </w:tc>
              <w:tc>
                <w:tcPr>
                  <w:tcW w:w="201" w:type="pct"/>
                  <w:shd w:val="clear" w:color="auto" w:fill="auto"/>
                  <w:vAlign w:val="center"/>
                </w:tcPr>
                <w:p w14:paraId="179151A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0787FF7C">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4C0622A9">
                  <w:pPr>
                    <w:spacing w:line="220" w:lineRule="exact"/>
                    <w:jc w:val="center"/>
                    <w:rPr>
                      <w:rFonts w:hint="eastAsia"/>
                      <w:color w:val="auto"/>
                      <w:spacing w:val="-17"/>
                      <w:sz w:val="18"/>
                      <w:szCs w:val="18"/>
                      <w:lang w:val="en-US" w:eastAsia="zh-CN"/>
                    </w:rPr>
                  </w:pPr>
                </w:p>
              </w:tc>
              <w:tc>
                <w:tcPr>
                  <w:tcW w:w="561" w:type="dxa"/>
                  <w:vAlign w:val="center"/>
                </w:tcPr>
                <w:p w14:paraId="6482DD6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63D7490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348D632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9.4</w:t>
                  </w:r>
                </w:p>
              </w:tc>
              <w:tc>
                <w:tcPr>
                  <w:tcW w:w="525" w:type="dxa"/>
                  <w:vAlign w:val="center"/>
                </w:tcPr>
                <w:p w14:paraId="2A62093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22.1</w:t>
                  </w:r>
                </w:p>
              </w:tc>
              <w:tc>
                <w:tcPr>
                  <w:tcW w:w="536" w:type="dxa"/>
                  <w:vAlign w:val="center"/>
                </w:tcPr>
                <w:p w14:paraId="2B11F6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61" w:type="dxa"/>
                  <w:vAlign w:val="center"/>
                </w:tcPr>
                <w:p w14:paraId="69CD9A2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15B13BD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12" w:type="dxa"/>
                  <w:vAlign w:val="center"/>
                </w:tcPr>
                <w:p w14:paraId="178C026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0F43F1AA">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1AEBE88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9B41ED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75" w:type="dxa"/>
                  <w:vAlign w:val="center"/>
                </w:tcPr>
                <w:p w14:paraId="07BB2E4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5762ED0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63" w:type="dxa"/>
                  <w:vAlign w:val="center"/>
                </w:tcPr>
                <w:p w14:paraId="15A1FF0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373291D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7A7B11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E1D5AED">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4</w:t>
                  </w:r>
                </w:p>
              </w:tc>
              <w:tc>
                <w:tcPr>
                  <w:tcW w:w="156" w:type="pct"/>
                  <w:vMerge w:val="continue"/>
                  <w:vAlign w:val="center"/>
                </w:tcPr>
                <w:p w14:paraId="4008AE1B">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6C1F7D5F">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40C9970F">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磁力搅拌器</w:t>
                  </w:r>
                </w:p>
              </w:tc>
              <w:tc>
                <w:tcPr>
                  <w:tcW w:w="201" w:type="pct"/>
                  <w:shd w:val="clear" w:color="auto" w:fill="auto"/>
                  <w:vAlign w:val="center"/>
                </w:tcPr>
                <w:p w14:paraId="5AA78222">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7A7EC62F">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70B4FE5F">
                  <w:pPr>
                    <w:spacing w:line="220" w:lineRule="exact"/>
                    <w:jc w:val="center"/>
                    <w:rPr>
                      <w:rFonts w:hint="eastAsia"/>
                      <w:color w:val="auto"/>
                      <w:spacing w:val="-17"/>
                      <w:sz w:val="18"/>
                      <w:szCs w:val="18"/>
                      <w:lang w:val="en-US" w:eastAsia="zh-CN"/>
                    </w:rPr>
                  </w:pPr>
                </w:p>
              </w:tc>
              <w:tc>
                <w:tcPr>
                  <w:tcW w:w="561" w:type="dxa"/>
                  <w:vAlign w:val="center"/>
                </w:tcPr>
                <w:p w14:paraId="6500BD0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17717CD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2E968F9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10.2</w:t>
                  </w:r>
                </w:p>
              </w:tc>
              <w:tc>
                <w:tcPr>
                  <w:tcW w:w="525" w:type="dxa"/>
                  <w:vAlign w:val="center"/>
                </w:tcPr>
                <w:p w14:paraId="2AB2D75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22.0</w:t>
                  </w:r>
                </w:p>
              </w:tc>
              <w:tc>
                <w:tcPr>
                  <w:tcW w:w="536" w:type="dxa"/>
                  <w:vAlign w:val="center"/>
                </w:tcPr>
                <w:p w14:paraId="6AF0CB4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477E6A3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3B50EB5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34BF2BD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663CF0F8">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2FC1057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517672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58DAF27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4898D8F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2F1B84F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308D57C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89968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4F1D2687">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5</w:t>
                  </w:r>
                </w:p>
              </w:tc>
              <w:tc>
                <w:tcPr>
                  <w:tcW w:w="156" w:type="pct"/>
                  <w:vMerge w:val="continue"/>
                  <w:vAlign w:val="center"/>
                </w:tcPr>
                <w:p w14:paraId="12221B95">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317F20E6">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595D8EE7">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超声波清洗机</w:t>
                  </w:r>
                </w:p>
              </w:tc>
              <w:tc>
                <w:tcPr>
                  <w:tcW w:w="201" w:type="pct"/>
                  <w:shd w:val="clear" w:color="auto" w:fill="auto"/>
                  <w:vAlign w:val="center"/>
                </w:tcPr>
                <w:p w14:paraId="371FB269">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441CCB9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101A31B0">
                  <w:pPr>
                    <w:spacing w:line="220" w:lineRule="exact"/>
                    <w:jc w:val="center"/>
                    <w:rPr>
                      <w:rFonts w:hint="eastAsia"/>
                      <w:color w:val="auto"/>
                      <w:spacing w:val="-17"/>
                      <w:sz w:val="18"/>
                      <w:szCs w:val="18"/>
                      <w:lang w:val="en-US" w:eastAsia="zh-CN"/>
                    </w:rPr>
                  </w:pPr>
                </w:p>
              </w:tc>
              <w:tc>
                <w:tcPr>
                  <w:tcW w:w="561" w:type="dxa"/>
                  <w:vAlign w:val="center"/>
                </w:tcPr>
                <w:p w14:paraId="710CCA8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3DE86B3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0D17DD3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25" w:type="dxa"/>
                  <w:vAlign w:val="center"/>
                </w:tcPr>
                <w:p w14:paraId="112F6E3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22.1</w:t>
                  </w:r>
                </w:p>
              </w:tc>
              <w:tc>
                <w:tcPr>
                  <w:tcW w:w="536" w:type="dxa"/>
                  <w:vAlign w:val="center"/>
                </w:tcPr>
                <w:p w14:paraId="5DF542E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561" w:type="dxa"/>
                  <w:vAlign w:val="center"/>
                </w:tcPr>
                <w:p w14:paraId="020D576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3D5E64C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551765F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5F4BD0C">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E56359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03B4D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475" w:type="dxa"/>
                  <w:vAlign w:val="center"/>
                </w:tcPr>
                <w:p w14:paraId="5CC1DA9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1F64287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22BB216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43ADBD7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F5987F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75A1DF41">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6</w:t>
                  </w:r>
                </w:p>
              </w:tc>
              <w:tc>
                <w:tcPr>
                  <w:tcW w:w="156" w:type="pct"/>
                  <w:vMerge w:val="continue"/>
                  <w:vAlign w:val="center"/>
                </w:tcPr>
                <w:p w14:paraId="55747D2F">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7AA4A3DB">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509F7F57">
                  <w:pPr>
                    <w:pStyle w:val="73"/>
                    <w:spacing w:line="220" w:lineRule="exac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搅拌器</w:t>
                  </w:r>
                </w:p>
              </w:tc>
              <w:tc>
                <w:tcPr>
                  <w:tcW w:w="201" w:type="pct"/>
                  <w:shd w:val="clear" w:color="auto" w:fill="auto"/>
                  <w:vAlign w:val="center"/>
                </w:tcPr>
                <w:p w14:paraId="243C58C1">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590C060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68398381">
                  <w:pPr>
                    <w:spacing w:line="220" w:lineRule="exact"/>
                    <w:jc w:val="center"/>
                    <w:rPr>
                      <w:rFonts w:hint="eastAsia"/>
                      <w:color w:val="auto"/>
                      <w:spacing w:val="-17"/>
                      <w:sz w:val="18"/>
                      <w:szCs w:val="18"/>
                      <w:lang w:val="en-US" w:eastAsia="zh-CN"/>
                    </w:rPr>
                  </w:pPr>
                </w:p>
              </w:tc>
              <w:tc>
                <w:tcPr>
                  <w:tcW w:w="561" w:type="dxa"/>
                  <w:vAlign w:val="center"/>
                </w:tcPr>
                <w:p w14:paraId="74355AE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3A42FB2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10.9</w:t>
                  </w:r>
                </w:p>
              </w:tc>
              <w:tc>
                <w:tcPr>
                  <w:tcW w:w="561" w:type="dxa"/>
                  <w:vAlign w:val="center"/>
                </w:tcPr>
                <w:p w14:paraId="3EEE10D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11.7</w:t>
                  </w:r>
                </w:p>
              </w:tc>
              <w:tc>
                <w:tcPr>
                  <w:tcW w:w="525" w:type="dxa"/>
                  <w:vAlign w:val="center"/>
                </w:tcPr>
                <w:p w14:paraId="4BA0FCB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22.2</w:t>
                  </w:r>
                </w:p>
              </w:tc>
              <w:tc>
                <w:tcPr>
                  <w:tcW w:w="536" w:type="dxa"/>
                  <w:vAlign w:val="center"/>
                </w:tcPr>
                <w:p w14:paraId="0C09F92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4D2E113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182BE50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5DCA990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58F1BEF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294F49D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F7FDA5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01907B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55E1BD7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4FD17DF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79F6E2A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114D8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5AE391C">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7</w:t>
                  </w:r>
                </w:p>
              </w:tc>
              <w:tc>
                <w:tcPr>
                  <w:tcW w:w="156" w:type="pct"/>
                  <w:vMerge w:val="continue"/>
                  <w:vAlign w:val="center"/>
                </w:tcPr>
                <w:p w14:paraId="4A75EA9B">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594836D5">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1814CA9C">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消化炉</w:t>
                  </w:r>
                </w:p>
              </w:tc>
              <w:tc>
                <w:tcPr>
                  <w:tcW w:w="201" w:type="pct"/>
                  <w:shd w:val="clear" w:color="auto" w:fill="auto"/>
                  <w:vAlign w:val="center"/>
                </w:tcPr>
                <w:p w14:paraId="7524F40D">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4916117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w:t>
                  </w:r>
                </w:p>
              </w:tc>
              <w:tc>
                <w:tcPr>
                  <w:tcW w:w="249" w:type="pct"/>
                  <w:vMerge w:val="continue"/>
                  <w:vAlign w:val="center"/>
                </w:tcPr>
                <w:p w14:paraId="6CA051F4">
                  <w:pPr>
                    <w:spacing w:line="220" w:lineRule="exact"/>
                    <w:jc w:val="center"/>
                    <w:rPr>
                      <w:rFonts w:hint="eastAsia"/>
                      <w:color w:val="auto"/>
                      <w:spacing w:val="-17"/>
                      <w:sz w:val="18"/>
                      <w:szCs w:val="18"/>
                      <w:lang w:val="en-US" w:eastAsia="zh-CN"/>
                    </w:rPr>
                  </w:pPr>
                </w:p>
              </w:tc>
              <w:tc>
                <w:tcPr>
                  <w:tcW w:w="561" w:type="dxa"/>
                  <w:vAlign w:val="center"/>
                </w:tcPr>
                <w:p w14:paraId="205FF42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8.9</w:t>
                  </w:r>
                </w:p>
              </w:tc>
              <w:tc>
                <w:tcPr>
                  <w:tcW w:w="561" w:type="dxa"/>
                  <w:vAlign w:val="center"/>
                </w:tcPr>
                <w:p w14:paraId="4D9250F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10.9</w:t>
                  </w:r>
                </w:p>
              </w:tc>
              <w:tc>
                <w:tcPr>
                  <w:tcW w:w="561" w:type="dxa"/>
                  <w:vAlign w:val="center"/>
                </w:tcPr>
                <w:p w14:paraId="3EA8787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12.6</w:t>
                  </w:r>
                </w:p>
              </w:tc>
              <w:tc>
                <w:tcPr>
                  <w:tcW w:w="525" w:type="dxa"/>
                  <w:vAlign w:val="center"/>
                </w:tcPr>
                <w:p w14:paraId="002E639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22.2</w:t>
                  </w:r>
                </w:p>
              </w:tc>
              <w:tc>
                <w:tcPr>
                  <w:tcW w:w="536" w:type="dxa"/>
                  <w:vAlign w:val="center"/>
                </w:tcPr>
                <w:p w14:paraId="6CB17E2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35.6</w:t>
                  </w:r>
                </w:p>
              </w:tc>
              <w:tc>
                <w:tcPr>
                  <w:tcW w:w="561" w:type="dxa"/>
                  <w:vAlign w:val="center"/>
                </w:tcPr>
                <w:p w14:paraId="5311C19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37" w:type="dxa"/>
                  <w:vAlign w:val="center"/>
                </w:tcPr>
                <w:p w14:paraId="66CA45E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12" w:type="dxa"/>
                  <w:vAlign w:val="center"/>
                </w:tcPr>
                <w:p w14:paraId="0F56E3B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156" w:type="pct"/>
                  <w:vMerge w:val="continue"/>
                  <w:vAlign w:val="center"/>
                </w:tcPr>
                <w:p w14:paraId="49A7BB9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FE89CD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656DDB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9.6</w:t>
                  </w:r>
                </w:p>
              </w:tc>
              <w:tc>
                <w:tcPr>
                  <w:tcW w:w="475" w:type="dxa"/>
                  <w:vAlign w:val="center"/>
                </w:tcPr>
                <w:p w14:paraId="1B7B9DA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03" w:type="dxa"/>
                  <w:vAlign w:val="center"/>
                </w:tcPr>
                <w:p w14:paraId="1C7D1DC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63" w:type="dxa"/>
                  <w:vAlign w:val="center"/>
                </w:tcPr>
                <w:p w14:paraId="5D58868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658" w:type="dxa"/>
                  <w:vAlign w:val="center"/>
                </w:tcPr>
                <w:p w14:paraId="2A2A450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0EED0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2A1BC32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8</w:t>
                  </w:r>
                </w:p>
              </w:tc>
              <w:tc>
                <w:tcPr>
                  <w:tcW w:w="156" w:type="pct"/>
                  <w:vMerge w:val="continue"/>
                  <w:vAlign w:val="center"/>
                </w:tcPr>
                <w:p w14:paraId="4D213C13">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104AC463">
                  <w:pPr>
                    <w:spacing w:line="220" w:lineRule="exact"/>
                    <w:jc w:val="center"/>
                    <w:rPr>
                      <w:rFonts w:hint="eastAsia" w:cs="Times New Roman"/>
                      <w:color w:val="auto"/>
                      <w:spacing w:val="-17"/>
                      <w:kern w:val="2"/>
                      <w:sz w:val="18"/>
                      <w:szCs w:val="18"/>
                      <w:highlight w:val="none"/>
                      <w:lang w:val="en-US" w:eastAsia="zh-CN" w:bidi="ar-SA"/>
                    </w:rPr>
                  </w:pPr>
                </w:p>
              </w:tc>
              <w:tc>
                <w:tcPr>
                  <w:tcW w:w="534" w:type="pct"/>
                  <w:vAlign w:val="center"/>
                </w:tcPr>
                <w:p w14:paraId="2839E973">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低温水浴恒温振荡器</w:t>
                  </w:r>
                </w:p>
              </w:tc>
              <w:tc>
                <w:tcPr>
                  <w:tcW w:w="201" w:type="pct"/>
                  <w:shd w:val="clear" w:color="auto" w:fill="auto"/>
                  <w:vAlign w:val="center"/>
                </w:tcPr>
                <w:p w14:paraId="54EA7278">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19CED12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71160C1C">
                  <w:pPr>
                    <w:spacing w:line="220" w:lineRule="exact"/>
                    <w:jc w:val="center"/>
                    <w:rPr>
                      <w:rFonts w:hint="eastAsia"/>
                      <w:color w:val="auto"/>
                      <w:spacing w:val="-17"/>
                      <w:sz w:val="18"/>
                      <w:szCs w:val="18"/>
                      <w:lang w:val="en-US" w:eastAsia="zh-CN"/>
                    </w:rPr>
                  </w:pPr>
                </w:p>
              </w:tc>
              <w:tc>
                <w:tcPr>
                  <w:tcW w:w="561" w:type="dxa"/>
                  <w:vAlign w:val="center"/>
                </w:tcPr>
                <w:p w14:paraId="4E25EDF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8.8</w:t>
                  </w:r>
                </w:p>
              </w:tc>
              <w:tc>
                <w:tcPr>
                  <w:tcW w:w="561" w:type="dxa"/>
                  <w:vAlign w:val="center"/>
                </w:tcPr>
                <w:p w14:paraId="090A3B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11.0</w:t>
                  </w:r>
                </w:p>
              </w:tc>
              <w:tc>
                <w:tcPr>
                  <w:tcW w:w="561" w:type="dxa"/>
                  <w:vAlign w:val="center"/>
                </w:tcPr>
                <w:p w14:paraId="5A6ADC9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13.4</w:t>
                  </w:r>
                </w:p>
              </w:tc>
              <w:tc>
                <w:tcPr>
                  <w:tcW w:w="525" w:type="dxa"/>
                  <w:vAlign w:val="center"/>
                </w:tcPr>
                <w:p w14:paraId="07AD90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22.2</w:t>
                  </w:r>
                </w:p>
              </w:tc>
              <w:tc>
                <w:tcPr>
                  <w:tcW w:w="536" w:type="dxa"/>
                  <w:vAlign w:val="center"/>
                </w:tcPr>
                <w:p w14:paraId="47335D3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0C8CD79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6A7D3FD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3F2B1D3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0FDC1B82">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6D01652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690F4A1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4B8083E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131D065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7BE6B75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E07C71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83308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12EFB9A4">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9</w:t>
                  </w:r>
                </w:p>
              </w:tc>
              <w:tc>
                <w:tcPr>
                  <w:tcW w:w="156" w:type="pct"/>
                  <w:vMerge w:val="continue"/>
                  <w:vAlign w:val="center"/>
                </w:tcPr>
                <w:p w14:paraId="26BE4DCE">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restart"/>
                  <w:vAlign w:val="center"/>
                </w:tcPr>
                <w:p w14:paraId="7881CDB7">
                  <w:pPr>
                    <w:spacing w:line="220" w:lineRule="exact"/>
                    <w:jc w:val="center"/>
                    <w:rPr>
                      <w:rFonts w:hint="eastAsia"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2楼理化一室</w:t>
                  </w:r>
                </w:p>
              </w:tc>
              <w:tc>
                <w:tcPr>
                  <w:tcW w:w="534" w:type="pct"/>
                  <w:vAlign w:val="center"/>
                </w:tcPr>
                <w:p w14:paraId="37D2B086">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数显恒温测速磁力搅拌器</w:t>
                  </w:r>
                </w:p>
              </w:tc>
              <w:tc>
                <w:tcPr>
                  <w:tcW w:w="201" w:type="pct"/>
                  <w:shd w:val="clear" w:color="auto" w:fill="auto"/>
                  <w:vAlign w:val="center"/>
                </w:tcPr>
                <w:p w14:paraId="65AA235C">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16ACF02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08EC3EA9">
                  <w:pPr>
                    <w:spacing w:line="220" w:lineRule="exact"/>
                    <w:jc w:val="center"/>
                    <w:rPr>
                      <w:rFonts w:hint="eastAsia"/>
                      <w:color w:val="auto"/>
                      <w:spacing w:val="-17"/>
                      <w:sz w:val="18"/>
                      <w:szCs w:val="18"/>
                      <w:lang w:val="en-US" w:eastAsia="zh-CN"/>
                    </w:rPr>
                  </w:pPr>
                </w:p>
              </w:tc>
              <w:tc>
                <w:tcPr>
                  <w:tcW w:w="561" w:type="dxa"/>
                  <w:vAlign w:val="center"/>
                </w:tcPr>
                <w:p w14:paraId="0BEAC15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9.4</w:t>
                  </w:r>
                </w:p>
              </w:tc>
              <w:tc>
                <w:tcPr>
                  <w:tcW w:w="561" w:type="dxa"/>
                  <w:vAlign w:val="center"/>
                </w:tcPr>
                <w:p w14:paraId="432A6D2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10.2</w:t>
                  </w:r>
                </w:p>
              </w:tc>
              <w:tc>
                <w:tcPr>
                  <w:tcW w:w="561" w:type="dxa"/>
                  <w:vAlign w:val="center"/>
                </w:tcPr>
                <w:p w14:paraId="584CC7C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781DD2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23.0</w:t>
                  </w:r>
                </w:p>
              </w:tc>
              <w:tc>
                <w:tcPr>
                  <w:tcW w:w="536" w:type="dxa"/>
                  <w:vAlign w:val="center"/>
                </w:tcPr>
                <w:p w14:paraId="2E93F7A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3FA4CE1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2691E61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22F454A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7BE1639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5571C4D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798F8A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17C8A06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87070D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206654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011121A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69B025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2B67AFD">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10</w:t>
                  </w:r>
                </w:p>
              </w:tc>
              <w:tc>
                <w:tcPr>
                  <w:tcW w:w="156" w:type="pct"/>
                  <w:vMerge w:val="continue"/>
                  <w:vAlign w:val="center"/>
                </w:tcPr>
                <w:p w14:paraId="530CD10E">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058DC2C1">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4A3E8A50">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201" w:type="pct"/>
                  <w:shd w:val="clear" w:color="auto" w:fill="auto"/>
                  <w:vAlign w:val="center"/>
                </w:tcPr>
                <w:p w14:paraId="3D6F2267">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C5B0915">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1F4040DC">
                  <w:pPr>
                    <w:spacing w:line="220" w:lineRule="exact"/>
                    <w:jc w:val="center"/>
                    <w:rPr>
                      <w:rFonts w:hint="eastAsia"/>
                      <w:color w:val="auto"/>
                      <w:spacing w:val="-17"/>
                      <w:sz w:val="18"/>
                      <w:szCs w:val="18"/>
                      <w:lang w:val="en-US" w:eastAsia="zh-CN"/>
                    </w:rPr>
                  </w:pPr>
                </w:p>
              </w:tc>
              <w:tc>
                <w:tcPr>
                  <w:tcW w:w="561" w:type="dxa"/>
                  <w:vAlign w:val="center"/>
                </w:tcPr>
                <w:p w14:paraId="7BEB8ED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9.1</w:t>
                  </w:r>
                </w:p>
              </w:tc>
              <w:tc>
                <w:tcPr>
                  <w:tcW w:w="561" w:type="dxa"/>
                  <w:vAlign w:val="center"/>
                </w:tcPr>
                <w:p w14:paraId="3780231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10.6</w:t>
                  </w:r>
                </w:p>
              </w:tc>
              <w:tc>
                <w:tcPr>
                  <w:tcW w:w="561" w:type="dxa"/>
                  <w:vAlign w:val="center"/>
                </w:tcPr>
                <w:p w14:paraId="0699856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20.4</w:t>
                  </w:r>
                </w:p>
              </w:tc>
              <w:tc>
                <w:tcPr>
                  <w:tcW w:w="525" w:type="dxa"/>
                  <w:vAlign w:val="center"/>
                </w:tcPr>
                <w:p w14:paraId="4AA4D03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22.7</w:t>
                  </w:r>
                </w:p>
              </w:tc>
              <w:tc>
                <w:tcPr>
                  <w:tcW w:w="536" w:type="dxa"/>
                  <w:vAlign w:val="center"/>
                </w:tcPr>
                <w:p w14:paraId="5EC3F5B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74664A0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19F4B4C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49E196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734EB8D7">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05889D2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5BD09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05F01FA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45E48BD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3456C0F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CECB74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1086B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2B99AC8C">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11</w:t>
                  </w:r>
                </w:p>
              </w:tc>
              <w:tc>
                <w:tcPr>
                  <w:tcW w:w="156" w:type="pct"/>
                  <w:vMerge w:val="continue"/>
                  <w:vAlign w:val="center"/>
                </w:tcPr>
                <w:p w14:paraId="1AAC777D">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497B9B83">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3BC03BED">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201" w:type="pct"/>
                  <w:shd w:val="clear" w:color="auto" w:fill="auto"/>
                  <w:vAlign w:val="center"/>
                </w:tcPr>
                <w:p w14:paraId="7CB98B3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5C458D3">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0A367344">
                  <w:pPr>
                    <w:spacing w:line="220" w:lineRule="exact"/>
                    <w:jc w:val="center"/>
                    <w:rPr>
                      <w:rFonts w:hint="eastAsia"/>
                      <w:color w:val="auto"/>
                      <w:spacing w:val="-17"/>
                      <w:sz w:val="18"/>
                      <w:szCs w:val="18"/>
                      <w:lang w:val="en-US" w:eastAsia="zh-CN"/>
                    </w:rPr>
                  </w:pPr>
                </w:p>
              </w:tc>
              <w:tc>
                <w:tcPr>
                  <w:tcW w:w="561" w:type="dxa"/>
                  <w:vAlign w:val="center"/>
                </w:tcPr>
                <w:p w14:paraId="72BD161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8.4</w:t>
                  </w:r>
                </w:p>
              </w:tc>
              <w:tc>
                <w:tcPr>
                  <w:tcW w:w="561" w:type="dxa"/>
                  <w:vAlign w:val="center"/>
                </w:tcPr>
                <w:p w14:paraId="6E79872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11.3</w:t>
                  </w:r>
                </w:p>
              </w:tc>
              <w:tc>
                <w:tcPr>
                  <w:tcW w:w="561" w:type="dxa"/>
                  <w:vAlign w:val="center"/>
                </w:tcPr>
                <w:p w14:paraId="030FDEF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20.4</w:t>
                  </w:r>
                </w:p>
              </w:tc>
              <w:tc>
                <w:tcPr>
                  <w:tcW w:w="525" w:type="dxa"/>
                  <w:vAlign w:val="center"/>
                </w:tcPr>
                <w:p w14:paraId="77631C0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22.0</w:t>
                  </w:r>
                </w:p>
              </w:tc>
              <w:tc>
                <w:tcPr>
                  <w:tcW w:w="536" w:type="dxa"/>
                  <w:vAlign w:val="center"/>
                </w:tcPr>
                <w:p w14:paraId="72AD7E2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5BC5CA6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7977FAA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44E2518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0EEA9E81">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30D12D2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813A5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2C161E6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A97EA6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0820C86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7217B8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983EF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940349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12</w:t>
                  </w:r>
                </w:p>
              </w:tc>
              <w:tc>
                <w:tcPr>
                  <w:tcW w:w="156" w:type="pct"/>
                  <w:vMerge w:val="continue"/>
                  <w:vAlign w:val="center"/>
                </w:tcPr>
                <w:p w14:paraId="5E183938">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0DC3D486">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05C2BCF0">
                  <w:pPr>
                    <w:pStyle w:val="73"/>
                    <w:spacing w:line="220" w:lineRule="exact"/>
                    <w:jc w:val="center"/>
                    <w:rPr>
                      <w:rFonts w:hint="eastAsia" w:ascii="Times New Roman" w:hAnsi="Times New Roman" w:eastAsia="宋体" w:cs="Times New Roman"/>
                      <w:color w:val="auto"/>
                      <w:spacing w:val="-10"/>
                      <w:kern w:val="0"/>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翻转振荡器</w:t>
                  </w:r>
                </w:p>
              </w:tc>
              <w:tc>
                <w:tcPr>
                  <w:tcW w:w="201" w:type="pct"/>
                  <w:shd w:val="clear" w:color="auto" w:fill="auto"/>
                  <w:vAlign w:val="center"/>
                </w:tcPr>
                <w:p w14:paraId="0086D734">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5D94BA9">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14E98054">
                  <w:pPr>
                    <w:spacing w:line="220" w:lineRule="exact"/>
                    <w:jc w:val="center"/>
                    <w:rPr>
                      <w:rFonts w:hint="eastAsia"/>
                      <w:color w:val="auto"/>
                      <w:spacing w:val="-17"/>
                      <w:sz w:val="18"/>
                      <w:szCs w:val="18"/>
                      <w:lang w:val="en-US" w:eastAsia="zh-CN"/>
                    </w:rPr>
                  </w:pPr>
                </w:p>
              </w:tc>
              <w:tc>
                <w:tcPr>
                  <w:tcW w:w="561" w:type="dxa"/>
                  <w:vAlign w:val="center"/>
                </w:tcPr>
                <w:p w14:paraId="6EC0D4B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8.0</w:t>
                  </w:r>
                </w:p>
              </w:tc>
              <w:tc>
                <w:tcPr>
                  <w:tcW w:w="561" w:type="dxa"/>
                  <w:vAlign w:val="center"/>
                </w:tcPr>
                <w:p w14:paraId="5811E7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11.6</w:t>
                  </w:r>
                </w:p>
              </w:tc>
              <w:tc>
                <w:tcPr>
                  <w:tcW w:w="561" w:type="dxa"/>
                  <w:vAlign w:val="center"/>
                </w:tcPr>
                <w:p w14:paraId="0A6447E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698A958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21.6</w:t>
                  </w:r>
                </w:p>
              </w:tc>
              <w:tc>
                <w:tcPr>
                  <w:tcW w:w="536" w:type="dxa"/>
                  <w:vAlign w:val="center"/>
                </w:tcPr>
                <w:p w14:paraId="0FFC334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5D95083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34892D8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2874341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745EF4A6">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4B7CC26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F22585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40F6167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A07725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254E344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6AB46D6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ED61C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038062FE">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13</w:t>
                  </w:r>
                </w:p>
              </w:tc>
              <w:tc>
                <w:tcPr>
                  <w:tcW w:w="156" w:type="pct"/>
                  <w:vMerge w:val="continue"/>
                  <w:vAlign w:val="center"/>
                </w:tcPr>
                <w:p w14:paraId="196540CE">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4E0E85CD">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5D19B13F">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浸出水平振荡器</w:t>
                  </w:r>
                </w:p>
              </w:tc>
              <w:tc>
                <w:tcPr>
                  <w:tcW w:w="201" w:type="pct"/>
                  <w:shd w:val="clear" w:color="auto" w:fill="auto"/>
                  <w:vAlign w:val="center"/>
                </w:tcPr>
                <w:p w14:paraId="2F9089F4">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0C2DD30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708AB113">
                  <w:pPr>
                    <w:spacing w:line="220" w:lineRule="exact"/>
                    <w:jc w:val="center"/>
                    <w:rPr>
                      <w:rFonts w:hint="eastAsia"/>
                      <w:color w:val="auto"/>
                      <w:spacing w:val="-17"/>
                      <w:sz w:val="18"/>
                      <w:szCs w:val="18"/>
                      <w:lang w:val="en-US" w:eastAsia="zh-CN"/>
                    </w:rPr>
                  </w:pPr>
                </w:p>
              </w:tc>
              <w:tc>
                <w:tcPr>
                  <w:tcW w:w="561" w:type="dxa"/>
                  <w:vAlign w:val="center"/>
                </w:tcPr>
                <w:p w14:paraId="399FD33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7.4</w:t>
                  </w:r>
                </w:p>
              </w:tc>
              <w:tc>
                <w:tcPr>
                  <w:tcW w:w="561" w:type="dxa"/>
                  <w:vAlign w:val="center"/>
                </w:tcPr>
                <w:p w14:paraId="4DFDDB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12.2</w:t>
                  </w:r>
                </w:p>
              </w:tc>
              <w:tc>
                <w:tcPr>
                  <w:tcW w:w="561" w:type="dxa"/>
                  <w:vAlign w:val="center"/>
                </w:tcPr>
                <w:p w14:paraId="332E086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4187FC7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21.0</w:t>
                  </w:r>
                </w:p>
              </w:tc>
              <w:tc>
                <w:tcPr>
                  <w:tcW w:w="536" w:type="dxa"/>
                  <w:vAlign w:val="center"/>
                </w:tcPr>
                <w:p w14:paraId="7DEDB6C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40.6</w:t>
                  </w:r>
                </w:p>
              </w:tc>
              <w:tc>
                <w:tcPr>
                  <w:tcW w:w="561" w:type="dxa"/>
                  <w:vAlign w:val="center"/>
                </w:tcPr>
                <w:p w14:paraId="59129C6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1AC04BE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12" w:type="dxa"/>
                  <w:vAlign w:val="center"/>
                </w:tcPr>
                <w:p w14:paraId="53D25B0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3716469E">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F23F2A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0B95B44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14.6</w:t>
                  </w:r>
                </w:p>
              </w:tc>
              <w:tc>
                <w:tcPr>
                  <w:tcW w:w="475" w:type="dxa"/>
                  <w:vAlign w:val="center"/>
                </w:tcPr>
                <w:p w14:paraId="2610E35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53C56C3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63" w:type="dxa"/>
                  <w:vAlign w:val="center"/>
                </w:tcPr>
                <w:p w14:paraId="761E19C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4E35377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45FA3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48BEF889">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14</w:t>
                  </w:r>
                </w:p>
              </w:tc>
              <w:tc>
                <w:tcPr>
                  <w:tcW w:w="156" w:type="pct"/>
                  <w:vMerge w:val="continue"/>
                  <w:vAlign w:val="center"/>
                </w:tcPr>
                <w:p w14:paraId="78F3C452">
                  <w:pPr>
                    <w:spacing w:line="220" w:lineRule="exact"/>
                    <w:jc w:val="center"/>
                    <w:rPr>
                      <w:rFonts w:hint="eastAsia" w:cs="Times New Roman"/>
                      <w:color w:val="auto"/>
                      <w:spacing w:val="-17"/>
                      <w:kern w:val="2"/>
                      <w:sz w:val="18"/>
                      <w:szCs w:val="18"/>
                      <w:highlight w:val="none"/>
                      <w:lang w:val="en-US" w:eastAsia="zh-CN" w:bidi="ar-SA"/>
                    </w:rPr>
                  </w:pPr>
                </w:p>
              </w:tc>
              <w:tc>
                <w:tcPr>
                  <w:tcW w:w="318" w:type="pct"/>
                  <w:vMerge w:val="continue"/>
                  <w:vAlign w:val="center"/>
                </w:tcPr>
                <w:p w14:paraId="423FD9C9">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18CFC9FE">
                  <w:pPr>
                    <w:pStyle w:val="73"/>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超声波清洗器</w:t>
                  </w:r>
                </w:p>
              </w:tc>
              <w:tc>
                <w:tcPr>
                  <w:tcW w:w="201" w:type="pct"/>
                  <w:shd w:val="clear" w:color="auto" w:fill="auto"/>
                  <w:vAlign w:val="center"/>
                </w:tcPr>
                <w:p w14:paraId="48A779AD">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shd w:val="clear" w:color="auto" w:fill="auto"/>
                  <w:vAlign w:val="center"/>
                </w:tcPr>
                <w:p w14:paraId="54030FB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42F246D3">
                  <w:pPr>
                    <w:spacing w:line="220" w:lineRule="exact"/>
                    <w:jc w:val="center"/>
                    <w:rPr>
                      <w:rFonts w:hint="eastAsia"/>
                      <w:color w:val="auto"/>
                      <w:spacing w:val="-17"/>
                      <w:sz w:val="18"/>
                      <w:szCs w:val="18"/>
                      <w:lang w:val="en-US" w:eastAsia="zh-CN"/>
                    </w:rPr>
                  </w:pPr>
                </w:p>
              </w:tc>
              <w:tc>
                <w:tcPr>
                  <w:tcW w:w="561" w:type="dxa"/>
                  <w:vAlign w:val="center"/>
                </w:tcPr>
                <w:p w14:paraId="05956B9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6.7</w:t>
                  </w:r>
                </w:p>
              </w:tc>
              <w:tc>
                <w:tcPr>
                  <w:tcW w:w="561" w:type="dxa"/>
                  <w:vAlign w:val="center"/>
                </w:tcPr>
                <w:p w14:paraId="1F09C51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12.9</w:t>
                  </w:r>
                </w:p>
              </w:tc>
              <w:tc>
                <w:tcPr>
                  <w:tcW w:w="561" w:type="dxa"/>
                  <w:vAlign w:val="center"/>
                </w:tcPr>
                <w:p w14:paraId="1F8AEBC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25" w:type="dxa"/>
                  <w:vAlign w:val="center"/>
                </w:tcPr>
                <w:p w14:paraId="0567939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20.3</w:t>
                  </w:r>
                </w:p>
              </w:tc>
              <w:tc>
                <w:tcPr>
                  <w:tcW w:w="536" w:type="dxa"/>
                  <w:vAlign w:val="center"/>
                </w:tcPr>
                <w:p w14:paraId="0A36736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45.7</w:t>
                  </w:r>
                </w:p>
              </w:tc>
              <w:tc>
                <w:tcPr>
                  <w:tcW w:w="561" w:type="dxa"/>
                  <w:vAlign w:val="center"/>
                </w:tcPr>
                <w:p w14:paraId="7BCA498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7641471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237877B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01646A1">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1528615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07A58EC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19.7</w:t>
                  </w:r>
                </w:p>
              </w:tc>
              <w:tc>
                <w:tcPr>
                  <w:tcW w:w="475" w:type="dxa"/>
                  <w:vAlign w:val="center"/>
                </w:tcPr>
                <w:p w14:paraId="7C33A9C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25D9C14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22C5D26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17CB48B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6D7B5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F724833">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15</w:t>
                  </w:r>
                </w:p>
              </w:tc>
              <w:tc>
                <w:tcPr>
                  <w:tcW w:w="156" w:type="pct"/>
                  <w:vMerge w:val="continue"/>
                  <w:vAlign w:val="center"/>
                </w:tcPr>
                <w:p w14:paraId="3883592B">
                  <w:pPr>
                    <w:spacing w:line="220" w:lineRule="exact"/>
                    <w:jc w:val="center"/>
                    <w:rPr>
                      <w:rFonts w:hint="eastAsia" w:cs="Times New Roman"/>
                      <w:color w:val="auto"/>
                      <w:spacing w:val="-17"/>
                      <w:kern w:val="2"/>
                      <w:sz w:val="18"/>
                      <w:szCs w:val="18"/>
                      <w:highlight w:val="none"/>
                      <w:lang w:val="en-US" w:eastAsia="zh-CN" w:bidi="ar-SA"/>
                    </w:rPr>
                  </w:pPr>
                </w:p>
              </w:tc>
              <w:tc>
                <w:tcPr>
                  <w:tcW w:w="318" w:type="pct"/>
                  <w:shd w:val="clear" w:color="auto" w:fill="auto"/>
                  <w:vAlign w:val="center"/>
                </w:tcPr>
                <w:p w14:paraId="6F8C71B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2楼测油室</w:t>
                  </w:r>
                </w:p>
              </w:tc>
              <w:tc>
                <w:tcPr>
                  <w:tcW w:w="534" w:type="pct"/>
                  <w:shd w:val="clear" w:color="auto" w:fill="auto"/>
                  <w:vAlign w:val="center"/>
                </w:tcPr>
                <w:p w14:paraId="594D6120">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康氏振荡器</w:t>
                  </w:r>
                </w:p>
              </w:tc>
              <w:tc>
                <w:tcPr>
                  <w:tcW w:w="201" w:type="pct"/>
                  <w:shd w:val="clear" w:color="auto" w:fill="auto"/>
                  <w:vAlign w:val="center"/>
                </w:tcPr>
                <w:p w14:paraId="04497FDB">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6832578D">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4FA065CA">
                  <w:pPr>
                    <w:spacing w:line="220" w:lineRule="exact"/>
                    <w:jc w:val="center"/>
                    <w:rPr>
                      <w:rFonts w:hint="eastAsia"/>
                      <w:color w:val="auto"/>
                      <w:spacing w:val="-17"/>
                      <w:sz w:val="18"/>
                      <w:szCs w:val="18"/>
                      <w:lang w:val="en-US" w:eastAsia="zh-CN"/>
                    </w:rPr>
                  </w:pPr>
                </w:p>
              </w:tc>
              <w:tc>
                <w:tcPr>
                  <w:tcW w:w="561" w:type="dxa"/>
                  <w:vAlign w:val="center"/>
                </w:tcPr>
                <w:p w14:paraId="44F7545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16.5</w:t>
                  </w:r>
                </w:p>
              </w:tc>
              <w:tc>
                <w:tcPr>
                  <w:tcW w:w="561" w:type="dxa"/>
                  <w:vAlign w:val="center"/>
                </w:tcPr>
                <w:p w14:paraId="6560491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w:t>
                  </w:r>
                </w:p>
              </w:tc>
              <w:tc>
                <w:tcPr>
                  <w:tcW w:w="561" w:type="dxa"/>
                  <w:vAlign w:val="center"/>
                </w:tcPr>
                <w:p w14:paraId="70DD6AC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5.4</w:t>
                  </w:r>
                </w:p>
              </w:tc>
              <w:tc>
                <w:tcPr>
                  <w:tcW w:w="525" w:type="dxa"/>
                  <w:vAlign w:val="center"/>
                </w:tcPr>
                <w:p w14:paraId="4D57A3B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29.6</w:t>
                  </w:r>
                </w:p>
              </w:tc>
              <w:tc>
                <w:tcPr>
                  <w:tcW w:w="536" w:type="dxa"/>
                  <w:vAlign w:val="center"/>
                </w:tcPr>
                <w:p w14:paraId="47DE898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61" w:type="dxa"/>
                  <w:vAlign w:val="center"/>
                </w:tcPr>
                <w:p w14:paraId="319E7E7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41.2</w:t>
                  </w:r>
                </w:p>
              </w:tc>
              <w:tc>
                <w:tcPr>
                  <w:tcW w:w="537" w:type="dxa"/>
                  <w:vAlign w:val="center"/>
                </w:tcPr>
                <w:p w14:paraId="450E8DB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40.8</w:t>
                  </w:r>
                </w:p>
              </w:tc>
              <w:tc>
                <w:tcPr>
                  <w:tcW w:w="512" w:type="dxa"/>
                  <w:vAlign w:val="center"/>
                </w:tcPr>
                <w:p w14:paraId="3A18C28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0646AE2B">
                  <w:pPr>
                    <w:spacing w:line="220" w:lineRule="exact"/>
                    <w:jc w:val="center"/>
                    <w:rPr>
                      <w:rFonts w:hint="eastAsia" w:cs="Times New Roman"/>
                      <w:color w:val="auto"/>
                      <w:spacing w:val="-17"/>
                      <w:kern w:val="2"/>
                      <w:sz w:val="18"/>
                      <w:szCs w:val="18"/>
                      <w:lang w:val="en-US" w:eastAsia="zh-CN" w:bidi="ar-SA"/>
                    </w:rPr>
                  </w:pPr>
                </w:p>
              </w:tc>
              <w:tc>
                <w:tcPr>
                  <w:tcW w:w="659" w:type="dxa"/>
                  <w:vAlign w:val="center"/>
                </w:tcPr>
                <w:p w14:paraId="768706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308F21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75" w:type="dxa"/>
                  <w:vAlign w:val="center"/>
                </w:tcPr>
                <w:p w14:paraId="73F851A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15.2</w:t>
                  </w:r>
                </w:p>
              </w:tc>
              <w:tc>
                <w:tcPr>
                  <w:tcW w:w="403" w:type="dxa"/>
                  <w:vAlign w:val="center"/>
                </w:tcPr>
                <w:p w14:paraId="4F67012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14.8</w:t>
                  </w:r>
                </w:p>
              </w:tc>
              <w:tc>
                <w:tcPr>
                  <w:tcW w:w="463" w:type="dxa"/>
                  <w:vAlign w:val="center"/>
                </w:tcPr>
                <w:p w14:paraId="3BD53DB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51852A9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D0771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6102D652">
                  <w:pPr>
                    <w:spacing w:line="220" w:lineRule="exact"/>
                    <w:jc w:val="center"/>
                    <w:rPr>
                      <w:rFonts w:hint="default" w:ascii="Times New Roman" w:hAnsi="Times New Roman" w:eastAsia="宋体"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16</w:t>
                  </w:r>
                </w:p>
              </w:tc>
              <w:tc>
                <w:tcPr>
                  <w:tcW w:w="156" w:type="pct"/>
                  <w:vMerge w:val="continue"/>
                  <w:vAlign w:val="center"/>
                </w:tcPr>
                <w:p w14:paraId="49A6A3B4">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63ABFC2A">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2楼离子色谱室</w:t>
                  </w:r>
                </w:p>
              </w:tc>
              <w:tc>
                <w:tcPr>
                  <w:tcW w:w="534" w:type="pct"/>
                  <w:vAlign w:val="center"/>
                </w:tcPr>
                <w:p w14:paraId="7CB1474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隔膜真空泵</w:t>
                  </w:r>
                </w:p>
              </w:tc>
              <w:tc>
                <w:tcPr>
                  <w:tcW w:w="201" w:type="pct"/>
                  <w:vAlign w:val="center"/>
                </w:tcPr>
                <w:p w14:paraId="1523D0F2">
                  <w:pPr>
                    <w:spacing w:line="220" w:lineRule="exact"/>
                    <w:jc w:val="center"/>
                    <w:rPr>
                      <w:rFonts w:hint="eastAsia"/>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0B8C940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olor w:val="auto"/>
                      <w:spacing w:val="-17"/>
                      <w:sz w:val="18"/>
                      <w:szCs w:val="18"/>
                      <w:lang w:val="en-US" w:eastAsia="zh-CN"/>
                    </w:rPr>
                    <w:t>65</w:t>
                  </w:r>
                </w:p>
              </w:tc>
              <w:tc>
                <w:tcPr>
                  <w:tcW w:w="249" w:type="pct"/>
                  <w:vMerge w:val="continue"/>
                  <w:vAlign w:val="center"/>
                </w:tcPr>
                <w:p w14:paraId="094DC909">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2A3766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16.5</w:t>
                  </w:r>
                </w:p>
              </w:tc>
              <w:tc>
                <w:tcPr>
                  <w:tcW w:w="561" w:type="dxa"/>
                  <w:vAlign w:val="center"/>
                </w:tcPr>
                <w:p w14:paraId="0CF4F92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w:t>
                  </w:r>
                </w:p>
              </w:tc>
              <w:tc>
                <w:tcPr>
                  <w:tcW w:w="561" w:type="dxa"/>
                  <w:vAlign w:val="center"/>
                </w:tcPr>
                <w:p w14:paraId="0D49FF8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3.6</w:t>
                  </w:r>
                </w:p>
              </w:tc>
              <w:tc>
                <w:tcPr>
                  <w:tcW w:w="525" w:type="dxa"/>
                  <w:vAlign w:val="center"/>
                </w:tcPr>
                <w:p w14:paraId="5D1FCF2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29.5</w:t>
                  </w:r>
                </w:p>
              </w:tc>
              <w:tc>
                <w:tcPr>
                  <w:tcW w:w="536" w:type="dxa"/>
                  <w:vAlign w:val="center"/>
                </w:tcPr>
                <w:p w14:paraId="233871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61" w:type="dxa"/>
                  <w:vAlign w:val="center"/>
                </w:tcPr>
                <w:p w14:paraId="2131DD6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51.2</w:t>
                  </w:r>
                </w:p>
              </w:tc>
              <w:tc>
                <w:tcPr>
                  <w:tcW w:w="537" w:type="dxa"/>
                  <w:vAlign w:val="center"/>
                </w:tcPr>
                <w:p w14:paraId="22B716C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51.1</w:t>
                  </w:r>
                </w:p>
              </w:tc>
              <w:tc>
                <w:tcPr>
                  <w:tcW w:w="512" w:type="dxa"/>
                  <w:vAlign w:val="center"/>
                </w:tcPr>
                <w:p w14:paraId="2819F2F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156" w:type="pct"/>
                  <w:vMerge w:val="continue"/>
                  <w:vAlign w:val="center"/>
                </w:tcPr>
                <w:p w14:paraId="35089552">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074A63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755CF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75" w:type="dxa"/>
                  <w:vAlign w:val="center"/>
                </w:tcPr>
                <w:p w14:paraId="01E39C8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25.2</w:t>
                  </w:r>
                </w:p>
              </w:tc>
              <w:tc>
                <w:tcPr>
                  <w:tcW w:w="403" w:type="dxa"/>
                  <w:vAlign w:val="center"/>
                </w:tcPr>
                <w:p w14:paraId="5036CA7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25.1</w:t>
                  </w:r>
                </w:p>
              </w:tc>
              <w:tc>
                <w:tcPr>
                  <w:tcW w:w="463" w:type="dxa"/>
                  <w:vAlign w:val="center"/>
                </w:tcPr>
                <w:p w14:paraId="5A73CB3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658" w:type="dxa"/>
                  <w:vAlign w:val="center"/>
                </w:tcPr>
                <w:p w14:paraId="6C709DB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D8A27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FAAB36D">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17</w:t>
                  </w:r>
                </w:p>
              </w:tc>
              <w:tc>
                <w:tcPr>
                  <w:tcW w:w="156" w:type="pct"/>
                  <w:vMerge w:val="continue"/>
                  <w:vAlign w:val="center"/>
                </w:tcPr>
                <w:p w14:paraId="2D48A747">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restart"/>
                  <w:vAlign w:val="center"/>
                </w:tcPr>
                <w:p w14:paraId="6B910537">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2楼高温室</w:t>
                  </w:r>
                </w:p>
              </w:tc>
              <w:tc>
                <w:tcPr>
                  <w:tcW w:w="534" w:type="pct"/>
                  <w:vAlign w:val="center"/>
                </w:tcPr>
                <w:p w14:paraId="1F7A6EA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vAlign w:val="center"/>
                </w:tcPr>
                <w:p w14:paraId="09D3B350">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56E646AE">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6122FCF0">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2F3B7FC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33DC2A8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6D38809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14.2</w:t>
                  </w:r>
                </w:p>
              </w:tc>
              <w:tc>
                <w:tcPr>
                  <w:tcW w:w="525" w:type="dxa"/>
                  <w:vAlign w:val="center"/>
                </w:tcPr>
                <w:p w14:paraId="4AFA40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3735122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47FCBF6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46.0</w:t>
                  </w:r>
                </w:p>
              </w:tc>
              <w:tc>
                <w:tcPr>
                  <w:tcW w:w="537" w:type="dxa"/>
                  <w:vAlign w:val="center"/>
                </w:tcPr>
                <w:p w14:paraId="36F062F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266A586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852B14F">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A319CB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5C118E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2B8D36A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20.0</w:t>
                  </w:r>
                </w:p>
              </w:tc>
              <w:tc>
                <w:tcPr>
                  <w:tcW w:w="403" w:type="dxa"/>
                  <w:vAlign w:val="center"/>
                </w:tcPr>
                <w:p w14:paraId="070510D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337F2EB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9BA4B5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1918B2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C992BF7">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18</w:t>
                  </w:r>
                </w:p>
              </w:tc>
              <w:tc>
                <w:tcPr>
                  <w:tcW w:w="156" w:type="pct"/>
                  <w:vMerge w:val="continue"/>
                  <w:vAlign w:val="center"/>
                </w:tcPr>
                <w:p w14:paraId="34BC520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66C9231F">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478736A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shd w:val="clear" w:color="auto" w:fill="auto"/>
                  <w:vAlign w:val="center"/>
                </w:tcPr>
                <w:p w14:paraId="2A5B03A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50C103D3">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E5F9536">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793C334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15.4</w:t>
                  </w:r>
                </w:p>
              </w:tc>
              <w:tc>
                <w:tcPr>
                  <w:tcW w:w="561" w:type="dxa"/>
                  <w:vAlign w:val="center"/>
                </w:tcPr>
                <w:p w14:paraId="4107D7C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4.3</w:t>
                  </w:r>
                </w:p>
              </w:tc>
              <w:tc>
                <w:tcPr>
                  <w:tcW w:w="561" w:type="dxa"/>
                  <w:vAlign w:val="center"/>
                </w:tcPr>
                <w:p w14:paraId="70A4302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525" w:type="dxa"/>
                  <w:vAlign w:val="center"/>
                </w:tcPr>
                <w:p w14:paraId="0420DEB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28.9</w:t>
                  </w:r>
                </w:p>
              </w:tc>
              <w:tc>
                <w:tcPr>
                  <w:tcW w:w="536" w:type="dxa"/>
                  <w:vAlign w:val="center"/>
                </w:tcPr>
                <w:p w14:paraId="5784F80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1CE2FCD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45.9</w:t>
                  </w:r>
                </w:p>
              </w:tc>
              <w:tc>
                <w:tcPr>
                  <w:tcW w:w="537" w:type="dxa"/>
                  <w:vAlign w:val="center"/>
                </w:tcPr>
                <w:p w14:paraId="5AB20B0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5402E9E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67BC61BC">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ED5F05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0E7859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5866E95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19.9</w:t>
                  </w:r>
                </w:p>
              </w:tc>
              <w:tc>
                <w:tcPr>
                  <w:tcW w:w="403" w:type="dxa"/>
                  <w:vAlign w:val="center"/>
                </w:tcPr>
                <w:p w14:paraId="79F7927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1781AEB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0461970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022AF13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44F1A9A">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19</w:t>
                  </w:r>
                </w:p>
              </w:tc>
              <w:tc>
                <w:tcPr>
                  <w:tcW w:w="156" w:type="pct"/>
                  <w:vMerge w:val="continue"/>
                  <w:vAlign w:val="center"/>
                </w:tcPr>
                <w:p w14:paraId="31DE423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04957076">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32432E91">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shd w:val="clear" w:color="auto" w:fill="auto"/>
                  <w:vAlign w:val="center"/>
                </w:tcPr>
                <w:p w14:paraId="682AA26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24C1040E">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BFCF0B2">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414CE73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631C876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0BDCF0C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15.6</w:t>
                  </w:r>
                </w:p>
              </w:tc>
              <w:tc>
                <w:tcPr>
                  <w:tcW w:w="525" w:type="dxa"/>
                  <w:vAlign w:val="center"/>
                </w:tcPr>
                <w:p w14:paraId="732E92E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309AE75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2633148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46.0</w:t>
                  </w:r>
                </w:p>
              </w:tc>
              <w:tc>
                <w:tcPr>
                  <w:tcW w:w="537" w:type="dxa"/>
                  <w:vAlign w:val="center"/>
                </w:tcPr>
                <w:p w14:paraId="2AA700A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4421ABE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0A640EF2">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9C151E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4F07FCE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2B15345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20.0</w:t>
                  </w:r>
                </w:p>
              </w:tc>
              <w:tc>
                <w:tcPr>
                  <w:tcW w:w="403" w:type="dxa"/>
                  <w:vAlign w:val="center"/>
                </w:tcPr>
                <w:p w14:paraId="5AAB8D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42FA58A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FD1D7F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205138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58951581">
                  <w:pPr>
                    <w:spacing w:line="220" w:lineRule="exact"/>
                    <w:jc w:val="center"/>
                    <w:rPr>
                      <w:rFonts w:hint="default" w:ascii="Times New Roman" w:hAnsi="Times New Roman" w:eastAsia="宋体"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20</w:t>
                  </w:r>
                </w:p>
              </w:tc>
              <w:tc>
                <w:tcPr>
                  <w:tcW w:w="156" w:type="pct"/>
                  <w:vMerge w:val="continue"/>
                  <w:vAlign w:val="center"/>
                </w:tcPr>
                <w:p w14:paraId="6A8345BD">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C2F497F">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5B37948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电热鼓风干燥箱</w:t>
                  </w:r>
                </w:p>
              </w:tc>
              <w:tc>
                <w:tcPr>
                  <w:tcW w:w="201" w:type="pct"/>
                  <w:vAlign w:val="center"/>
                </w:tcPr>
                <w:p w14:paraId="5ABFAC00">
                  <w:pPr>
                    <w:spacing w:line="220" w:lineRule="exact"/>
                    <w:jc w:val="center"/>
                    <w:rPr>
                      <w:rFonts w:hint="eastAsia"/>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1A31A84E">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0A29F013">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594DE6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1FCC51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10FF820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16.2</w:t>
                  </w:r>
                </w:p>
              </w:tc>
              <w:tc>
                <w:tcPr>
                  <w:tcW w:w="525" w:type="dxa"/>
                  <w:vAlign w:val="center"/>
                </w:tcPr>
                <w:p w14:paraId="2781105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249D422C">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52E8E84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46.0</w:t>
                  </w:r>
                </w:p>
              </w:tc>
              <w:tc>
                <w:tcPr>
                  <w:tcW w:w="537" w:type="dxa"/>
                  <w:vAlign w:val="center"/>
                </w:tcPr>
                <w:p w14:paraId="067A971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1ED303D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769E2AB7">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1C1A7E5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28125CC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07884AA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20.0</w:t>
                  </w:r>
                </w:p>
              </w:tc>
              <w:tc>
                <w:tcPr>
                  <w:tcW w:w="403" w:type="dxa"/>
                  <w:vAlign w:val="center"/>
                </w:tcPr>
                <w:p w14:paraId="16AAA4C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431448F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C9F2B8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520C9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22A212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21</w:t>
                  </w:r>
                </w:p>
              </w:tc>
              <w:tc>
                <w:tcPr>
                  <w:tcW w:w="156" w:type="pct"/>
                  <w:vMerge w:val="continue"/>
                  <w:vAlign w:val="center"/>
                </w:tcPr>
                <w:p w14:paraId="2465ACD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8947389">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71B0D2E0">
                  <w:pPr>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马弗炉</w:t>
                  </w:r>
                </w:p>
              </w:tc>
              <w:tc>
                <w:tcPr>
                  <w:tcW w:w="201" w:type="pct"/>
                  <w:vAlign w:val="center"/>
                </w:tcPr>
                <w:p w14:paraId="39A47C94">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1FB4B739">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w:t>
                  </w:r>
                </w:p>
              </w:tc>
              <w:tc>
                <w:tcPr>
                  <w:tcW w:w="249" w:type="pct"/>
                  <w:vMerge w:val="continue"/>
                  <w:vAlign w:val="center"/>
                </w:tcPr>
                <w:p w14:paraId="1CE0A82D">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3AA605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73763AD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4.2</w:t>
                  </w:r>
                </w:p>
              </w:tc>
              <w:tc>
                <w:tcPr>
                  <w:tcW w:w="561" w:type="dxa"/>
                  <w:vAlign w:val="center"/>
                </w:tcPr>
                <w:p w14:paraId="78850F81">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16.6</w:t>
                  </w:r>
                </w:p>
              </w:tc>
              <w:tc>
                <w:tcPr>
                  <w:tcW w:w="525" w:type="dxa"/>
                  <w:vAlign w:val="center"/>
                </w:tcPr>
                <w:p w14:paraId="12C9323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29.0</w:t>
                  </w:r>
                </w:p>
              </w:tc>
              <w:tc>
                <w:tcPr>
                  <w:tcW w:w="536" w:type="dxa"/>
                  <w:vAlign w:val="center"/>
                </w:tcPr>
                <w:p w14:paraId="78A0895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61" w:type="dxa"/>
                  <w:vAlign w:val="center"/>
                </w:tcPr>
                <w:p w14:paraId="2EB68D2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36.0</w:t>
                  </w:r>
                </w:p>
              </w:tc>
              <w:tc>
                <w:tcPr>
                  <w:tcW w:w="537" w:type="dxa"/>
                  <w:vAlign w:val="center"/>
                </w:tcPr>
                <w:p w14:paraId="4E2EC27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512" w:type="dxa"/>
                  <w:vAlign w:val="center"/>
                </w:tcPr>
                <w:p w14:paraId="62E460F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35.5</w:t>
                  </w:r>
                </w:p>
              </w:tc>
              <w:tc>
                <w:tcPr>
                  <w:tcW w:w="156" w:type="pct"/>
                  <w:vMerge w:val="continue"/>
                  <w:vAlign w:val="center"/>
                </w:tcPr>
                <w:p w14:paraId="4CF00E2B">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1CCC0C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C9B96D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75" w:type="dxa"/>
                  <w:vAlign w:val="center"/>
                </w:tcPr>
                <w:p w14:paraId="37E19E3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10.0</w:t>
                  </w:r>
                </w:p>
              </w:tc>
              <w:tc>
                <w:tcPr>
                  <w:tcW w:w="403" w:type="dxa"/>
                  <w:vAlign w:val="center"/>
                </w:tcPr>
                <w:p w14:paraId="30CC634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463" w:type="dxa"/>
                  <w:vAlign w:val="center"/>
                </w:tcPr>
                <w:p w14:paraId="0B79573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9.5</w:t>
                  </w:r>
                </w:p>
              </w:tc>
              <w:tc>
                <w:tcPr>
                  <w:tcW w:w="658" w:type="dxa"/>
                  <w:vAlign w:val="center"/>
                </w:tcPr>
                <w:p w14:paraId="23F17C2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46424B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40D31784">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22</w:t>
                  </w:r>
                </w:p>
              </w:tc>
              <w:tc>
                <w:tcPr>
                  <w:tcW w:w="156" w:type="pct"/>
                  <w:vMerge w:val="continue"/>
                  <w:vAlign w:val="center"/>
                </w:tcPr>
                <w:p w14:paraId="1B06F11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10559C96">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3楼破碎间</w:t>
                  </w:r>
                </w:p>
              </w:tc>
              <w:tc>
                <w:tcPr>
                  <w:tcW w:w="534" w:type="pct"/>
                  <w:vAlign w:val="center"/>
                </w:tcPr>
                <w:p w14:paraId="2F2CF2D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土壤干燥箱</w:t>
                  </w:r>
                </w:p>
              </w:tc>
              <w:tc>
                <w:tcPr>
                  <w:tcW w:w="201" w:type="pct"/>
                  <w:vAlign w:val="center"/>
                </w:tcPr>
                <w:p w14:paraId="599A488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09637271">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4ABD0757">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55434D3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w:t>
                  </w:r>
                </w:p>
              </w:tc>
              <w:tc>
                <w:tcPr>
                  <w:tcW w:w="561" w:type="dxa"/>
                  <w:vAlign w:val="center"/>
                </w:tcPr>
                <w:p w14:paraId="3C00E6E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24.9</w:t>
                  </w:r>
                </w:p>
              </w:tc>
              <w:tc>
                <w:tcPr>
                  <w:tcW w:w="561" w:type="dxa"/>
                  <w:vAlign w:val="center"/>
                </w:tcPr>
                <w:p w14:paraId="2BAE4B1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9.9</w:t>
                  </w:r>
                </w:p>
              </w:tc>
              <w:tc>
                <w:tcPr>
                  <w:tcW w:w="525" w:type="dxa"/>
                  <w:vAlign w:val="center"/>
                </w:tcPr>
                <w:p w14:paraId="0CE3FDE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8.1</w:t>
                  </w:r>
                </w:p>
              </w:tc>
              <w:tc>
                <w:tcPr>
                  <w:tcW w:w="536" w:type="dxa"/>
                  <w:vAlign w:val="center"/>
                </w:tcPr>
                <w:p w14:paraId="31EB1B8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45.8</w:t>
                  </w:r>
                </w:p>
              </w:tc>
              <w:tc>
                <w:tcPr>
                  <w:tcW w:w="561" w:type="dxa"/>
                  <w:vAlign w:val="center"/>
                </w:tcPr>
                <w:p w14:paraId="23A9458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1B0350D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199765E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156" w:type="pct"/>
                  <w:vMerge w:val="continue"/>
                  <w:vAlign w:val="center"/>
                </w:tcPr>
                <w:p w14:paraId="4733EDC7">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3DEB4F7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E70505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19.8</w:t>
                  </w:r>
                </w:p>
              </w:tc>
              <w:tc>
                <w:tcPr>
                  <w:tcW w:w="475" w:type="dxa"/>
                  <w:vAlign w:val="center"/>
                </w:tcPr>
                <w:p w14:paraId="7194C72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4638989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6EA3F58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658" w:type="dxa"/>
                  <w:vAlign w:val="center"/>
                </w:tcPr>
                <w:p w14:paraId="4A4668A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bl>
          <w:p w14:paraId="031E3DFC">
            <w:pPr>
              <w:tabs>
                <w:tab w:val="left" w:pos="4253"/>
              </w:tabs>
              <w:spacing w:line="440" w:lineRule="exact"/>
              <w:jc w:val="center"/>
              <w:rPr>
                <w:b/>
                <w:color w:val="auto"/>
                <w:szCs w:val="21"/>
              </w:rPr>
            </w:pPr>
            <w:r>
              <w:rPr>
                <w:rFonts w:hint="eastAsia"/>
                <w:b/>
                <w:color w:val="auto"/>
                <w:szCs w:val="21"/>
                <w:lang w:val="en-US" w:eastAsia="zh-CN"/>
              </w:rPr>
              <w:t>续</w:t>
            </w:r>
            <w:r>
              <w:rPr>
                <w:b/>
                <w:color w:val="auto"/>
                <w:szCs w:val="21"/>
              </w:rPr>
              <w:t>表</w:t>
            </w:r>
            <w:r>
              <w:rPr>
                <w:rFonts w:hint="eastAsia"/>
                <w:b/>
                <w:color w:val="auto"/>
                <w:szCs w:val="21"/>
                <w:lang w:val="en-US" w:eastAsia="zh-CN"/>
              </w:rPr>
              <w:t>32</w:t>
            </w:r>
            <w:r>
              <w:rPr>
                <w:rFonts w:hint="eastAsia"/>
                <w:b/>
                <w:color w:val="auto"/>
                <w:szCs w:val="21"/>
              </w:rPr>
              <w:t xml:space="preserve">  </w:t>
            </w:r>
            <w:r>
              <w:rPr>
                <w:b/>
                <w:color w:val="auto"/>
                <w:szCs w:val="21"/>
              </w:rPr>
              <w:t>主要噪声源源强及治理情况表</w:t>
            </w:r>
          </w:p>
          <w:tbl>
            <w:tblPr>
              <w:tblStyle w:val="26"/>
              <w:tblW w:w="12434"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74"/>
              <w:gridCol w:w="390"/>
              <w:gridCol w:w="793"/>
              <w:gridCol w:w="1329"/>
              <w:gridCol w:w="500"/>
              <w:gridCol w:w="537"/>
              <w:gridCol w:w="621"/>
              <w:gridCol w:w="561"/>
              <w:gridCol w:w="561"/>
              <w:gridCol w:w="561"/>
              <w:gridCol w:w="525"/>
              <w:gridCol w:w="536"/>
              <w:gridCol w:w="561"/>
              <w:gridCol w:w="537"/>
              <w:gridCol w:w="512"/>
              <w:gridCol w:w="390"/>
              <w:gridCol w:w="659"/>
              <w:gridCol w:w="488"/>
              <w:gridCol w:w="475"/>
              <w:gridCol w:w="403"/>
              <w:gridCol w:w="463"/>
              <w:gridCol w:w="658"/>
            </w:tblGrid>
            <w:tr w14:paraId="7C2F01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6" w:hRule="exact"/>
                <w:jc w:val="center"/>
              </w:trPr>
              <w:tc>
                <w:tcPr>
                  <w:tcW w:w="150" w:type="pct"/>
                  <w:vMerge w:val="restart"/>
                  <w:vAlign w:val="center"/>
                </w:tcPr>
                <w:p w14:paraId="7563A949">
                  <w:pPr>
                    <w:spacing w:line="220" w:lineRule="exact"/>
                    <w:jc w:val="center"/>
                    <w:rPr>
                      <w:rFonts w:hint="eastAsia"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序号</w:t>
                  </w:r>
                </w:p>
              </w:tc>
              <w:tc>
                <w:tcPr>
                  <w:tcW w:w="156" w:type="pct"/>
                  <w:vMerge w:val="restart"/>
                  <w:vAlign w:val="center"/>
                </w:tcPr>
                <w:p w14:paraId="6EC01DF9">
                  <w:pPr>
                    <w:spacing w:line="220" w:lineRule="exact"/>
                    <w:jc w:val="center"/>
                    <w:rPr>
                      <w:rFonts w:hint="default" w:ascii="Times New Roman" w:hAnsi="Times New Roman" w:eastAsia="宋体" w:cs="Times New Roman"/>
                      <w:color w:val="auto"/>
                      <w:spacing w:val="-17"/>
                      <w:kern w:val="2"/>
                      <w:sz w:val="18"/>
                      <w:szCs w:val="18"/>
                      <w:lang w:val="en-US" w:eastAsia="zh-CN" w:bidi="ar-SA"/>
                    </w:rPr>
                  </w:pPr>
                  <w:r>
                    <w:rPr>
                      <w:rFonts w:hint="eastAsia" w:ascii="Times New Roman" w:hAnsi="Times New Roman" w:cs="Times New Roman"/>
                      <w:color w:val="auto"/>
                      <w:spacing w:val="-17"/>
                      <w:sz w:val="18"/>
                      <w:szCs w:val="18"/>
                      <w:lang w:val="en-US" w:eastAsia="zh-CN"/>
                    </w:rPr>
                    <w:t>建筑物名称</w:t>
                  </w:r>
                </w:p>
              </w:tc>
              <w:tc>
                <w:tcPr>
                  <w:tcW w:w="318" w:type="pct"/>
                  <w:vMerge w:val="restart"/>
                  <w:vAlign w:val="center"/>
                </w:tcPr>
                <w:p w14:paraId="6A9A11CC">
                  <w:pPr>
                    <w:spacing w:line="220" w:lineRule="exact"/>
                    <w:jc w:val="center"/>
                    <w:rPr>
                      <w:rFonts w:hint="default" w:ascii="Times New Roman" w:hAnsi="Times New Roman" w:eastAsia="宋体" w:cs="Times New Roman"/>
                      <w:color w:val="auto"/>
                      <w:spacing w:val="-17"/>
                      <w:sz w:val="18"/>
                      <w:szCs w:val="18"/>
                      <w:lang w:val="en-US" w:eastAsia="zh-CN"/>
                    </w:rPr>
                  </w:pPr>
                  <w:r>
                    <w:rPr>
                      <w:rFonts w:hint="eastAsia" w:cs="Times New Roman"/>
                      <w:color w:val="auto"/>
                      <w:spacing w:val="-17"/>
                      <w:sz w:val="18"/>
                      <w:szCs w:val="18"/>
                      <w:lang w:val="en-US" w:eastAsia="zh-CN"/>
                    </w:rPr>
                    <w:t>位置</w:t>
                  </w:r>
                </w:p>
              </w:tc>
              <w:tc>
                <w:tcPr>
                  <w:tcW w:w="534" w:type="pct"/>
                  <w:vMerge w:val="restart"/>
                  <w:vAlign w:val="center"/>
                </w:tcPr>
                <w:p w14:paraId="3EBE189D">
                  <w:pPr>
                    <w:spacing w:line="220" w:lineRule="exact"/>
                    <w:jc w:val="center"/>
                    <w:rPr>
                      <w:rFonts w:ascii="Times New Roman" w:hAnsi="Times New Roman" w:eastAsia="宋体" w:cs="Times New Roman"/>
                      <w:color w:val="auto"/>
                      <w:spacing w:val="-17"/>
                      <w:sz w:val="18"/>
                      <w:szCs w:val="18"/>
                    </w:rPr>
                  </w:pPr>
                  <w:r>
                    <w:rPr>
                      <w:rFonts w:ascii="Times New Roman" w:hAnsi="Times New Roman" w:eastAsia="宋体" w:cs="Times New Roman"/>
                      <w:color w:val="auto"/>
                      <w:spacing w:val="-17"/>
                      <w:sz w:val="18"/>
                      <w:szCs w:val="18"/>
                    </w:rPr>
                    <w:t>设备名称</w:t>
                  </w:r>
                </w:p>
              </w:tc>
              <w:tc>
                <w:tcPr>
                  <w:tcW w:w="201" w:type="pct"/>
                  <w:vMerge w:val="restart"/>
                  <w:vAlign w:val="center"/>
                </w:tcPr>
                <w:p w14:paraId="6717E972">
                  <w:pPr>
                    <w:spacing w:line="220" w:lineRule="exact"/>
                    <w:jc w:val="center"/>
                    <w:rPr>
                      <w:color w:val="auto"/>
                      <w:spacing w:val="-17"/>
                      <w:sz w:val="18"/>
                      <w:szCs w:val="18"/>
                    </w:rPr>
                  </w:pPr>
                  <w:r>
                    <w:rPr>
                      <w:color w:val="auto"/>
                      <w:spacing w:val="-17"/>
                      <w:sz w:val="18"/>
                      <w:szCs w:val="18"/>
                    </w:rPr>
                    <w:t>数量(台套)</w:t>
                  </w:r>
                </w:p>
              </w:tc>
              <w:tc>
                <w:tcPr>
                  <w:tcW w:w="215" w:type="pct"/>
                  <w:vMerge w:val="restart"/>
                  <w:vAlign w:val="center"/>
                </w:tcPr>
                <w:p w14:paraId="367A6B75">
                  <w:pPr>
                    <w:spacing w:line="220" w:lineRule="exact"/>
                    <w:jc w:val="center"/>
                    <w:rPr>
                      <w:color w:val="auto"/>
                      <w:spacing w:val="-17"/>
                      <w:sz w:val="18"/>
                      <w:szCs w:val="18"/>
                    </w:rPr>
                  </w:pPr>
                  <w:r>
                    <w:rPr>
                      <w:rFonts w:hint="default" w:ascii="Times New Roman" w:hAnsi="Times New Roman" w:eastAsia="宋体" w:cs="Times New Roman"/>
                      <w:color w:val="auto"/>
                      <w:spacing w:val="-20"/>
                      <w:sz w:val="18"/>
                      <w:szCs w:val="18"/>
                    </w:rPr>
                    <w:t>声源强度/dB（A）</w:t>
                  </w:r>
                </w:p>
              </w:tc>
              <w:tc>
                <w:tcPr>
                  <w:tcW w:w="249" w:type="pct"/>
                  <w:vMerge w:val="restart"/>
                  <w:vAlign w:val="center"/>
                </w:tcPr>
                <w:p w14:paraId="0D886441">
                  <w:pPr>
                    <w:spacing w:line="220" w:lineRule="exact"/>
                    <w:jc w:val="center"/>
                    <w:rPr>
                      <w:rFonts w:hint="default" w:eastAsia="宋体"/>
                      <w:color w:val="auto"/>
                      <w:spacing w:val="-17"/>
                      <w:sz w:val="18"/>
                      <w:szCs w:val="18"/>
                      <w:lang w:val="en-US" w:eastAsia="zh-CN"/>
                    </w:rPr>
                  </w:pPr>
                  <w:r>
                    <w:rPr>
                      <w:rFonts w:hint="eastAsia"/>
                      <w:color w:val="auto"/>
                      <w:spacing w:val="-17"/>
                      <w:sz w:val="18"/>
                      <w:szCs w:val="18"/>
                      <w:lang w:val="en-US" w:eastAsia="zh-CN"/>
                    </w:rPr>
                    <w:t>声源控制措施</w:t>
                  </w:r>
                </w:p>
              </w:tc>
              <w:tc>
                <w:tcPr>
                  <w:tcW w:w="887" w:type="pct"/>
                  <w:gridSpan w:val="4"/>
                  <w:vAlign w:val="center"/>
                </w:tcPr>
                <w:p w14:paraId="7D9C0919">
                  <w:pPr>
                    <w:pStyle w:val="73"/>
                    <w:spacing w:line="220" w:lineRule="exact"/>
                    <w:jc w:val="center"/>
                    <w:rPr>
                      <w:rFonts w:hint="eastAsia" w:ascii="Times New Roman" w:hAnsi="Times New Roman"/>
                      <w:color w:val="auto"/>
                      <w:spacing w:val="-17"/>
                      <w:sz w:val="18"/>
                      <w:szCs w:val="18"/>
                      <w:lang w:val="en-US" w:eastAsia="zh-CN"/>
                    </w:rPr>
                  </w:pPr>
                  <w:r>
                    <w:rPr>
                      <w:rFonts w:hint="default" w:ascii="Times New Roman" w:hAnsi="Times New Roman"/>
                      <w:color w:val="auto"/>
                      <w:spacing w:val="-17"/>
                      <w:sz w:val="18"/>
                      <w:szCs w:val="18"/>
                      <w:lang w:val="en-US" w:eastAsia="zh-CN"/>
                    </w:rPr>
                    <w:t>距室内边界距离/m</w:t>
                  </w:r>
                </w:p>
              </w:tc>
              <w:tc>
                <w:tcPr>
                  <w:tcW w:w="862" w:type="pct"/>
                  <w:gridSpan w:val="4"/>
                  <w:vAlign w:val="center"/>
                </w:tcPr>
                <w:p w14:paraId="59A5D009">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室内边界声级/dB(A)</w:t>
                  </w:r>
                </w:p>
              </w:tc>
              <w:tc>
                <w:tcPr>
                  <w:tcW w:w="156" w:type="pct"/>
                  <w:vMerge w:val="restart"/>
                  <w:vAlign w:val="center"/>
                </w:tcPr>
                <w:p w14:paraId="56C79475">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运行时段</w:t>
                  </w:r>
                </w:p>
              </w:tc>
              <w:tc>
                <w:tcPr>
                  <w:tcW w:w="264" w:type="pct"/>
                  <w:vMerge w:val="restart"/>
                  <w:vAlign w:val="center"/>
                </w:tcPr>
                <w:p w14:paraId="3CFAB1E9">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default" w:ascii="Times New Roman" w:hAnsi="Times New Roman" w:eastAsia="宋体" w:cs="Calibri"/>
                      <w:color w:val="auto"/>
                      <w:spacing w:val="-17"/>
                      <w:kern w:val="0"/>
                      <w:sz w:val="18"/>
                      <w:szCs w:val="18"/>
                      <w:lang w:val="en-US" w:eastAsia="zh-CN" w:bidi="ar-SA"/>
                    </w:rPr>
                    <w:t>建筑物插入损失 / dB(A)</w:t>
                  </w:r>
                </w:p>
              </w:tc>
              <w:tc>
                <w:tcPr>
                  <w:tcW w:w="1000" w:type="pct"/>
                  <w:gridSpan w:val="5"/>
                  <w:vAlign w:val="center"/>
                </w:tcPr>
                <w:p w14:paraId="5BE8B17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建筑物外噪声声压级/dB(A)</w:t>
                  </w:r>
                </w:p>
              </w:tc>
            </w:tr>
            <w:tr w14:paraId="5F90CC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43" w:hRule="exact"/>
                <w:jc w:val="center"/>
              </w:trPr>
              <w:tc>
                <w:tcPr>
                  <w:tcW w:w="150" w:type="pct"/>
                  <w:vMerge w:val="continue"/>
                  <w:vAlign w:val="center"/>
                </w:tcPr>
                <w:p w14:paraId="223A656A">
                  <w:pPr>
                    <w:spacing w:line="220" w:lineRule="exact"/>
                    <w:jc w:val="center"/>
                    <w:rPr>
                      <w:rFonts w:hint="eastAsia" w:cs="Times New Roman"/>
                      <w:color w:val="auto"/>
                      <w:spacing w:val="-17"/>
                      <w:sz w:val="18"/>
                      <w:szCs w:val="18"/>
                      <w:lang w:val="en-US" w:eastAsia="zh-CN"/>
                    </w:rPr>
                  </w:pPr>
                </w:p>
              </w:tc>
              <w:tc>
                <w:tcPr>
                  <w:tcW w:w="156" w:type="pct"/>
                  <w:vMerge w:val="continue"/>
                  <w:vAlign w:val="center"/>
                </w:tcPr>
                <w:p w14:paraId="5645CC57">
                  <w:pPr>
                    <w:spacing w:line="220" w:lineRule="exact"/>
                    <w:jc w:val="center"/>
                    <w:rPr>
                      <w:rFonts w:hint="eastAsia" w:ascii="Times New Roman" w:hAnsi="Times New Roman" w:cs="Times New Roman"/>
                      <w:color w:val="auto"/>
                      <w:spacing w:val="-17"/>
                      <w:kern w:val="2"/>
                      <w:sz w:val="18"/>
                      <w:szCs w:val="18"/>
                      <w:lang w:val="en-US" w:eastAsia="zh-CN" w:bidi="ar-SA"/>
                    </w:rPr>
                  </w:pPr>
                </w:p>
              </w:tc>
              <w:tc>
                <w:tcPr>
                  <w:tcW w:w="318" w:type="pct"/>
                  <w:vMerge w:val="continue"/>
                  <w:vAlign w:val="center"/>
                </w:tcPr>
                <w:p w14:paraId="42F31988">
                  <w:pPr>
                    <w:spacing w:line="220" w:lineRule="exact"/>
                    <w:jc w:val="center"/>
                    <w:rPr>
                      <w:rFonts w:hint="eastAsia" w:ascii="Times New Roman" w:hAnsi="Times New Roman" w:cs="Times New Roman"/>
                      <w:color w:val="auto"/>
                      <w:spacing w:val="-17"/>
                      <w:sz w:val="18"/>
                      <w:szCs w:val="18"/>
                      <w:lang w:val="en-US" w:eastAsia="zh-CN"/>
                    </w:rPr>
                  </w:pPr>
                </w:p>
              </w:tc>
              <w:tc>
                <w:tcPr>
                  <w:tcW w:w="534" w:type="pct"/>
                  <w:vMerge w:val="continue"/>
                  <w:vAlign w:val="center"/>
                </w:tcPr>
                <w:p w14:paraId="42C341AE">
                  <w:pPr>
                    <w:spacing w:line="220" w:lineRule="exact"/>
                    <w:jc w:val="center"/>
                    <w:rPr>
                      <w:rFonts w:ascii="Times New Roman" w:hAnsi="Times New Roman" w:eastAsia="宋体" w:cs="Times New Roman"/>
                      <w:color w:val="auto"/>
                      <w:spacing w:val="-17"/>
                      <w:sz w:val="18"/>
                      <w:szCs w:val="18"/>
                    </w:rPr>
                  </w:pPr>
                </w:p>
              </w:tc>
              <w:tc>
                <w:tcPr>
                  <w:tcW w:w="201" w:type="pct"/>
                  <w:vMerge w:val="continue"/>
                  <w:vAlign w:val="center"/>
                </w:tcPr>
                <w:p w14:paraId="44B69072">
                  <w:pPr>
                    <w:spacing w:line="220" w:lineRule="exact"/>
                    <w:jc w:val="center"/>
                    <w:rPr>
                      <w:color w:val="auto"/>
                      <w:spacing w:val="-17"/>
                      <w:sz w:val="18"/>
                      <w:szCs w:val="18"/>
                    </w:rPr>
                  </w:pPr>
                </w:p>
              </w:tc>
              <w:tc>
                <w:tcPr>
                  <w:tcW w:w="215" w:type="pct"/>
                  <w:vMerge w:val="continue"/>
                  <w:vAlign w:val="center"/>
                </w:tcPr>
                <w:p w14:paraId="0477717D">
                  <w:pPr>
                    <w:spacing w:line="220" w:lineRule="exact"/>
                    <w:jc w:val="center"/>
                    <w:rPr>
                      <w:rFonts w:hint="default" w:ascii="Times New Roman" w:hAnsi="Times New Roman" w:eastAsia="宋体" w:cs="Times New Roman"/>
                      <w:color w:val="auto"/>
                      <w:spacing w:val="-20"/>
                      <w:sz w:val="18"/>
                      <w:szCs w:val="18"/>
                    </w:rPr>
                  </w:pPr>
                </w:p>
              </w:tc>
              <w:tc>
                <w:tcPr>
                  <w:tcW w:w="249" w:type="pct"/>
                  <w:vMerge w:val="continue"/>
                  <w:vAlign w:val="center"/>
                </w:tcPr>
                <w:p w14:paraId="576DCDB7">
                  <w:pPr>
                    <w:spacing w:line="220" w:lineRule="exact"/>
                    <w:jc w:val="center"/>
                    <w:rPr>
                      <w:rFonts w:hint="eastAsia"/>
                      <w:color w:val="auto"/>
                      <w:spacing w:val="-17"/>
                      <w:sz w:val="18"/>
                      <w:szCs w:val="18"/>
                      <w:lang w:val="en-US" w:eastAsia="zh-CN"/>
                    </w:rPr>
                  </w:pPr>
                </w:p>
              </w:tc>
              <w:tc>
                <w:tcPr>
                  <w:tcW w:w="225" w:type="pct"/>
                  <w:vAlign w:val="center"/>
                </w:tcPr>
                <w:p w14:paraId="3D8BC634">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东</w:t>
                  </w:r>
                </w:p>
              </w:tc>
              <w:tc>
                <w:tcPr>
                  <w:tcW w:w="225" w:type="pct"/>
                  <w:vAlign w:val="center"/>
                </w:tcPr>
                <w:p w14:paraId="06755638">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南</w:t>
                  </w:r>
                </w:p>
              </w:tc>
              <w:tc>
                <w:tcPr>
                  <w:tcW w:w="225" w:type="pct"/>
                  <w:vAlign w:val="center"/>
                </w:tcPr>
                <w:p w14:paraId="29F793DA">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西</w:t>
                  </w:r>
                </w:p>
              </w:tc>
              <w:tc>
                <w:tcPr>
                  <w:tcW w:w="211" w:type="pct"/>
                  <w:vAlign w:val="center"/>
                </w:tcPr>
                <w:p w14:paraId="3850D3CD">
                  <w:pPr>
                    <w:pStyle w:val="73"/>
                    <w:spacing w:line="220" w:lineRule="exact"/>
                    <w:jc w:val="center"/>
                    <w:rPr>
                      <w:rFonts w:hint="eastAsia" w:ascii="Times New Roman" w:hAnsi="Times New Roman"/>
                      <w:color w:val="auto"/>
                      <w:spacing w:val="-17"/>
                      <w:sz w:val="18"/>
                      <w:szCs w:val="18"/>
                      <w:lang w:val="en-US" w:eastAsia="zh-CN"/>
                    </w:rPr>
                  </w:pPr>
                  <w:r>
                    <w:rPr>
                      <w:rFonts w:hint="eastAsia" w:ascii="Times New Roman" w:hAnsi="Times New Roman"/>
                      <w:color w:val="auto"/>
                      <w:spacing w:val="-17"/>
                      <w:sz w:val="18"/>
                      <w:szCs w:val="18"/>
                      <w:lang w:val="en-US" w:eastAsia="zh-CN"/>
                    </w:rPr>
                    <w:t>北</w:t>
                  </w:r>
                </w:p>
              </w:tc>
              <w:tc>
                <w:tcPr>
                  <w:tcW w:w="215" w:type="pct"/>
                  <w:vAlign w:val="center"/>
                </w:tcPr>
                <w:p w14:paraId="23443B8D">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225" w:type="pct"/>
                  <w:vAlign w:val="center"/>
                </w:tcPr>
                <w:p w14:paraId="60ED75D9">
                  <w:pPr>
                    <w:pStyle w:val="73"/>
                    <w:spacing w:line="220" w:lineRule="exact"/>
                    <w:jc w:val="center"/>
                    <w:rPr>
                      <w:rFonts w:hint="eastAsia"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215" w:type="pct"/>
                  <w:vAlign w:val="center"/>
                </w:tcPr>
                <w:p w14:paraId="3E7B770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205" w:type="pct"/>
                  <w:vAlign w:val="center"/>
                </w:tcPr>
                <w:p w14:paraId="0429A98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156" w:type="pct"/>
                  <w:vMerge w:val="continue"/>
                  <w:vAlign w:val="center"/>
                </w:tcPr>
                <w:p w14:paraId="6C34B3A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264" w:type="pct"/>
                  <w:vMerge w:val="continue"/>
                  <w:vAlign w:val="center"/>
                </w:tcPr>
                <w:p w14:paraId="477361AC">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p>
              </w:tc>
              <w:tc>
                <w:tcPr>
                  <w:tcW w:w="196" w:type="pct"/>
                  <w:vAlign w:val="center"/>
                </w:tcPr>
                <w:p w14:paraId="1D9F6BD6">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东</w:t>
                  </w:r>
                </w:p>
              </w:tc>
              <w:tc>
                <w:tcPr>
                  <w:tcW w:w="191" w:type="pct"/>
                  <w:vAlign w:val="center"/>
                </w:tcPr>
                <w:p w14:paraId="22C8D27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南</w:t>
                  </w:r>
                </w:p>
              </w:tc>
              <w:tc>
                <w:tcPr>
                  <w:tcW w:w="162" w:type="pct"/>
                  <w:vAlign w:val="center"/>
                </w:tcPr>
                <w:p w14:paraId="2C73F0D6">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西</w:t>
                  </w:r>
                </w:p>
              </w:tc>
              <w:tc>
                <w:tcPr>
                  <w:tcW w:w="186" w:type="pct"/>
                  <w:vAlign w:val="center"/>
                </w:tcPr>
                <w:p w14:paraId="3D3EAA3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北</w:t>
                  </w:r>
                </w:p>
              </w:tc>
              <w:tc>
                <w:tcPr>
                  <w:tcW w:w="264" w:type="pct"/>
                  <w:vAlign w:val="center"/>
                </w:tcPr>
                <w:p w14:paraId="6FC29C3E">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eastAsia="宋体" w:cs="Calibri"/>
                      <w:color w:val="auto"/>
                      <w:spacing w:val="-17"/>
                      <w:kern w:val="0"/>
                      <w:sz w:val="18"/>
                      <w:szCs w:val="18"/>
                      <w:lang w:val="en-US" w:eastAsia="zh-CN" w:bidi="ar-SA"/>
                    </w:rPr>
                    <w:t>建筑物外距离</w:t>
                  </w:r>
                </w:p>
              </w:tc>
            </w:tr>
            <w:tr w14:paraId="1E41C26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33FCB9A4">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23</w:t>
                  </w:r>
                </w:p>
              </w:tc>
              <w:tc>
                <w:tcPr>
                  <w:tcW w:w="156" w:type="pct"/>
                  <w:vMerge w:val="restart"/>
                  <w:vAlign w:val="center"/>
                </w:tcPr>
                <w:p w14:paraId="2E0955A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实验室大楼</w:t>
                  </w:r>
                </w:p>
              </w:tc>
              <w:tc>
                <w:tcPr>
                  <w:tcW w:w="318" w:type="pct"/>
                  <w:vMerge w:val="restart"/>
                  <w:vAlign w:val="center"/>
                </w:tcPr>
                <w:p w14:paraId="4CD3C8DB">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3楼破碎间</w:t>
                  </w:r>
                </w:p>
              </w:tc>
              <w:tc>
                <w:tcPr>
                  <w:tcW w:w="534" w:type="pct"/>
                  <w:vAlign w:val="center"/>
                </w:tcPr>
                <w:p w14:paraId="2F45CD0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土壤干燥箱</w:t>
                  </w:r>
                </w:p>
              </w:tc>
              <w:tc>
                <w:tcPr>
                  <w:tcW w:w="201" w:type="pct"/>
                  <w:vAlign w:val="center"/>
                </w:tcPr>
                <w:p w14:paraId="198DDB89">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344996D1">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restart"/>
                  <w:vAlign w:val="center"/>
                </w:tcPr>
                <w:p w14:paraId="16A54B92">
                  <w:pPr>
                    <w:pStyle w:val="73"/>
                    <w:spacing w:line="220" w:lineRule="exact"/>
                    <w:rPr>
                      <w:rFonts w:hint="eastAsia" w:ascii="Times New Roman" w:hAnsi="Times New Roman" w:eastAsia="宋体" w:cs="Times New Roman"/>
                      <w:color w:val="auto"/>
                      <w:spacing w:val="-17"/>
                      <w:kern w:val="2"/>
                      <w:sz w:val="18"/>
                      <w:szCs w:val="18"/>
                      <w:lang w:val="en-US" w:eastAsia="zh-CN" w:bidi="ar-SA"/>
                    </w:rPr>
                  </w:pPr>
                  <w:r>
                    <w:rPr>
                      <w:rFonts w:hint="eastAsia"/>
                      <w:color w:val="auto"/>
                      <w:spacing w:val="-17"/>
                      <w:sz w:val="18"/>
                      <w:szCs w:val="18"/>
                      <w:lang w:val="en-US" w:eastAsia="zh-CN"/>
                    </w:rPr>
                    <w:t>低噪声设备，实验室设备室内布置，风机设置消声装置</w:t>
                  </w:r>
                </w:p>
              </w:tc>
              <w:tc>
                <w:tcPr>
                  <w:tcW w:w="561" w:type="dxa"/>
                  <w:vAlign w:val="center"/>
                </w:tcPr>
                <w:p w14:paraId="3E7BE36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w:t>
                  </w:r>
                </w:p>
              </w:tc>
              <w:tc>
                <w:tcPr>
                  <w:tcW w:w="561" w:type="dxa"/>
                  <w:vAlign w:val="center"/>
                </w:tcPr>
                <w:p w14:paraId="45BCDA2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24.8</w:t>
                  </w:r>
                </w:p>
              </w:tc>
              <w:tc>
                <w:tcPr>
                  <w:tcW w:w="561" w:type="dxa"/>
                  <w:vAlign w:val="center"/>
                </w:tcPr>
                <w:p w14:paraId="1D64F50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10.5</w:t>
                  </w:r>
                </w:p>
              </w:tc>
              <w:tc>
                <w:tcPr>
                  <w:tcW w:w="525" w:type="dxa"/>
                  <w:vAlign w:val="center"/>
                </w:tcPr>
                <w:p w14:paraId="3288630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8.2</w:t>
                  </w:r>
                </w:p>
              </w:tc>
              <w:tc>
                <w:tcPr>
                  <w:tcW w:w="536" w:type="dxa"/>
                  <w:vAlign w:val="center"/>
                </w:tcPr>
                <w:p w14:paraId="4606B64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45.8</w:t>
                  </w:r>
                </w:p>
              </w:tc>
              <w:tc>
                <w:tcPr>
                  <w:tcW w:w="561" w:type="dxa"/>
                  <w:vAlign w:val="center"/>
                </w:tcPr>
                <w:p w14:paraId="2ADA9C8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13727BE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3160F7F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156" w:type="pct"/>
                  <w:vMerge w:val="restart"/>
                  <w:vAlign w:val="center"/>
                </w:tcPr>
                <w:p w14:paraId="1E82D686">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175573C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EE04C1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19.8</w:t>
                  </w:r>
                </w:p>
              </w:tc>
              <w:tc>
                <w:tcPr>
                  <w:tcW w:w="475" w:type="dxa"/>
                  <w:vAlign w:val="center"/>
                </w:tcPr>
                <w:p w14:paraId="46B0F0E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6959BAD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01B5E81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658" w:type="dxa"/>
                  <w:vAlign w:val="center"/>
                </w:tcPr>
                <w:p w14:paraId="66A80B8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B33EA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1672778B">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24</w:t>
                  </w:r>
                </w:p>
              </w:tc>
              <w:tc>
                <w:tcPr>
                  <w:tcW w:w="156" w:type="pct"/>
                  <w:vMerge w:val="continue"/>
                  <w:vAlign w:val="center"/>
                </w:tcPr>
                <w:p w14:paraId="1EC5614D">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3D889CAF">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40B6F041">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土壤干燥箱</w:t>
                  </w:r>
                </w:p>
              </w:tc>
              <w:tc>
                <w:tcPr>
                  <w:tcW w:w="201" w:type="pct"/>
                  <w:vAlign w:val="center"/>
                </w:tcPr>
                <w:p w14:paraId="2605CC5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743CFDE0">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52C54DE2">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66A09B2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w:t>
                  </w:r>
                </w:p>
              </w:tc>
              <w:tc>
                <w:tcPr>
                  <w:tcW w:w="561" w:type="dxa"/>
                  <w:vAlign w:val="center"/>
                </w:tcPr>
                <w:p w14:paraId="63E09A5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24.9</w:t>
                  </w:r>
                </w:p>
              </w:tc>
              <w:tc>
                <w:tcPr>
                  <w:tcW w:w="561" w:type="dxa"/>
                  <w:vAlign w:val="center"/>
                </w:tcPr>
                <w:p w14:paraId="0C8A8CC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11.3</w:t>
                  </w:r>
                </w:p>
              </w:tc>
              <w:tc>
                <w:tcPr>
                  <w:tcW w:w="525" w:type="dxa"/>
                  <w:vAlign w:val="center"/>
                </w:tcPr>
                <w:p w14:paraId="7015C61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8.1</w:t>
                  </w:r>
                </w:p>
              </w:tc>
              <w:tc>
                <w:tcPr>
                  <w:tcW w:w="536" w:type="dxa"/>
                  <w:vAlign w:val="center"/>
                </w:tcPr>
                <w:p w14:paraId="39BF693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45.8</w:t>
                  </w:r>
                </w:p>
              </w:tc>
              <w:tc>
                <w:tcPr>
                  <w:tcW w:w="561" w:type="dxa"/>
                  <w:vAlign w:val="center"/>
                </w:tcPr>
                <w:p w14:paraId="472FF45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41EB1B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44F8B09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45.6</w:t>
                  </w:r>
                </w:p>
              </w:tc>
              <w:tc>
                <w:tcPr>
                  <w:tcW w:w="156" w:type="pct"/>
                  <w:vMerge w:val="continue"/>
                  <w:vAlign w:val="center"/>
                </w:tcPr>
                <w:p w14:paraId="0CDEF4F9">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30079C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2FB4A4A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19.8</w:t>
                  </w:r>
                </w:p>
              </w:tc>
              <w:tc>
                <w:tcPr>
                  <w:tcW w:w="475" w:type="dxa"/>
                  <w:vAlign w:val="center"/>
                </w:tcPr>
                <w:p w14:paraId="0987B90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6BD3929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27129C5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19.6</w:t>
                  </w:r>
                </w:p>
              </w:tc>
              <w:tc>
                <w:tcPr>
                  <w:tcW w:w="658" w:type="dxa"/>
                  <w:vAlign w:val="center"/>
                </w:tcPr>
                <w:p w14:paraId="6AEB937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02D5B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7DE1EEA1">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25</w:t>
                  </w:r>
                </w:p>
              </w:tc>
              <w:tc>
                <w:tcPr>
                  <w:tcW w:w="156" w:type="pct"/>
                  <w:vMerge w:val="continue"/>
                  <w:vAlign w:val="center"/>
                </w:tcPr>
                <w:p w14:paraId="59FAF6EA">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D840282">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0461116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行星式球磨机</w:t>
                  </w:r>
                </w:p>
              </w:tc>
              <w:tc>
                <w:tcPr>
                  <w:tcW w:w="201" w:type="pct"/>
                  <w:vAlign w:val="center"/>
                </w:tcPr>
                <w:p w14:paraId="21F42751">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35578A5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w:t>
                  </w:r>
                </w:p>
              </w:tc>
              <w:tc>
                <w:tcPr>
                  <w:tcW w:w="249" w:type="pct"/>
                  <w:vMerge w:val="continue"/>
                  <w:vAlign w:val="center"/>
                </w:tcPr>
                <w:p w14:paraId="719519FE">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6D0E1F4A">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5.2</w:t>
                  </w:r>
                </w:p>
              </w:tc>
              <w:tc>
                <w:tcPr>
                  <w:tcW w:w="561" w:type="dxa"/>
                  <w:vAlign w:val="center"/>
                </w:tcPr>
                <w:p w14:paraId="0BE3ED2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25.0</w:t>
                  </w:r>
                </w:p>
              </w:tc>
              <w:tc>
                <w:tcPr>
                  <w:tcW w:w="561" w:type="dxa"/>
                  <w:vAlign w:val="center"/>
                </w:tcPr>
                <w:p w14:paraId="7B2B3E5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12.2</w:t>
                  </w:r>
                </w:p>
              </w:tc>
              <w:tc>
                <w:tcPr>
                  <w:tcW w:w="525" w:type="dxa"/>
                  <w:vAlign w:val="center"/>
                </w:tcPr>
                <w:p w14:paraId="5C94DD0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8.1</w:t>
                  </w:r>
                </w:p>
              </w:tc>
              <w:tc>
                <w:tcPr>
                  <w:tcW w:w="536" w:type="dxa"/>
                  <w:vAlign w:val="center"/>
                </w:tcPr>
                <w:p w14:paraId="4E00438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60.8</w:t>
                  </w:r>
                </w:p>
              </w:tc>
              <w:tc>
                <w:tcPr>
                  <w:tcW w:w="561" w:type="dxa"/>
                  <w:vAlign w:val="center"/>
                </w:tcPr>
                <w:p w14:paraId="7933A4F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60.5</w:t>
                  </w:r>
                </w:p>
              </w:tc>
              <w:tc>
                <w:tcPr>
                  <w:tcW w:w="537" w:type="dxa"/>
                  <w:vAlign w:val="center"/>
                </w:tcPr>
                <w:p w14:paraId="22FF21F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60.5</w:t>
                  </w:r>
                </w:p>
              </w:tc>
              <w:tc>
                <w:tcPr>
                  <w:tcW w:w="512" w:type="dxa"/>
                  <w:vAlign w:val="center"/>
                </w:tcPr>
                <w:p w14:paraId="022E4EE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60.6</w:t>
                  </w:r>
                </w:p>
              </w:tc>
              <w:tc>
                <w:tcPr>
                  <w:tcW w:w="156" w:type="pct"/>
                  <w:vMerge w:val="continue"/>
                  <w:vAlign w:val="center"/>
                </w:tcPr>
                <w:p w14:paraId="1E04748E">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E721FA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141AAF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34.8</w:t>
                  </w:r>
                </w:p>
              </w:tc>
              <w:tc>
                <w:tcPr>
                  <w:tcW w:w="475" w:type="dxa"/>
                  <w:vAlign w:val="center"/>
                </w:tcPr>
                <w:p w14:paraId="6435159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34.5</w:t>
                  </w:r>
                </w:p>
              </w:tc>
              <w:tc>
                <w:tcPr>
                  <w:tcW w:w="403" w:type="dxa"/>
                  <w:vAlign w:val="center"/>
                </w:tcPr>
                <w:p w14:paraId="5FB8DCA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34.5</w:t>
                  </w:r>
                </w:p>
              </w:tc>
              <w:tc>
                <w:tcPr>
                  <w:tcW w:w="463" w:type="dxa"/>
                  <w:vAlign w:val="center"/>
                </w:tcPr>
                <w:p w14:paraId="0EC51C0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34.6</w:t>
                  </w:r>
                </w:p>
              </w:tc>
              <w:tc>
                <w:tcPr>
                  <w:tcW w:w="658" w:type="dxa"/>
                  <w:vAlign w:val="center"/>
                </w:tcPr>
                <w:p w14:paraId="54020AC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6CBA48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exact"/>
                <w:jc w:val="center"/>
              </w:trPr>
              <w:tc>
                <w:tcPr>
                  <w:tcW w:w="150" w:type="pct"/>
                  <w:vAlign w:val="center"/>
                </w:tcPr>
                <w:p w14:paraId="65792F8F">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26</w:t>
                  </w:r>
                </w:p>
              </w:tc>
              <w:tc>
                <w:tcPr>
                  <w:tcW w:w="156" w:type="pct"/>
                  <w:vMerge w:val="continue"/>
                  <w:vAlign w:val="center"/>
                </w:tcPr>
                <w:p w14:paraId="1159150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2DFCED7F">
                  <w:pPr>
                    <w:spacing w:line="220" w:lineRule="exact"/>
                    <w:jc w:val="center"/>
                    <w:rPr>
                      <w:rFonts w:hint="eastAsia" w:ascii="Times New Roman" w:hAnsi="Times New Roman" w:cs="Times New Roman"/>
                      <w:color w:val="auto"/>
                      <w:spacing w:val="-17"/>
                      <w:kern w:val="2"/>
                      <w:sz w:val="18"/>
                      <w:szCs w:val="18"/>
                      <w:highlight w:val="none"/>
                      <w:lang w:val="en-US" w:eastAsia="zh-CN" w:bidi="ar-SA"/>
                    </w:rPr>
                  </w:pPr>
                </w:p>
              </w:tc>
              <w:tc>
                <w:tcPr>
                  <w:tcW w:w="534" w:type="pct"/>
                  <w:vAlign w:val="center"/>
                </w:tcPr>
                <w:p w14:paraId="7720E0BA">
                  <w:pPr>
                    <w:spacing w:line="22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鄂式破碎机</w:t>
                  </w:r>
                </w:p>
              </w:tc>
              <w:tc>
                <w:tcPr>
                  <w:tcW w:w="201" w:type="pct"/>
                  <w:vAlign w:val="center"/>
                </w:tcPr>
                <w:p w14:paraId="08AE43D9">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7BCE6A26">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80</w:t>
                  </w:r>
                </w:p>
              </w:tc>
              <w:tc>
                <w:tcPr>
                  <w:tcW w:w="249" w:type="pct"/>
                  <w:vMerge w:val="continue"/>
                  <w:vAlign w:val="center"/>
                </w:tcPr>
                <w:p w14:paraId="44389592">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30F7B05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6.2</w:t>
                  </w:r>
                </w:p>
              </w:tc>
              <w:tc>
                <w:tcPr>
                  <w:tcW w:w="561" w:type="dxa"/>
                  <w:vAlign w:val="center"/>
                </w:tcPr>
                <w:p w14:paraId="3E33E0B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26.0</w:t>
                  </w:r>
                </w:p>
              </w:tc>
              <w:tc>
                <w:tcPr>
                  <w:tcW w:w="561" w:type="dxa"/>
                  <w:vAlign w:val="center"/>
                </w:tcPr>
                <w:p w14:paraId="27931CF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12.2</w:t>
                  </w:r>
                </w:p>
              </w:tc>
              <w:tc>
                <w:tcPr>
                  <w:tcW w:w="525" w:type="dxa"/>
                  <w:vAlign w:val="center"/>
                </w:tcPr>
                <w:p w14:paraId="089DEF3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7.1</w:t>
                  </w:r>
                </w:p>
              </w:tc>
              <w:tc>
                <w:tcPr>
                  <w:tcW w:w="536" w:type="dxa"/>
                  <w:vAlign w:val="center"/>
                </w:tcPr>
                <w:p w14:paraId="393F4552">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65.7</w:t>
                  </w:r>
                </w:p>
              </w:tc>
              <w:tc>
                <w:tcPr>
                  <w:tcW w:w="561" w:type="dxa"/>
                  <w:vAlign w:val="center"/>
                </w:tcPr>
                <w:p w14:paraId="33A688F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65.5</w:t>
                  </w:r>
                </w:p>
              </w:tc>
              <w:tc>
                <w:tcPr>
                  <w:tcW w:w="537" w:type="dxa"/>
                  <w:vAlign w:val="center"/>
                </w:tcPr>
                <w:p w14:paraId="7B20DB6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65.5</w:t>
                  </w:r>
                </w:p>
              </w:tc>
              <w:tc>
                <w:tcPr>
                  <w:tcW w:w="512" w:type="dxa"/>
                  <w:vAlign w:val="center"/>
                </w:tcPr>
                <w:p w14:paraId="330C5DA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65.6</w:t>
                  </w:r>
                </w:p>
              </w:tc>
              <w:tc>
                <w:tcPr>
                  <w:tcW w:w="156" w:type="pct"/>
                  <w:vMerge w:val="continue"/>
                  <w:vAlign w:val="center"/>
                </w:tcPr>
                <w:p w14:paraId="6570EB91">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60D9B2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1C11EDF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39.7</w:t>
                  </w:r>
                </w:p>
              </w:tc>
              <w:tc>
                <w:tcPr>
                  <w:tcW w:w="475" w:type="dxa"/>
                  <w:vAlign w:val="center"/>
                </w:tcPr>
                <w:p w14:paraId="41159E6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39.5</w:t>
                  </w:r>
                </w:p>
              </w:tc>
              <w:tc>
                <w:tcPr>
                  <w:tcW w:w="403" w:type="dxa"/>
                  <w:vAlign w:val="center"/>
                </w:tcPr>
                <w:p w14:paraId="783BBB5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39.5</w:t>
                  </w:r>
                </w:p>
              </w:tc>
              <w:tc>
                <w:tcPr>
                  <w:tcW w:w="463" w:type="dxa"/>
                  <w:vAlign w:val="center"/>
                </w:tcPr>
                <w:p w14:paraId="2F826D6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39.6</w:t>
                  </w:r>
                </w:p>
              </w:tc>
              <w:tc>
                <w:tcPr>
                  <w:tcW w:w="658" w:type="dxa"/>
                  <w:vAlign w:val="center"/>
                </w:tcPr>
                <w:p w14:paraId="5EA97C1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BF05C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50" w:type="pct"/>
                  <w:vAlign w:val="center"/>
                </w:tcPr>
                <w:p w14:paraId="3CD4E55A">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27</w:t>
                  </w:r>
                </w:p>
              </w:tc>
              <w:tc>
                <w:tcPr>
                  <w:tcW w:w="156" w:type="pct"/>
                  <w:vMerge w:val="continue"/>
                  <w:vAlign w:val="center"/>
                </w:tcPr>
                <w:p w14:paraId="4B979FB2">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1E0940B6">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3楼采样准备室</w:t>
                  </w:r>
                </w:p>
              </w:tc>
              <w:tc>
                <w:tcPr>
                  <w:tcW w:w="534" w:type="pct"/>
                  <w:vAlign w:val="center"/>
                </w:tcPr>
                <w:p w14:paraId="65C57D1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循环水式多用真空泵</w:t>
                  </w:r>
                </w:p>
              </w:tc>
              <w:tc>
                <w:tcPr>
                  <w:tcW w:w="201" w:type="pct"/>
                  <w:vAlign w:val="center"/>
                </w:tcPr>
                <w:p w14:paraId="4C4F2513">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vAlign w:val="center"/>
                </w:tcPr>
                <w:p w14:paraId="19557A0D">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65</w:t>
                  </w:r>
                </w:p>
              </w:tc>
              <w:tc>
                <w:tcPr>
                  <w:tcW w:w="249" w:type="pct"/>
                  <w:vMerge w:val="continue"/>
                  <w:vAlign w:val="center"/>
                </w:tcPr>
                <w:p w14:paraId="70F52CC5">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52A85A0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16.3</w:t>
                  </w:r>
                </w:p>
              </w:tc>
              <w:tc>
                <w:tcPr>
                  <w:tcW w:w="561" w:type="dxa"/>
                  <w:vAlign w:val="center"/>
                </w:tcPr>
                <w:p w14:paraId="611A5F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w:t>
                  </w:r>
                </w:p>
              </w:tc>
              <w:tc>
                <w:tcPr>
                  <w:tcW w:w="561" w:type="dxa"/>
                  <w:vAlign w:val="center"/>
                </w:tcPr>
                <w:p w14:paraId="12C314E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14.2</w:t>
                  </w:r>
                </w:p>
              </w:tc>
              <w:tc>
                <w:tcPr>
                  <w:tcW w:w="525" w:type="dxa"/>
                  <w:vAlign w:val="center"/>
                </w:tcPr>
                <w:p w14:paraId="25F78128">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29.8</w:t>
                  </w:r>
                </w:p>
              </w:tc>
              <w:tc>
                <w:tcPr>
                  <w:tcW w:w="536" w:type="dxa"/>
                  <w:vAlign w:val="center"/>
                </w:tcPr>
                <w:p w14:paraId="2A7EF2C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61" w:type="dxa"/>
                  <w:vAlign w:val="center"/>
                </w:tcPr>
                <w:p w14:paraId="0B52879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51.2</w:t>
                  </w:r>
                </w:p>
              </w:tc>
              <w:tc>
                <w:tcPr>
                  <w:tcW w:w="537" w:type="dxa"/>
                  <w:vAlign w:val="center"/>
                </w:tcPr>
                <w:p w14:paraId="5093766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512" w:type="dxa"/>
                  <w:vAlign w:val="center"/>
                </w:tcPr>
                <w:p w14:paraId="1913FBE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50.5</w:t>
                  </w:r>
                </w:p>
              </w:tc>
              <w:tc>
                <w:tcPr>
                  <w:tcW w:w="156" w:type="pct"/>
                  <w:vMerge w:val="continue"/>
                  <w:vAlign w:val="center"/>
                </w:tcPr>
                <w:p w14:paraId="6C5143A2">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7527B4A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6CC197C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75" w:type="dxa"/>
                  <w:vAlign w:val="center"/>
                </w:tcPr>
                <w:p w14:paraId="316FA32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25.2</w:t>
                  </w:r>
                </w:p>
              </w:tc>
              <w:tc>
                <w:tcPr>
                  <w:tcW w:w="403" w:type="dxa"/>
                  <w:vAlign w:val="center"/>
                </w:tcPr>
                <w:p w14:paraId="5F4B949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463" w:type="dxa"/>
                  <w:vAlign w:val="center"/>
                </w:tcPr>
                <w:p w14:paraId="487B881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24.5</w:t>
                  </w:r>
                </w:p>
              </w:tc>
              <w:tc>
                <w:tcPr>
                  <w:tcW w:w="658" w:type="dxa"/>
                  <w:vAlign w:val="center"/>
                </w:tcPr>
                <w:p w14:paraId="69BDC14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04CFE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3D7734F0">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28</w:t>
                  </w:r>
                </w:p>
              </w:tc>
              <w:tc>
                <w:tcPr>
                  <w:tcW w:w="156" w:type="pct"/>
                  <w:vMerge w:val="continue"/>
                  <w:vAlign w:val="center"/>
                </w:tcPr>
                <w:p w14:paraId="02356038">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51C95354">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3楼嗅辨室</w:t>
                  </w:r>
                </w:p>
              </w:tc>
              <w:tc>
                <w:tcPr>
                  <w:tcW w:w="534" w:type="pct"/>
                  <w:vAlign w:val="center"/>
                </w:tcPr>
                <w:p w14:paraId="7F5CC925">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无油空气压缩机</w:t>
                  </w:r>
                </w:p>
              </w:tc>
              <w:tc>
                <w:tcPr>
                  <w:tcW w:w="201" w:type="pct"/>
                  <w:vAlign w:val="center"/>
                </w:tcPr>
                <w:p w14:paraId="16091C63">
                  <w:pPr>
                    <w:spacing w:line="220" w:lineRule="exact"/>
                    <w:jc w:val="center"/>
                    <w:rPr>
                      <w:rFonts w:hint="default"/>
                      <w:color w:val="auto"/>
                      <w:spacing w:val="-17"/>
                      <w:sz w:val="18"/>
                      <w:szCs w:val="18"/>
                      <w:highlight w:val="none"/>
                      <w:lang w:val="en-US" w:eastAsia="zh-CN"/>
                    </w:rPr>
                  </w:pPr>
                  <w:r>
                    <w:rPr>
                      <w:rFonts w:hint="eastAsia"/>
                      <w:color w:val="auto"/>
                      <w:spacing w:val="-17"/>
                      <w:sz w:val="18"/>
                      <w:szCs w:val="18"/>
                      <w:highlight w:val="none"/>
                      <w:lang w:val="en-US" w:eastAsia="zh-CN"/>
                    </w:rPr>
                    <w:t>1</w:t>
                  </w:r>
                </w:p>
              </w:tc>
              <w:tc>
                <w:tcPr>
                  <w:tcW w:w="215" w:type="pct"/>
                  <w:vAlign w:val="center"/>
                </w:tcPr>
                <w:p w14:paraId="3858F27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34931A40">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3337A3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16.3</w:t>
                  </w:r>
                </w:p>
              </w:tc>
              <w:tc>
                <w:tcPr>
                  <w:tcW w:w="561" w:type="dxa"/>
                  <w:vAlign w:val="center"/>
                </w:tcPr>
                <w:p w14:paraId="5EF3926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3.4</w:t>
                  </w:r>
                </w:p>
              </w:tc>
              <w:tc>
                <w:tcPr>
                  <w:tcW w:w="561" w:type="dxa"/>
                  <w:vAlign w:val="center"/>
                </w:tcPr>
                <w:p w14:paraId="4082232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15.2</w:t>
                  </w:r>
                </w:p>
              </w:tc>
              <w:tc>
                <w:tcPr>
                  <w:tcW w:w="525" w:type="dxa"/>
                  <w:vAlign w:val="center"/>
                </w:tcPr>
                <w:p w14:paraId="6832441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29.8</w:t>
                  </w:r>
                </w:p>
              </w:tc>
              <w:tc>
                <w:tcPr>
                  <w:tcW w:w="536" w:type="dxa"/>
                  <w:vAlign w:val="center"/>
                </w:tcPr>
                <w:p w14:paraId="6DF7F54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61" w:type="dxa"/>
                  <w:vAlign w:val="center"/>
                </w:tcPr>
                <w:p w14:paraId="0385C84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46.2</w:t>
                  </w:r>
                </w:p>
              </w:tc>
              <w:tc>
                <w:tcPr>
                  <w:tcW w:w="537" w:type="dxa"/>
                  <w:vAlign w:val="center"/>
                </w:tcPr>
                <w:p w14:paraId="359A3FBF">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12" w:type="dxa"/>
                  <w:vAlign w:val="center"/>
                </w:tcPr>
                <w:p w14:paraId="6564D77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2E419D21">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4898A04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59BBBED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75" w:type="dxa"/>
                  <w:vAlign w:val="center"/>
                </w:tcPr>
                <w:p w14:paraId="21D61F9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20.2</w:t>
                  </w:r>
                </w:p>
              </w:tc>
              <w:tc>
                <w:tcPr>
                  <w:tcW w:w="403" w:type="dxa"/>
                  <w:vAlign w:val="center"/>
                </w:tcPr>
                <w:p w14:paraId="1C4B610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63" w:type="dxa"/>
                  <w:vAlign w:val="center"/>
                </w:tcPr>
                <w:p w14:paraId="36A60A3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28CAF21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5E5369A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777F73C0">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29</w:t>
                  </w:r>
                </w:p>
              </w:tc>
              <w:tc>
                <w:tcPr>
                  <w:tcW w:w="156" w:type="pct"/>
                  <w:vMerge w:val="continue"/>
                  <w:vAlign w:val="center"/>
                </w:tcPr>
                <w:p w14:paraId="379626E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restart"/>
                  <w:vAlign w:val="center"/>
                </w:tcPr>
                <w:p w14:paraId="10E226CE">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3楼半挥发前处理室</w:t>
                  </w:r>
                </w:p>
              </w:tc>
              <w:tc>
                <w:tcPr>
                  <w:tcW w:w="534" w:type="pct"/>
                  <w:shd w:val="clear" w:color="auto" w:fill="auto"/>
                  <w:vAlign w:val="center"/>
                </w:tcPr>
                <w:p w14:paraId="3F35C5B6">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eastAsia="宋体" w:cs="Times New Roman"/>
                      <w:color w:val="auto"/>
                      <w:spacing w:val="-17"/>
                      <w:kern w:val="2"/>
                      <w:sz w:val="18"/>
                      <w:szCs w:val="18"/>
                      <w:highlight w:val="none"/>
                      <w:lang w:val="en-US" w:eastAsia="zh-CN" w:bidi="ar-SA"/>
                    </w:rPr>
                    <w:t>超声波清洗器</w:t>
                  </w:r>
                </w:p>
              </w:tc>
              <w:tc>
                <w:tcPr>
                  <w:tcW w:w="201" w:type="pct"/>
                  <w:shd w:val="clear" w:color="auto" w:fill="auto"/>
                  <w:vAlign w:val="center"/>
                </w:tcPr>
                <w:p w14:paraId="2EF0602F">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1</w:t>
                  </w:r>
                </w:p>
              </w:tc>
              <w:tc>
                <w:tcPr>
                  <w:tcW w:w="215" w:type="pct"/>
                  <w:shd w:val="clear" w:color="auto" w:fill="auto"/>
                  <w:vAlign w:val="center"/>
                </w:tcPr>
                <w:p w14:paraId="121509B2">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249" w:type="pct"/>
                  <w:vMerge w:val="continue"/>
                  <w:vAlign w:val="center"/>
                </w:tcPr>
                <w:p w14:paraId="149609D5">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4B9FD81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4.6</w:t>
                  </w:r>
                </w:p>
              </w:tc>
              <w:tc>
                <w:tcPr>
                  <w:tcW w:w="561" w:type="dxa"/>
                  <w:vAlign w:val="center"/>
                </w:tcPr>
                <w:p w14:paraId="3E16F00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15.3</w:t>
                  </w:r>
                </w:p>
              </w:tc>
              <w:tc>
                <w:tcPr>
                  <w:tcW w:w="561" w:type="dxa"/>
                  <w:vAlign w:val="center"/>
                </w:tcPr>
                <w:p w14:paraId="0843BFE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6.0</w:t>
                  </w:r>
                </w:p>
              </w:tc>
              <w:tc>
                <w:tcPr>
                  <w:tcW w:w="525" w:type="dxa"/>
                  <w:vAlign w:val="center"/>
                </w:tcPr>
                <w:p w14:paraId="330B2F8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17.6</w:t>
                  </w:r>
                </w:p>
              </w:tc>
              <w:tc>
                <w:tcPr>
                  <w:tcW w:w="536" w:type="dxa"/>
                  <w:vAlign w:val="center"/>
                </w:tcPr>
                <w:p w14:paraId="5D96DD3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45.9</w:t>
                  </w:r>
                </w:p>
              </w:tc>
              <w:tc>
                <w:tcPr>
                  <w:tcW w:w="561" w:type="dxa"/>
                  <w:vAlign w:val="center"/>
                </w:tcPr>
                <w:p w14:paraId="230AA28F">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537" w:type="dxa"/>
                  <w:vAlign w:val="center"/>
                </w:tcPr>
                <w:p w14:paraId="4F6DC51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45.7</w:t>
                  </w:r>
                </w:p>
              </w:tc>
              <w:tc>
                <w:tcPr>
                  <w:tcW w:w="512" w:type="dxa"/>
                  <w:vAlign w:val="center"/>
                </w:tcPr>
                <w:p w14:paraId="47F03C4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45.5</w:t>
                  </w:r>
                </w:p>
              </w:tc>
              <w:tc>
                <w:tcPr>
                  <w:tcW w:w="156" w:type="pct"/>
                  <w:vMerge w:val="continue"/>
                  <w:vAlign w:val="center"/>
                </w:tcPr>
                <w:p w14:paraId="3E728B34">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05B0D2E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8FAC5F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19.9</w:t>
                  </w:r>
                </w:p>
              </w:tc>
              <w:tc>
                <w:tcPr>
                  <w:tcW w:w="475" w:type="dxa"/>
                  <w:vAlign w:val="center"/>
                </w:tcPr>
                <w:p w14:paraId="3D8BC01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403" w:type="dxa"/>
                  <w:vAlign w:val="center"/>
                </w:tcPr>
                <w:p w14:paraId="7961143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19.7</w:t>
                  </w:r>
                </w:p>
              </w:tc>
              <w:tc>
                <w:tcPr>
                  <w:tcW w:w="463" w:type="dxa"/>
                  <w:vAlign w:val="center"/>
                </w:tcPr>
                <w:p w14:paraId="1E18B8F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19.5</w:t>
                  </w:r>
                </w:p>
              </w:tc>
              <w:tc>
                <w:tcPr>
                  <w:tcW w:w="658" w:type="dxa"/>
                  <w:vAlign w:val="center"/>
                </w:tcPr>
                <w:p w14:paraId="5113BA9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6C72DB1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099CE923">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30</w:t>
                  </w:r>
                </w:p>
              </w:tc>
              <w:tc>
                <w:tcPr>
                  <w:tcW w:w="156" w:type="pct"/>
                  <w:vMerge w:val="continue"/>
                  <w:vAlign w:val="center"/>
                </w:tcPr>
                <w:p w14:paraId="12F2635F">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587C4C38">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7C76466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201" w:type="pct"/>
                  <w:shd w:val="clear" w:color="auto" w:fill="auto"/>
                  <w:vAlign w:val="center"/>
                </w:tcPr>
                <w:p w14:paraId="690149B3">
                  <w:pPr>
                    <w:spacing w:line="220" w:lineRule="exact"/>
                    <w:jc w:val="center"/>
                    <w:rPr>
                      <w:rFonts w:hint="default"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1</w:t>
                  </w:r>
                </w:p>
              </w:tc>
              <w:tc>
                <w:tcPr>
                  <w:tcW w:w="215" w:type="pct"/>
                  <w:shd w:val="clear" w:color="auto" w:fill="auto"/>
                  <w:vAlign w:val="center"/>
                </w:tcPr>
                <w:p w14:paraId="0597CBE5">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3A0B1E2E">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1177546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w:t>
                  </w:r>
                </w:p>
              </w:tc>
              <w:tc>
                <w:tcPr>
                  <w:tcW w:w="561" w:type="dxa"/>
                  <w:vAlign w:val="center"/>
                </w:tcPr>
                <w:p w14:paraId="26E9F5C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15.4</w:t>
                  </w:r>
                </w:p>
              </w:tc>
              <w:tc>
                <w:tcPr>
                  <w:tcW w:w="561" w:type="dxa"/>
                  <w:vAlign w:val="center"/>
                </w:tcPr>
                <w:p w14:paraId="5032863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4.4</w:t>
                  </w:r>
                </w:p>
              </w:tc>
              <w:tc>
                <w:tcPr>
                  <w:tcW w:w="525" w:type="dxa"/>
                  <w:vAlign w:val="center"/>
                </w:tcPr>
                <w:p w14:paraId="77B9B26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17.5</w:t>
                  </w:r>
                </w:p>
              </w:tc>
              <w:tc>
                <w:tcPr>
                  <w:tcW w:w="536" w:type="dxa"/>
                  <w:vAlign w:val="center"/>
                </w:tcPr>
                <w:p w14:paraId="422ED635">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40.9</w:t>
                  </w:r>
                </w:p>
              </w:tc>
              <w:tc>
                <w:tcPr>
                  <w:tcW w:w="561" w:type="dxa"/>
                  <w:vAlign w:val="center"/>
                </w:tcPr>
                <w:p w14:paraId="6DDD946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53A7B55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40.9</w:t>
                  </w:r>
                </w:p>
              </w:tc>
              <w:tc>
                <w:tcPr>
                  <w:tcW w:w="512" w:type="dxa"/>
                  <w:vAlign w:val="center"/>
                </w:tcPr>
                <w:p w14:paraId="0733695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4D422435">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1297230E">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51BE6046">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475" w:type="dxa"/>
                  <w:vAlign w:val="center"/>
                </w:tcPr>
                <w:p w14:paraId="78DCDF5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7041BB4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463" w:type="dxa"/>
                  <w:vAlign w:val="center"/>
                </w:tcPr>
                <w:p w14:paraId="4B5C6FE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3B627913">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3A81A5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34C77428">
                  <w:pPr>
                    <w:spacing w:line="220" w:lineRule="exact"/>
                    <w:jc w:val="center"/>
                    <w:rPr>
                      <w:rFonts w:hint="default" w:cs="Times New Roman"/>
                      <w:color w:val="auto"/>
                      <w:spacing w:val="-17"/>
                      <w:sz w:val="18"/>
                      <w:szCs w:val="18"/>
                      <w:highlight w:val="none"/>
                      <w:lang w:val="en-US" w:eastAsia="zh-CN"/>
                    </w:rPr>
                  </w:pPr>
                  <w:r>
                    <w:rPr>
                      <w:rFonts w:hint="eastAsia" w:cs="Times New Roman"/>
                      <w:color w:val="auto"/>
                      <w:spacing w:val="-17"/>
                      <w:sz w:val="18"/>
                      <w:szCs w:val="18"/>
                      <w:highlight w:val="none"/>
                      <w:lang w:val="en-US" w:eastAsia="zh-CN"/>
                    </w:rPr>
                    <w:t>31</w:t>
                  </w:r>
                </w:p>
              </w:tc>
              <w:tc>
                <w:tcPr>
                  <w:tcW w:w="156" w:type="pct"/>
                  <w:vMerge w:val="continue"/>
                  <w:vAlign w:val="center"/>
                </w:tcPr>
                <w:p w14:paraId="2FFE94FB">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Merge w:val="continue"/>
                  <w:vAlign w:val="center"/>
                </w:tcPr>
                <w:p w14:paraId="4C9D0473">
                  <w:pPr>
                    <w:spacing w:line="220" w:lineRule="exact"/>
                    <w:jc w:val="center"/>
                    <w:rPr>
                      <w:rFonts w:hint="eastAsia" w:cs="Times New Roman"/>
                      <w:color w:val="auto"/>
                      <w:spacing w:val="-17"/>
                      <w:kern w:val="2"/>
                      <w:sz w:val="18"/>
                      <w:szCs w:val="18"/>
                      <w:highlight w:val="none"/>
                      <w:lang w:val="en-US" w:eastAsia="zh-CN" w:bidi="ar-SA"/>
                    </w:rPr>
                  </w:pPr>
                </w:p>
              </w:tc>
              <w:tc>
                <w:tcPr>
                  <w:tcW w:w="534" w:type="pct"/>
                  <w:shd w:val="clear" w:color="auto" w:fill="auto"/>
                  <w:vAlign w:val="center"/>
                </w:tcPr>
                <w:p w14:paraId="349244E9">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r>
                    <w:rPr>
                      <w:rFonts w:hint="eastAsia" w:ascii="Times New Roman" w:hAnsi="Times New Roman" w:cs="Times New Roman"/>
                      <w:color w:val="auto"/>
                      <w:spacing w:val="-10"/>
                      <w:sz w:val="18"/>
                      <w:szCs w:val="18"/>
                      <w:highlight w:val="none"/>
                      <w:lang w:val="en-US" w:eastAsia="zh-CN"/>
                    </w:rPr>
                    <w:t>真空冷冻干燥机</w:t>
                  </w:r>
                </w:p>
              </w:tc>
              <w:tc>
                <w:tcPr>
                  <w:tcW w:w="201" w:type="pct"/>
                  <w:shd w:val="clear" w:color="auto" w:fill="auto"/>
                  <w:vAlign w:val="center"/>
                </w:tcPr>
                <w:p w14:paraId="5B9C19BD">
                  <w:pPr>
                    <w:spacing w:line="220" w:lineRule="exact"/>
                    <w:jc w:val="center"/>
                    <w:rPr>
                      <w:rFonts w:hint="default"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1</w:t>
                  </w:r>
                </w:p>
              </w:tc>
              <w:tc>
                <w:tcPr>
                  <w:tcW w:w="215" w:type="pct"/>
                  <w:shd w:val="clear" w:color="auto" w:fill="auto"/>
                  <w:vAlign w:val="center"/>
                </w:tcPr>
                <w:p w14:paraId="6AC7F5B0">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55</w:t>
                  </w:r>
                </w:p>
              </w:tc>
              <w:tc>
                <w:tcPr>
                  <w:tcW w:w="249" w:type="pct"/>
                  <w:vMerge w:val="continue"/>
                  <w:vAlign w:val="center"/>
                </w:tcPr>
                <w:p w14:paraId="4033D4C7">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36B012C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4.5</w:t>
                  </w:r>
                </w:p>
              </w:tc>
              <w:tc>
                <w:tcPr>
                  <w:tcW w:w="561" w:type="dxa"/>
                  <w:vAlign w:val="center"/>
                </w:tcPr>
                <w:p w14:paraId="66647E3A">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15.5</w:t>
                  </w:r>
                </w:p>
              </w:tc>
              <w:tc>
                <w:tcPr>
                  <w:tcW w:w="561" w:type="dxa"/>
                  <w:vAlign w:val="center"/>
                </w:tcPr>
                <w:p w14:paraId="37328AF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2.7</w:t>
                  </w:r>
                </w:p>
              </w:tc>
              <w:tc>
                <w:tcPr>
                  <w:tcW w:w="525" w:type="dxa"/>
                  <w:vAlign w:val="center"/>
                </w:tcPr>
                <w:p w14:paraId="1436246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17.4</w:t>
                  </w:r>
                </w:p>
              </w:tc>
              <w:tc>
                <w:tcPr>
                  <w:tcW w:w="536" w:type="dxa"/>
                  <w:vAlign w:val="center"/>
                </w:tcPr>
                <w:p w14:paraId="5F3CD3A9">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40.9</w:t>
                  </w:r>
                </w:p>
              </w:tc>
              <w:tc>
                <w:tcPr>
                  <w:tcW w:w="561" w:type="dxa"/>
                  <w:vAlign w:val="center"/>
                </w:tcPr>
                <w:p w14:paraId="377B479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537" w:type="dxa"/>
                  <w:vAlign w:val="center"/>
                </w:tcPr>
                <w:p w14:paraId="72AF43A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41.6</w:t>
                  </w:r>
                </w:p>
              </w:tc>
              <w:tc>
                <w:tcPr>
                  <w:tcW w:w="512" w:type="dxa"/>
                  <w:vAlign w:val="center"/>
                </w:tcPr>
                <w:p w14:paraId="731BD39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40.5</w:t>
                  </w:r>
                </w:p>
              </w:tc>
              <w:tc>
                <w:tcPr>
                  <w:tcW w:w="156" w:type="pct"/>
                  <w:vMerge w:val="continue"/>
                  <w:vAlign w:val="center"/>
                </w:tcPr>
                <w:p w14:paraId="28364A2D">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573EDE08">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7FEBF5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14.9</w:t>
                  </w:r>
                </w:p>
              </w:tc>
              <w:tc>
                <w:tcPr>
                  <w:tcW w:w="475" w:type="dxa"/>
                  <w:vAlign w:val="center"/>
                </w:tcPr>
                <w:p w14:paraId="0F7E9E0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403" w:type="dxa"/>
                  <w:vAlign w:val="center"/>
                </w:tcPr>
                <w:p w14:paraId="3566E524">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15.6</w:t>
                  </w:r>
                </w:p>
              </w:tc>
              <w:tc>
                <w:tcPr>
                  <w:tcW w:w="463" w:type="dxa"/>
                  <w:vAlign w:val="center"/>
                </w:tcPr>
                <w:p w14:paraId="3EA6F167">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14.5</w:t>
                  </w:r>
                </w:p>
              </w:tc>
              <w:tc>
                <w:tcPr>
                  <w:tcW w:w="658" w:type="dxa"/>
                  <w:vAlign w:val="center"/>
                </w:tcPr>
                <w:p w14:paraId="28CA9AAE">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r w14:paraId="7BB1EA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150" w:type="pct"/>
                  <w:vAlign w:val="center"/>
                </w:tcPr>
                <w:p w14:paraId="73A0BB01">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32</w:t>
                  </w:r>
                </w:p>
              </w:tc>
              <w:tc>
                <w:tcPr>
                  <w:tcW w:w="156" w:type="pct"/>
                  <w:vMerge w:val="continue"/>
                  <w:vAlign w:val="center"/>
                </w:tcPr>
                <w:p w14:paraId="294E657E">
                  <w:pPr>
                    <w:spacing w:line="220" w:lineRule="exact"/>
                    <w:jc w:val="center"/>
                    <w:rPr>
                      <w:rFonts w:hint="eastAsia" w:ascii="Times New Roman" w:hAnsi="Times New Roman" w:eastAsia="宋体" w:cs="Times New Roman"/>
                      <w:color w:val="auto"/>
                      <w:spacing w:val="-17"/>
                      <w:kern w:val="2"/>
                      <w:sz w:val="18"/>
                      <w:szCs w:val="18"/>
                      <w:highlight w:val="none"/>
                      <w:lang w:val="en-US" w:eastAsia="zh-CN" w:bidi="ar-SA"/>
                    </w:rPr>
                  </w:pPr>
                </w:p>
              </w:tc>
              <w:tc>
                <w:tcPr>
                  <w:tcW w:w="318" w:type="pct"/>
                  <w:vAlign w:val="center"/>
                </w:tcPr>
                <w:p w14:paraId="7E03B912">
                  <w:pPr>
                    <w:spacing w:line="220" w:lineRule="exact"/>
                    <w:jc w:val="center"/>
                    <w:rPr>
                      <w:rFonts w:hint="default" w:ascii="Times New Roman" w:hAnsi="Times New Roman"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3楼风机房</w:t>
                  </w:r>
                </w:p>
              </w:tc>
              <w:tc>
                <w:tcPr>
                  <w:tcW w:w="534" w:type="pct"/>
                  <w:shd w:val="clear" w:color="auto" w:fill="auto"/>
                  <w:vAlign w:val="center"/>
                </w:tcPr>
                <w:p w14:paraId="67900D09">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s="Times New Roman"/>
                      <w:color w:val="auto"/>
                      <w:spacing w:val="-17"/>
                      <w:kern w:val="2"/>
                      <w:sz w:val="18"/>
                      <w:szCs w:val="18"/>
                      <w:highlight w:val="none"/>
                      <w:lang w:val="en-US" w:eastAsia="zh-CN" w:bidi="ar-SA"/>
                    </w:rPr>
                    <w:t>废气处理风机</w:t>
                  </w:r>
                </w:p>
              </w:tc>
              <w:tc>
                <w:tcPr>
                  <w:tcW w:w="201" w:type="pct"/>
                  <w:shd w:val="clear" w:color="auto" w:fill="auto"/>
                  <w:vAlign w:val="center"/>
                </w:tcPr>
                <w:p w14:paraId="71931462">
                  <w:pPr>
                    <w:spacing w:line="220" w:lineRule="exact"/>
                    <w:jc w:val="center"/>
                    <w:rPr>
                      <w:rFonts w:hint="default" w:ascii="Times New Roman" w:hAnsi="Times New Roman" w:eastAsia="宋体" w:cs="Times New Roman"/>
                      <w:color w:val="auto"/>
                      <w:spacing w:val="-17"/>
                      <w:kern w:val="2"/>
                      <w:sz w:val="18"/>
                      <w:szCs w:val="18"/>
                      <w:highlight w:val="none"/>
                      <w:lang w:val="en-US" w:eastAsia="zh-CN" w:bidi="ar-SA"/>
                    </w:rPr>
                  </w:pPr>
                  <w:r>
                    <w:rPr>
                      <w:rFonts w:hint="eastAsia"/>
                      <w:color w:val="auto"/>
                      <w:spacing w:val="-17"/>
                      <w:sz w:val="18"/>
                      <w:szCs w:val="18"/>
                      <w:highlight w:val="none"/>
                      <w:lang w:val="en-US" w:eastAsia="zh-CN"/>
                    </w:rPr>
                    <w:t>1</w:t>
                  </w:r>
                </w:p>
              </w:tc>
              <w:tc>
                <w:tcPr>
                  <w:tcW w:w="215" w:type="pct"/>
                  <w:shd w:val="clear" w:color="auto" w:fill="auto"/>
                  <w:vAlign w:val="center"/>
                </w:tcPr>
                <w:p w14:paraId="689726D8">
                  <w:pPr>
                    <w:pStyle w:val="73"/>
                    <w:spacing w:line="220" w:lineRule="exact"/>
                    <w:jc w:val="center"/>
                    <w:rPr>
                      <w:rFonts w:hint="default" w:ascii="Times New Roman" w:hAnsi="Times New Roman" w:eastAsia="宋体"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90</w:t>
                  </w:r>
                </w:p>
              </w:tc>
              <w:tc>
                <w:tcPr>
                  <w:tcW w:w="249" w:type="pct"/>
                  <w:vMerge w:val="continue"/>
                  <w:vAlign w:val="center"/>
                </w:tcPr>
                <w:p w14:paraId="6276C513">
                  <w:pPr>
                    <w:pStyle w:val="73"/>
                    <w:spacing w:line="220" w:lineRule="exact"/>
                    <w:rPr>
                      <w:rFonts w:hint="eastAsia" w:ascii="Times New Roman" w:hAnsi="Times New Roman" w:eastAsia="宋体" w:cs="Times New Roman"/>
                      <w:color w:val="auto"/>
                      <w:spacing w:val="-17"/>
                      <w:kern w:val="2"/>
                      <w:sz w:val="18"/>
                      <w:szCs w:val="18"/>
                      <w:lang w:val="en-US" w:eastAsia="zh-CN" w:bidi="ar-SA"/>
                    </w:rPr>
                  </w:pPr>
                </w:p>
              </w:tc>
              <w:tc>
                <w:tcPr>
                  <w:tcW w:w="561" w:type="dxa"/>
                  <w:vAlign w:val="center"/>
                </w:tcPr>
                <w:p w14:paraId="4D14FBC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3.2</w:t>
                  </w:r>
                </w:p>
              </w:tc>
              <w:tc>
                <w:tcPr>
                  <w:tcW w:w="561" w:type="dxa"/>
                  <w:vAlign w:val="center"/>
                </w:tcPr>
                <w:p w14:paraId="6972E4F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16.5</w:t>
                  </w:r>
                </w:p>
              </w:tc>
              <w:tc>
                <w:tcPr>
                  <w:tcW w:w="561" w:type="dxa"/>
                  <w:vAlign w:val="center"/>
                </w:tcPr>
                <w:p w14:paraId="21E2049B">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18.0</w:t>
                  </w:r>
                </w:p>
              </w:tc>
              <w:tc>
                <w:tcPr>
                  <w:tcW w:w="525" w:type="dxa"/>
                  <w:vAlign w:val="center"/>
                </w:tcPr>
                <w:p w14:paraId="63C06DFD">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16.7</w:t>
                  </w:r>
                </w:p>
              </w:tc>
              <w:tc>
                <w:tcPr>
                  <w:tcW w:w="536" w:type="dxa"/>
                  <w:vAlign w:val="center"/>
                </w:tcPr>
                <w:p w14:paraId="25793B03">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76.3</w:t>
                  </w:r>
                </w:p>
              </w:tc>
              <w:tc>
                <w:tcPr>
                  <w:tcW w:w="561" w:type="dxa"/>
                  <w:vAlign w:val="center"/>
                </w:tcPr>
                <w:p w14:paraId="37462217">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75.5</w:t>
                  </w:r>
                </w:p>
              </w:tc>
              <w:tc>
                <w:tcPr>
                  <w:tcW w:w="537" w:type="dxa"/>
                  <w:vAlign w:val="center"/>
                </w:tcPr>
                <w:p w14:paraId="02B2D1C4">
                  <w:pPr>
                    <w:pStyle w:val="73"/>
                    <w:spacing w:line="220" w:lineRule="exact"/>
                    <w:jc w:val="center"/>
                    <w:rPr>
                      <w:rFonts w:hint="default"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75.5</w:t>
                  </w:r>
                </w:p>
              </w:tc>
              <w:tc>
                <w:tcPr>
                  <w:tcW w:w="512" w:type="dxa"/>
                  <w:vAlign w:val="center"/>
                </w:tcPr>
                <w:p w14:paraId="2477B07B">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75.5</w:t>
                  </w:r>
                </w:p>
              </w:tc>
              <w:tc>
                <w:tcPr>
                  <w:tcW w:w="156" w:type="pct"/>
                  <w:vMerge w:val="continue"/>
                  <w:vAlign w:val="center"/>
                </w:tcPr>
                <w:p w14:paraId="5E4DDC6D">
                  <w:pPr>
                    <w:spacing w:line="220" w:lineRule="exact"/>
                    <w:jc w:val="center"/>
                    <w:rPr>
                      <w:rFonts w:hint="eastAsia" w:ascii="Times New Roman" w:hAnsi="Times New Roman" w:eastAsia="宋体" w:cs="Times New Roman"/>
                      <w:color w:val="auto"/>
                      <w:spacing w:val="-17"/>
                      <w:kern w:val="2"/>
                      <w:sz w:val="18"/>
                      <w:szCs w:val="18"/>
                      <w:lang w:val="en-US" w:eastAsia="zh-CN" w:bidi="ar-SA"/>
                    </w:rPr>
                  </w:pPr>
                </w:p>
              </w:tc>
              <w:tc>
                <w:tcPr>
                  <w:tcW w:w="659" w:type="dxa"/>
                  <w:vAlign w:val="center"/>
                </w:tcPr>
                <w:p w14:paraId="21681D4C">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26</w:t>
                  </w:r>
                </w:p>
              </w:tc>
              <w:tc>
                <w:tcPr>
                  <w:tcW w:w="488" w:type="dxa"/>
                  <w:vAlign w:val="center"/>
                </w:tcPr>
                <w:p w14:paraId="72813FA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50.3</w:t>
                  </w:r>
                </w:p>
              </w:tc>
              <w:tc>
                <w:tcPr>
                  <w:tcW w:w="475" w:type="dxa"/>
                  <w:vAlign w:val="center"/>
                </w:tcPr>
                <w:p w14:paraId="7CC6CA10">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49.5</w:t>
                  </w:r>
                </w:p>
              </w:tc>
              <w:tc>
                <w:tcPr>
                  <w:tcW w:w="403" w:type="dxa"/>
                  <w:vAlign w:val="center"/>
                </w:tcPr>
                <w:p w14:paraId="4BA1F58D">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49.5</w:t>
                  </w:r>
                </w:p>
              </w:tc>
              <w:tc>
                <w:tcPr>
                  <w:tcW w:w="463" w:type="dxa"/>
                  <w:vAlign w:val="center"/>
                </w:tcPr>
                <w:p w14:paraId="2086B752">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49.5</w:t>
                  </w:r>
                </w:p>
              </w:tc>
              <w:tc>
                <w:tcPr>
                  <w:tcW w:w="658" w:type="dxa"/>
                  <w:vAlign w:val="center"/>
                </w:tcPr>
                <w:p w14:paraId="623FE8A1">
                  <w:pPr>
                    <w:pStyle w:val="73"/>
                    <w:spacing w:line="220" w:lineRule="exact"/>
                    <w:jc w:val="center"/>
                    <w:rPr>
                      <w:rFonts w:hint="eastAsia" w:ascii="Times New Roman" w:hAnsi="Times New Roman" w:cs="Calibri"/>
                      <w:color w:val="auto"/>
                      <w:spacing w:val="-17"/>
                      <w:kern w:val="0"/>
                      <w:sz w:val="18"/>
                      <w:szCs w:val="18"/>
                      <w:lang w:val="en-US" w:eastAsia="zh-CN" w:bidi="ar-SA"/>
                    </w:rPr>
                  </w:pPr>
                  <w:r>
                    <w:rPr>
                      <w:rFonts w:hint="eastAsia" w:ascii="Times New Roman" w:hAnsi="Times New Roman" w:cs="Calibri"/>
                      <w:color w:val="auto"/>
                      <w:spacing w:val="-17"/>
                      <w:kern w:val="0"/>
                      <w:sz w:val="18"/>
                      <w:szCs w:val="18"/>
                      <w:lang w:val="en-US" w:eastAsia="zh-CN" w:bidi="ar-SA"/>
                    </w:rPr>
                    <w:t>1</w:t>
                  </w:r>
                </w:p>
              </w:tc>
            </w:tr>
          </w:tbl>
          <w:p w14:paraId="5289ED8E">
            <w:pPr>
              <w:tabs>
                <w:tab w:val="left" w:pos="4253"/>
              </w:tabs>
              <w:spacing w:line="440" w:lineRule="exact"/>
              <w:jc w:val="center"/>
              <w:rPr>
                <w:rFonts w:hint="default" w:ascii="Times New Roman" w:hAnsi="Times New Roman" w:cs="Times New Roman"/>
                <w:b/>
                <w:color w:val="auto"/>
                <w:szCs w:val="21"/>
                <w:lang w:val="zh-CN" w:eastAsia="zh-CN"/>
              </w:rPr>
            </w:pPr>
            <w:r>
              <w:rPr>
                <w:rFonts w:hint="default" w:ascii="Times New Roman" w:hAnsi="Times New Roman" w:cs="Times New Roman"/>
                <w:b/>
                <w:color w:val="auto"/>
                <w:szCs w:val="21"/>
                <w:lang w:val="zh-CN" w:eastAsia="zh-CN"/>
              </w:rPr>
              <w:t>表</w:t>
            </w:r>
            <w:r>
              <w:rPr>
                <w:rFonts w:hint="eastAsia" w:ascii="Times New Roman" w:hAnsi="Times New Roman" w:cs="Times New Roman"/>
                <w:b/>
                <w:color w:val="auto"/>
                <w:szCs w:val="21"/>
                <w:lang w:val="en-US" w:eastAsia="zh-CN"/>
              </w:rPr>
              <w:t>3</w:t>
            </w:r>
            <w:r>
              <w:rPr>
                <w:rFonts w:hint="eastAsia" w:cs="Times New Roman"/>
                <w:b/>
                <w:color w:val="auto"/>
                <w:szCs w:val="21"/>
                <w:lang w:val="en-US" w:eastAsia="zh-CN"/>
              </w:rPr>
              <w:t>3</w:t>
            </w:r>
            <w:r>
              <w:rPr>
                <w:rFonts w:hint="default" w:ascii="Times New Roman" w:hAnsi="Times New Roman" w:cs="Times New Roman"/>
                <w:b/>
                <w:color w:val="auto"/>
                <w:szCs w:val="21"/>
                <w:lang w:val="zh-CN" w:eastAsia="zh-CN"/>
              </w:rPr>
              <w:t xml:space="preserve"> 项目噪声环境影响预测基础数据表</w:t>
            </w:r>
          </w:p>
          <w:tbl>
            <w:tblPr>
              <w:tblStyle w:val="27"/>
              <w:tblW w:w="12388"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63"/>
              <w:gridCol w:w="3822"/>
              <w:gridCol w:w="3215"/>
              <w:gridCol w:w="2616"/>
              <w:gridCol w:w="1872"/>
            </w:tblGrid>
            <w:tr w14:paraId="4221F4F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863" w:type="dxa"/>
                  <w:tcBorders>
                    <w:tl2br w:val="nil"/>
                    <w:tr2bl w:val="nil"/>
                  </w:tcBorders>
                  <w:noWrap w:val="0"/>
                  <w:vAlign w:val="center"/>
                </w:tcPr>
                <w:p w14:paraId="6FCA7232">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序号</w:t>
                  </w:r>
                </w:p>
              </w:tc>
              <w:tc>
                <w:tcPr>
                  <w:tcW w:w="3822" w:type="dxa"/>
                  <w:tcBorders>
                    <w:tl2br w:val="nil"/>
                    <w:tr2bl w:val="nil"/>
                  </w:tcBorders>
                  <w:noWrap w:val="0"/>
                  <w:vAlign w:val="center"/>
                </w:tcPr>
                <w:p w14:paraId="0D960C8D">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名称</w:t>
                  </w:r>
                </w:p>
              </w:tc>
              <w:tc>
                <w:tcPr>
                  <w:tcW w:w="3215" w:type="dxa"/>
                  <w:tcBorders>
                    <w:tl2br w:val="nil"/>
                    <w:tr2bl w:val="nil"/>
                  </w:tcBorders>
                  <w:noWrap w:val="0"/>
                  <w:vAlign w:val="center"/>
                </w:tcPr>
                <w:p w14:paraId="70CC08B9">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单位</w:t>
                  </w:r>
                </w:p>
              </w:tc>
              <w:tc>
                <w:tcPr>
                  <w:tcW w:w="2616" w:type="dxa"/>
                  <w:tcBorders>
                    <w:tl2br w:val="nil"/>
                    <w:tr2bl w:val="nil"/>
                  </w:tcBorders>
                  <w:noWrap w:val="0"/>
                  <w:vAlign w:val="center"/>
                </w:tcPr>
                <w:p w14:paraId="3A2044FE">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数据</w:t>
                  </w:r>
                </w:p>
              </w:tc>
              <w:tc>
                <w:tcPr>
                  <w:tcW w:w="1872" w:type="dxa"/>
                  <w:tcBorders>
                    <w:tl2br w:val="nil"/>
                    <w:tr2bl w:val="nil"/>
                  </w:tcBorders>
                  <w:noWrap w:val="0"/>
                  <w:vAlign w:val="center"/>
                </w:tcPr>
                <w:p w14:paraId="02715B02">
                  <w:pPr>
                    <w:spacing w:line="220" w:lineRule="exact"/>
                    <w:jc w:val="center"/>
                    <w:rPr>
                      <w:rFonts w:hint="default" w:ascii="Times New Roman" w:hAnsi="Times New Roman" w:eastAsia="宋体" w:cs="Times New Roman"/>
                      <w:color w:val="auto"/>
                      <w:spacing w:val="0"/>
                      <w:sz w:val="18"/>
                      <w:szCs w:val="18"/>
                      <w:lang w:eastAsia="zh-CN"/>
                    </w:rPr>
                  </w:pPr>
                  <w:r>
                    <w:rPr>
                      <w:rFonts w:hint="default" w:ascii="Times New Roman" w:hAnsi="Times New Roman" w:eastAsia="宋体" w:cs="Times New Roman"/>
                      <w:color w:val="auto"/>
                      <w:spacing w:val="0"/>
                      <w:sz w:val="18"/>
                      <w:szCs w:val="18"/>
                    </w:rPr>
                    <w:t>备注</w:t>
                  </w:r>
                </w:p>
              </w:tc>
            </w:tr>
            <w:tr w14:paraId="5857E42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7D2A636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1</w:t>
                  </w:r>
                </w:p>
              </w:tc>
              <w:tc>
                <w:tcPr>
                  <w:tcW w:w="3822" w:type="dxa"/>
                  <w:tcBorders>
                    <w:tl2br w:val="nil"/>
                    <w:tr2bl w:val="nil"/>
                  </w:tcBorders>
                  <w:noWrap w:val="0"/>
                  <w:vAlign w:val="center"/>
                </w:tcPr>
                <w:p w14:paraId="469AEF4A">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年平均风速</w:t>
                  </w:r>
                </w:p>
              </w:tc>
              <w:tc>
                <w:tcPr>
                  <w:tcW w:w="3215" w:type="dxa"/>
                  <w:tcBorders>
                    <w:tl2br w:val="nil"/>
                    <w:tr2bl w:val="nil"/>
                  </w:tcBorders>
                  <w:noWrap w:val="0"/>
                  <w:vAlign w:val="center"/>
                </w:tcPr>
                <w:p w14:paraId="04F0FB3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m/s</w:t>
                  </w:r>
                </w:p>
              </w:tc>
              <w:tc>
                <w:tcPr>
                  <w:tcW w:w="2616" w:type="dxa"/>
                  <w:tcBorders>
                    <w:tl2br w:val="nil"/>
                    <w:tr2bl w:val="nil"/>
                  </w:tcBorders>
                  <w:noWrap w:val="0"/>
                  <w:vAlign w:val="center"/>
                </w:tcPr>
                <w:p w14:paraId="2B990E98">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1.52</w:t>
                  </w:r>
                </w:p>
              </w:tc>
              <w:tc>
                <w:tcPr>
                  <w:tcW w:w="1872" w:type="dxa"/>
                  <w:tcBorders>
                    <w:tl2br w:val="nil"/>
                    <w:tr2bl w:val="nil"/>
                  </w:tcBorders>
                  <w:noWrap w:val="0"/>
                  <w:vAlign w:val="center"/>
                </w:tcPr>
                <w:p w14:paraId="5DC0256F">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28CDB3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436AD0A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2</w:t>
                  </w:r>
                </w:p>
              </w:tc>
              <w:tc>
                <w:tcPr>
                  <w:tcW w:w="3822" w:type="dxa"/>
                  <w:tcBorders>
                    <w:tl2br w:val="nil"/>
                    <w:tr2bl w:val="nil"/>
                  </w:tcBorders>
                  <w:noWrap w:val="0"/>
                  <w:vAlign w:val="center"/>
                </w:tcPr>
                <w:p w14:paraId="7BA445B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年主要风向、风向频率</w:t>
                  </w:r>
                </w:p>
              </w:tc>
              <w:tc>
                <w:tcPr>
                  <w:tcW w:w="3215" w:type="dxa"/>
                  <w:tcBorders>
                    <w:tl2br w:val="nil"/>
                    <w:tr2bl w:val="nil"/>
                  </w:tcBorders>
                  <w:noWrap w:val="0"/>
                  <w:vAlign w:val="center"/>
                </w:tcPr>
                <w:p w14:paraId="141E2D5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275B3136">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ascii="Times New Roman" w:hAnsi="Times New Roman" w:eastAsia="宋体" w:cs="Times New Roman"/>
                      <w:color w:val="auto"/>
                      <w:spacing w:val="0"/>
                      <w:sz w:val="18"/>
                      <w:szCs w:val="18"/>
                      <w:lang w:val="en-US" w:eastAsia="zh-CN"/>
                    </w:rPr>
                    <w:t>NW</w:t>
                  </w:r>
                  <w:r>
                    <w:rPr>
                      <w:rFonts w:hint="default" w:ascii="Times New Roman" w:hAnsi="Times New Roman" w:eastAsia="宋体" w:cs="Times New Roman"/>
                      <w:color w:val="auto"/>
                      <w:spacing w:val="0"/>
                      <w:sz w:val="18"/>
                      <w:szCs w:val="18"/>
                      <w:lang w:val="en-US" w:eastAsia="zh-CN"/>
                    </w:rPr>
                    <w:t>，</w:t>
                  </w:r>
                  <w:r>
                    <w:rPr>
                      <w:rFonts w:hint="eastAsia" w:cs="Times New Roman"/>
                      <w:color w:val="auto"/>
                      <w:spacing w:val="0"/>
                      <w:sz w:val="18"/>
                      <w:szCs w:val="18"/>
                      <w:lang w:val="en-US" w:eastAsia="zh-CN"/>
                    </w:rPr>
                    <w:t>9.04</w:t>
                  </w:r>
                </w:p>
              </w:tc>
              <w:tc>
                <w:tcPr>
                  <w:tcW w:w="1872" w:type="dxa"/>
                  <w:tcBorders>
                    <w:tl2br w:val="nil"/>
                    <w:tr2bl w:val="nil"/>
                  </w:tcBorders>
                  <w:noWrap w:val="0"/>
                  <w:vAlign w:val="center"/>
                </w:tcPr>
                <w:p w14:paraId="33F2CDB2">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55D8CE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6659A1B3">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3</w:t>
                  </w:r>
                </w:p>
              </w:tc>
              <w:tc>
                <w:tcPr>
                  <w:tcW w:w="3822" w:type="dxa"/>
                  <w:tcBorders>
                    <w:tl2br w:val="nil"/>
                    <w:tr2bl w:val="nil"/>
                  </w:tcBorders>
                  <w:noWrap w:val="0"/>
                  <w:vAlign w:val="center"/>
                </w:tcPr>
                <w:p w14:paraId="3A44A9D6">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年平均温度</w:t>
                  </w:r>
                </w:p>
              </w:tc>
              <w:tc>
                <w:tcPr>
                  <w:tcW w:w="3215" w:type="dxa"/>
                  <w:tcBorders>
                    <w:tl2br w:val="nil"/>
                    <w:tr2bl w:val="nil"/>
                  </w:tcBorders>
                  <w:noWrap w:val="0"/>
                  <w:vAlign w:val="center"/>
                </w:tcPr>
                <w:p w14:paraId="5E545745">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58385C7B">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11.71</w:t>
                  </w:r>
                </w:p>
              </w:tc>
              <w:tc>
                <w:tcPr>
                  <w:tcW w:w="1872" w:type="dxa"/>
                  <w:tcBorders>
                    <w:tl2br w:val="nil"/>
                    <w:tr2bl w:val="nil"/>
                  </w:tcBorders>
                  <w:noWrap w:val="0"/>
                  <w:vAlign w:val="center"/>
                </w:tcPr>
                <w:p w14:paraId="6EC85222">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044F02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269A7D6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4</w:t>
                  </w:r>
                </w:p>
              </w:tc>
              <w:tc>
                <w:tcPr>
                  <w:tcW w:w="3822" w:type="dxa"/>
                  <w:tcBorders>
                    <w:tl2br w:val="nil"/>
                    <w:tr2bl w:val="nil"/>
                  </w:tcBorders>
                  <w:noWrap w:val="0"/>
                  <w:vAlign w:val="center"/>
                </w:tcPr>
                <w:p w14:paraId="152A122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年平均气压</w:t>
                  </w:r>
                </w:p>
              </w:tc>
              <w:tc>
                <w:tcPr>
                  <w:tcW w:w="3215" w:type="dxa"/>
                  <w:tcBorders>
                    <w:tl2br w:val="nil"/>
                    <w:tr2bl w:val="nil"/>
                  </w:tcBorders>
                  <w:noWrap w:val="0"/>
                  <w:vAlign w:val="center"/>
                </w:tcPr>
                <w:p w14:paraId="499652C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hPa</w:t>
                  </w:r>
                </w:p>
              </w:tc>
              <w:tc>
                <w:tcPr>
                  <w:tcW w:w="2616" w:type="dxa"/>
                  <w:tcBorders>
                    <w:tl2br w:val="nil"/>
                    <w:tr2bl w:val="nil"/>
                  </w:tcBorders>
                  <w:noWrap w:val="0"/>
                  <w:vAlign w:val="center"/>
                </w:tcPr>
                <w:p w14:paraId="38756C15">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101</w:t>
                  </w:r>
                  <w:r>
                    <w:rPr>
                      <w:rFonts w:hint="eastAsia" w:cs="Times New Roman"/>
                      <w:color w:val="auto"/>
                      <w:spacing w:val="0"/>
                      <w:sz w:val="18"/>
                      <w:szCs w:val="18"/>
                      <w:lang w:val="en-US" w:eastAsia="zh-CN"/>
                    </w:rPr>
                    <w:t>2.3</w:t>
                  </w:r>
                </w:p>
              </w:tc>
              <w:tc>
                <w:tcPr>
                  <w:tcW w:w="1872" w:type="dxa"/>
                  <w:tcBorders>
                    <w:tl2br w:val="nil"/>
                    <w:tr2bl w:val="nil"/>
                  </w:tcBorders>
                  <w:noWrap w:val="0"/>
                  <w:vAlign w:val="center"/>
                </w:tcPr>
                <w:p w14:paraId="2663D89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3AB870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863" w:type="dxa"/>
                  <w:tcBorders>
                    <w:tl2br w:val="nil"/>
                    <w:tr2bl w:val="nil"/>
                  </w:tcBorders>
                  <w:noWrap w:val="0"/>
                  <w:vAlign w:val="center"/>
                </w:tcPr>
                <w:p w14:paraId="132049A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5</w:t>
                  </w:r>
                </w:p>
              </w:tc>
              <w:tc>
                <w:tcPr>
                  <w:tcW w:w="3822" w:type="dxa"/>
                  <w:tcBorders>
                    <w:tl2br w:val="nil"/>
                    <w:tr2bl w:val="nil"/>
                  </w:tcBorders>
                  <w:noWrap w:val="0"/>
                  <w:vAlign w:val="center"/>
                </w:tcPr>
                <w:p w14:paraId="427C5C17">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年平均相对湿度</w:t>
                  </w:r>
                </w:p>
              </w:tc>
              <w:tc>
                <w:tcPr>
                  <w:tcW w:w="3215" w:type="dxa"/>
                  <w:tcBorders>
                    <w:tl2br w:val="nil"/>
                    <w:tr2bl w:val="nil"/>
                  </w:tcBorders>
                  <w:noWrap w:val="0"/>
                  <w:vAlign w:val="center"/>
                </w:tcPr>
                <w:p w14:paraId="698F8F0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3299854B">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58</w:t>
                  </w:r>
                </w:p>
              </w:tc>
              <w:tc>
                <w:tcPr>
                  <w:tcW w:w="1872" w:type="dxa"/>
                  <w:tcBorders>
                    <w:tl2br w:val="nil"/>
                    <w:tr2bl w:val="nil"/>
                  </w:tcBorders>
                  <w:noWrap w:val="0"/>
                  <w:vAlign w:val="center"/>
                </w:tcPr>
                <w:p w14:paraId="5999299E">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3413F6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63" w:type="dxa"/>
                  <w:tcBorders>
                    <w:tl2br w:val="nil"/>
                    <w:tr2bl w:val="nil"/>
                  </w:tcBorders>
                  <w:noWrap w:val="0"/>
                  <w:vAlign w:val="center"/>
                </w:tcPr>
                <w:p w14:paraId="5E242F4A">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6</w:t>
                  </w:r>
                </w:p>
              </w:tc>
              <w:tc>
                <w:tcPr>
                  <w:tcW w:w="3822" w:type="dxa"/>
                  <w:tcBorders>
                    <w:tl2br w:val="nil"/>
                    <w:tr2bl w:val="nil"/>
                  </w:tcBorders>
                  <w:noWrap w:val="0"/>
                  <w:vAlign w:val="center"/>
                </w:tcPr>
                <w:p w14:paraId="5BCF0751">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声源和预测点间的高差</w:t>
                  </w:r>
                </w:p>
              </w:tc>
              <w:tc>
                <w:tcPr>
                  <w:tcW w:w="3215" w:type="dxa"/>
                  <w:tcBorders>
                    <w:tl2br w:val="nil"/>
                    <w:tr2bl w:val="nil"/>
                  </w:tcBorders>
                  <w:noWrap w:val="0"/>
                  <w:vAlign w:val="center"/>
                </w:tcPr>
                <w:p w14:paraId="03D8D6CD">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m</w:t>
                  </w:r>
                </w:p>
              </w:tc>
              <w:tc>
                <w:tcPr>
                  <w:tcW w:w="2616" w:type="dxa"/>
                  <w:tcBorders>
                    <w:tl2br w:val="nil"/>
                    <w:tr2bl w:val="nil"/>
                  </w:tcBorders>
                  <w:noWrap w:val="0"/>
                  <w:vAlign w:val="center"/>
                </w:tcPr>
                <w:p w14:paraId="6A0A13F4">
                  <w:pPr>
                    <w:spacing w:line="220" w:lineRule="exact"/>
                    <w:jc w:val="center"/>
                    <w:rPr>
                      <w:rFonts w:hint="default" w:ascii="Times New Roman" w:hAnsi="Times New Roman" w:eastAsia="宋体" w:cs="Times New Roman"/>
                      <w:color w:val="auto"/>
                      <w:spacing w:val="0"/>
                      <w:sz w:val="18"/>
                      <w:szCs w:val="18"/>
                      <w:lang w:val="en-US" w:eastAsia="zh-CN"/>
                    </w:rPr>
                  </w:pPr>
                  <w:r>
                    <w:rPr>
                      <w:rFonts w:hint="eastAsia" w:cs="Times New Roman"/>
                      <w:color w:val="auto"/>
                      <w:spacing w:val="0"/>
                      <w:sz w:val="18"/>
                      <w:szCs w:val="18"/>
                      <w:lang w:val="en-US" w:eastAsia="zh-CN"/>
                    </w:rPr>
                    <w:t>3-6</w:t>
                  </w:r>
                </w:p>
              </w:tc>
              <w:tc>
                <w:tcPr>
                  <w:tcW w:w="1872" w:type="dxa"/>
                  <w:tcBorders>
                    <w:tl2br w:val="nil"/>
                    <w:tr2bl w:val="nil"/>
                  </w:tcBorders>
                  <w:noWrap w:val="0"/>
                  <w:vAlign w:val="center"/>
                </w:tcPr>
                <w:p w14:paraId="30C961FC">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r w14:paraId="6865F1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863" w:type="dxa"/>
                  <w:tcBorders>
                    <w:tl2br w:val="nil"/>
                    <w:tr2bl w:val="nil"/>
                  </w:tcBorders>
                  <w:noWrap w:val="0"/>
                  <w:vAlign w:val="center"/>
                </w:tcPr>
                <w:p w14:paraId="57FE6AA2">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7</w:t>
                  </w:r>
                </w:p>
              </w:tc>
              <w:tc>
                <w:tcPr>
                  <w:tcW w:w="3822" w:type="dxa"/>
                  <w:tcBorders>
                    <w:tl2br w:val="nil"/>
                    <w:tr2bl w:val="nil"/>
                  </w:tcBorders>
                  <w:noWrap w:val="0"/>
                  <w:vAlign w:val="center"/>
                </w:tcPr>
                <w:p w14:paraId="79F41CC9">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声源和预测点间的地面覆盖情况</w:t>
                  </w:r>
                </w:p>
              </w:tc>
              <w:tc>
                <w:tcPr>
                  <w:tcW w:w="3215" w:type="dxa"/>
                  <w:tcBorders>
                    <w:tl2br w:val="nil"/>
                    <w:tr2bl w:val="nil"/>
                  </w:tcBorders>
                  <w:noWrap w:val="0"/>
                  <w:vAlign w:val="center"/>
                </w:tcPr>
                <w:p w14:paraId="69B962D8">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c>
                <w:tcPr>
                  <w:tcW w:w="2616" w:type="dxa"/>
                  <w:tcBorders>
                    <w:tl2br w:val="nil"/>
                    <w:tr2bl w:val="nil"/>
                  </w:tcBorders>
                  <w:noWrap w:val="0"/>
                  <w:vAlign w:val="center"/>
                </w:tcPr>
                <w:p w14:paraId="232B558D">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水泥地面</w:t>
                  </w:r>
                </w:p>
              </w:tc>
              <w:tc>
                <w:tcPr>
                  <w:tcW w:w="1872" w:type="dxa"/>
                  <w:tcBorders>
                    <w:tl2br w:val="nil"/>
                    <w:tr2bl w:val="nil"/>
                  </w:tcBorders>
                  <w:noWrap w:val="0"/>
                  <w:vAlign w:val="center"/>
                </w:tcPr>
                <w:p w14:paraId="5D9011D9">
                  <w:pPr>
                    <w:spacing w:line="220" w:lineRule="exact"/>
                    <w:jc w:val="center"/>
                    <w:rPr>
                      <w:rFonts w:hint="default" w:ascii="Times New Roman" w:hAnsi="Times New Roman" w:eastAsia="宋体" w:cs="Times New Roman"/>
                      <w:color w:val="auto"/>
                      <w:spacing w:val="0"/>
                      <w:sz w:val="18"/>
                      <w:szCs w:val="18"/>
                      <w:lang w:val="en-US" w:eastAsia="zh-CN"/>
                    </w:rPr>
                  </w:pPr>
                  <w:r>
                    <w:rPr>
                      <w:rFonts w:hint="default" w:ascii="Times New Roman" w:hAnsi="Times New Roman" w:eastAsia="宋体" w:cs="Times New Roman"/>
                      <w:color w:val="auto"/>
                      <w:spacing w:val="0"/>
                      <w:sz w:val="18"/>
                      <w:szCs w:val="18"/>
                      <w:lang w:val="en-US" w:eastAsia="zh-CN"/>
                    </w:rPr>
                    <w:t>--</w:t>
                  </w:r>
                </w:p>
              </w:tc>
            </w:tr>
          </w:tbl>
          <w:p w14:paraId="4020AF22">
            <w:pPr>
              <w:tabs>
                <w:tab w:val="left" w:pos="4253"/>
              </w:tabs>
              <w:spacing w:line="440" w:lineRule="exact"/>
              <w:jc w:val="center"/>
              <w:rPr>
                <w:b/>
                <w:color w:val="auto"/>
                <w:szCs w:val="21"/>
              </w:rPr>
            </w:pPr>
          </w:p>
          <w:p w14:paraId="787FF29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color w:val="auto"/>
                <w:highlight w:val="none"/>
              </w:rPr>
            </w:pPr>
          </w:p>
        </w:tc>
      </w:tr>
    </w:tbl>
    <w:p w14:paraId="547BBA95">
      <w:pPr>
        <w:adjustRightInd w:val="0"/>
        <w:snapToGrid w:val="0"/>
        <w:spacing w:line="360" w:lineRule="auto"/>
        <w:rPr>
          <w:rFonts w:ascii="宋体" w:cs="宋体"/>
          <w:b/>
          <w:color w:val="auto"/>
          <w:kern w:val="0"/>
          <w:sz w:val="28"/>
          <w:szCs w:val="28"/>
          <w:highlight w:val="none"/>
        </w:rPr>
        <w:sectPr>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070"/>
      </w:tblGrid>
      <w:tr w14:paraId="5E66A0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6" w:type="dxa"/>
            <w:tcMar>
              <w:left w:w="28" w:type="dxa"/>
              <w:right w:w="28" w:type="dxa"/>
            </w:tcMar>
            <w:vAlign w:val="center"/>
          </w:tcPr>
          <w:p w14:paraId="3212FB48">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运营</w:t>
            </w:r>
          </w:p>
          <w:p w14:paraId="4A3982E8">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期环</w:t>
            </w:r>
          </w:p>
          <w:p w14:paraId="75911FA5">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境影</w:t>
            </w:r>
          </w:p>
          <w:p w14:paraId="449EF5D1">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响和</w:t>
            </w:r>
          </w:p>
          <w:p w14:paraId="3950D349">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保护</w:t>
            </w:r>
          </w:p>
          <w:p w14:paraId="7FCBC35C">
            <w:pPr>
              <w:adjustRightInd w:val="0"/>
              <w:snapToGrid w:val="0"/>
              <w:jc w:val="center"/>
              <w:rPr>
                <w:rFonts w:ascii="宋体" w:hAnsi="宋体" w:cs="宋体"/>
                <w:bCs/>
                <w:color w:val="auto"/>
                <w:szCs w:val="21"/>
                <w:highlight w:val="none"/>
              </w:rPr>
            </w:pPr>
            <w:r>
              <w:rPr>
                <w:rFonts w:hint="eastAsia" w:ascii="宋体" w:hAnsi="宋体" w:cs="宋体"/>
                <w:bCs/>
                <w:color w:val="auto"/>
                <w:szCs w:val="21"/>
                <w:highlight w:val="none"/>
              </w:rPr>
              <w:t>措施</w:t>
            </w:r>
          </w:p>
        </w:tc>
        <w:tc>
          <w:tcPr>
            <w:tcW w:w="8070" w:type="dxa"/>
            <w:vAlign w:val="center"/>
          </w:tcPr>
          <w:p w14:paraId="38A8AD79">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rPr>
            </w:pPr>
            <w:r>
              <w:rPr>
                <w:rFonts w:hint="eastAsia" w:ascii="Times New Roman" w:hAnsi="Times New Roman"/>
                <w:b/>
                <w:color w:val="auto"/>
                <w:sz w:val="21"/>
                <w:szCs w:val="21"/>
              </w:rPr>
              <w:t>3.2厂界达标情况</w:t>
            </w:r>
          </w:p>
          <w:p w14:paraId="29C9CA75">
            <w:pPr>
              <w:spacing w:line="440" w:lineRule="exact"/>
              <w:ind w:firstLine="420" w:firstLineChars="200"/>
              <w:rPr>
                <w:color w:val="auto"/>
                <w:szCs w:val="21"/>
              </w:rPr>
            </w:pPr>
            <w:r>
              <w:rPr>
                <w:rFonts w:hint="eastAsia" w:ascii="宋体" w:hAnsi="宋体"/>
                <w:color w:val="auto"/>
                <w:szCs w:val="21"/>
              </w:rPr>
              <w:t>（1）</w:t>
            </w:r>
            <w:r>
              <w:rPr>
                <w:rFonts w:hint="eastAsia"/>
                <w:color w:val="auto"/>
                <w:szCs w:val="21"/>
              </w:rPr>
              <w:t>预测模式</w:t>
            </w:r>
          </w:p>
          <w:p w14:paraId="77BBE229">
            <w:pPr>
              <w:spacing w:line="440" w:lineRule="exact"/>
              <w:ind w:firstLine="420" w:firstLineChars="200"/>
              <w:rPr>
                <w:color w:val="auto"/>
                <w:szCs w:val="21"/>
              </w:rPr>
            </w:pPr>
            <w:r>
              <w:rPr>
                <w:color w:val="auto"/>
                <w:szCs w:val="21"/>
              </w:rPr>
              <w:t>采用《环境影响评价技术导则·声环境》</w:t>
            </w:r>
            <w:r>
              <w:rPr>
                <w:rFonts w:hint="eastAsia"/>
                <w:color w:val="auto"/>
                <w:szCs w:val="21"/>
              </w:rPr>
              <w:t>（</w:t>
            </w:r>
            <w:r>
              <w:rPr>
                <w:color w:val="auto"/>
                <w:szCs w:val="21"/>
              </w:rPr>
              <w:t>HJ2.4-20</w:t>
            </w:r>
            <w:r>
              <w:rPr>
                <w:rFonts w:hint="eastAsia"/>
                <w:color w:val="auto"/>
                <w:szCs w:val="21"/>
              </w:rPr>
              <w:t>21）</w:t>
            </w:r>
            <w:r>
              <w:rPr>
                <w:color w:val="auto"/>
                <w:szCs w:val="21"/>
              </w:rPr>
              <w:t>中推荐的模式进行计算。</w:t>
            </w:r>
          </w:p>
          <w:p w14:paraId="774F8A8D">
            <w:pPr>
              <w:spacing w:line="440" w:lineRule="exact"/>
              <w:ind w:firstLine="420" w:firstLineChars="200"/>
              <w:rPr>
                <w:color w:val="auto"/>
                <w:szCs w:val="21"/>
              </w:rPr>
            </w:pPr>
            <w:r>
              <w:rPr>
                <w:color w:val="auto"/>
                <w:szCs w:val="21"/>
              </w:rPr>
              <w:t>室外点声源对厂界噪声预测点贡献值预测模式如下：</w:t>
            </w:r>
          </w:p>
          <w:p w14:paraId="48DEDCCF">
            <w:pPr>
              <w:widowControl/>
              <w:spacing w:line="440" w:lineRule="exact"/>
              <w:ind w:firstLine="1890" w:firstLineChars="900"/>
              <w:jc w:val="left"/>
              <w:rPr>
                <w:color w:val="auto"/>
              </w:rPr>
            </w:pPr>
            <w:r>
              <w:rPr>
                <w:i/>
                <w:iCs/>
                <w:color w:val="auto"/>
                <w:kern w:val="0"/>
                <w:szCs w:val="21"/>
                <w:lang w:bidi="ar"/>
              </w:rPr>
              <w:t>L</w:t>
            </w:r>
            <w:r>
              <w:rPr>
                <w:i/>
                <w:iCs/>
                <w:color w:val="auto"/>
                <w:kern w:val="0"/>
                <w:sz w:val="13"/>
                <w:szCs w:val="13"/>
                <w:lang w:bidi="ar"/>
              </w:rPr>
              <w:t>p</w:t>
            </w:r>
            <w:r>
              <w:rPr>
                <w:color w:val="auto"/>
                <w:kern w:val="0"/>
                <w:szCs w:val="21"/>
                <w:lang w:bidi="ar"/>
              </w:rPr>
              <w:t>(</w:t>
            </w:r>
            <w:r>
              <w:rPr>
                <w:i/>
                <w:iCs/>
                <w:color w:val="auto"/>
                <w:kern w:val="0"/>
                <w:szCs w:val="21"/>
                <w:lang w:bidi="ar"/>
              </w:rPr>
              <w:t>r</w:t>
            </w:r>
            <w:r>
              <w:rPr>
                <w:color w:val="auto"/>
                <w:kern w:val="0"/>
                <w:szCs w:val="21"/>
                <w:lang w:bidi="ar"/>
              </w:rPr>
              <w:t>)</w:t>
            </w:r>
            <w:r>
              <w:rPr>
                <w:rFonts w:hint="eastAsia" w:ascii="宋体" w:hAnsi="宋体" w:cs="宋体"/>
                <w:color w:val="auto"/>
                <w:kern w:val="0"/>
                <w:szCs w:val="21"/>
                <w:lang w:bidi="ar"/>
              </w:rPr>
              <w:t>＝</w:t>
            </w:r>
            <w:r>
              <w:rPr>
                <w:i/>
                <w:iCs/>
                <w:color w:val="auto"/>
                <w:kern w:val="0"/>
                <w:szCs w:val="21"/>
                <w:lang w:bidi="ar"/>
              </w:rPr>
              <w:t>L</w:t>
            </w:r>
            <w:r>
              <w:rPr>
                <w:i/>
                <w:iCs/>
                <w:color w:val="auto"/>
                <w:kern w:val="0"/>
                <w:sz w:val="13"/>
                <w:szCs w:val="13"/>
                <w:lang w:bidi="ar"/>
              </w:rPr>
              <w:t>w</w:t>
            </w:r>
            <w:r>
              <w:rPr>
                <w:color w:val="auto"/>
                <w:kern w:val="0"/>
                <w:szCs w:val="21"/>
                <w:lang w:bidi="ar"/>
              </w:rPr>
              <w:t>+</w:t>
            </w:r>
            <w:r>
              <w:rPr>
                <w:i/>
                <w:iCs/>
                <w:color w:val="auto"/>
                <w:kern w:val="0"/>
                <w:szCs w:val="21"/>
                <w:lang w:bidi="ar"/>
              </w:rPr>
              <w:t>D</w:t>
            </w:r>
            <w:r>
              <w:rPr>
                <w:color w:val="auto"/>
                <w:kern w:val="0"/>
                <w:sz w:val="13"/>
                <w:szCs w:val="13"/>
                <w:lang w:bidi="ar"/>
              </w:rPr>
              <w:t>C</w:t>
            </w:r>
            <w:r>
              <w:rPr>
                <w:rFonts w:hint="eastAsia" w:ascii="宋体" w:hAnsi="宋体" w:cs="宋体"/>
                <w:color w:val="auto"/>
                <w:kern w:val="0"/>
                <w:szCs w:val="21"/>
                <w:lang w:bidi="ar"/>
              </w:rPr>
              <w:t>－</w:t>
            </w:r>
            <w:r>
              <w:rPr>
                <w:color w:val="auto"/>
                <w:kern w:val="0"/>
                <w:szCs w:val="21"/>
                <w:lang w:bidi="ar"/>
              </w:rPr>
              <w:t>(</w:t>
            </w:r>
            <w:r>
              <w:rPr>
                <w:i/>
                <w:iCs/>
                <w:color w:val="auto"/>
                <w:kern w:val="0"/>
                <w:szCs w:val="21"/>
                <w:lang w:bidi="ar"/>
              </w:rPr>
              <w:t>A</w:t>
            </w:r>
            <w:r>
              <w:rPr>
                <w:color w:val="auto"/>
                <w:kern w:val="0"/>
                <w:sz w:val="13"/>
                <w:szCs w:val="13"/>
                <w:lang w:bidi="ar"/>
              </w:rPr>
              <w:t>div</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atm</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gr</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bar</w:t>
            </w:r>
            <w:r>
              <w:rPr>
                <w:rFonts w:hint="eastAsia" w:ascii="宋体" w:hAnsi="宋体" w:cs="宋体"/>
                <w:color w:val="auto"/>
                <w:kern w:val="0"/>
                <w:szCs w:val="21"/>
                <w:lang w:bidi="ar"/>
              </w:rPr>
              <w:t>＋</w:t>
            </w:r>
            <w:r>
              <w:rPr>
                <w:i/>
                <w:iCs/>
                <w:color w:val="auto"/>
                <w:kern w:val="0"/>
                <w:szCs w:val="21"/>
                <w:lang w:bidi="ar"/>
              </w:rPr>
              <w:t>A</w:t>
            </w:r>
            <w:r>
              <w:rPr>
                <w:color w:val="auto"/>
                <w:kern w:val="0"/>
                <w:sz w:val="13"/>
                <w:szCs w:val="13"/>
                <w:lang w:bidi="ar"/>
              </w:rPr>
              <w:t>misc</w:t>
            </w:r>
            <w:r>
              <w:rPr>
                <w:color w:val="auto"/>
                <w:kern w:val="0"/>
                <w:szCs w:val="21"/>
                <w:lang w:bidi="ar"/>
              </w:rPr>
              <w:t xml:space="preserve">) </w:t>
            </w:r>
          </w:p>
          <w:p w14:paraId="28780A18">
            <w:pPr>
              <w:widowControl/>
              <w:spacing w:line="440" w:lineRule="exact"/>
              <w:ind w:firstLine="840" w:firstLineChars="400"/>
              <w:jc w:val="left"/>
              <w:rPr>
                <w:color w:val="auto"/>
              </w:rPr>
            </w:pPr>
            <w:r>
              <w:rPr>
                <w:color w:val="auto"/>
              </w:rPr>
              <w:t>式中：</w:t>
            </w:r>
            <w:r>
              <w:rPr>
                <w:i/>
                <w:iCs/>
                <w:color w:val="auto"/>
                <w:kern w:val="0"/>
                <w:szCs w:val="21"/>
                <w:lang w:bidi="ar"/>
              </w:rPr>
              <w:t>L</w:t>
            </w:r>
            <w:r>
              <w:rPr>
                <w:i/>
                <w:iCs/>
                <w:color w:val="auto"/>
                <w:kern w:val="0"/>
                <w:sz w:val="13"/>
                <w:szCs w:val="13"/>
                <w:lang w:bidi="ar"/>
              </w:rPr>
              <w:t>p</w:t>
            </w:r>
            <w:r>
              <w:rPr>
                <w:color w:val="auto"/>
                <w:kern w:val="0"/>
                <w:szCs w:val="21"/>
                <w:lang w:bidi="ar"/>
              </w:rPr>
              <w:t>(</w:t>
            </w:r>
            <w:r>
              <w:rPr>
                <w:i/>
                <w:iCs/>
                <w:color w:val="auto"/>
                <w:kern w:val="0"/>
                <w:szCs w:val="21"/>
                <w:lang w:bidi="ar"/>
              </w:rPr>
              <w:t>r</w:t>
            </w:r>
            <w:r>
              <w:rPr>
                <w:color w:val="auto"/>
                <w:kern w:val="0"/>
                <w:szCs w:val="21"/>
                <w:lang w:bidi="ar"/>
              </w:rPr>
              <w:t>) ——</w:t>
            </w:r>
            <w:r>
              <w:rPr>
                <w:rFonts w:hint="eastAsia" w:ascii="宋体" w:hAnsi="宋体" w:cs="宋体"/>
                <w:color w:val="auto"/>
                <w:kern w:val="0"/>
                <w:szCs w:val="21"/>
                <w:lang w:bidi="ar"/>
              </w:rPr>
              <w:t>预测点处声压级，</w:t>
            </w:r>
            <w:r>
              <w:rPr>
                <w:color w:val="auto"/>
                <w:kern w:val="0"/>
                <w:szCs w:val="21"/>
                <w:lang w:bidi="ar"/>
              </w:rPr>
              <w:t>dB</w:t>
            </w:r>
            <w:r>
              <w:rPr>
                <w:rFonts w:hint="eastAsia" w:ascii="宋体" w:hAnsi="宋体" w:cs="宋体"/>
                <w:color w:val="auto"/>
                <w:kern w:val="0"/>
                <w:szCs w:val="21"/>
                <w:lang w:bidi="ar"/>
              </w:rPr>
              <w:t>；</w:t>
            </w:r>
          </w:p>
          <w:p w14:paraId="7AA545AF">
            <w:pPr>
              <w:widowControl/>
              <w:spacing w:line="440" w:lineRule="exact"/>
              <w:ind w:firstLine="840" w:firstLineChars="400"/>
              <w:jc w:val="left"/>
              <w:rPr>
                <w:color w:val="auto"/>
              </w:rPr>
            </w:pPr>
            <w:r>
              <w:rPr>
                <w:i/>
                <w:iCs/>
                <w:color w:val="auto"/>
                <w:kern w:val="0"/>
                <w:szCs w:val="21"/>
                <w:lang w:bidi="ar"/>
              </w:rPr>
              <w:t>L</w:t>
            </w:r>
            <w:r>
              <w:rPr>
                <w:i/>
                <w:iCs/>
                <w:color w:val="auto"/>
                <w:kern w:val="0"/>
                <w:sz w:val="13"/>
                <w:szCs w:val="13"/>
                <w:lang w:bidi="ar"/>
              </w:rPr>
              <w:t xml:space="preserve">w </w:t>
            </w:r>
            <w:r>
              <w:rPr>
                <w:color w:val="auto"/>
                <w:kern w:val="0"/>
                <w:szCs w:val="21"/>
                <w:lang w:bidi="ar"/>
              </w:rPr>
              <w:t>——</w:t>
            </w:r>
            <w:r>
              <w:rPr>
                <w:rFonts w:hint="eastAsia" w:ascii="宋体" w:hAnsi="宋体" w:cs="宋体"/>
                <w:color w:val="auto"/>
                <w:kern w:val="0"/>
                <w:szCs w:val="21"/>
                <w:lang w:bidi="ar"/>
              </w:rPr>
              <w:t>由点声源产生的声功率级（</w:t>
            </w:r>
            <w:r>
              <w:rPr>
                <w:color w:val="auto"/>
                <w:kern w:val="0"/>
                <w:szCs w:val="21"/>
                <w:lang w:bidi="ar"/>
              </w:rPr>
              <w:t>A</w:t>
            </w:r>
            <w:r>
              <w:rPr>
                <w:rFonts w:hint="eastAsia" w:ascii="宋体" w:hAnsi="宋体" w:cs="宋体"/>
                <w:color w:val="auto"/>
                <w:kern w:val="0"/>
                <w:szCs w:val="21"/>
                <w:lang w:bidi="ar"/>
              </w:rPr>
              <w:t>计权或倍频带），</w:t>
            </w:r>
            <w:r>
              <w:rPr>
                <w:color w:val="auto"/>
                <w:kern w:val="0"/>
                <w:szCs w:val="21"/>
                <w:lang w:bidi="ar"/>
              </w:rPr>
              <w:t>dB</w:t>
            </w:r>
            <w:r>
              <w:rPr>
                <w:rFonts w:hint="eastAsia" w:ascii="宋体" w:hAnsi="宋体" w:cs="宋体"/>
                <w:color w:val="auto"/>
                <w:kern w:val="0"/>
                <w:szCs w:val="21"/>
                <w:lang w:bidi="ar"/>
              </w:rPr>
              <w:t xml:space="preserve">； </w:t>
            </w:r>
          </w:p>
          <w:p w14:paraId="00FC3828">
            <w:pPr>
              <w:widowControl/>
              <w:spacing w:line="440" w:lineRule="exact"/>
              <w:ind w:firstLine="840" w:firstLineChars="400"/>
              <w:jc w:val="left"/>
              <w:rPr>
                <w:color w:val="auto"/>
              </w:rPr>
            </w:pPr>
            <w:r>
              <w:rPr>
                <w:i/>
                <w:iCs/>
                <w:color w:val="auto"/>
                <w:kern w:val="0"/>
                <w:szCs w:val="21"/>
                <w:lang w:bidi="ar"/>
              </w:rPr>
              <w:t>D</w:t>
            </w:r>
            <w:r>
              <w:rPr>
                <w:color w:val="auto"/>
                <w:kern w:val="0"/>
                <w:sz w:val="13"/>
                <w:szCs w:val="13"/>
                <w:lang w:bidi="ar"/>
              </w:rPr>
              <w:t xml:space="preserve">C </w:t>
            </w:r>
            <w:r>
              <w:rPr>
                <w:color w:val="auto"/>
                <w:kern w:val="0"/>
                <w:szCs w:val="21"/>
                <w:lang w:bidi="ar"/>
              </w:rPr>
              <w:t>——</w:t>
            </w:r>
            <w:r>
              <w:rPr>
                <w:rFonts w:hint="eastAsia" w:ascii="宋体" w:hAnsi="宋体" w:cs="宋体"/>
                <w:color w:val="auto"/>
                <w:kern w:val="0"/>
                <w:szCs w:val="21"/>
                <w:lang w:bidi="ar"/>
              </w:rPr>
              <w:t>指向性校正，它描述点声源的等效连续声压级与产生声功率级</w:t>
            </w:r>
            <w:r>
              <w:rPr>
                <w:i/>
                <w:iCs/>
                <w:color w:val="auto"/>
                <w:kern w:val="0"/>
                <w:szCs w:val="21"/>
                <w:lang w:bidi="ar"/>
              </w:rPr>
              <w:t>L</w:t>
            </w:r>
            <w:r>
              <w:rPr>
                <w:i/>
                <w:iCs/>
                <w:color w:val="auto"/>
                <w:kern w:val="0"/>
                <w:sz w:val="13"/>
                <w:szCs w:val="13"/>
                <w:lang w:bidi="ar"/>
              </w:rPr>
              <w:t>w</w:t>
            </w:r>
            <w:r>
              <w:rPr>
                <w:rFonts w:hint="eastAsia" w:ascii="宋体" w:hAnsi="宋体" w:cs="宋体"/>
                <w:color w:val="auto"/>
                <w:kern w:val="0"/>
                <w:szCs w:val="21"/>
                <w:lang w:bidi="ar"/>
              </w:rPr>
              <w:t>的全向点声源在规定方向的声级的偏差程度，</w:t>
            </w:r>
            <w:r>
              <w:rPr>
                <w:color w:val="auto"/>
                <w:kern w:val="0"/>
                <w:szCs w:val="21"/>
                <w:lang w:bidi="ar"/>
              </w:rPr>
              <w:t>dB</w:t>
            </w:r>
            <w:r>
              <w:rPr>
                <w:rFonts w:hint="eastAsia" w:ascii="宋体" w:hAnsi="宋体" w:cs="宋体"/>
                <w:color w:val="auto"/>
                <w:kern w:val="0"/>
                <w:szCs w:val="21"/>
                <w:lang w:bidi="ar"/>
              </w:rPr>
              <w:t xml:space="preserve">； </w:t>
            </w:r>
          </w:p>
          <w:p w14:paraId="7CADC7D4">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div </w:t>
            </w:r>
            <w:r>
              <w:rPr>
                <w:color w:val="auto"/>
                <w:kern w:val="0"/>
                <w:szCs w:val="21"/>
                <w:lang w:bidi="ar"/>
              </w:rPr>
              <w:t>——</w:t>
            </w:r>
            <w:r>
              <w:rPr>
                <w:rFonts w:hint="eastAsia" w:ascii="宋体" w:hAnsi="宋体" w:cs="宋体"/>
                <w:color w:val="auto"/>
                <w:kern w:val="0"/>
                <w:szCs w:val="21"/>
                <w:lang w:bidi="ar"/>
              </w:rPr>
              <w:t>几何发散引起的衰减，</w:t>
            </w:r>
            <w:r>
              <w:rPr>
                <w:color w:val="auto"/>
                <w:kern w:val="0"/>
                <w:szCs w:val="21"/>
                <w:lang w:bidi="ar"/>
              </w:rPr>
              <w:t>dB</w:t>
            </w:r>
            <w:r>
              <w:rPr>
                <w:rFonts w:hint="eastAsia" w:ascii="宋体" w:hAnsi="宋体" w:cs="宋体"/>
                <w:color w:val="auto"/>
                <w:kern w:val="0"/>
                <w:szCs w:val="21"/>
                <w:lang w:bidi="ar"/>
              </w:rPr>
              <w:t xml:space="preserve">； </w:t>
            </w:r>
          </w:p>
          <w:p w14:paraId="59820EDA">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atm </w:t>
            </w:r>
            <w:r>
              <w:rPr>
                <w:color w:val="auto"/>
                <w:kern w:val="0"/>
                <w:szCs w:val="21"/>
                <w:lang w:bidi="ar"/>
              </w:rPr>
              <w:t>——</w:t>
            </w:r>
            <w:r>
              <w:rPr>
                <w:rFonts w:hint="eastAsia" w:ascii="宋体" w:hAnsi="宋体" w:cs="宋体"/>
                <w:color w:val="auto"/>
                <w:kern w:val="0"/>
                <w:szCs w:val="21"/>
                <w:lang w:bidi="ar"/>
              </w:rPr>
              <w:t>大气吸收引起的衰减，</w:t>
            </w:r>
            <w:r>
              <w:rPr>
                <w:color w:val="auto"/>
                <w:kern w:val="0"/>
                <w:szCs w:val="21"/>
                <w:lang w:bidi="ar"/>
              </w:rPr>
              <w:t>dB</w:t>
            </w:r>
            <w:r>
              <w:rPr>
                <w:rFonts w:hint="eastAsia" w:ascii="宋体" w:hAnsi="宋体" w:cs="宋体"/>
                <w:color w:val="auto"/>
                <w:kern w:val="0"/>
                <w:szCs w:val="21"/>
                <w:lang w:bidi="ar"/>
              </w:rPr>
              <w:t xml:space="preserve">； </w:t>
            </w:r>
          </w:p>
          <w:p w14:paraId="44FF5016">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gr </w:t>
            </w:r>
            <w:r>
              <w:rPr>
                <w:color w:val="auto"/>
                <w:kern w:val="0"/>
                <w:szCs w:val="21"/>
                <w:lang w:bidi="ar"/>
              </w:rPr>
              <w:t>——</w:t>
            </w:r>
            <w:r>
              <w:rPr>
                <w:rFonts w:hint="eastAsia" w:ascii="宋体" w:hAnsi="宋体" w:cs="宋体"/>
                <w:color w:val="auto"/>
                <w:kern w:val="0"/>
                <w:szCs w:val="21"/>
                <w:lang w:bidi="ar"/>
              </w:rPr>
              <w:t>地面效应引起的衰减，</w:t>
            </w:r>
            <w:r>
              <w:rPr>
                <w:color w:val="auto"/>
                <w:kern w:val="0"/>
                <w:szCs w:val="21"/>
                <w:lang w:bidi="ar"/>
              </w:rPr>
              <w:t>dB</w:t>
            </w:r>
            <w:r>
              <w:rPr>
                <w:rFonts w:hint="eastAsia" w:ascii="宋体" w:hAnsi="宋体" w:cs="宋体"/>
                <w:color w:val="auto"/>
                <w:kern w:val="0"/>
                <w:szCs w:val="21"/>
                <w:lang w:bidi="ar"/>
              </w:rPr>
              <w:t xml:space="preserve">； </w:t>
            </w:r>
          </w:p>
          <w:p w14:paraId="5798B4AD">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bar </w:t>
            </w:r>
            <w:r>
              <w:rPr>
                <w:color w:val="auto"/>
                <w:kern w:val="0"/>
                <w:szCs w:val="21"/>
                <w:lang w:bidi="ar"/>
              </w:rPr>
              <w:t>——</w:t>
            </w:r>
            <w:r>
              <w:rPr>
                <w:rFonts w:hint="eastAsia" w:ascii="宋体" w:hAnsi="宋体" w:cs="宋体"/>
                <w:color w:val="auto"/>
                <w:kern w:val="0"/>
                <w:szCs w:val="21"/>
                <w:lang w:bidi="ar"/>
              </w:rPr>
              <w:t>障碍物屏蔽引起的衰减，</w:t>
            </w:r>
            <w:r>
              <w:rPr>
                <w:color w:val="auto"/>
                <w:kern w:val="0"/>
                <w:szCs w:val="21"/>
                <w:lang w:bidi="ar"/>
              </w:rPr>
              <w:t>dB</w:t>
            </w:r>
            <w:r>
              <w:rPr>
                <w:rFonts w:hint="eastAsia" w:ascii="宋体" w:hAnsi="宋体" w:cs="宋体"/>
                <w:color w:val="auto"/>
                <w:kern w:val="0"/>
                <w:szCs w:val="21"/>
                <w:lang w:bidi="ar"/>
              </w:rPr>
              <w:t xml:space="preserve">； </w:t>
            </w:r>
          </w:p>
          <w:p w14:paraId="76C9A28B">
            <w:pPr>
              <w:widowControl/>
              <w:spacing w:line="440" w:lineRule="exact"/>
              <w:ind w:firstLine="840" w:firstLineChars="400"/>
              <w:jc w:val="left"/>
              <w:rPr>
                <w:color w:val="auto"/>
              </w:rPr>
            </w:pPr>
            <w:r>
              <w:rPr>
                <w:i/>
                <w:iCs/>
                <w:color w:val="auto"/>
                <w:kern w:val="0"/>
                <w:szCs w:val="21"/>
                <w:lang w:bidi="ar"/>
              </w:rPr>
              <w:t>A</w:t>
            </w:r>
            <w:r>
              <w:rPr>
                <w:color w:val="auto"/>
                <w:kern w:val="0"/>
                <w:sz w:val="13"/>
                <w:szCs w:val="13"/>
                <w:lang w:bidi="ar"/>
              </w:rPr>
              <w:t xml:space="preserve">misc </w:t>
            </w:r>
            <w:r>
              <w:rPr>
                <w:color w:val="auto"/>
                <w:kern w:val="0"/>
                <w:szCs w:val="21"/>
                <w:lang w:bidi="ar"/>
              </w:rPr>
              <w:t>——</w:t>
            </w:r>
            <w:r>
              <w:rPr>
                <w:rFonts w:hint="eastAsia" w:ascii="宋体" w:hAnsi="宋体" w:cs="宋体"/>
                <w:color w:val="auto"/>
                <w:kern w:val="0"/>
                <w:szCs w:val="21"/>
                <w:lang w:bidi="ar"/>
              </w:rPr>
              <w:t>其他多方面效应引起的衰减，</w:t>
            </w:r>
            <w:r>
              <w:rPr>
                <w:color w:val="auto"/>
                <w:kern w:val="0"/>
                <w:szCs w:val="21"/>
                <w:lang w:bidi="ar"/>
              </w:rPr>
              <w:t>dB</w:t>
            </w:r>
            <w:r>
              <w:rPr>
                <w:rFonts w:hint="eastAsia" w:ascii="宋体" w:hAnsi="宋体" w:cs="宋体"/>
                <w:color w:val="auto"/>
                <w:kern w:val="0"/>
                <w:szCs w:val="21"/>
                <w:lang w:bidi="ar"/>
              </w:rPr>
              <w:t>。</w:t>
            </w:r>
          </w:p>
          <w:p w14:paraId="4D6EFEDF">
            <w:pPr>
              <w:spacing w:line="440" w:lineRule="exact"/>
              <w:ind w:firstLine="420" w:firstLineChars="200"/>
              <w:rPr>
                <w:rFonts w:hAnsi="宋体"/>
                <w:color w:val="auto"/>
              </w:rPr>
            </w:pPr>
            <w:r>
              <w:rPr>
                <w:rFonts w:hint="eastAsia" w:hAnsi="宋体"/>
                <w:color w:val="auto"/>
              </w:rPr>
              <w:t>预测点噪声贡献值</w:t>
            </w:r>
          </w:p>
          <w:p w14:paraId="7DCF6B4C">
            <w:pPr>
              <w:spacing w:line="440" w:lineRule="exact"/>
              <w:ind w:firstLine="420" w:firstLineChars="200"/>
              <w:rPr>
                <w:rFonts w:hAnsi="宋体"/>
                <w:color w:val="auto"/>
              </w:rPr>
            </w:pPr>
            <w:r>
              <w:rPr>
                <w:color w:val="auto"/>
              </w:rPr>
              <w:drawing>
                <wp:anchor distT="0" distB="0" distL="114300" distR="114300" simplePos="0" relativeHeight="251661312" behindDoc="0" locked="0" layoutInCell="1" allowOverlap="1">
                  <wp:simplePos x="0" y="0"/>
                  <wp:positionH relativeFrom="column">
                    <wp:posOffset>277495</wp:posOffset>
                  </wp:positionH>
                  <wp:positionV relativeFrom="paragraph">
                    <wp:posOffset>276860</wp:posOffset>
                  </wp:positionV>
                  <wp:extent cx="1760220" cy="327025"/>
                  <wp:effectExtent l="0" t="0" r="11430" b="15875"/>
                  <wp:wrapNone/>
                  <wp:docPr id="2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4"/>
                          <pic:cNvPicPr>
                            <a:picLocks noChangeAspect="1"/>
                          </pic:cNvPicPr>
                        </pic:nvPicPr>
                        <pic:blipFill>
                          <a:blip r:embed="rId10"/>
                          <a:stretch>
                            <a:fillRect/>
                          </a:stretch>
                        </pic:blipFill>
                        <pic:spPr>
                          <a:xfrm>
                            <a:off x="0" y="0"/>
                            <a:ext cx="1760220" cy="327025"/>
                          </a:xfrm>
                          <a:prstGeom prst="rect">
                            <a:avLst/>
                          </a:prstGeom>
                          <a:noFill/>
                          <a:ln>
                            <a:noFill/>
                          </a:ln>
                        </pic:spPr>
                      </pic:pic>
                    </a:graphicData>
                  </a:graphic>
                </wp:anchor>
              </w:drawing>
            </w:r>
            <w:r>
              <w:rPr>
                <w:rFonts w:hint="eastAsia" w:hAnsi="宋体"/>
                <w:color w:val="auto"/>
              </w:rPr>
              <w:t>拟建项目声源对预测点产生的贡献值（</w:t>
            </w:r>
            <w:r>
              <w:rPr>
                <w:rFonts w:hAnsi="宋体"/>
                <w:color w:val="auto"/>
              </w:rPr>
              <w:t>L</w:t>
            </w:r>
            <w:r>
              <w:rPr>
                <w:rFonts w:hAnsi="宋体"/>
                <w:color w:val="auto"/>
                <w:vertAlign w:val="subscript"/>
              </w:rPr>
              <w:t>eqg</w:t>
            </w:r>
            <w:r>
              <w:rPr>
                <w:rFonts w:hint="eastAsia" w:hAnsi="宋体"/>
                <w:color w:val="auto"/>
              </w:rPr>
              <w:t>）</w:t>
            </w:r>
          </w:p>
          <w:p w14:paraId="54E130F3">
            <w:pPr>
              <w:spacing w:line="440" w:lineRule="exact"/>
              <w:ind w:firstLine="420" w:firstLineChars="200"/>
              <w:rPr>
                <w:rFonts w:hAnsi="宋体"/>
                <w:color w:val="auto"/>
              </w:rPr>
            </w:pPr>
          </w:p>
          <w:p w14:paraId="0DED217A">
            <w:pPr>
              <w:spacing w:line="440" w:lineRule="exact"/>
              <w:ind w:firstLine="420" w:firstLineChars="200"/>
              <w:rPr>
                <w:rFonts w:hAnsi="宋体"/>
                <w:color w:val="auto"/>
              </w:rPr>
            </w:pPr>
            <w:r>
              <w:rPr>
                <w:rFonts w:hint="eastAsia" w:hAnsi="宋体"/>
                <w:color w:val="auto"/>
              </w:rPr>
              <w:t>式中：</w:t>
            </w:r>
            <w:r>
              <w:rPr>
                <w:rFonts w:hAnsi="宋体"/>
                <w:color w:val="auto"/>
              </w:rPr>
              <w:t>Leqg——</w:t>
            </w:r>
            <w:r>
              <w:rPr>
                <w:rFonts w:hint="eastAsia" w:hAnsi="宋体"/>
                <w:color w:val="auto"/>
              </w:rPr>
              <w:t>建设项目声源在预测点产生的噪声贡献值，</w:t>
            </w:r>
            <w:r>
              <w:rPr>
                <w:rFonts w:hAnsi="宋体"/>
                <w:color w:val="auto"/>
              </w:rPr>
              <w:t>dB</w:t>
            </w:r>
            <w:r>
              <w:rPr>
                <w:rFonts w:hint="eastAsia" w:hAnsi="宋体"/>
                <w:color w:val="auto"/>
              </w:rPr>
              <w:t xml:space="preserve">； </w:t>
            </w:r>
          </w:p>
          <w:p w14:paraId="292D6D1F">
            <w:pPr>
              <w:spacing w:line="440" w:lineRule="exact"/>
              <w:ind w:firstLine="420" w:firstLineChars="200"/>
              <w:rPr>
                <w:rFonts w:hAnsi="宋体"/>
                <w:color w:val="auto"/>
              </w:rPr>
            </w:pPr>
            <w:r>
              <w:rPr>
                <w:rFonts w:hAnsi="宋体"/>
                <w:color w:val="auto"/>
              </w:rPr>
              <w:t>T ——</w:t>
            </w:r>
            <w:r>
              <w:rPr>
                <w:rFonts w:hint="eastAsia" w:hAnsi="宋体"/>
                <w:color w:val="auto"/>
              </w:rPr>
              <w:t>用于计算等效声级的时间，</w:t>
            </w:r>
            <w:r>
              <w:rPr>
                <w:rFonts w:hAnsi="宋体"/>
                <w:color w:val="auto"/>
              </w:rPr>
              <w:t>s</w:t>
            </w:r>
            <w:r>
              <w:rPr>
                <w:rFonts w:hint="eastAsia" w:hAnsi="宋体"/>
                <w:color w:val="auto"/>
              </w:rPr>
              <w:t xml:space="preserve">； </w:t>
            </w:r>
          </w:p>
          <w:p w14:paraId="59946B12">
            <w:pPr>
              <w:spacing w:line="440" w:lineRule="exact"/>
              <w:ind w:firstLine="420" w:firstLineChars="200"/>
              <w:rPr>
                <w:rFonts w:hAnsi="宋体"/>
                <w:color w:val="auto"/>
              </w:rPr>
            </w:pPr>
            <w:r>
              <w:rPr>
                <w:rFonts w:hAnsi="宋体"/>
                <w:color w:val="auto"/>
              </w:rPr>
              <w:t>N ——</w:t>
            </w:r>
            <w:r>
              <w:rPr>
                <w:rFonts w:hint="eastAsia" w:hAnsi="宋体"/>
                <w:color w:val="auto"/>
              </w:rPr>
              <w:t xml:space="preserve">室外声源个数； </w:t>
            </w:r>
          </w:p>
          <w:p w14:paraId="7BA36AA2">
            <w:pPr>
              <w:spacing w:line="440" w:lineRule="exact"/>
              <w:ind w:firstLine="420" w:firstLineChars="200"/>
              <w:rPr>
                <w:rFonts w:hAnsi="宋体"/>
                <w:color w:val="auto"/>
              </w:rPr>
            </w:pPr>
            <w:r>
              <w:rPr>
                <w:rFonts w:hAnsi="宋体"/>
                <w:color w:val="auto"/>
              </w:rPr>
              <w:t>t</w:t>
            </w:r>
            <w:r>
              <w:rPr>
                <w:rFonts w:hAnsi="宋体"/>
                <w:color w:val="auto"/>
                <w:vertAlign w:val="subscript"/>
              </w:rPr>
              <w:t>i</w:t>
            </w:r>
            <w:r>
              <w:rPr>
                <w:rFonts w:hAnsi="宋体"/>
                <w:color w:val="auto"/>
              </w:rPr>
              <w:t xml:space="preserve"> ——</w:t>
            </w:r>
            <w:r>
              <w:rPr>
                <w:rFonts w:hint="eastAsia" w:hAnsi="宋体"/>
                <w:color w:val="auto"/>
              </w:rPr>
              <w:t xml:space="preserve">在 </w:t>
            </w:r>
            <w:r>
              <w:rPr>
                <w:rFonts w:hAnsi="宋体"/>
                <w:color w:val="auto"/>
              </w:rPr>
              <w:t xml:space="preserve">T </w:t>
            </w:r>
            <w:r>
              <w:rPr>
                <w:rFonts w:hint="eastAsia" w:hAnsi="宋体"/>
                <w:color w:val="auto"/>
              </w:rPr>
              <w:t>时间内</w:t>
            </w:r>
            <w:r>
              <w:rPr>
                <w:rFonts w:hAnsi="宋体"/>
                <w:color w:val="auto"/>
              </w:rPr>
              <w:t>i</w:t>
            </w:r>
            <w:r>
              <w:rPr>
                <w:rFonts w:hint="eastAsia" w:hAnsi="宋体"/>
                <w:color w:val="auto"/>
              </w:rPr>
              <w:t>声源工作时间，</w:t>
            </w:r>
            <w:r>
              <w:rPr>
                <w:rFonts w:hAnsi="宋体"/>
                <w:color w:val="auto"/>
              </w:rPr>
              <w:t>s</w:t>
            </w:r>
            <w:r>
              <w:rPr>
                <w:rFonts w:hint="eastAsia" w:hAnsi="宋体"/>
                <w:color w:val="auto"/>
              </w:rPr>
              <w:t xml:space="preserve">； </w:t>
            </w:r>
          </w:p>
          <w:p w14:paraId="28F9C8C6">
            <w:pPr>
              <w:spacing w:line="440" w:lineRule="exact"/>
              <w:ind w:firstLine="420" w:firstLineChars="200"/>
              <w:rPr>
                <w:rFonts w:hAnsi="宋体"/>
                <w:color w:val="auto"/>
              </w:rPr>
            </w:pPr>
            <w:r>
              <w:rPr>
                <w:rFonts w:hAnsi="宋体"/>
                <w:color w:val="auto"/>
              </w:rPr>
              <w:t>M ——</w:t>
            </w:r>
            <w:r>
              <w:rPr>
                <w:rFonts w:hint="eastAsia" w:hAnsi="宋体"/>
                <w:color w:val="auto"/>
              </w:rPr>
              <w:t xml:space="preserve">等效室外声源个数； </w:t>
            </w:r>
          </w:p>
          <w:p w14:paraId="69C57281">
            <w:pPr>
              <w:spacing w:line="440" w:lineRule="exact"/>
              <w:ind w:firstLine="420" w:firstLineChars="200"/>
              <w:rPr>
                <w:rFonts w:hAnsi="宋体"/>
                <w:color w:val="auto"/>
              </w:rPr>
            </w:pPr>
            <w:r>
              <w:rPr>
                <w:rFonts w:hAnsi="宋体"/>
                <w:color w:val="auto"/>
              </w:rPr>
              <w:t>t</w:t>
            </w:r>
            <w:r>
              <w:rPr>
                <w:rFonts w:hAnsi="宋体"/>
                <w:color w:val="auto"/>
                <w:vertAlign w:val="subscript"/>
              </w:rPr>
              <w:t>j</w:t>
            </w:r>
            <w:r>
              <w:rPr>
                <w:rFonts w:hAnsi="宋体"/>
                <w:color w:val="auto"/>
              </w:rPr>
              <w:t xml:space="preserve"> ——</w:t>
            </w:r>
            <w:r>
              <w:rPr>
                <w:rFonts w:hint="eastAsia" w:hAnsi="宋体"/>
                <w:color w:val="auto"/>
              </w:rPr>
              <w:t>在</w:t>
            </w:r>
            <w:r>
              <w:rPr>
                <w:rFonts w:hAnsi="宋体"/>
                <w:color w:val="auto"/>
              </w:rPr>
              <w:t>T</w:t>
            </w:r>
            <w:r>
              <w:rPr>
                <w:rFonts w:hint="eastAsia" w:hAnsi="宋体"/>
                <w:color w:val="auto"/>
              </w:rPr>
              <w:t>时间内</w:t>
            </w:r>
            <w:r>
              <w:rPr>
                <w:rFonts w:hAnsi="宋体"/>
                <w:color w:val="auto"/>
              </w:rPr>
              <w:t>j</w:t>
            </w:r>
            <w:r>
              <w:rPr>
                <w:rFonts w:hint="eastAsia" w:hAnsi="宋体"/>
                <w:color w:val="auto"/>
              </w:rPr>
              <w:t>声源工作时间，</w:t>
            </w:r>
            <w:r>
              <w:rPr>
                <w:rFonts w:hAnsi="宋体"/>
                <w:color w:val="auto"/>
              </w:rPr>
              <w:t>s</w:t>
            </w:r>
            <w:r>
              <w:rPr>
                <w:rFonts w:hint="eastAsia" w:hAnsi="宋体"/>
                <w:color w:val="auto"/>
              </w:rPr>
              <w:t xml:space="preserve">。 </w:t>
            </w:r>
          </w:p>
          <w:p w14:paraId="27758664">
            <w:pPr>
              <w:pStyle w:val="22"/>
              <w:adjustRightInd w:val="0"/>
              <w:snapToGrid w:val="0"/>
              <w:spacing w:before="0" w:beforeAutospacing="0" w:after="0" w:afterAutospacing="0" w:line="440" w:lineRule="exact"/>
              <w:ind w:firstLine="420" w:firstLineChars="200"/>
              <w:rPr>
                <w:rFonts w:ascii="Times New Roman" w:hAnsi="Times New Roman"/>
                <w:color w:val="auto"/>
                <w:sz w:val="21"/>
                <w:szCs w:val="21"/>
              </w:rPr>
            </w:pPr>
            <w:r>
              <w:rPr>
                <w:rFonts w:hint="eastAsia" w:ascii="Times New Roman" w:hAnsi="Times New Roman"/>
                <w:color w:val="auto"/>
                <w:sz w:val="21"/>
                <w:szCs w:val="21"/>
              </w:rPr>
              <w:t>（2）预测结果</w:t>
            </w:r>
          </w:p>
          <w:p w14:paraId="69EA452A">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r>
              <w:rPr>
                <w:rFonts w:ascii="Times New Roman" w:hAnsi="Times New Roman"/>
                <w:color w:val="auto"/>
                <w:sz w:val="21"/>
                <w:szCs w:val="21"/>
              </w:rPr>
              <w:t>采用选定的预测模式和噪声源参数进行计算，</w:t>
            </w:r>
            <w:r>
              <w:rPr>
                <w:rFonts w:hint="eastAsia" w:ascii="Times New Roman" w:hAnsi="Times New Roman"/>
                <w:color w:val="auto"/>
                <w:sz w:val="21"/>
                <w:szCs w:val="21"/>
              </w:rPr>
              <w:t>预测结果见表</w:t>
            </w:r>
            <w:r>
              <w:rPr>
                <w:rFonts w:hint="eastAsia" w:ascii="Times New Roman" w:hAnsi="Times New Roman"/>
                <w:color w:val="auto"/>
                <w:sz w:val="21"/>
                <w:szCs w:val="21"/>
                <w:lang w:val="en-US" w:eastAsia="zh-CN"/>
              </w:rPr>
              <w:t>34</w:t>
            </w:r>
            <w:r>
              <w:rPr>
                <w:rFonts w:hint="eastAsia" w:ascii="Times New Roman" w:hAnsi="Times New Roman"/>
                <w:color w:val="auto"/>
                <w:sz w:val="21"/>
                <w:szCs w:val="21"/>
                <w:highlight w:val="none"/>
              </w:rPr>
              <w:t>。</w:t>
            </w:r>
          </w:p>
          <w:p w14:paraId="70C4569A">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4FDFDEF7">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2F01B24D">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4110D42D">
            <w:pPr>
              <w:pStyle w:val="22"/>
              <w:adjustRightInd w:val="0"/>
              <w:snapToGrid w:val="0"/>
              <w:spacing w:before="0" w:beforeAutospacing="0" w:after="0" w:afterAutospacing="0" w:line="480" w:lineRule="exact"/>
              <w:ind w:firstLine="420" w:firstLineChars="200"/>
              <w:rPr>
                <w:rFonts w:hint="eastAsia" w:ascii="Times New Roman" w:hAnsi="Times New Roman"/>
                <w:color w:val="auto"/>
                <w:sz w:val="21"/>
                <w:szCs w:val="21"/>
                <w:highlight w:val="none"/>
              </w:rPr>
            </w:pPr>
          </w:p>
          <w:p w14:paraId="14822869">
            <w:pPr>
              <w:tabs>
                <w:tab w:val="left" w:pos="4253"/>
              </w:tabs>
              <w:wordWrap w:val="0"/>
              <w:spacing w:line="440" w:lineRule="exact"/>
              <w:jc w:val="center"/>
              <w:rPr>
                <w:b/>
                <w:color w:val="auto"/>
                <w:szCs w:val="21"/>
                <w:highlight w:val="none"/>
              </w:rPr>
            </w:pPr>
            <w:r>
              <w:rPr>
                <w:b/>
                <w:color w:val="auto"/>
                <w:szCs w:val="21"/>
                <w:highlight w:val="none"/>
              </w:rPr>
              <w:t>表</w:t>
            </w:r>
            <w:r>
              <w:rPr>
                <w:rFonts w:hint="eastAsia"/>
                <w:b/>
                <w:color w:val="auto"/>
                <w:szCs w:val="21"/>
                <w:highlight w:val="none"/>
                <w:lang w:val="en-US" w:eastAsia="zh-CN"/>
              </w:rPr>
              <w:t>34</w:t>
            </w:r>
            <w:r>
              <w:rPr>
                <w:rFonts w:hint="eastAsia"/>
                <w:b/>
                <w:color w:val="auto"/>
                <w:szCs w:val="21"/>
                <w:highlight w:val="none"/>
              </w:rPr>
              <w:t xml:space="preserve"> </w:t>
            </w:r>
            <w:r>
              <w:rPr>
                <w:b/>
                <w:color w:val="auto"/>
                <w:szCs w:val="21"/>
                <w:highlight w:val="none"/>
              </w:rPr>
              <w:t xml:space="preserve"> </w:t>
            </w:r>
            <w:r>
              <w:rPr>
                <w:rFonts w:hint="eastAsia"/>
                <w:b/>
                <w:color w:val="auto"/>
                <w:szCs w:val="21"/>
                <w:highlight w:val="none"/>
                <w:lang w:val="en-US" w:eastAsia="zh-CN"/>
              </w:rPr>
              <w:t>厂界</w:t>
            </w:r>
            <w:r>
              <w:rPr>
                <w:b/>
                <w:color w:val="auto"/>
                <w:szCs w:val="21"/>
                <w:highlight w:val="none"/>
              </w:rPr>
              <w:t>预测结果一览表</w:t>
            </w:r>
          </w:p>
          <w:tbl>
            <w:tblPr>
              <w:tblStyle w:val="26"/>
              <w:tblW w:w="7997"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6" w:type="dxa"/>
                <w:bottom w:w="0" w:type="dxa"/>
                <w:right w:w="6" w:type="dxa"/>
              </w:tblCellMar>
            </w:tblPr>
            <w:tblGrid>
              <w:gridCol w:w="1599"/>
              <w:gridCol w:w="1599"/>
              <w:gridCol w:w="1599"/>
              <w:gridCol w:w="1599"/>
              <w:gridCol w:w="1601"/>
            </w:tblGrid>
            <w:tr w14:paraId="1DDDD7A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12" w:space="0"/>
                    <w:bottom w:val="single" w:color="auto" w:sz="6" w:space="0"/>
                  </w:tcBorders>
                  <w:tcMar>
                    <w:left w:w="0" w:type="dxa"/>
                    <w:right w:w="0" w:type="dxa"/>
                  </w:tcMar>
                  <w:vAlign w:val="center"/>
                </w:tcPr>
                <w:p w14:paraId="1274AE6E">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项目</w:t>
                  </w:r>
                </w:p>
              </w:tc>
              <w:tc>
                <w:tcPr>
                  <w:tcW w:w="999" w:type="pct"/>
                  <w:tcBorders>
                    <w:top w:val="single" w:color="auto" w:sz="12" w:space="0"/>
                    <w:bottom w:val="single" w:color="auto" w:sz="6" w:space="0"/>
                  </w:tcBorders>
                  <w:tcMar>
                    <w:left w:w="0" w:type="dxa"/>
                    <w:right w:w="0" w:type="dxa"/>
                  </w:tcMar>
                  <w:vAlign w:val="center"/>
                </w:tcPr>
                <w:p w14:paraId="354FB794">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北</w:t>
                  </w:r>
                  <w:r>
                    <w:rPr>
                      <w:rFonts w:ascii="Times New Roman" w:hAnsi="Times New Roman"/>
                      <w:color w:val="auto"/>
                      <w:sz w:val="18"/>
                      <w:szCs w:val="18"/>
                      <w:highlight w:val="none"/>
                    </w:rPr>
                    <w:t>厂界</w:t>
                  </w:r>
                </w:p>
              </w:tc>
              <w:tc>
                <w:tcPr>
                  <w:tcW w:w="999" w:type="pct"/>
                  <w:vAlign w:val="center"/>
                </w:tcPr>
                <w:p w14:paraId="46130765">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西</w:t>
                  </w:r>
                  <w:r>
                    <w:rPr>
                      <w:rFonts w:ascii="Times New Roman" w:hAnsi="Times New Roman"/>
                      <w:color w:val="auto"/>
                      <w:sz w:val="18"/>
                      <w:szCs w:val="18"/>
                      <w:highlight w:val="none"/>
                    </w:rPr>
                    <w:t>厂界</w:t>
                  </w:r>
                </w:p>
              </w:tc>
              <w:tc>
                <w:tcPr>
                  <w:tcW w:w="999" w:type="pct"/>
                  <w:vAlign w:val="center"/>
                </w:tcPr>
                <w:p w14:paraId="480F47EB">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南</w:t>
                  </w:r>
                  <w:r>
                    <w:rPr>
                      <w:rFonts w:ascii="Times New Roman" w:hAnsi="Times New Roman"/>
                      <w:color w:val="auto"/>
                      <w:sz w:val="18"/>
                      <w:szCs w:val="18"/>
                      <w:highlight w:val="none"/>
                    </w:rPr>
                    <w:t>厂界</w:t>
                  </w:r>
                </w:p>
              </w:tc>
              <w:tc>
                <w:tcPr>
                  <w:tcW w:w="1001" w:type="pct"/>
                  <w:vAlign w:val="center"/>
                </w:tcPr>
                <w:p w14:paraId="530B098C">
                  <w:pPr>
                    <w:pStyle w:val="73"/>
                    <w:rPr>
                      <w:rFonts w:hint="default" w:ascii="Times New Roman" w:hAnsi="Times New Roman" w:eastAsia="宋体"/>
                      <w:color w:val="auto"/>
                      <w:sz w:val="18"/>
                      <w:szCs w:val="18"/>
                      <w:highlight w:val="none"/>
                      <w:lang w:val="en-US" w:eastAsia="zh-CN"/>
                    </w:rPr>
                  </w:pPr>
                  <w:r>
                    <w:rPr>
                      <w:rFonts w:hint="eastAsia" w:ascii="Times New Roman" w:hAnsi="Times New Roman"/>
                      <w:color w:val="auto"/>
                      <w:sz w:val="18"/>
                      <w:szCs w:val="18"/>
                      <w:highlight w:val="none"/>
                    </w:rPr>
                    <w:t>东</w:t>
                  </w:r>
                  <w:r>
                    <w:rPr>
                      <w:rFonts w:ascii="Times New Roman" w:hAnsi="Times New Roman"/>
                      <w:color w:val="auto"/>
                      <w:sz w:val="18"/>
                      <w:szCs w:val="18"/>
                      <w:highlight w:val="none"/>
                    </w:rPr>
                    <w:t>厂界</w:t>
                  </w:r>
                </w:p>
              </w:tc>
            </w:tr>
            <w:tr w14:paraId="7E1F1E9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6" w:space="0"/>
                    <w:bottom w:val="single" w:color="auto" w:sz="6" w:space="0"/>
                  </w:tcBorders>
                  <w:tcMar>
                    <w:left w:w="0" w:type="dxa"/>
                    <w:right w:w="0" w:type="dxa"/>
                  </w:tcMar>
                  <w:vAlign w:val="center"/>
                </w:tcPr>
                <w:p w14:paraId="799CF840">
                  <w:pPr>
                    <w:jc w:val="center"/>
                    <w:rPr>
                      <w:color w:val="auto"/>
                      <w:sz w:val="18"/>
                      <w:szCs w:val="18"/>
                      <w:highlight w:val="none"/>
                    </w:rPr>
                  </w:pPr>
                  <w:r>
                    <w:rPr>
                      <w:rFonts w:hint="eastAsia"/>
                      <w:color w:val="auto"/>
                      <w:sz w:val="18"/>
                      <w:szCs w:val="18"/>
                      <w:highlight w:val="none"/>
                    </w:rPr>
                    <w:t>贡献值</w:t>
                  </w:r>
                  <w:r>
                    <w:rPr>
                      <w:rFonts w:ascii="Times New Roman" w:hAnsi="Times New Roman" w:eastAsia="宋体"/>
                      <w:color w:val="auto"/>
                      <w:sz w:val="18"/>
                      <w:szCs w:val="18"/>
                      <w:highlight w:val="none"/>
                    </w:rPr>
                    <w:t>/dB(A)</w:t>
                  </w:r>
                </w:p>
              </w:tc>
              <w:tc>
                <w:tcPr>
                  <w:tcW w:w="1599" w:type="dxa"/>
                  <w:tcBorders>
                    <w:top w:val="single" w:color="auto" w:sz="6" w:space="0"/>
                    <w:bottom w:val="single" w:color="auto" w:sz="6" w:space="0"/>
                  </w:tcBorders>
                  <w:tcMar>
                    <w:left w:w="0" w:type="dxa"/>
                    <w:right w:w="0" w:type="dxa"/>
                  </w:tcMar>
                  <w:vAlign w:val="center"/>
                </w:tcPr>
                <w:p w14:paraId="3E53A05F">
                  <w:pPr>
                    <w:jc w:val="center"/>
                    <w:rPr>
                      <w:rFonts w:hint="default"/>
                      <w:color w:val="auto"/>
                      <w:sz w:val="18"/>
                      <w:szCs w:val="18"/>
                      <w:highlight w:val="none"/>
                      <w:lang w:val="en-US" w:eastAsia="zh-CN"/>
                    </w:rPr>
                  </w:pPr>
                  <w:r>
                    <w:rPr>
                      <w:rFonts w:hint="eastAsia"/>
                      <w:color w:val="auto"/>
                      <w:sz w:val="18"/>
                      <w:szCs w:val="18"/>
                      <w:highlight w:val="none"/>
                      <w:lang w:val="en-US" w:eastAsia="zh-CN"/>
                    </w:rPr>
                    <w:t>51.8</w:t>
                  </w:r>
                </w:p>
              </w:tc>
              <w:tc>
                <w:tcPr>
                  <w:tcW w:w="1599" w:type="dxa"/>
                  <w:vAlign w:val="center"/>
                </w:tcPr>
                <w:p w14:paraId="31A94A29">
                  <w:pPr>
                    <w:jc w:val="center"/>
                    <w:rPr>
                      <w:rFonts w:hint="default"/>
                      <w:color w:val="auto"/>
                      <w:sz w:val="18"/>
                      <w:szCs w:val="18"/>
                      <w:highlight w:val="none"/>
                      <w:lang w:val="en-US" w:eastAsia="zh-CN"/>
                    </w:rPr>
                  </w:pPr>
                  <w:r>
                    <w:rPr>
                      <w:rFonts w:hint="eastAsia"/>
                      <w:color w:val="auto"/>
                      <w:sz w:val="18"/>
                      <w:szCs w:val="18"/>
                      <w:highlight w:val="none"/>
                      <w:lang w:val="en-US" w:eastAsia="zh-CN"/>
                    </w:rPr>
                    <w:t>33.7</w:t>
                  </w:r>
                </w:p>
              </w:tc>
              <w:tc>
                <w:tcPr>
                  <w:tcW w:w="1599" w:type="dxa"/>
                  <w:vAlign w:val="center"/>
                </w:tcPr>
                <w:p w14:paraId="6CCC46DE">
                  <w:pPr>
                    <w:jc w:val="center"/>
                    <w:rPr>
                      <w:rFonts w:hint="default"/>
                      <w:color w:val="auto"/>
                      <w:sz w:val="18"/>
                      <w:szCs w:val="18"/>
                      <w:highlight w:val="none"/>
                      <w:lang w:val="en-US" w:eastAsia="zh-CN"/>
                    </w:rPr>
                  </w:pPr>
                  <w:r>
                    <w:rPr>
                      <w:rFonts w:hint="eastAsia"/>
                      <w:color w:val="auto"/>
                      <w:sz w:val="18"/>
                      <w:szCs w:val="18"/>
                      <w:highlight w:val="none"/>
                      <w:lang w:val="en-US" w:eastAsia="zh-CN"/>
                    </w:rPr>
                    <w:t>32.6</w:t>
                  </w:r>
                </w:p>
              </w:tc>
              <w:tc>
                <w:tcPr>
                  <w:tcW w:w="1601" w:type="dxa"/>
                  <w:vAlign w:val="center"/>
                </w:tcPr>
                <w:p w14:paraId="0924B768">
                  <w:pPr>
                    <w:jc w:val="center"/>
                    <w:rPr>
                      <w:rFonts w:hint="default"/>
                      <w:color w:val="auto"/>
                      <w:sz w:val="18"/>
                      <w:szCs w:val="18"/>
                      <w:highlight w:val="none"/>
                      <w:lang w:val="en-US" w:eastAsia="zh-CN"/>
                    </w:rPr>
                  </w:pPr>
                  <w:r>
                    <w:rPr>
                      <w:rFonts w:hint="eastAsia"/>
                      <w:color w:val="auto"/>
                      <w:sz w:val="18"/>
                      <w:szCs w:val="18"/>
                      <w:highlight w:val="none"/>
                      <w:lang w:val="en-US" w:eastAsia="zh-CN"/>
                    </w:rPr>
                    <w:t>43</w:t>
                  </w:r>
                </w:p>
              </w:tc>
            </w:tr>
            <w:tr w14:paraId="20AB996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6" w:space="0"/>
                    <w:bottom w:val="single" w:color="auto" w:sz="6" w:space="0"/>
                  </w:tcBorders>
                  <w:tcMar>
                    <w:left w:w="0" w:type="dxa"/>
                    <w:right w:w="0" w:type="dxa"/>
                  </w:tcMar>
                  <w:vAlign w:val="center"/>
                </w:tcPr>
                <w:p w14:paraId="150557BF">
                  <w:pPr>
                    <w:jc w:val="center"/>
                    <w:rPr>
                      <w:color w:val="auto"/>
                      <w:sz w:val="18"/>
                      <w:szCs w:val="18"/>
                      <w:highlight w:val="none"/>
                    </w:rPr>
                  </w:pPr>
                  <w:r>
                    <w:rPr>
                      <w:rFonts w:hint="eastAsia"/>
                      <w:color w:val="auto"/>
                      <w:sz w:val="18"/>
                      <w:szCs w:val="18"/>
                      <w:highlight w:val="none"/>
                    </w:rPr>
                    <w:t>标准值</w:t>
                  </w:r>
                  <w:r>
                    <w:rPr>
                      <w:rFonts w:ascii="Times New Roman" w:hAnsi="Times New Roman" w:eastAsia="宋体"/>
                      <w:color w:val="auto"/>
                      <w:sz w:val="18"/>
                      <w:szCs w:val="18"/>
                      <w:highlight w:val="none"/>
                    </w:rPr>
                    <w:t>/dB(A)</w:t>
                  </w:r>
                </w:p>
              </w:tc>
              <w:tc>
                <w:tcPr>
                  <w:tcW w:w="4000" w:type="pct"/>
                  <w:gridSpan w:val="4"/>
                  <w:tcBorders>
                    <w:top w:val="single" w:color="auto" w:sz="6" w:space="0"/>
                    <w:bottom w:val="single" w:color="auto" w:sz="6" w:space="0"/>
                  </w:tcBorders>
                  <w:tcMar>
                    <w:left w:w="0" w:type="dxa"/>
                    <w:right w:w="0" w:type="dxa"/>
                  </w:tcMar>
                  <w:vAlign w:val="center"/>
                </w:tcPr>
                <w:p w14:paraId="240B5540">
                  <w:pPr>
                    <w:pStyle w:val="73"/>
                    <w:rPr>
                      <w:rFonts w:hint="default" w:ascii="Times New Roman" w:hAnsi="Times New Roman" w:eastAsia="宋体"/>
                      <w:color w:val="auto"/>
                      <w:sz w:val="18"/>
                      <w:szCs w:val="18"/>
                      <w:highlight w:val="none"/>
                      <w:lang w:val="en-US" w:eastAsia="zh-CN"/>
                    </w:rPr>
                  </w:pPr>
                  <w:r>
                    <w:rPr>
                      <w:rFonts w:hint="eastAsia" w:ascii="Times New Roman" w:hAnsi="Times New Roman"/>
                      <w:color w:val="auto"/>
                      <w:sz w:val="18"/>
                      <w:szCs w:val="18"/>
                      <w:highlight w:val="none"/>
                    </w:rPr>
                    <w:t>昼间标准</w:t>
                  </w:r>
                  <w:r>
                    <w:rPr>
                      <w:rFonts w:hint="eastAsia"/>
                      <w:color w:val="auto"/>
                      <w:sz w:val="18"/>
                      <w:szCs w:val="18"/>
                      <w:highlight w:val="none"/>
                    </w:rPr>
                    <w:t>≤</w:t>
                  </w:r>
                  <w:r>
                    <w:rPr>
                      <w:rFonts w:hint="eastAsia" w:ascii="Times New Roman" w:hAnsi="Times New Roman"/>
                      <w:color w:val="auto"/>
                      <w:sz w:val="18"/>
                      <w:szCs w:val="18"/>
                      <w:highlight w:val="none"/>
                      <w:lang w:val="en-US" w:eastAsia="zh-CN"/>
                    </w:rPr>
                    <w:t>60</w:t>
                  </w:r>
                </w:p>
              </w:tc>
            </w:tr>
            <w:tr w14:paraId="3DEFEB6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999" w:type="pct"/>
                  <w:tcBorders>
                    <w:top w:val="single" w:color="auto" w:sz="6" w:space="0"/>
                    <w:bottom w:val="single" w:color="auto" w:sz="6" w:space="0"/>
                  </w:tcBorders>
                  <w:tcMar>
                    <w:left w:w="0" w:type="dxa"/>
                    <w:right w:w="0" w:type="dxa"/>
                  </w:tcMar>
                  <w:vAlign w:val="center"/>
                </w:tcPr>
                <w:p w14:paraId="03629D84">
                  <w:pPr>
                    <w:jc w:val="center"/>
                    <w:rPr>
                      <w:color w:val="auto"/>
                      <w:sz w:val="18"/>
                      <w:szCs w:val="18"/>
                      <w:highlight w:val="none"/>
                    </w:rPr>
                  </w:pPr>
                  <w:r>
                    <w:rPr>
                      <w:rFonts w:hint="eastAsia"/>
                      <w:color w:val="auto"/>
                      <w:sz w:val="18"/>
                      <w:szCs w:val="18"/>
                      <w:highlight w:val="none"/>
                    </w:rPr>
                    <w:t>达标情况</w:t>
                  </w:r>
                </w:p>
              </w:tc>
              <w:tc>
                <w:tcPr>
                  <w:tcW w:w="4000" w:type="pct"/>
                  <w:gridSpan w:val="4"/>
                  <w:tcBorders>
                    <w:top w:val="single" w:color="auto" w:sz="6" w:space="0"/>
                    <w:bottom w:val="single" w:color="auto" w:sz="6" w:space="0"/>
                  </w:tcBorders>
                  <w:tcMar>
                    <w:left w:w="0" w:type="dxa"/>
                    <w:right w:w="0" w:type="dxa"/>
                  </w:tcMar>
                  <w:vAlign w:val="center"/>
                </w:tcPr>
                <w:p w14:paraId="73916E73">
                  <w:pPr>
                    <w:pStyle w:val="73"/>
                    <w:rPr>
                      <w:rFonts w:ascii="Times New Roman" w:hAnsi="Times New Roman"/>
                      <w:color w:val="auto"/>
                      <w:sz w:val="18"/>
                      <w:szCs w:val="18"/>
                      <w:highlight w:val="none"/>
                    </w:rPr>
                  </w:pPr>
                  <w:r>
                    <w:rPr>
                      <w:rFonts w:hint="eastAsia" w:ascii="Times New Roman" w:hAnsi="Times New Roman"/>
                      <w:color w:val="auto"/>
                      <w:sz w:val="18"/>
                      <w:szCs w:val="18"/>
                      <w:highlight w:val="none"/>
                    </w:rPr>
                    <w:t>达标</w:t>
                  </w:r>
                </w:p>
              </w:tc>
            </w:tr>
            <w:tr w14:paraId="501103A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6" w:type="dxa"/>
                  <w:bottom w:w="0" w:type="dxa"/>
                  <w:right w:w="6" w:type="dxa"/>
                </w:tblCellMar>
              </w:tblPrEx>
              <w:trPr>
                <w:trHeight w:val="369" w:hRule="atLeast"/>
                <w:jc w:val="center"/>
              </w:trPr>
              <w:tc>
                <w:tcPr>
                  <w:tcW w:w="5000" w:type="pct"/>
                  <w:gridSpan w:val="5"/>
                  <w:tcBorders>
                    <w:top w:val="single" w:color="auto" w:sz="6" w:space="0"/>
                    <w:bottom w:val="single" w:color="auto" w:sz="12" w:space="0"/>
                  </w:tcBorders>
                  <w:tcMar>
                    <w:left w:w="0" w:type="dxa"/>
                    <w:right w:w="0" w:type="dxa"/>
                  </w:tcMar>
                  <w:vAlign w:val="center"/>
                </w:tcPr>
                <w:p w14:paraId="46FF37DE">
                  <w:pPr>
                    <w:pStyle w:val="73"/>
                    <w:jc w:val="center"/>
                    <w:rPr>
                      <w:rFonts w:hint="default" w:ascii="Times New Roman" w:hAnsi="Times New Roman" w:eastAsia="宋体"/>
                      <w:color w:val="auto"/>
                      <w:sz w:val="18"/>
                      <w:szCs w:val="18"/>
                      <w:highlight w:val="none"/>
                      <w:lang w:val="en-US" w:eastAsia="zh-CN"/>
                    </w:rPr>
                  </w:pPr>
                  <w:r>
                    <w:rPr>
                      <w:rFonts w:hint="eastAsia" w:ascii="Times New Roman" w:hAnsi="Times New Roman"/>
                      <w:color w:val="auto"/>
                      <w:sz w:val="18"/>
                      <w:szCs w:val="18"/>
                      <w:highlight w:val="none"/>
                      <w:lang w:val="en-US" w:eastAsia="zh-CN"/>
                    </w:rPr>
                    <w:t>本项目夜间不生产</w:t>
                  </w:r>
                </w:p>
              </w:tc>
            </w:tr>
          </w:tbl>
          <w:p w14:paraId="051E7424">
            <w:pPr>
              <w:adjustRightInd w:val="0"/>
              <w:spacing w:line="440" w:lineRule="exact"/>
              <w:ind w:firstLine="420" w:firstLineChars="200"/>
              <w:outlineLvl w:val="2"/>
              <w:rPr>
                <w:rFonts w:hint="eastAsia" w:ascii="Times New Roman" w:hAnsi="Times New Roman" w:cs="Times New Roman"/>
                <w:color w:val="auto"/>
                <w:szCs w:val="21"/>
                <w:highlight w:val="none"/>
              </w:rPr>
            </w:pPr>
            <w:r>
              <w:rPr>
                <w:rFonts w:hint="eastAsia" w:ascii="Times New Roman" w:hAnsi="Times New Roman" w:cs="Times New Roman"/>
                <w:color w:val="auto"/>
                <w:szCs w:val="21"/>
                <w:highlight w:val="none"/>
              </w:rPr>
              <w:t>预测结果表明，拟建项目对四周厂界</w:t>
            </w:r>
            <w:r>
              <w:rPr>
                <w:rFonts w:hint="eastAsia" w:cs="Times New Roman"/>
                <w:color w:val="auto"/>
                <w:szCs w:val="21"/>
                <w:highlight w:val="none"/>
                <w:lang w:val="en-US" w:eastAsia="zh-CN"/>
              </w:rPr>
              <w:t>昼间</w:t>
            </w:r>
            <w:r>
              <w:rPr>
                <w:rFonts w:hint="eastAsia" w:ascii="Times New Roman" w:hAnsi="Times New Roman" w:cs="Times New Roman"/>
                <w:color w:val="auto"/>
                <w:szCs w:val="21"/>
                <w:highlight w:val="none"/>
              </w:rPr>
              <w:t>的贡献值为</w:t>
            </w:r>
            <w:r>
              <w:rPr>
                <w:rFonts w:hint="eastAsia" w:cs="Times New Roman"/>
                <w:color w:val="auto"/>
                <w:szCs w:val="21"/>
                <w:highlight w:val="none"/>
                <w:lang w:val="en-US" w:eastAsia="zh-CN"/>
              </w:rPr>
              <w:t>32.6</w:t>
            </w:r>
            <w:r>
              <w:rPr>
                <w:rFonts w:hint="eastAsia" w:ascii="Times New Roman" w:hAnsi="Times New Roman" w:cs="Times New Roman"/>
                <w:color w:val="auto"/>
                <w:szCs w:val="21"/>
                <w:highlight w:val="none"/>
              </w:rPr>
              <w:t>-</w:t>
            </w:r>
            <w:r>
              <w:rPr>
                <w:rFonts w:hint="eastAsia" w:cs="Times New Roman"/>
                <w:color w:val="auto"/>
                <w:szCs w:val="21"/>
                <w:highlight w:val="none"/>
                <w:lang w:val="en-US" w:eastAsia="zh-CN"/>
              </w:rPr>
              <w:t>51.8</w:t>
            </w:r>
            <w:r>
              <w:rPr>
                <w:rFonts w:hint="eastAsia" w:ascii="Times New Roman" w:hAnsi="Times New Roman" w:cs="Times New Roman"/>
                <w:color w:val="auto"/>
                <w:szCs w:val="21"/>
                <w:highlight w:val="none"/>
              </w:rPr>
              <w:t>dB(A)之间，可满足《工业企业厂界环境噪声排放标准》（GB12348-2008）</w:t>
            </w:r>
            <w:r>
              <w:rPr>
                <w:rFonts w:hint="eastAsia" w:cs="Times New Roman"/>
                <w:color w:val="auto"/>
                <w:szCs w:val="21"/>
                <w:highlight w:val="none"/>
                <w:lang w:val="en-US" w:eastAsia="zh-CN"/>
              </w:rPr>
              <w:t>2</w:t>
            </w:r>
            <w:r>
              <w:rPr>
                <w:rFonts w:hint="eastAsia" w:ascii="Times New Roman" w:hAnsi="Times New Roman" w:cs="Times New Roman"/>
                <w:color w:val="auto"/>
                <w:szCs w:val="21"/>
                <w:highlight w:val="none"/>
              </w:rPr>
              <w:t>类标准要求，可确保各厂界达标排放</w:t>
            </w:r>
            <w:r>
              <w:rPr>
                <w:rFonts w:hint="eastAsia" w:ascii="Times New Roman" w:hAnsi="Times New Roman" w:cs="Times New Roman"/>
                <w:color w:val="auto"/>
                <w:szCs w:val="21"/>
                <w:highlight w:val="none"/>
                <w:lang w:eastAsia="zh-CN"/>
              </w:rPr>
              <w:t>。</w:t>
            </w:r>
            <w:r>
              <w:rPr>
                <w:rFonts w:hint="eastAsia" w:ascii="Times New Roman" w:hAnsi="Times New Roman" w:cs="Times New Roman"/>
                <w:color w:val="auto"/>
                <w:szCs w:val="21"/>
                <w:highlight w:val="none"/>
              </w:rPr>
              <w:t>因此，项目噪声对周围声环境影响不大。以上措施均为较常采用的措施，降噪效果好且运行稳定，措施可行。</w:t>
            </w:r>
          </w:p>
          <w:p w14:paraId="3FAD9951">
            <w:pPr>
              <w:pStyle w:val="22"/>
              <w:adjustRightInd w:val="0"/>
              <w:snapToGrid w:val="0"/>
              <w:spacing w:before="0" w:beforeAutospacing="0" w:after="0" w:afterAutospacing="0" w:line="440" w:lineRule="exact"/>
              <w:ind w:firstLine="422" w:firstLineChars="200"/>
              <w:rPr>
                <w:rFonts w:hint="eastAsia" w:ascii="Times New Roman" w:hAnsi="Times New Roman"/>
                <w:b/>
                <w:color w:val="auto"/>
                <w:sz w:val="21"/>
                <w:szCs w:val="21"/>
              </w:rPr>
            </w:pPr>
            <w:r>
              <w:rPr>
                <w:rFonts w:hint="eastAsia" w:ascii="Times New Roman" w:hAnsi="Times New Roman"/>
                <w:b/>
                <w:color w:val="auto"/>
                <w:sz w:val="21"/>
                <w:szCs w:val="21"/>
              </w:rPr>
              <w:t>3.</w:t>
            </w:r>
            <w:r>
              <w:rPr>
                <w:rFonts w:hint="eastAsia" w:ascii="Times New Roman" w:hAnsi="Times New Roman"/>
                <w:b/>
                <w:color w:val="auto"/>
                <w:sz w:val="21"/>
                <w:szCs w:val="21"/>
                <w:lang w:val="en-US" w:eastAsia="zh-CN"/>
              </w:rPr>
              <w:t>3</w:t>
            </w:r>
            <w:r>
              <w:rPr>
                <w:rFonts w:hint="eastAsia" w:ascii="Times New Roman" w:hAnsi="Times New Roman"/>
                <w:b/>
                <w:color w:val="auto"/>
                <w:sz w:val="21"/>
                <w:szCs w:val="21"/>
              </w:rPr>
              <w:t>监测计划</w:t>
            </w:r>
          </w:p>
          <w:p w14:paraId="66958510">
            <w:pPr>
              <w:tabs>
                <w:tab w:val="left" w:pos="4253"/>
              </w:tabs>
              <w:spacing w:line="440" w:lineRule="exact"/>
              <w:jc w:val="center"/>
              <w:rPr>
                <w:b/>
                <w:color w:val="auto"/>
                <w:szCs w:val="21"/>
              </w:rPr>
            </w:pPr>
            <w:r>
              <w:rPr>
                <w:rFonts w:hint="eastAsia"/>
                <w:b/>
                <w:color w:val="auto"/>
                <w:szCs w:val="21"/>
              </w:rPr>
              <w:t>表</w:t>
            </w:r>
            <w:r>
              <w:rPr>
                <w:rFonts w:hint="eastAsia"/>
                <w:b/>
                <w:color w:val="auto"/>
                <w:szCs w:val="21"/>
                <w:lang w:val="en-US" w:eastAsia="zh-CN"/>
              </w:rPr>
              <w:t>35</w:t>
            </w:r>
            <w:r>
              <w:rPr>
                <w:b/>
                <w:color w:val="auto"/>
                <w:szCs w:val="21"/>
              </w:rPr>
              <w:t xml:space="preserve"> </w:t>
            </w:r>
            <w:r>
              <w:rPr>
                <w:rFonts w:hint="eastAsia"/>
                <w:b/>
                <w:color w:val="auto"/>
                <w:szCs w:val="21"/>
              </w:rPr>
              <w:t>噪声环境监测计划一览表</w:t>
            </w:r>
          </w:p>
          <w:tbl>
            <w:tblPr>
              <w:tblStyle w:val="26"/>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738"/>
              <w:gridCol w:w="1384"/>
              <w:gridCol w:w="1955"/>
              <w:gridCol w:w="2802"/>
              <w:gridCol w:w="945"/>
            </w:tblGrid>
            <w:tr w14:paraId="3D2E41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471" w:type="pct"/>
                  <w:tcBorders>
                    <w:top w:val="single" w:color="auto" w:sz="12" w:space="0"/>
                    <w:left w:val="nil"/>
                    <w:bottom w:val="single" w:color="auto" w:sz="6" w:space="0"/>
                    <w:right w:val="single" w:color="auto" w:sz="6" w:space="0"/>
                  </w:tcBorders>
                  <w:vAlign w:val="center"/>
                </w:tcPr>
                <w:p w14:paraId="6558CECD">
                  <w:pPr>
                    <w:jc w:val="center"/>
                    <w:rPr>
                      <w:color w:val="auto"/>
                      <w:sz w:val="18"/>
                      <w:szCs w:val="18"/>
                    </w:rPr>
                  </w:pPr>
                  <w:r>
                    <w:rPr>
                      <w:rFonts w:hint="eastAsia"/>
                      <w:color w:val="auto"/>
                      <w:sz w:val="18"/>
                      <w:szCs w:val="18"/>
                    </w:rPr>
                    <w:t>序号</w:t>
                  </w:r>
                </w:p>
              </w:tc>
              <w:tc>
                <w:tcPr>
                  <w:tcW w:w="884" w:type="pct"/>
                  <w:tcBorders>
                    <w:top w:val="single" w:color="auto" w:sz="12" w:space="0"/>
                    <w:left w:val="single" w:color="auto" w:sz="6" w:space="0"/>
                    <w:bottom w:val="single" w:color="auto" w:sz="6" w:space="0"/>
                    <w:right w:val="single" w:color="auto" w:sz="6" w:space="0"/>
                  </w:tcBorders>
                  <w:vAlign w:val="center"/>
                </w:tcPr>
                <w:p w14:paraId="5AB85D42">
                  <w:pPr>
                    <w:jc w:val="center"/>
                    <w:rPr>
                      <w:color w:val="auto"/>
                      <w:sz w:val="18"/>
                      <w:szCs w:val="18"/>
                    </w:rPr>
                  </w:pPr>
                  <w:r>
                    <w:rPr>
                      <w:rFonts w:hint="eastAsia"/>
                      <w:color w:val="auto"/>
                      <w:sz w:val="18"/>
                      <w:szCs w:val="18"/>
                    </w:rPr>
                    <w:t>监测点位</w:t>
                  </w:r>
                </w:p>
              </w:tc>
              <w:tc>
                <w:tcPr>
                  <w:tcW w:w="1249" w:type="pct"/>
                  <w:tcBorders>
                    <w:top w:val="single" w:color="auto" w:sz="12" w:space="0"/>
                    <w:left w:val="single" w:color="auto" w:sz="6" w:space="0"/>
                    <w:bottom w:val="single" w:color="auto" w:sz="6" w:space="0"/>
                    <w:right w:val="single" w:color="auto" w:sz="4" w:space="0"/>
                  </w:tcBorders>
                  <w:vAlign w:val="center"/>
                </w:tcPr>
                <w:p w14:paraId="230AC9F2">
                  <w:pPr>
                    <w:jc w:val="center"/>
                    <w:rPr>
                      <w:color w:val="auto"/>
                      <w:sz w:val="18"/>
                      <w:szCs w:val="18"/>
                    </w:rPr>
                  </w:pPr>
                  <w:r>
                    <w:rPr>
                      <w:rFonts w:hint="eastAsia"/>
                      <w:color w:val="auto"/>
                      <w:sz w:val="18"/>
                      <w:szCs w:val="18"/>
                    </w:rPr>
                    <w:t>监测因子</w:t>
                  </w:r>
                </w:p>
              </w:tc>
              <w:tc>
                <w:tcPr>
                  <w:tcW w:w="1790" w:type="pct"/>
                  <w:tcBorders>
                    <w:top w:val="single" w:color="auto" w:sz="12" w:space="0"/>
                    <w:left w:val="single" w:color="auto" w:sz="4" w:space="0"/>
                    <w:bottom w:val="single" w:color="auto" w:sz="6" w:space="0"/>
                    <w:right w:val="single" w:color="auto" w:sz="6" w:space="0"/>
                  </w:tcBorders>
                  <w:vAlign w:val="center"/>
                </w:tcPr>
                <w:p w14:paraId="47E597C9">
                  <w:pPr>
                    <w:jc w:val="center"/>
                    <w:rPr>
                      <w:color w:val="auto"/>
                      <w:sz w:val="18"/>
                      <w:szCs w:val="18"/>
                    </w:rPr>
                  </w:pPr>
                  <w:r>
                    <w:rPr>
                      <w:rFonts w:hint="eastAsia"/>
                      <w:color w:val="auto"/>
                      <w:sz w:val="18"/>
                      <w:szCs w:val="18"/>
                    </w:rPr>
                    <w:t>监测点位</w:t>
                  </w:r>
                </w:p>
              </w:tc>
              <w:tc>
                <w:tcPr>
                  <w:tcW w:w="603" w:type="pct"/>
                  <w:tcBorders>
                    <w:top w:val="single" w:color="auto" w:sz="12" w:space="0"/>
                    <w:left w:val="single" w:color="auto" w:sz="6" w:space="0"/>
                    <w:bottom w:val="single" w:color="auto" w:sz="6" w:space="0"/>
                    <w:right w:val="nil"/>
                  </w:tcBorders>
                  <w:vAlign w:val="center"/>
                </w:tcPr>
                <w:p w14:paraId="05C90213">
                  <w:pPr>
                    <w:jc w:val="center"/>
                    <w:rPr>
                      <w:color w:val="auto"/>
                      <w:sz w:val="18"/>
                      <w:szCs w:val="18"/>
                    </w:rPr>
                  </w:pPr>
                  <w:r>
                    <w:rPr>
                      <w:rFonts w:hint="eastAsia"/>
                      <w:color w:val="auto"/>
                      <w:sz w:val="18"/>
                      <w:szCs w:val="18"/>
                    </w:rPr>
                    <w:t>监测频次</w:t>
                  </w:r>
                </w:p>
              </w:tc>
            </w:tr>
            <w:tr w14:paraId="44DD9B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471" w:type="pct"/>
                  <w:tcBorders>
                    <w:left w:val="nil"/>
                    <w:bottom w:val="single" w:color="auto" w:sz="12" w:space="0"/>
                    <w:right w:val="single" w:color="auto" w:sz="6" w:space="0"/>
                  </w:tcBorders>
                  <w:vAlign w:val="center"/>
                </w:tcPr>
                <w:p w14:paraId="5B1B562C">
                  <w:pPr>
                    <w:jc w:val="center"/>
                    <w:rPr>
                      <w:rFonts w:hint="eastAsia" w:eastAsia="宋体"/>
                      <w:color w:val="auto"/>
                      <w:sz w:val="18"/>
                      <w:szCs w:val="18"/>
                      <w:lang w:val="en-US" w:eastAsia="zh-CN"/>
                    </w:rPr>
                  </w:pPr>
                  <w:r>
                    <w:rPr>
                      <w:rFonts w:hint="eastAsia"/>
                      <w:color w:val="auto"/>
                      <w:sz w:val="18"/>
                      <w:szCs w:val="18"/>
                      <w:lang w:val="en-US" w:eastAsia="zh-CN"/>
                    </w:rPr>
                    <w:t>噪声</w:t>
                  </w:r>
                </w:p>
              </w:tc>
              <w:tc>
                <w:tcPr>
                  <w:tcW w:w="884" w:type="pct"/>
                  <w:tcBorders>
                    <w:top w:val="single" w:color="auto" w:sz="6" w:space="0"/>
                    <w:left w:val="single" w:color="auto" w:sz="6" w:space="0"/>
                    <w:bottom w:val="single" w:color="auto" w:sz="12" w:space="0"/>
                    <w:right w:val="single" w:color="auto" w:sz="6" w:space="0"/>
                  </w:tcBorders>
                  <w:vAlign w:val="center"/>
                </w:tcPr>
                <w:p w14:paraId="40E71DD2">
                  <w:pPr>
                    <w:jc w:val="center"/>
                    <w:rPr>
                      <w:rFonts w:hint="eastAsia" w:ascii="Times New Roman" w:hAnsi="Times New Roman" w:cs="Times New Roman"/>
                      <w:color w:val="auto"/>
                      <w:sz w:val="18"/>
                      <w:szCs w:val="18"/>
                    </w:rPr>
                  </w:pPr>
                  <w:r>
                    <w:rPr>
                      <w:rFonts w:hint="eastAsia" w:ascii="Times New Roman" w:hAnsi="Times New Roman" w:cs="Times New Roman"/>
                      <w:color w:val="auto"/>
                      <w:sz w:val="18"/>
                      <w:szCs w:val="18"/>
                    </w:rPr>
                    <w:t>厂界</w:t>
                  </w:r>
                </w:p>
              </w:tc>
              <w:tc>
                <w:tcPr>
                  <w:tcW w:w="1249" w:type="pct"/>
                  <w:tcBorders>
                    <w:top w:val="single" w:color="auto" w:sz="6" w:space="0"/>
                    <w:left w:val="single" w:color="auto" w:sz="6" w:space="0"/>
                    <w:bottom w:val="single" w:color="auto" w:sz="12" w:space="0"/>
                    <w:right w:val="single" w:color="auto" w:sz="4" w:space="0"/>
                  </w:tcBorders>
                  <w:vAlign w:val="center"/>
                </w:tcPr>
                <w:p w14:paraId="4B7ACA06">
                  <w:pPr>
                    <w:jc w:val="center"/>
                    <w:rPr>
                      <w:rFonts w:hint="eastAsia" w:ascii="Times New Roman" w:hAnsi="Times New Roman" w:cs="Times New Roman"/>
                      <w:color w:val="auto"/>
                      <w:sz w:val="18"/>
                      <w:szCs w:val="18"/>
                    </w:rPr>
                  </w:pPr>
                  <w:r>
                    <w:rPr>
                      <w:rFonts w:hint="eastAsia" w:ascii="Times New Roman" w:hAnsi="Times New Roman" w:cs="Times New Roman"/>
                      <w:color w:val="auto"/>
                      <w:sz w:val="18"/>
                      <w:szCs w:val="18"/>
                    </w:rPr>
                    <w:t>连续等效A声级</w:t>
                  </w:r>
                </w:p>
              </w:tc>
              <w:tc>
                <w:tcPr>
                  <w:tcW w:w="1790" w:type="pct"/>
                  <w:tcBorders>
                    <w:top w:val="single" w:color="auto" w:sz="6" w:space="0"/>
                    <w:left w:val="single" w:color="auto" w:sz="4" w:space="0"/>
                    <w:bottom w:val="single" w:color="auto" w:sz="12" w:space="0"/>
                    <w:right w:val="single" w:color="auto" w:sz="6" w:space="0"/>
                  </w:tcBorders>
                  <w:vAlign w:val="center"/>
                </w:tcPr>
                <w:p w14:paraId="6CDF0A02">
                  <w:pPr>
                    <w:jc w:val="center"/>
                    <w:rPr>
                      <w:rFonts w:hint="eastAsia" w:ascii="Times New Roman" w:hAnsi="Times New Roman" w:cs="Times New Roman"/>
                      <w:color w:val="auto"/>
                      <w:sz w:val="18"/>
                      <w:szCs w:val="18"/>
                      <w:lang w:eastAsia="zh-CN"/>
                    </w:rPr>
                  </w:pPr>
                  <w:r>
                    <w:rPr>
                      <w:rFonts w:hint="eastAsia" w:ascii="Times New Roman" w:hAnsi="Times New Roman" w:cs="Times New Roman"/>
                      <w:color w:val="auto"/>
                      <w:sz w:val="18"/>
                      <w:szCs w:val="18"/>
                    </w:rPr>
                    <w:t>东、南、西、北厂界外1m处</w:t>
                  </w:r>
                </w:p>
              </w:tc>
              <w:tc>
                <w:tcPr>
                  <w:tcW w:w="603" w:type="pct"/>
                  <w:tcBorders>
                    <w:top w:val="single" w:color="auto" w:sz="6" w:space="0"/>
                    <w:left w:val="single" w:color="auto" w:sz="6" w:space="0"/>
                    <w:bottom w:val="single" w:color="auto" w:sz="12" w:space="0"/>
                    <w:right w:val="nil"/>
                  </w:tcBorders>
                  <w:vAlign w:val="center"/>
                </w:tcPr>
                <w:p w14:paraId="6A7D8CAF">
                  <w:pPr>
                    <w:jc w:val="center"/>
                    <w:rPr>
                      <w:rFonts w:hint="eastAsia" w:ascii="Times New Roman" w:hAnsi="Times New Roman" w:cs="Times New Roman"/>
                      <w:color w:val="auto"/>
                      <w:sz w:val="18"/>
                      <w:szCs w:val="18"/>
                    </w:rPr>
                  </w:pPr>
                  <w:r>
                    <w:rPr>
                      <w:rFonts w:hint="eastAsia" w:ascii="Times New Roman" w:hAnsi="Times New Roman" w:cs="Times New Roman"/>
                      <w:color w:val="auto"/>
                      <w:sz w:val="18"/>
                      <w:szCs w:val="18"/>
                    </w:rPr>
                    <w:t>1次/季</w:t>
                  </w:r>
                </w:p>
              </w:tc>
            </w:tr>
          </w:tbl>
          <w:p w14:paraId="297B52D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4</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固体废物</w:t>
            </w:r>
          </w:p>
          <w:p w14:paraId="58ED545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4.1固体废物产生及处置措施</w:t>
            </w:r>
          </w:p>
          <w:p w14:paraId="6821A11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拟建项目运行产生的固废主要为废反渗透膜、废一般包装物、</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cs="Times New Roman"/>
                <w:color w:val="auto"/>
                <w:sz w:val="21"/>
                <w:szCs w:val="21"/>
                <w:highlight w:val="none"/>
                <w:lang w:val="en-US" w:eastAsia="zh-CN"/>
              </w:rPr>
              <w:t>、不含有毒有害物质的破损的玻璃器、实验废液、实验残渣及残留样品、过期试剂药品、废实验药品包装物、废弃的一次性实验用品、含有毒有害物质的废玻璃器皿及玻璃试剂瓶、废活性炭、生活垃圾</w:t>
            </w:r>
            <w:r>
              <w:rPr>
                <w:rFonts w:hint="eastAsia" w:ascii="Times New Roman" w:hAnsi="Times New Roman" w:eastAsia="宋体" w:cs="Times New Roman"/>
                <w:color w:val="auto"/>
                <w:sz w:val="21"/>
                <w:szCs w:val="21"/>
                <w:highlight w:val="none"/>
                <w:lang w:val="en-US" w:eastAsia="zh-CN"/>
              </w:rPr>
              <w:t>。根据《国家危险废物名录（202</w:t>
            </w:r>
            <w:r>
              <w:rPr>
                <w:rFonts w:hint="eastAsia" w:ascii="Times New Roman" w:hAnsi="Times New Roman" w:cs="Times New Roman"/>
                <w:color w:val="auto"/>
                <w:sz w:val="21"/>
                <w:szCs w:val="21"/>
                <w:highlight w:val="none"/>
                <w:lang w:val="en-US" w:eastAsia="zh-CN"/>
              </w:rPr>
              <w:t>5年</w:t>
            </w:r>
            <w:r>
              <w:rPr>
                <w:rFonts w:hint="eastAsia" w:ascii="Times New Roman" w:hAnsi="Times New Roman" w:eastAsia="宋体" w:cs="Times New Roman"/>
                <w:color w:val="auto"/>
                <w:sz w:val="21"/>
                <w:szCs w:val="21"/>
                <w:highlight w:val="none"/>
                <w:lang w:val="en-US" w:eastAsia="zh-CN"/>
              </w:rPr>
              <w:t>版）》，</w:t>
            </w:r>
            <w:r>
              <w:rPr>
                <w:rFonts w:hint="eastAsia" w:ascii="Times New Roman" w:hAnsi="Times New Roman" w:cs="Times New Roman"/>
                <w:color w:val="auto"/>
                <w:sz w:val="21"/>
                <w:szCs w:val="21"/>
                <w:highlight w:val="none"/>
                <w:lang w:val="en-US" w:eastAsia="zh-CN"/>
              </w:rPr>
              <w:t>废反渗透膜、废一般包装物、</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cs="Times New Roman"/>
                <w:color w:val="auto"/>
                <w:sz w:val="21"/>
                <w:szCs w:val="21"/>
                <w:highlight w:val="none"/>
                <w:lang w:val="en-US" w:eastAsia="zh-CN"/>
              </w:rPr>
              <w:t>、不含有毒有害物质的破损的玻璃器</w:t>
            </w:r>
            <w:r>
              <w:rPr>
                <w:rFonts w:hint="eastAsia" w:ascii="Times New Roman" w:hAnsi="Times New Roman" w:eastAsia="宋体" w:cs="Times New Roman"/>
                <w:color w:val="auto"/>
                <w:sz w:val="21"/>
                <w:szCs w:val="21"/>
                <w:highlight w:val="none"/>
                <w:lang w:val="en-US" w:eastAsia="zh-CN"/>
              </w:rPr>
              <w:t>为一般固体废物；</w:t>
            </w:r>
            <w:r>
              <w:rPr>
                <w:rFonts w:hint="eastAsia" w:ascii="Times New Roman" w:hAnsi="Times New Roman" w:cs="Times New Roman"/>
                <w:color w:val="auto"/>
                <w:sz w:val="21"/>
                <w:szCs w:val="21"/>
                <w:highlight w:val="none"/>
                <w:lang w:val="en-US" w:eastAsia="zh-CN"/>
              </w:rPr>
              <w:t>实验废液、实验残渣及残留样品、过期试剂药品、废实验药品包装物、废弃一次性实验用品、含有毒有害物质的废玻璃器皿及玻璃试剂瓶、废活性炭</w:t>
            </w:r>
            <w:r>
              <w:rPr>
                <w:rFonts w:hint="eastAsia" w:ascii="Times New Roman" w:hAnsi="Times New Roman" w:eastAsia="宋体" w:cs="Times New Roman"/>
                <w:color w:val="auto"/>
                <w:sz w:val="21"/>
                <w:szCs w:val="21"/>
                <w:highlight w:val="none"/>
                <w:lang w:val="en-US" w:eastAsia="zh-CN"/>
              </w:rPr>
              <w:t>为危险废物。</w:t>
            </w:r>
          </w:p>
          <w:p w14:paraId="660B727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①废反渗透膜 </w:t>
            </w:r>
          </w:p>
          <w:p w14:paraId="377AC2F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项目纯水制备过程采用反渗透工艺，运行</w:t>
            </w:r>
            <w:r>
              <w:rPr>
                <w:rFonts w:hint="default" w:ascii="Times New Roman" w:hAnsi="Times New Roman" w:eastAsia="宋体" w:cs="Times New Roman"/>
                <w:color w:val="auto"/>
                <w:sz w:val="21"/>
                <w:szCs w:val="21"/>
                <w:highlight w:val="none"/>
                <w:lang w:val="en-US" w:eastAsia="zh-CN"/>
              </w:rPr>
              <w:t>2~3</w:t>
            </w:r>
            <w:r>
              <w:rPr>
                <w:rFonts w:hint="eastAsia" w:ascii="Times New Roman" w:hAnsi="Times New Roman" w:eastAsia="宋体" w:cs="Times New Roman"/>
                <w:color w:val="auto"/>
                <w:sz w:val="21"/>
                <w:szCs w:val="21"/>
                <w:highlight w:val="none"/>
                <w:lang w:val="en-US" w:eastAsia="zh-CN"/>
              </w:rPr>
              <w:t>年后需进行更换，会有废膜产生，根据建设单位提供资料，产生量约</w:t>
            </w:r>
            <w:r>
              <w:rPr>
                <w:rFonts w:hint="default" w:ascii="Times New Roman" w:hAnsi="Times New Roman" w:eastAsia="宋体" w:cs="Times New Roman"/>
                <w:color w:val="auto"/>
                <w:sz w:val="21"/>
                <w:szCs w:val="21"/>
                <w:highlight w:val="none"/>
                <w:lang w:val="en-US" w:eastAsia="zh-CN"/>
              </w:rPr>
              <w:t>0.02t/2</w:t>
            </w:r>
            <w:r>
              <w:rPr>
                <w:rFonts w:hint="eastAsia" w:ascii="Times New Roman" w:hAnsi="Times New Roman" w:eastAsia="宋体" w:cs="Times New Roman"/>
                <w:color w:val="auto"/>
                <w:sz w:val="21"/>
                <w:szCs w:val="21"/>
                <w:highlight w:val="none"/>
                <w:lang w:val="en-US" w:eastAsia="zh-CN"/>
              </w:rPr>
              <w:t>年，为一般固废，废反渗透膜由厂家回收。</w:t>
            </w:r>
          </w:p>
          <w:p w14:paraId="7D56DC6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p>
          <w:p w14:paraId="1FC486D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本项目土壤监测实验会产生部分</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cs="Times New Roman"/>
                <w:color w:val="auto"/>
                <w:sz w:val="21"/>
                <w:szCs w:val="21"/>
                <w:highlight w:val="none"/>
                <w:lang w:val="en-US" w:eastAsia="zh-CN"/>
              </w:rPr>
              <w:t>，属于一般工业固废，年产生量约</w:t>
            </w:r>
            <w:r>
              <w:rPr>
                <w:rFonts w:hint="default" w:ascii="Times New Roman" w:hAnsi="Times New Roman" w:cs="Times New Roman"/>
                <w:color w:val="auto"/>
                <w:sz w:val="21"/>
                <w:szCs w:val="21"/>
                <w:highlight w:val="none"/>
                <w:lang w:val="en-US" w:eastAsia="zh-CN"/>
              </w:rPr>
              <w:t>0.0</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，暂存于一般固废暂存区，之后与生活垃圾一同交由市政环卫部门统一清运。</w:t>
            </w:r>
          </w:p>
          <w:p w14:paraId="3F379D0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w:t>
            </w:r>
            <w:r>
              <w:rPr>
                <w:rFonts w:hint="eastAsia" w:ascii="Times New Roman" w:hAnsi="Times New Roman" w:cs="Times New Roman"/>
                <w:color w:val="auto"/>
                <w:sz w:val="21"/>
                <w:szCs w:val="21"/>
                <w:highlight w:val="none"/>
                <w:lang w:val="en-US" w:eastAsia="zh-CN"/>
              </w:rPr>
              <w:t>不含有毒有害物质的破损的玻璃器</w:t>
            </w:r>
          </w:p>
          <w:p w14:paraId="77D10C6D">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项目在运营过程所产生的不含有毒有害物质的破损的玻璃器，产生量按</w:t>
            </w:r>
            <w:r>
              <w:rPr>
                <w:rFonts w:hint="default" w:ascii="Times New Roman" w:hAnsi="Times New Roman" w:cs="Times New Roman"/>
                <w:color w:val="auto"/>
                <w:sz w:val="21"/>
                <w:szCs w:val="21"/>
                <w:highlight w:val="none"/>
                <w:lang w:val="en-US" w:eastAsia="zh-CN"/>
              </w:rPr>
              <w:t>100</w:t>
            </w:r>
            <w:r>
              <w:rPr>
                <w:rFonts w:hint="eastAsia" w:ascii="Times New Roman" w:hAnsi="Times New Roman" w:cs="Times New Roman"/>
                <w:color w:val="auto"/>
                <w:sz w:val="21"/>
                <w:szCs w:val="21"/>
                <w:highlight w:val="none"/>
                <w:lang w:val="en-US" w:eastAsia="zh-CN"/>
              </w:rPr>
              <w:t>个</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年计，单个重量按</w:t>
            </w:r>
            <w:r>
              <w:rPr>
                <w:rFonts w:hint="default" w:ascii="Times New Roman" w:hAnsi="Times New Roman" w:cs="Times New Roman"/>
                <w:color w:val="auto"/>
                <w:sz w:val="21"/>
                <w:szCs w:val="21"/>
                <w:highlight w:val="none"/>
                <w:lang w:val="en-US" w:eastAsia="zh-CN"/>
              </w:rPr>
              <w:t>100g</w:t>
            </w:r>
            <w:r>
              <w:rPr>
                <w:rFonts w:hint="eastAsia" w:ascii="Times New Roman" w:hAnsi="Times New Roman" w:cs="Times New Roman"/>
                <w:color w:val="auto"/>
                <w:sz w:val="21"/>
                <w:szCs w:val="21"/>
                <w:highlight w:val="none"/>
                <w:lang w:val="en-US" w:eastAsia="zh-CN"/>
              </w:rPr>
              <w:t>计算，则不含有毒有害物质的破损的玻璃器产生量约</w:t>
            </w:r>
            <w:r>
              <w:rPr>
                <w:rFonts w:hint="default" w:ascii="Times New Roman" w:hAnsi="Times New Roman" w:cs="Times New Roman"/>
                <w:color w:val="auto"/>
                <w:sz w:val="21"/>
                <w:szCs w:val="21"/>
                <w:highlight w:val="none"/>
                <w:lang w:val="en-US" w:eastAsia="zh-CN"/>
              </w:rPr>
              <w:t>0.01t/a</w:t>
            </w:r>
            <w:r>
              <w:rPr>
                <w:rFonts w:hint="eastAsia" w:ascii="Times New Roman" w:hAnsi="Times New Roman" w:cs="Times New Roman"/>
                <w:color w:val="auto"/>
                <w:sz w:val="21"/>
                <w:szCs w:val="21"/>
                <w:highlight w:val="none"/>
                <w:lang w:val="en-US" w:eastAsia="zh-CN"/>
              </w:rPr>
              <w:t>。暂存于一般固废暂存区，之后</w:t>
            </w:r>
            <w:r>
              <w:rPr>
                <w:rFonts w:hint="eastAsia" w:ascii="Times New Roman" w:hAnsi="Times New Roman" w:eastAsia="宋体" w:cs="Times New Roman"/>
                <w:color w:val="auto"/>
                <w:sz w:val="21"/>
                <w:szCs w:val="21"/>
                <w:highlight w:val="none"/>
                <w:lang w:val="en-US" w:eastAsia="zh-CN"/>
              </w:rPr>
              <w:t>外售资源回收单位综合利用。</w:t>
            </w:r>
          </w:p>
          <w:p w14:paraId="7D2E0AF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④</w:t>
            </w:r>
            <w:r>
              <w:rPr>
                <w:rFonts w:hint="eastAsia" w:ascii="Times New Roman" w:hAnsi="Times New Roman" w:cs="Times New Roman"/>
                <w:color w:val="auto"/>
                <w:sz w:val="21"/>
                <w:szCs w:val="21"/>
                <w:highlight w:val="none"/>
                <w:lang w:val="en-US" w:eastAsia="zh-CN"/>
              </w:rPr>
              <w:t>废一般包装物</w:t>
            </w:r>
            <w:r>
              <w:rPr>
                <w:rFonts w:hint="eastAsia" w:ascii="Times New Roman" w:hAnsi="Times New Roman" w:eastAsia="宋体" w:cs="Times New Roman"/>
                <w:color w:val="auto"/>
                <w:sz w:val="21"/>
                <w:szCs w:val="21"/>
                <w:highlight w:val="none"/>
                <w:lang w:val="en-US" w:eastAsia="zh-CN"/>
              </w:rPr>
              <w:t xml:space="preserve"> </w:t>
            </w:r>
          </w:p>
          <w:p w14:paraId="212B4C8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未沾染药品试剂的废纸箱、废塑料、废纸等一般包装物为一般工业固废，年产生量约</w:t>
            </w:r>
            <w:r>
              <w:rPr>
                <w:rFonts w:hint="default" w:ascii="Times New Roman" w:hAnsi="Times New Roman" w:eastAsia="宋体" w:cs="Times New Roman"/>
                <w:color w:val="auto"/>
                <w:sz w:val="21"/>
                <w:szCs w:val="21"/>
                <w:highlight w:val="none"/>
                <w:lang w:val="en-US" w:eastAsia="zh-CN"/>
              </w:rPr>
              <w:t>0.0</w:t>
            </w:r>
            <w:r>
              <w:rPr>
                <w:rFonts w:hint="eastAsia"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t/a</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暂存于一般固废暂存区，之后</w:t>
            </w:r>
            <w:r>
              <w:rPr>
                <w:rFonts w:hint="eastAsia" w:ascii="Times New Roman" w:hAnsi="Times New Roman" w:eastAsia="宋体" w:cs="Times New Roman"/>
                <w:color w:val="auto"/>
                <w:sz w:val="21"/>
                <w:szCs w:val="21"/>
                <w:highlight w:val="none"/>
                <w:lang w:val="en-US" w:eastAsia="zh-CN"/>
              </w:rPr>
              <w:t>外售资源回收单位综合利用。</w:t>
            </w:r>
          </w:p>
          <w:p w14:paraId="1D63E60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⑤</w:t>
            </w:r>
            <w:r>
              <w:rPr>
                <w:rFonts w:hint="eastAsia" w:ascii="Times New Roman" w:hAnsi="Times New Roman" w:eastAsia="宋体" w:cs="Times New Roman"/>
                <w:color w:val="auto"/>
                <w:sz w:val="21"/>
                <w:szCs w:val="21"/>
                <w:highlight w:val="none"/>
                <w:lang w:val="en-US" w:eastAsia="zh-CN"/>
              </w:rPr>
              <w:t>实验废液</w:t>
            </w:r>
          </w:p>
          <w:p w14:paraId="2BF674F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实验过程中废液主要包括实验器皿的初洗废液、水样剩余废液、实验检测废液。根据前文项目用排水分析，实验器皿初洗废液量为4.8</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，含有第一类污染物及重金属的剩余外来水样0.006</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，实验检测废液8.009</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，合计废液产生量为12.815</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5E086C9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⑥</w:t>
            </w:r>
            <w:r>
              <w:rPr>
                <w:rFonts w:hint="eastAsia" w:ascii="Times New Roman" w:hAnsi="Times New Roman" w:cs="Times New Roman"/>
                <w:color w:val="auto"/>
                <w:sz w:val="21"/>
                <w:szCs w:val="21"/>
                <w:highlight w:val="none"/>
                <w:lang w:val="en-US" w:eastAsia="zh-CN"/>
              </w:rPr>
              <w:t>实验残渣及残留样品</w:t>
            </w:r>
          </w:p>
          <w:p w14:paraId="62A47440">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检测过程中会产生残渣和残留样品（包括重量分析法产生的废滤纸，消解样品、空气、固体废物等产生的残渣和残留样品等），根据建设单位提供资料，检测过程产生量约</w:t>
            </w:r>
            <w:r>
              <w:rPr>
                <w:rFonts w:hint="default" w:ascii="Times New Roman" w:hAnsi="Times New Roman" w:cs="Times New Roman"/>
                <w:color w:val="auto"/>
                <w:sz w:val="21"/>
                <w:szCs w:val="21"/>
                <w:highlight w:val="none"/>
                <w:lang w:val="en-US" w:eastAsia="zh-CN"/>
              </w:rPr>
              <w:t>0.005t/a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0232986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⑦废实验药品包装物</w:t>
            </w:r>
          </w:p>
          <w:p w14:paraId="62BB2E4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本项目实验过程中会产生一定量的含有毒有害的废实验药品包装物，根据建设单位提供材料，项目年产生含有毒有害的废实验药品包装瓶780个，按平均重量100g/个进行计算，产生量约为</w:t>
            </w:r>
            <w:r>
              <w:rPr>
                <w:rFonts w:hint="default" w:ascii="Times New Roman" w:hAnsi="Times New Roman" w:cs="Times New Roman"/>
                <w:color w:val="auto"/>
                <w:sz w:val="21"/>
                <w:szCs w:val="21"/>
                <w:highlight w:val="none"/>
                <w:lang w:val="en-US" w:eastAsia="zh-CN"/>
              </w:rPr>
              <w:t>0.0</w:t>
            </w:r>
            <w:r>
              <w:rPr>
                <w:rFonts w:hint="eastAsia" w:ascii="Times New Roman" w:hAnsi="Times New Roman" w:cs="Times New Roman"/>
                <w:color w:val="auto"/>
                <w:sz w:val="21"/>
                <w:szCs w:val="21"/>
                <w:highlight w:val="none"/>
                <w:lang w:val="en-US" w:eastAsia="zh-CN"/>
              </w:rPr>
              <w:t>78</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4EF4F8D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⑧废弃一次性实验用品</w:t>
            </w:r>
          </w:p>
          <w:p w14:paraId="62CF094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包括实验用一次性废手套、废棉签、废鞋套等，根据建设单位提供资料，产生量约为</w:t>
            </w:r>
            <w:r>
              <w:rPr>
                <w:rFonts w:hint="default" w:ascii="Times New Roman" w:hAnsi="Times New Roman" w:cs="Times New Roman"/>
                <w:color w:val="auto"/>
                <w:sz w:val="21"/>
                <w:szCs w:val="21"/>
                <w:highlight w:val="none"/>
                <w:lang w:val="en-US" w:eastAsia="zh-CN"/>
              </w:rPr>
              <w:t>0.01t/a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54FF5BB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⑨含有毒有害物质的废玻璃器皿及玻璃试剂瓶</w:t>
            </w:r>
          </w:p>
          <w:p w14:paraId="13DAFB6A">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主要考虑实验过程产生的破损废玻璃器皿和玻璃试剂瓶等，产生量按</w:t>
            </w:r>
            <w:r>
              <w:rPr>
                <w:rFonts w:hint="default" w:ascii="Times New Roman" w:hAnsi="Times New Roman" w:cs="Times New Roman"/>
                <w:color w:val="auto"/>
                <w:sz w:val="21"/>
                <w:szCs w:val="21"/>
                <w:highlight w:val="none"/>
                <w:lang w:val="en-US" w:eastAsia="zh-CN"/>
              </w:rPr>
              <w:t>200</w:t>
            </w:r>
            <w:r>
              <w:rPr>
                <w:rFonts w:hint="eastAsia" w:ascii="Times New Roman" w:hAnsi="Times New Roman" w:cs="Times New Roman"/>
                <w:color w:val="auto"/>
                <w:sz w:val="21"/>
                <w:szCs w:val="21"/>
                <w:highlight w:val="none"/>
                <w:lang w:val="en-US" w:eastAsia="zh-CN"/>
              </w:rPr>
              <w:t>个</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年计，单个重量按</w:t>
            </w:r>
            <w:r>
              <w:rPr>
                <w:rFonts w:hint="default" w:ascii="Times New Roman" w:hAnsi="Times New Roman" w:cs="Times New Roman"/>
                <w:color w:val="auto"/>
                <w:sz w:val="21"/>
                <w:szCs w:val="21"/>
                <w:highlight w:val="none"/>
                <w:lang w:val="en-US" w:eastAsia="zh-CN"/>
              </w:rPr>
              <w:t>100g</w:t>
            </w:r>
            <w:r>
              <w:rPr>
                <w:rFonts w:hint="eastAsia" w:ascii="Times New Roman" w:hAnsi="Times New Roman" w:cs="Times New Roman"/>
                <w:color w:val="auto"/>
                <w:sz w:val="21"/>
                <w:szCs w:val="21"/>
                <w:highlight w:val="none"/>
                <w:lang w:val="en-US" w:eastAsia="zh-CN"/>
              </w:rPr>
              <w:t>计算，则废玻璃器皿、玻璃试剂瓶产生量约</w:t>
            </w:r>
            <w:r>
              <w:rPr>
                <w:rFonts w:hint="default" w:ascii="Times New Roman" w:hAnsi="Times New Roman" w:cs="Times New Roman"/>
                <w:color w:val="auto"/>
                <w:sz w:val="21"/>
                <w:szCs w:val="21"/>
                <w:highlight w:val="none"/>
                <w:lang w:val="en-US" w:eastAsia="zh-CN"/>
              </w:rPr>
              <w:t>0.02t/a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6B707D42">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宋体" w:hAnsi="宋体" w:eastAsia="宋体" w:cs="宋体"/>
                <w:color w:val="auto"/>
                <w:sz w:val="21"/>
                <w:szCs w:val="21"/>
                <w:highlight w:val="none"/>
                <w:lang w:val="en-US" w:eastAsia="zh-CN"/>
              </w:rPr>
              <w:t>⑩</w:t>
            </w:r>
            <w:r>
              <w:rPr>
                <w:rFonts w:hint="eastAsia" w:ascii="Times New Roman" w:hAnsi="Times New Roman" w:cs="Times New Roman"/>
                <w:color w:val="auto"/>
                <w:sz w:val="21"/>
                <w:szCs w:val="21"/>
                <w:highlight w:val="none"/>
                <w:lang w:val="en-US" w:eastAsia="zh-CN"/>
              </w:rPr>
              <w:t>过期试剂药品</w:t>
            </w:r>
          </w:p>
          <w:p w14:paraId="17B3C3F6">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理化实验产生的废过期药品及废标液标样，根据建设单位提供资料，产生量约</w:t>
            </w:r>
            <w:r>
              <w:rPr>
                <w:rFonts w:hint="default" w:ascii="Times New Roman" w:hAnsi="Times New Roman" w:cs="Times New Roman"/>
                <w:color w:val="auto"/>
                <w:sz w:val="21"/>
                <w:szCs w:val="21"/>
                <w:highlight w:val="none"/>
                <w:lang w:val="en-US" w:eastAsia="zh-CN"/>
              </w:rPr>
              <w:t>0.001t/a</w:t>
            </w:r>
            <w:r>
              <w:rPr>
                <w:rFonts w:hint="eastAsia" w:ascii="Times New Roman" w:hAnsi="Times New Roman" w:cs="Times New Roman"/>
                <w:color w:val="auto"/>
                <w:sz w:val="21"/>
                <w:szCs w:val="21"/>
                <w:highlight w:val="none"/>
                <w:lang w:val="en-US" w:eastAsia="zh-CN"/>
              </w:rPr>
              <w:t>。暂存于危险废物暂存间，之后委托有资质单位处置。</w:t>
            </w:r>
          </w:p>
          <w:p w14:paraId="34CC58C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⑪废活性炭</w:t>
            </w:r>
          </w:p>
          <w:p w14:paraId="749131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本项目共设置</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套二级活性炭吸附装置，活性炭一次总填充量为</w:t>
            </w:r>
            <w:r>
              <w:rPr>
                <w:rFonts w:hint="default" w:ascii="Times New Roman" w:hAnsi="Times New Roman" w:eastAsia="宋体" w:cs="Times New Roman"/>
                <w:color w:val="auto"/>
                <w:sz w:val="21"/>
                <w:szCs w:val="21"/>
                <w:highlight w:val="none"/>
                <w:lang w:val="en-US" w:eastAsia="zh-CN"/>
              </w:rPr>
              <w:t>2</w:t>
            </w:r>
            <w:r>
              <w:rPr>
                <w:rFonts w:hint="eastAsia" w:ascii="Times New Roman" w:hAnsi="Times New Roman" w:cs="Times New Roman"/>
                <w:color w:val="auto"/>
                <w:sz w:val="21"/>
                <w:szCs w:val="21"/>
                <w:highlight w:val="none"/>
                <w:lang w:val="en-US" w:eastAsia="zh-CN"/>
              </w:rPr>
              <w:t>m</w:t>
            </w:r>
            <w:r>
              <w:rPr>
                <w:rFonts w:hint="eastAsia" w:ascii="Times New Roman" w:hAnsi="Times New Roman"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，项目每年更换一次活性炭，则每年更换量为2m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，蜂窝活性炭密度为0.5g/cm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，则废活性碳产生量为1t/a，暂存于危险废物暂存间，之后交由有资质的处置单位处置。</w:t>
            </w:r>
          </w:p>
          <w:p w14:paraId="560A681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⑫生活垃圾</w:t>
            </w:r>
          </w:p>
          <w:p w14:paraId="106B28A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拟建项目职工人数为</w:t>
            </w:r>
            <w:r>
              <w:rPr>
                <w:rFonts w:hint="eastAsia" w:ascii="Times New Roman" w:hAnsi="Times New Roman" w:cs="Times New Roman"/>
                <w:color w:val="auto"/>
                <w:sz w:val="21"/>
                <w:szCs w:val="21"/>
                <w:highlight w:val="none"/>
                <w:lang w:val="en-US" w:eastAsia="zh-CN"/>
              </w:rPr>
              <w:t>95</w:t>
            </w:r>
            <w:r>
              <w:rPr>
                <w:rFonts w:hint="eastAsia" w:ascii="Times New Roman" w:hAnsi="Times New Roman" w:eastAsia="宋体" w:cs="Times New Roman"/>
                <w:color w:val="auto"/>
                <w:sz w:val="21"/>
                <w:szCs w:val="21"/>
                <w:highlight w:val="none"/>
                <w:lang w:val="en-US" w:eastAsia="zh-CN"/>
              </w:rPr>
              <w:t>人，项目年工作时间为300天，职工生活垃圾产生量按每人0.5kg/d计算，则拟建项目生活垃圾产生量为</w:t>
            </w:r>
            <w:r>
              <w:rPr>
                <w:rFonts w:hint="eastAsia" w:ascii="Times New Roman" w:hAnsi="Times New Roman" w:cs="Times New Roman"/>
                <w:color w:val="auto"/>
                <w:sz w:val="21"/>
                <w:szCs w:val="21"/>
                <w:highlight w:val="none"/>
                <w:lang w:val="en-US" w:eastAsia="zh-CN"/>
              </w:rPr>
              <w:t>14.25</w:t>
            </w:r>
            <w:r>
              <w:rPr>
                <w:rFonts w:hint="eastAsia" w:ascii="Times New Roman" w:hAnsi="Times New Roman" w:eastAsia="宋体" w:cs="Times New Roman"/>
                <w:color w:val="auto"/>
                <w:sz w:val="21"/>
                <w:szCs w:val="21"/>
                <w:highlight w:val="none"/>
                <w:lang w:val="en-US" w:eastAsia="zh-CN"/>
              </w:rPr>
              <w:t>t/a。项目设置垃圾桶，集中收集定期运至环卫部门指定地点，由环卫部门统一处理。</w:t>
            </w:r>
          </w:p>
          <w:p w14:paraId="7ED2421C">
            <w:pPr>
              <w:spacing w:line="440" w:lineRule="exact"/>
              <w:jc w:val="center"/>
              <w:rPr>
                <w:b/>
                <w:color w:val="auto"/>
                <w:szCs w:val="21"/>
                <w:highlight w:val="none"/>
              </w:rPr>
            </w:pPr>
            <w:r>
              <w:rPr>
                <w:b/>
                <w:color w:val="auto"/>
                <w:szCs w:val="21"/>
                <w:highlight w:val="none"/>
              </w:rPr>
              <w:t>表</w:t>
            </w:r>
            <w:r>
              <w:rPr>
                <w:rFonts w:hint="eastAsia"/>
                <w:b/>
                <w:color w:val="auto"/>
                <w:szCs w:val="21"/>
                <w:highlight w:val="none"/>
                <w:lang w:val="en-US" w:eastAsia="zh-CN"/>
              </w:rPr>
              <w:t>36</w:t>
            </w:r>
            <w:r>
              <w:rPr>
                <w:rFonts w:hint="eastAsia"/>
                <w:b/>
                <w:color w:val="auto"/>
                <w:szCs w:val="21"/>
                <w:highlight w:val="none"/>
              </w:rPr>
              <w:t xml:space="preserve">  </w:t>
            </w:r>
            <w:r>
              <w:rPr>
                <w:rFonts w:hint="eastAsia"/>
                <w:b/>
                <w:color w:val="auto"/>
                <w:szCs w:val="21"/>
                <w:highlight w:val="none"/>
                <w:lang w:val="en-US" w:eastAsia="zh-CN"/>
              </w:rPr>
              <w:t>拟建</w:t>
            </w:r>
            <w:r>
              <w:rPr>
                <w:rFonts w:hint="eastAsia"/>
                <w:b/>
                <w:color w:val="auto"/>
                <w:szCs w:val="21"/>
                <w:highlight w:val="none"/>
              </w:rPr>
              <w:t>项目</w:t>
            </w:r>
            <w:r>
              <w:rPr>
                <w:rFonts w:hint="eastAsia"/>
                <w:b/>
                <w:color w:val="auto"/>
                <w:szCs w:val="21"/>
                <w:highlight w:val="none"/>
                <w:lang w:val="en-US" w:eastAsia="zh-CN"/>
              </w:rPr>
              <w:t>固体废弃物</w:t>
            </w:r>
            <w:r>
              <w:rPr>
                <w:b/>
                <w:color w:val="auto"/>
                <w:szCs w:val="21"/>
                <w:highlight w:val="none"/>
              </w:rPr>
              <w:t>产生及治理情况一览表</w:t>
            </w:r>
          </w:p>
          <w:tbl>
            <w:tblPr>
              <w:tblStyle w:val="26"/>
              <w:tblW w:w="7949" w:type="dxa"/>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309"/>
              <w:gridCol w:w="837"/>
              <w:gridCol w:w="486"/>
              <w:gridCol w:w="490"/>
              <w:gridCol w:w="881"/>
              <w:gridCol w:w="567"/>
              <w:gridCol w:w="600"/>
              <w:gridCol w:w="380"/>
              <w:gridCol w:w="439"/>
              <w:gridCol w:w="508"/>
              <w:gridCol w:w="1027"/>
              <w:gridCol w:w="662"/>
              <w:gridCol w:w="763"/>
            </w:tblGrid>
            <w:tr w14:paraId="6B4C726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PrEx>
              <w:trPr>
                <w:trHeight w:val="397" w:hRule="atLeast"/>
                <w:jc w:val="center"/>
              </w:trPr>
              <w:tc>
                <w:tcPr>
                  <w:tcW w:w="194" w:type="pct"/>
                  <w:tcBorders>
                    <w:tl2br w:val="nil"/>
                    <w:tr2bl w:val="nil"/>
                  </w:tcBorders>
                  <w:vAlign w:val="center"/>
                </w:tcPr>
                <w:p w14:paraId="47299734">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序号</w:t>
                  </w:r>
                </w:p>
              </w:tc>
              <w:tc>
                <w:tcPr>
                  <w:tcW w:w="526" w:type="pct"/>
                  <w:tcBorders>
                    <w:tl2br w:val="nil"/>
                    <w:tr2bl w:val="nil"/>
                  </w:tcBorders>
                  <w:vAlign w:val="center"/>
                </w:tcPr>
                <w:p w14:paraId="27522661">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固体废物</w:t>
                  </w:r>
                </w:p>
                <w:p w14:paraId="1F8FC0E0">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名称</w:t>
                  </w:r>
                </w:p>
              </w:tc>
              <w:tc>
                <w:tcPr>
                  <w:tcW w:w="305" w:type="pct"/>
                  <w:tcBorders>
                    <w:tl2br w:val="nil"/>
                    <w:tr2bl w:val="nil"/>
                  </w:tcBorders>
                  <w:vAlign w:val="center"/>
                </w:tcPr>
                <w:p w14:paraId="2930396A">
                  <w:pPr>
                    <w:spacing w:line="0" w:lineRule="atLeast"/>
                    <w:jc w:val="center"/>
                    <w:rPr>
                      <w:color w:val="auto"/>
                      <w:spacing w:val="-20"/>
                      <w:sz w:val="18"/>
                      <w:szCs w:val="18"/>
                      <w:highlight w:val="none"/>
                    </w:rPr>
                  </w:pPr>
                  <w:r>
                    <w:rPr>
                      <w:color w:val="auto"/>
                      <w:spacing w:val="-20"/>
                      <w:sz w:val="18"/>
                      <w:szCs w:val="18"/>
                      <w:highlight w:val="none"/>
                    </w:rPr>
                    <w:t>产生</w:t>
                  </w:r>
                  <w:r>
                    <w:rPr>
                      <w:rFonts w:hint="eastAsia"/>
                      <w:color w:val="auto"/>
                      <w:spacing w:val="-20"/>
                      <w:sz w:val="18"/>
                      <w:szCs w:val="18"/>
                      <w:highlight w:val="none"/>
                    </w:rPr>
                    <w:t>环节</w:t>
                  </w:r>
                </w:p>
              </w:tc>
              <w:tc>
                <w:tcPr>
                  <w:tcW w:w="308" w:type="pct"/>
                  <w:tcBorders>
                    <w:tl2br w:val="nil"/>
                    <w:tr2bl w:val="nil"/>
                  </w:tcBorders>
                  <w:vAlign w:val="center"/>
                </w:tcPr>
                <w:p w14:paraId="20F4B82B">
                  <w:pPr>
                    <w:spacing w:line="0" w:lineRule="atLeast"/>
                    <w:jc w:val="center"/>
                    <w:rPr>
                      <w:color w:val="auto"/>
                      <w:spacing w:val="-20"/>
                      <w:sz w:val="18"/>
                      <w:szCs w:val="18"/>
                      <w:highlight w:val="none"/>
                    </w:rPr>
                  </w:pPr>
                  <w:r>
                    <w:rPr>
                      <w:color w:val="auto"/>
                      <w:spacing w:val="-20"/>
                      <w:sz w:val="18"/>
                      <w:szCs w:val="18"/>
                      <w:highlight w:val="none"/>
                    </w:rPr>
                    <w:t>废物</w:t>
                  </w:r>
                </w:p>
                <w:p w14:paraId="2028675F">
                  <w:pPr>
                    <w:spacing w:line="0" w:lineRule="atLeast"/>
                    <w:jc w:val="center"/>
                    <w:rPr>
                      <w:color w:val="auto"/>
                      <w:spacing w:val="-20"/>
                      <w:sz w:val="18"/>
                      <w:szCs w:val="18"/>
                      <w:highlight w:val="none"/>
                    </w:rPr>
                  </w:pPr>
                  <w:r>
                    <w:rPr>
                      <w:color w:val="auto"/>
                      <w:spacing w:val="-20"/>
                      <w:sz w:val="18"/>
                      <w:szCs w:val="18"/>
                      <w:highlight w:val="none"/>
                    </w:rPr>
                    <w:t>类别</w:t>
                  </w:r>
                </w:p>
              </w:tc>
              <w:tc>
                <w:tcPr>
                  <w:tcW w:w="554" w:type="pct"/>
                  <w:tcBorders>
                    <w:tl2br w:val="nil"/>
                    <w:tr2bl w:val="nil"/>
                  </w:tcBorders>
                  <w:vAlign w:val="center"/>
                </w:tcPr>
                <w:p w14:paraId="6A62F9A7">
                  <w:pPr>
                    <w:spacing w:line="0" w:lineRule="atLeast"/>
                    <w:jc w:val="center"/>
                    <w:rPr>
                      <w:color w:val="auto"/>
                      <w:spacing w:val="-20"/>
                      <w:sz w:val="18"/>
                      <w:szCs w:val="18"/>
                      <w:highlight w:val="none"/>
                    </w:rPr>
                  </w:pPr>
                  <w:r>
                    <w:rPr>
                      <w:rFonts w:hint="eastAsia"/>
                      <w:color w:val="auto"/>
                      <w:spacing w:val="-20"/>
                      <w:sz w:val="18"/>
                      <w:szCs w:val="18"/>
                      <w:highlight w:val="none"/>
                    </w:rPr>
                    <w:t>废物代码</w:t>
                  </w:r>
                </w:p>
              </w:tc>
              <w:tc>
                <w:tcPr>
                  <w:tcW w:w="356" w:type="pct"/>
                  <w:tcBorders>
                    <w:tl2br w:val="nil"/>
                    <w:tr2bl w:val="nil"/>
                  </w:tcBorders>
                  <w:vAlign w:val="center"/>
                </w:tcPr>
                <w:p w14:paraId="6ADE6B28">
                  <w:pPr>
                    <w:spacing w:line="0" w:lineRule="atLeast"/>
                    <w:jc w:val="center"/>
                    <w:rPr>
                      <w:color w:val="auto"/>
                      <w:spacing w:val="-20"/>
                      <w:sz w:val="18"/>
                      <w:szCs w:val="18"/>
                      <w:highlight w:val="none"/>
                    </w:rPr>
                  </w:pPr>
                  <w:r>
                    <w:rPr>
                      <w:color w:val="auto"/>
                      <w:spacing w:val="-20"/>
                      <w:sz w:val="18"/>
                      <w:szCs w:val="18"/>
                      <w:highlight w:val="none"/>
                    </w:rPr>
                    <w:t>产生量</w:t>
                  </w:r>
                </w:p>
              </w:tc>
              <w:tc>
                <w:tcPr>
                  <w:tcW w:w="377" w:type="pct"/>
                  <w:tcBorders>
                    <w:tl2br w:val="nil"/>
                    <w:tr2bl w:val="nil"/>
                  </w:tcBorders>
                  <w:vAlign w:val="center"/>
                </w:tcPr>
                <w:p w14:paraId="139267FB">
                  <w:pPr>
                    <w:spacing w:line="0" w:lineRule="atLeast"/>
                    <w:jc w:val="center"/>
                    <w:rPr>
                      <w:color w:val="auto"/>
                      <w:spacing w:val="-20"/>
                      <w:sz w:val="18"/>
                      <w:szCs w:val="18"/>
                      <w:highlight w:val="none"/>
                    </w:rPr>
                  </w:pPr>
                  <w:r>
                    <w:rPr>
                      <w:color w:val="auto"/>
                      <w:spacing w:val="-20"/>
                      <w:sz w:val="18"/>
                      <w:szCs w:val="18"/>
                      <w:highlight w:val="none"/>
                    </w:rPr>
                    <w:t>主要</w:t>
                  </w:r>
                  <w:r>
                    <w:rPr>
                      <w:rFonts w:hint="eastAsia"/>
                      <w:color w:val="auto"/>
                      <w:spacing w:val="-20"/>
                      <w:sz w:val="18"/>
                      <w:szCs w:val="18"/>
                      <w:highlight w:val="none"/>
                    </w:rPr>
                    <w:t>有毒有害物质名称</w:t>
                  </w:r>
                </w:p>
              </w:tc>
              <w:tc>
                <w:tcPr>
                  <w:tcW w:w="239" w:type="pct"/>
                  <w:tcBorders>
                    <w:tl2br w:val="nil"/>
                    <w:tr2bl w:val="nil"/>
                  </w:tcBorders>
                  <w:vAlign w:val="center"/>
                </w:tcPr>
                <w:p w14:paraId="2809BB5F">
                  <w:pPr>
                    <w:spacing w:line="0" w:lineRule="atLeast"/>
                    <w:jc w:val="center"/>
                    <w:rPr>
                      <w:color w:val="auto"/>
                      <w:spacing w:val="-20"/>
                      <w:sz w:val="18"/>
                      <w:szCs w:val="18"/>
                      <w:highlight w:val="none"/>
                    </w:rPr>
                  </w:pPr>
                  <w:r>
                    <w:rPr>
                      <w:rFonts w:hint="eastAsia"/>
                      <w:color w:val="auto"/>
                      <w:spacing w:val="-20"/>
                      <w:sz w:val="18"/>
                      <w:szCs w:val="18"/>
                      <w:highlight w:val="none"/>
                    </w:rPr>
                    <w:t>物理性状</w:t>
                  </w:r>
                </w:p>
              </w:tc>
              <w:tc>
                <w:tcPr>
                  <w:tcW w:w="276" w:type="pct"/>
                  <w:tcBorders>
                    <w:tl2br w:val="nil"/>
                    <w:tr2bl w:val="nil"/>
                  </w:tcBorders>
                  <w:vAlign w:val="center"/>
                </w:tcPr>
                <w:p w14:paraId="768881EF">
                  <w:pPr>
                    <w:spacing w:line="0" w:lineRule="atLeast"/>
                    <w:jc w:val="center"/>
                    <w:rPr>
                      <w:color w:val="auto"/>
                      <w:spacing w:val="-20"/>
                      <w:sz w:val="18"/>
                      <w:szCs w:val="18"/>
                      <w:highlight w:val="none"/>
                    </w:rPr>
                  </w:pPr>
                  <w:r>
                    <w:rPr>
                      <w:rFonts w:hint="eastAsia"/>
                      <w:color w:val="auto"/>
                      <w:spacing w:val="-20"/>
                      <w:sz w:val="18"/>
                      <w:szCs w:val="18"/>
                      <w:highlight w:val="none"/>
                    </w:rPr>
                    <w:t>环境危险特性</w:t>
                  </w:r>
                </w:p>
              </w:tc>
              <w:tc>
                <w:tcPr>
                  <w:tcW w:w="319" w:type="pct"/>
                  <w:tcBorders>
                    <w:tl2br w:val="nil"/>
                    <w:tr2bl w:val="nil"/>
                  </w:tcBorders>
                  <w:vAlign w:val="center"/>
                </w:tcPr>
                <w:p w14:paraId="3C2317C6">
                  <w:pPr>
                    <w:spacing w:line="0" w:lineRule="atLeast"/>
                    <w:jc w:val="center"/>
                    <w:rPr>
                      <w:color w:val="auto"/>
                      <w:spacing w:val="-20"/>
                      <w:sz w:val="18"/>
                      <w:szCs w:val="18"/>
                      <w:highlight w:val="none"/>
                    </w:rPr>
                  </w:pPr>
                  <w:r>
                    <w:rPr>
                      <w:rFonts w:hint="eastAsia"/>
                      <w:color w:val="auto"/>
                      <w:spacing w:val="-20"/>
                      <w:sz w:val="18"/>
                      <w:szCs w:val="18"/>
                      <w:highlight w:val="none"/>
                    </w:rPr>
                    <w:t>贮存方式</w:t>
                  </w:r>
                </w:p>
              </w:tc>
              <w:tc>
                <w:tcPr>
                  <w:tcW w:w="645" w:type="pct"/>
                  <w:tcBorders>
                    <w:tl2br w:val="nil"/>
                    <w:tr2bl w:val="nil"/>
                  </w:tcBorders>
                  <w:vAlign w:val="center"/>
                </w:tcPr>
                <w:p w14:paraId="1C7A02D1">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处置利用</w:t>
                  </w:r>
                </w:p>
                <w:p w14:paraId="0F8023F1">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方式和去向</w:t>
                  </w:r>
                </w:p>
              </w:tc>
              <w:tc>
                <w:tcPr>
                  <w:tcW w:w="416" w:type="pct"/>
                  <w:tcBorders>
                    <w:tl2br w:val="nil"/>
                    <w:tr2bl w:val="nil"/>
                  </w:tcBorders>
                  <w:vAlign w:val="center"/>
                </w:tcPr>
                <w:p w14:paraId="5F5D19DE">
                  <w:pPr>
                    <w:spacing w:line="0" w:lineRule="atLeast"/>
                    <w:jc w:val="center"/>
                    <w:rPr>
                      <w:color w:val="auto"/>
                      <w:spacing w:val="-20"/>
                      <w:sz w:val="18"/>
                      <w:szCs w:val="18"/>
                      <w:highlight w:val="none"/>
                    </w:rPr>
                  </w:pPr>
                  <w:r>
                    <w:rPr>
                      <w:rFonts w:hint="eastAsia"/>
                      <w:color w:val="auto"/>
                      <w:spacing w:val="-20"/>
                      <w:sz w:val="18"/>
                      <w:szCs w:val="18"/>
                      <w:highlight w:val="none"/>
                    </w:rPr>
                    <w:t>利用或处置量</w:t>
                  </w:r>
                </w:p>
              </w:tc>
              <w:tc>
                <w:tcPr>
                  <w:tcW w:w="479" w:type="pct"/>
                  <w:tcBorders>
                    <w:tl2br w:val="nil"/>
                    <w:tr2bl w:val="nil"/>
                  </w:tcBorders>
                  <w:vAlign w:val="center"/>
                </w:tcPr>
                <w:p w14:paraId="2D5E8EAA">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环境管理</w:t>
                  </w:r>
                </w:p>
                <w:p w14:paraId="6F411C98">
                  <w:pPr>
                    <w:spacing w:line="0" w:lineRule="atLeast"/>
                    <w:jc w:val="center"/>
                    <w:rPr>
                      <w:color w:val="auto"/>
                      <w:spacing w:val="-20"/>
                      <w:sz w:val="18"/>
                      <w:szCs w:val="18"/>
                      <w:highlight w:val="none"/>
                    </w:rPr>
                  </w:pPr>
                  <w:r>
                    <w:rPr>
                      <w:rFonts w:hint="eastAsia"/>
                      <w:color w:val="auto"/>
                      <w:spacing w:val="-20"/>
                      <w:sz w:val="18"/>
                      <w:szCs w:val="18"/>
                      <w:highlight w:val="none"/>
                    </w:rPr>
                    <w:t>要求</w:t>
                  </w:r>
                </w:p>
              </w:tc>
            </w:tr>
            <w:tr w14:paraId="06F8955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vAlign w:val="center"/>
                </w:tcPr>
                <w:p w14:paraId="0EA2E836">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p>
              </w:tc>
              <w:tc>
                <w:tcPr>
                  <w:tcW w:w="526" w:type="pct"/>
                  <w:tcBorders>
                    <w:tl2br w:val="nil"/>
                    <w:tr2bl w:val="nil"/>
                  </w:tcBorders>
                  <w:shd w:val="clear" w:color="auto" w:fill="auto"/>
                  <w:vAlign w:val="center"/>
                </w:tcPr>
                <w:p w14:paraId="26FDC09A">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废反渗透膜</w:t>
                  </w:r>
                </w:p>
              </w:tc>
              <w:tc>
                <w:tcPr>
                  <w:tcW w:w="305" w:type="pct"/>
                  <w:tcBorders>
                    <w:tl2br w:val="nil"/>
                    <w:tr2bl w:val="nil"/>
                  </w:tcBorders>
                  <w:shd w:val="clear" w:color="auto" w:fill="auto"/>
                  <w:vAlign w:val="center"/>
                </w:tcPr>
                <w:p w14:paraId="6BBB4B81">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纯水制备</w:t>
                  </w:r>
                </w:p>
              </w:tc>
              <w:tc>
                <w:tcPr>
                  <w:tcW w:w="308" w:type="pct"/>
                  <w:vMerge w:val="restart"/>
                  <w:tcBorders>
                    <w:tl2br w:val="nil"/>
                    <w:tr2bl w:val="nil"/>
                  </w:tcBorders>
                  <w:vAlign w:val="center"/>
                </w:tcPr>
                <w:p w14:paraId="44A331E6">
                  <w:pPr>
                    <w:spacing w:line="0" w:lineRule="atLeast"/>
                    <w:jc w:val="center"/>
                    <w:rPr>
                      <w:color w:val="auto"/>
                      <w:spacing w:val="-20"/>
                      <w:sz w:val="18"/>
                      <w:szCs w:val="18"/>
                      <w:highlight w:val="none"/>
                    </w:rPr>
                  </w:pPr>
                  <w:r>
                    <w:rPr>
                      <w:color w:val="auto"/>
                      <w:spacing w:val="-20"/>
                      <w:sz w:val="18"/>
                      <w:szCs w:val="18"/>
                      <w:highlight w:val="none"/>
                    </w:rPr>
                    <w:t>一般</w:t>
                  </w:r>
                </w:p>
                <w:p w14:paraId="234DF783">
                  <w:pPr>
                    <w:spacing w:line="0" w:lineRule="atLeast"/>
                    <w:jc w:val="center"/>
                    <w:rPr>
                      <w:color w:val="auto"/>
                      <w:spacing w:val="-20"/>
                      <w:sz w:val="18"/>
                      <w:szCs w:val="18"/>
                      <w:highlight w:val="none"/>
                    </w:rPr>
                  </w:pPr>
                  <w:r>
                    <w:rPr>
                      <w:color w:val="auto"/>
                      <w:spacing w:val="-20"/>
                      <w:sz w:val="18"/>
                      <w:szCs w:val="18"/>
                      <w:highlight w:val="none"/>
                    </w:rPr>
                    <w:t>固废</w:t>
                  </w:r>
                </w:p>
              </w:tc>
              <w:tc>
                <w:tcPr>
                  <w:tcW w:w="554" w:type="pct"/>
                  <w:tcBorders>
                    <w:tl2br w:val="nil"/>
                    <w:tr2bl w:val="nil"/>
                  </w:tcBorders>
                  <w:vAlign w:val="center"/>
                </w:tcPr>
                <w:p w14:paraId="166ADF41">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900-009-S59</w:t>
                  </w:r>
                </w:p>
              </w:tc>
              <w:tc>
                <w:tcPr>
                  <w:tcW w:w="356" w:type="pct"/>
                  <w:tcBorders>
                    <w:tl2br w:val="nil"/>
                    <w:tr2bl w:val="nil"/>
                  </w:tcBorders>
                  <w:vAlign w:val="center"/>
                </w:tcPr>
                <w:p w14:paraId="30EF6B90">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0.02t/2</w:t>
                  </w:r>
                  <w:r>
                    <w:rPr>
                      <w:rFonts w:hint="eastAsia" w:cs="Times New Roman"/>
                      <w:color w:val="auto"/>
                      <w:spacing w:val="-10"/>
                      <w:sz w:val="18"/>
                      <w:szCs w:val="18"/>
                      <w:highlight w:val="none"/>
                      <w:lang w:val="en-US" w:eastAsia="zh-CN"/>
                    </w:rPr>
                    <w:t>a</w:t>
                  </w:r>
                </w:p>
              </w:tc>
              <w:tc>
                <w:tcPr>
                  <w:tcW w:w="377" w:type="pct"/>
                  <w:tcBorders>
                    <w:tl2br w:val="nil"/>
                    <w:tr2bl w:val="nil"/>
                  </w:tcBorders>
                  <w:vAlign w:val="center"/>
                </w:tcPr>
                <w:p w14:paraId="0F0B9780">
                  <w:pPr>
                    <w:spacing w:line="0" w:lineRule="atLeast"/>
                    <w:jc w:val="center"/>
                    <w:rPr>
                      <w:color w:val="auto"/>
                      <w:spacing w:val="-20"/>
                      <w:sz w:val="18"/>
                      <w:szCs w:val="18"/>
                      <w:highlight w:val="none"/>
                    </w:rPr>
                  </w:pPr>
                  <w:r>
                    <w:rPr>
                      <w:rFonts w:hint="eastAsia" w:cs="Times New Roman"/>
                      <w:color w:val="auto"/>
                      <w:spacing w:val="-10"/>
                      <w:sz w:val="18"/>
                      <w:szCs w:val="18"/>
                      <w:highlight w:val="none"/>
                      <w:lang w:val="en-US" w:eastAsia="zh-CN"/>
                    </w:rPr>
                    <w:t>/</w:t>
                  </w:r>
                </w:p>
              </w:tc>
              <w:tc>
                <w:tcPr>
                  <w:tcW w:w="239" w:type="pct"/>
                  <w:tcBorders>
                    <w:tl2br w:val="nil"/>
                    <w:tr2bl w:val="nil"/>
                  </w:tcBorders>
                  <w:vAlign w:val="center"/>
                </w:tcPr>
                <w:p w14:paraId="4B9AB268">
                  <w:pPr>
                    <w:spacing w:line="0" w:lineRule="atLeast"/>
                    <w:jc w:val="center"/>
                    <w:rPr>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52BACC3A">
                  <w:pPr>
                    <w:spacing w:line="0" w:lineRule="atLeast"/>
                    <w:jc w:val="center"/>
                    <w:rPr>
                      <w:color w:val="auto"/>
                      <w:spacing w:val="-20"/>
                      <w:sz w:val="18"/>
                      <w:szCs w:val="18"/>
                      <w:highlight w:val="none"/>
                    </w:rPr>
                  </w:pPr>
                  <w:r>
                    <w:rPr>
                      <w:rFonts w:hint="eastAsia"/>
                      <w:color w:val="auto"/>
                      <w:spacing w:val="-20"/>
                      <w:sz w:val="18"/>
                      <w:szCs w:val="18"/>
                      <w:highlight w:val="none"/>
                    </w:rPr>
                    <w:t>/</w:t>
                  </w:r>
                </w:p>
              </w:tc>
              <w:tc>
                <w:tcPr>
                  <w:tcW w:w="319" w:type="pct"/>
                  <w:tcBorders>
                    <w:tl2br w:val="nil"/>
                    <w:tr2bl w:val="nil"/>
                  </w:tcBorders>
                  <w:vAlign w:val="center"/>
                </w:tcPr>
                <w:p w14:paraId="3BCFA087">
                  <w:pPr>
                    <w:spacing w:line="0" w:lineRule="atLeas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645" w:type="pct"/>
                  <w:tcBorders>
                    <w:tl2br w:val="nil"/>
                    <w:tr2bl w:val="nil"/>
                  </w:tcBorders>
                  <w:vAlign w:val="center"/>
                </w:tcPr>
                <w:p w14:paraId="253E3B7D">
                  <w:pPr>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更换后直接由厂家回收</w:t>
                  </w:r>
                </w:p>
              </w:tc>
              <w:tc>
                <w:tcPr>
                  <w:tcW w:w="416" w:type="pct"/>
                  <w:tcBorders>
                    <w:tl2br w:val="nil"/>
                    <w:tr2bl w:val="nil"/>
                  </w:tcBorders>
                  <w:vAlign w:val="center"/>
                </w:tcPr>
                <w:p w14:paraId="50F5A273">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default" w:cs="Times New Roman"/>
                      <w:color w:val="auto"/>
                      <w:spacing w:val="-10"/>
                      <w:sz w:val="18"/>
                      <w:szCs w:val="18"/>
                      <w:highlight w:val="none"/>
                      <w:lang w:val="en-US" w:eastAsia="zh-CN"/>
                    </w:rPr>
                    <w:t>0.02t/2</w:t>
                  </w:r>
                  <w:r>
                    <w:rPr>
                      <w:rFonts w:hint="eastAsia" w:cs="Times New Roman"/>
                      <w:color w:val="auto"/>
                      <w:spacing w:val="-10"/>
                      <w:sz w:val="18"/>
                      <w:szCs w:val="18"/>
                      <w:highlight w:val="none"/>
                      <w:lang w:val="en-US" w:eastAsia="zh-CN"/>
                    </w:rPr>
                    <w:t>a</w:t>
                  </w:r>
                </w:p>
              </w:tc>
              <w:tc>
                <w:tcPr>
                  <w:tcW w:w="479" w:type="pct"/>
                  <w:vMerge w:val="restart"/>
                  <w:tcBorders>
                    <w:tl2br w:val="nil"/>
                    <w:tr2bl w:val="nil"/>
                  </w:tcBorders>
                  <w:vAlign w:val="center"/>
                </w:tcPr>
                <w:p w14:paraId="4E99CA9E">
                  <w:pPr>
                    <w:spacing w:line="0" w:lineRule="atLeast"/>
                    <w:jc w:val="center"/>
                    <w:rPr>
                      <w:color w:val="auto"/>
                      <w:spacing w:val="-20"/>
                      <w:sz w:val="18"/>
                      <w:szCs w:val="18"/>
                      <w:highlight w:val="none"/>
                    </w:rPr>
                  </w:pPr>
                  <w:r>
                    <w:rPr>
                      <w:color w:val="auto"/>
                      <w:spacing w:val="-20"/>
                      <w:sz w:val="18"/>
                      <w:szCs w:val="18"/>
                    </w:rPr>
                    <w:t>建立固废管理台账，详细记录固废产生量</w:t>
                  </w:r>
                  <w:r>
                    <w:rPr>
                      <w:rFonts w:hint="eastAsia"/>
                      <w:color w:val="auto"/>
                      <w:spacing w:val="-20"/>
                      <w:sz w:val="18"/>
                      <w:szCs w:val="18"/>
                    </w:rPr>
                    <w:t>、</w:t>
                  </w:r>
                  <w:r>
                    <w:rPr>
                      <w:color w:val="auto"/>
                      <w:spacing w:val="-20"/>
                      <w:sz w:val="18"/>
                      <w:szCs w:val="18"/>
                    </w:rPr>
                    <w:t>外卖量</w:t>
                  </w:r>
                  <w:r>
                    <w:rPr>
                      <w:rFonts w:hint="eastAsia"/>
                      <w:color w:val="auto"/>
                      <w:spacing w:val="-20"/>
                      <w:sz w:val="18"/>
                      <w:szCs w:val="18"/>
                    </w:rPr>
                    <w:t>、转移量</w:t>
                  </w:r>
                  <w:r>
                    <w:rPr>
                      <w:color w:val="auto"/>
                      <w:spacing w:val="-20"/>
                      <w:sz w:val="18"/>
                      <w:szCs w:val="18"/>
                    </w:rPr>
                    <w:t>，并妥善保管台账</w:t>
                  </w:r>
                  <w:r>
                    <w:rPr>
                      <w:rFonts w:hint="eastAsia"/>
                      <w:color w:val="auto"/>
                      <w:spacing w:val="-20"/>
                      <w:sz w:val="18"/>
                      <w:szCs w:val="18"/>
                    </w:rPr>
                    <w:t>。</w:t>
                  </w:r>
                  <w:r>
                    <w:rPr>
                      <w:color w:val="auto"/>
                      <w:spacing w:val="-20"/>
                      <w:sz w:val="18"/>
                      <w:szCs w:val="18"/>
                    </w:rPr>
                    <w:t>设置警示标志，专人管</w:t>
                  </w:r>
                  <w:r>
                    <w:rPr>
                      <w:color w:val="auto"/>
                      <w:spacing w:val="-20"/>
                      <w:sz w:val="18"/>
                      <w:szCs w:val="18"/>
                      <w:highlight w:val="none"/>
                    </w:rPr>
                    <w:t>理</w:t>
                  </w:r>
                </w:p>
              </w:tc>
            </w:tr>
            <w:tr w14:paraId="72346F2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6AF3E20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w:t>
                  </w:r>
                </w:p>
              </w:tc>
              <w:tc>
                <w:tcPr>
                  <w:tcW w:w="526" w:type="pct"/>
                  <w:tcBorders>
                    <w:tl2br w:val="nil"/>
                    <w:tr2bl w:val="nil"/>
                  </w:tcBorders>
                  <w:vAlign w:val="center"/>
                </w:tcPr>
                <w:p w14:paraId="7567D974">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未参与实验过程的剩余土样</w:t>
                  </w:r>
                </w:p>
              </w:tc>
              <w:tc>
                <w:tcPr>
                  <w:tcW w:w="305" w:type="pct"/>
                  <w:vMerge w:val="restart"/>
                  <w:tcBorders>
                    <w:tl2br w:val="nil"/>
                    <w:tr2bl w:val="nil"/>
                  </w:tcBorders>
                  <w:vAlign w:val="center"/>
                </w:tcPr>
                <w:p w14:paraId="37E586C5">
                  <w:pPr>
                    <w:spacing w:line="0" w:lineRule="atLeast"/>
                    <w:jc w:val="center"/>
                    <w:rPr>
                      <w:rFonts w:hint="eastAsia"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实验分析</w:t>
                  </w:r>
                </w:p>
                <w:p w14:paraId="45FC74B0">
                  <w:pPr>
                    <w:spacing w:line="0" w:lineRule="atLeast"/>
                    <w:jc w:val="center"/>
                    <w:rPr>
                      <w:rFonts w:hint="eastAsia"/>
                      <w:color w:val="auto"/>
                      <w:spacing w:val="-20"/>
                      <w:sz w:val="18"/>
                      <w:szCs w:val="18"/>
                      <w:highlight w:val="none"/>
                    </w:rPr>
                  </w:pPr>
                </w:p>
              </w:tc>
              <w:tc>
                <w:tcPr>
                  <w:tcW w:w="308" w:type="pct"/>
                  <w:vMerge w:val="continue"/>
                  <w:tcBorders>
                    <w:tl2br w:val="nil"/>
                    <w:tr2bl w:val="nil"/>
                  </w:tcBorders>
                  <w:vAlign w:val="center"/>
                </w:tcPr>
                <w:p w14:paraId="542EF610">
                  <w:pPr>
                    <w:spacing w:line="0" w:lineRule="atLeast"/>
                    <w:jc w:val="center"/>
                    <w:rPr>
                      <w:color w:val="auto"/>
                      <w:spacing w:val="-20"/>
                      <w:sz w:val="18"/>
                      <w:szCs w:val="18"/>
                      <w:highlight w:val="none"/>
                    </w:rPr>
                  </w:pPr>
                </w:p>
              </w:tc>
              <w:tc>
                <w:tcPr>
                  <w:tcW w:w="554" w:type="pct"/>
                  <w:tcBorders>
                    <w:tl2br w:val="nil"/>
                    <w:tr2bl w:val="nil"/>
                  </w:tcBorders>
                  <w:shd w:val="clear" w:color="auto" w:fill="auto"/>
                  <w:vAlign w:val="center"/>
                </w:tcPr>
                <w:p w14:paraId="252919A7">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900-001-S92</w:t>
                  </w:r>
                </w:p>
              </w:tc>
              <w:tc>
                <w:tcPr>
                  <w:tcW w:w="356" w:type="pct"/>
                  <w:tcBorders>
                    <w:tl2br w:val="nil"/>
                    <w:tr2bl w:val="nil"/>
                  </w:tcBorders>
                  <w:shd w:val="clear" w:color="auto" w:fill="auto"/>
                  <w:vAlign w:val="center"/>
                </w:tcPr>
                <w:p w14:paraId="07322CA3">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2</w:t>
                  </w:r>
                  <w:r>
                    <w:rPr>
                      <w:rFonts w:hint="default" w:cs="Times New Roman"/>
                      <w:color w:val="auto"/>
                      <w:spacing w:val="-10"/>
                      <w:sz w:val="18"/>
                      <w:szCs w:val="18"/>
                      <w:highlight w:val="none"/>
                      <w:lang w:val="en-US" w:eastAsia="zh-CN"/>
                    </w:rPr>
                    <w:t>t/a</w:t>
                  </w:r>
                </w:p>
              </w:tc>
              <w:tc>
                <w:tcPr>
                  <w:tcW w:w="377" w:type="pct"/>
                  <w:tcBorders>
                    <w:tl2br w:val="nil"/>
                    <w:tr2bl w:val="nil"/>
                  </w:tcBorders>
                  <w:vAlign w:val="center"/>
                </w:tcPr>
                <w:p w14:paraId="6B5A1928">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239" w:type="pct"/>
                  <w:tcBorders>
                    <w:tl2br w:val="nil"/>
                    <w:tr2bl w:val="nil"/>
                  </w:tcBorders>
                  <w:vAlign w:val="center"/>
                </w:tcPr>
                <w:p w14:paraId="19D161C7">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472134BD">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319" w:type="pct"/>
                  <w:vMerge w:val="restart"/>
                  <w:tcBorders>
                    <w:tl2br w:val="nil"/>
                    <w:tr2bl w:val="nil"/>
                  </w:tcBorders>
                  <w:vAlign w:val="center"/>
                </w:tcPr>
                <w:p w14:paraId="4F7CAD6F">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暂存于一般固废区</w:t>
                  </w:r>
                </w:p>
              </w:tc>
              <w:tc>
                <w:tcPr>
                  <w:tcW w:w="645" w:type="pct"/>
                  <w:tcBorders>
                    <w:tl2br w:val="nil"/>
                    <w:tr2bl w:val="nil"/>
                  </w:tcBorders>
                  <w:vAlign w:val="center"/>
                </w:tcPr>
                <w:p w14:paraId="21857438">
                  <w:pPr>
                    <w:spacing w:line="0" w:lineRule="atLeast"/>
                    <w:jc w:val="center"/>
                    <w:rPr>
                      <w:rFonts w:hint="eastAsia"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由环卫部门处理</w:t>
                  </w:r>
                </w:p>
              </w:tc>
              <w:tc>
                <w:tcPr>
                  <w:tcW w:w="416" w:type="pct"/>
                  <w:tcBorders>
                    <w:tl2br w:val="nil"/>
                    <w:tr2bl w:val="nil"/>
                  </w:tcBorders>
                  <w:vAlign w:val="center"/>
                </w:tcPr>
                <w:p w14:paraId="6CD2C98E">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2</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571A64A7">
                  <w:pPr>
                    <w:spacing w:line="0" w:lineRule="atLeast"/>
                    <w:jc w:val="center"/>
                    <w:rPr>
                      <w:color w:val="auto"/>
                      <w:spacing w:val="-20"/>
                      <w:sz w:val="18"/>
                      <w:szCs w:val="18"/>
                    </w:rPr>
                  </w:pPr>
                </w:p>
              </w:tc>
            </w:tr>
            <w:tr w14:paraId="7A6CA9B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61774F99">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w:t>
                  </w:r>
                </w:p>
              </w:tc>
              <w:tc>
                <w:tcPr>
                  <w:tcW w:w="526" w:type="pct"/>
                  <w:tcBorders>
                    <w:tl2br w:val="nil"/>
                    <w:tr2bl w:val="nil"/>
                  </w:tcBorders>
                  <w:vAlign w:val="center"/>
                </w:tcPr>
                <w:p w14:paraId="47F7392F">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不含有毒有害物质的破损的玻璃器</w:t>
                  </w:r>
                </w:p>
              </w:tc>
              <w:tc>
                <w:tcPr>
                  <w:tcW w:w="305" w:type="pct"/>
                  <w:vMerge w:val="continue"/>
                  <w:tcBorders>
                    <w:tl2br w:val="nil"/>
                    <w:tr2bl w:val="nil"/>
                  </w:tcBorders>
                  <w:vAlign w:val="center"/>
                </w:tcPr>
                <w:p w14:paraId="3E75124C">
                  <w:pPr>
                    <w:jc w:val="center"/>
                    <w:rPr>
                      <w:rFonts w:hint="eastAsia"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3DA2104B">
                  <w:pPr>
                    <w:spacing w:line="0" w:lineRule="atLeast"/>
                    <w:jc w:val="center"/>
                    <w:rPr>
                      <w:color w:val="auto"/>
                      <w:spacing w:val="-20"/>
                      <w:sz w:val="18"/>
                      <w:szCs w:val="18"/>
                      <w:highlight w:val="none"/>
                    </w:rPr>
                  </w:pPr>
                </w:p>
              </w:tc>
              <w:tc>
                <w:tcPr>
                  <w:tcW w:w="554" w:type="pct"/>
                  <w:tcBorders>
                    <w:tl2br w:val="nil"/>
                    <w:tr2bl w:val="nil"/>
                  </w:tcBorders>
                  <w:vAlign w:val="center"/>
                </w:tcPr>
                <w:p w14:paraId="1D0C8796">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900-001-S92</w:t>
                  </w:r>
                </w:p>
              </w:tc>
              <w:tc>
                <w:tcPr>
                  <w:tcW w:w="356" w:type="pct"/>
                  <w:tcBorders>
                    <w:tl2br w:val="nil"/>
                    <w:tr2bl w:val="nil"/>
                  </w:tcBorders>
                  <w:vAlign w:val="center"/>
                </w:tcPr>
                <w:p w14:paraId="1DA0CA30">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0.01t/a</w:t>
                  </w:r>
                </w:p>
              </w:tc>
              <w:tc>
                <w:tcPr>
                  <w:tcW w:w="377" w:type="pct"/>
                  <w:tcBorders>
                    <w:tl2br w:val="nil"/>
                    <w:tr2bl w:val="nil"/>
                  </w:tcBorders>
                  <w:vAlign w:val="center"/>
                </w:tcPr>
                <w:p w14:paraId="65C64715">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239" w:type="pct"/>
                  <w:tcBorders>
                    <w:tl2br w:val="nil"/>
                    <w:tr2bl w:val="nil"/>
                  </w:tcBorders>
                  <w:vAlign w:val="center"/>
                </w:tcPr>
                <w:p w14:paraId="6B58A464">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2E740D9F">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319" w:type="pct"/>
                  <w:vMerge w:val="continue"/>
                  <w:tcBorders>
                    <w:tl2br w:val="nil"/>
                    <w:tr2bl w:val="nil"/>
                  </w:tcBorders>
                  <w:vAlign w:val="center"/>
                </w:tcPr>
                <w:p w14:paraId="6024BADD">
                  <w:pPr>
                    <w:spacing w:line="0" w:lineRule="atLeast"/>
                    <w:jc w:val="center"/>
                    <w:rPr>
                      <w:rFonts w:hint="eastAsia"/>
                      <w:color w:val="auto"/>
                      <w:spacing w:val="-20"/>
                      <w:sz w:val="18"/>
                      <w:szCs w:val="18"/>
                      <w:highlight w:val="none"/>
                      <w:lang w:val="en-US" w:eastAsia="zh-CN"/>
                    </w:rPr>
                  </w:pPr>
                </w:p>
              </w:tc>
              <w:tc>
                <w:tcPr>
                  <w:tcW w:w="645" w:type="pct"/>
                  <w:vMerge w:val="restart"/>
                  <w:tcBorders>
                    <w:tl2br w:val="nil"/>
                    <w:tr2bl w:val="nil"/>
                  </w:tcBorders>
                  <w:vAlign w:val="center"/>
                </w:tcPr>
                <w:p w14:paraId="26B0B093">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外售资源回收单位综合利用</w:t>
                  </w:r>
                </w:p>
              </w:tc>
              <w:tc>
                <w:tcPr>
                  <w:tcW w:w="416" w:type="pct"/>
                  <w:tcBorders>
                    <w:tl2br w:val="nil"/>
                    <w:tr2bl w:val="nil"/>
                  </w:tcBorders>
                  <w:vAlign w:val="center"/>
                </w:tcPr>
                <w:p w14:paraId="4791260B">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0.01t/a</w:t>
                  </w:r>
                </w:p>
              </w:tc>
              <w:tc>
                <w:tcPr>
                  <w:tcW w:w="479" w:type="pct"/>
                  <w:vMerge w:val="continue"/>
                  <w:tcBorders>
                    <w:tl2br w:val="nil"/>
                    <w:tr2bl w:val="nil"/>
                  </w:tcBorders>
                  <w:vAlign w:val="center"/>
                </w:tcPr>
                <w:p w14:paraId="2E7E8A2E">
                  <w:pPr>
                    <w:spacing w:line="0" w:lineRule="atLeast"/>
                    <w:jc w:val="center"/>
                    <w:rPr>
                      <w:color w:val="auto"/>
                      <w:spacing w:val="-20"/>
                      <w:sz w:val="18"/>
                      <w:szCs w:val="18"/>
                    </w:rPr>
                  </w:pPr>
                </w:p>
              </w:tc>
            </w:tr>
            <w:tr w14:paraId="61B3DC3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PrEx>
              <w:trPr>
                <w:trHeight w:val="397" w:hRule="atLeast"/>
                <w:jc w:val="center"/>
              </w:trPr>
              <w:tc>
                <w:tcPr>
                  <w:tcW w:w="194" w:type="pct"/>
                  <w:tcBorders>
                    <w:tl2br w:val="nil"/>
                    <w:tr2bl w:val="nil"/>
                  </w:tcBorders>
                  <w:shd w:val="clear" w:color="auto" w:fill="auto"/>
                  <w:vAlign w:val="center"/>
                </w:tcPr>
                <w:p w14:paraId="0EC34FD2">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4</w:t>
                  </w:r>
                </w:p>
              </w:tc>
              <w:tc>
                <w:tcPr>
                  <w:tcW w:w="526" w:type="pct"/>
                  <w:tcBorders>
                    <w:tl2br w:val="nil"/>
                    <w:tr2bl w:val="nil"/>
                  </w:tcBorders>
                  <w:vAlign w:val="center"/>
                </w:tcPr>
                <w:p w14:paraId="0D0918DB">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废一般包装物</w:t>
                  </w:r>
                </w:p>
              </w:tc>
              <w:tc>
                <w:tcPr>
                  <w:tcW w:w="305" w:type="pct"/>
                  <w:vMerge w:val="continue"/>
                  <w:tcBorders>
                    <w:tl2br w:val="nil"/>
                    <w:tr2bl w:val="nil"/>
                  </w:tcBorders>
                  <w:vAlign w:val="center"/>
                </w:tcPr>
                <w:p w14:paraId="15D48185">
                  <w:pPr>
                    <w:jc w:val="center"/>
                    <w:rPr>
                      <w:rFonts w:hint="default"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42278F1F">
                  <w:pPr>
                    <w:spacing w:line="0" w:lineRule="atLeast"/>
                    <w:jc w:val="center"/>
                    <w:rPr>
                      <w:color w:val="auto"/>
                      <w:spacing w:val="-20"/>
                      <w:sz w:val="18"/>
                      <w:szCs w:val="18"/>
                      <w:highlight w:val="none"/>
                    </w:rPr>
                  </w:pPr>
                </w:p>
              </w:tc>
              <w:tc>
                <w:tcPr>
                  <w:tcW w:w="554" w:type="pct"/>
                  <w:tcBorders>
                    <w:tl2br w:val="nil"/>
                    <w:tr2bl w:val="nil"/>
                  </w:tcBorders>
                  <w:vAlign w:val="center"/>
                </w:tcPr>
                <w:p w14:paraId="1596CE93">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900-001-S92</w:t>
                  </w:r>
                </w:p>
              </w:tc>
              <w:tc>
                <w:tcPr>
                  <w:tcW w:w="356" w:type="pct"/>
                  <w:tcBorders>
                    <w:tl2br w:val="nil"/>
                    <w:tr2bl w:val="nil"/>
                  </w:tcBorders>
                  <w:vAlign w:val="center"/>
                </w:tcPr>
                <w:p w14:paraId="7402DA86">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1</w:t>
                  </w:r>
                  <w:r>
                    <w:rPr>
                      <w:rFonts w:hint="default" w:cs="Times New Roman"/>
                      <w:color w:val="auto"/>
                      <w:spacing w:val="-10"/>
                      <w:sz w:val="18"/>
                      <w:szCs w:val="18"/>
                      <w:highlight w:val="none"/>
                      <w:lang w:val="en-US" w:eastAsia="zh-CN"/>
                    </w:rPr>
                    <w:t>t/a</w:t>
                  </w:r>
                </w:p>
              </w:tc>
              <w:tc>
                <w:tcPr>
                  <w:tcW w:w="377" w:type="pct"/>
                  <w:tcBorders>
                    <w:tl2br w:val="nil"/>
                    <w:tr2bl w:val="nil"/>
                  </w:tcBorders>
                  <w:vAlign w:val="center"/>
                </w:tcPr>
                <w:p w14:paraId="7AB504FB">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239" w:type="pct"/>
                  <w:tcBorders>
                    <w:tl2br w:val="nil"/>
                    <w:tr2bl w:val="nil"/>
                  </w:tcBorders>
                  <w:vAlign w:val="center"/>
                </w:tcPr>
                <w:p w14:paraId="7AACA9E0">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063F18B4">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w:t>
                  </w:r>
                </w:p>
              </w:tc>
              <w:tc>
                <w:tcPr>
                  <w:tcW w:w="319" w:type="pct"/>
                  <w:vMerge w:val="continue"/>
                  <w:tcBorders>
                    <w:tl2br w:val="nil"/>
                    <w:tr2bl w:val="nil"/>
                  </w:tcBorders>
                  <w:vAlign w:val="center"/>
                </w:tcPr>
                <w:p w14:paraId="0C16DA69">
                  <w:pPr>
                    <w:spacing w:line="0" w:lineRule="atLeast"/>
                    <w:jc w:val="center"/>
                    <w:rPr>
                      <w:rFonts w:hint="eastAsia" w:eastAsia="宋体"/>
                      <w:color w:val="auto"/>
                      <w:spacing w:val="-20"/>
                      <w:sz w:val="18"/>
                      <w:szCs w:val="18"/>
                      <w:highlight w:val="none"/>
                      <w:lang w:val="en-US" w:eastAsia="zh-CN"/>
                    </w:rPr>
                  </w:pPr>
                </w:p>
              </w:tc>
              <w:tc>
                <w:tcPr>
                  <w:tcW w:w="645" w:type="pct"/>
                  <w:vMerge w:val="continue"/>
                  <w:tcBorders>
                    <w:tl2br w:val="nil"/>
                    <w:tr2bl w:val="nil"/>
                  </w:tcBorders>
                  <w:vAlign w:val="center"/>
                </w:tcPr>
                <w:p w14:paraId="2BD64758">
                  <w:pPr>
                    <w:spacing w:line="0" w:lineRule="atLeast"/>
                    <w:jc w:val="center"/>
                    <w:rPr>
                      <w:rFonts w:hint="default" w:ascii="Times New Roman" w:hAnsi="Times New Roman" w:eastAsia="宋体" w:cs="Times New Roman"/>
                      <w:color w:val="auto"/>
                      <w:spacing w:val="-10"/>
                      <w:sz w:val="18"/>
                      <w:szCs w:val="18"/>
                      <w:highlight w:val="none"/>
                      <w:lang w:val="en-US" w:eastAsia="zh-CN"/>
                    </w:rPr>
                  </w:pPr>
                </w:p>
              </w:tc>
              <w:tc>
                <w:tcPr>
                  <w:tcW w:w="416" w:type="pct"/>
                  <w:tcBorders>
                    <w:tl2br w:val="nil"/>
                    <w:tr2bl w:val="nil"/>
                  </w:tcBorders>
                  <w:vAlign w:val="center"/>
                </w:tcPr>
                <w:p w14:paraId="59CF9745">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1</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6AFF215C">
                  <w:pPr>
                    <w:spacing w:line="0" w:lineRule="atLeast"/>
                    <w:jc w:val="center"/>
                    <w:rPr>
                      <w:color w:val="auto"/>
                      <w:spacing w:val="-20"/>
                      <w:sz w:val="18"/>
                      <w:szCs w:val="18"/>
                      <w:highlight w:val="none"/>
                    </w:rPr>
                  </w:pPr>
                </w:p>
              </w:tc>
            </w:tr>
            <w:tr w14:paraId="257171A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12350C0E">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5</w:t>
                  </w:r>
                </w:p>
              </w:tc>
              <w:tc>
                <w:tcPr>
                  <w:tcW w:w="526" w:type="pct"/>
                  <w:tcBorders>
                    <w:tl2br w:val="nil"/>
                    <w:tr2bl w:val="nil"/>
                  </w:tcBorders>
                  <w:vAlign w:val="center"/>
                </w:tcPr>
                <w:p w14:paraId="068ECD5A">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实验废液</w:t>
                  </w:r>
                </w:p>
              </w:tc>
              <w:tc>
                <w:tcPr>
                  <w:tcW w:w="305" w:type="pct"/>
                  <w:vMerge w:val="continue"/>
                  <w:tcBorders>
                    <w:tl2br w:val="nil"/>
                    <w:tr2bl w:val="nil"/>
                  </w:tcBorders>
                  <w:vAlign w:val="center"/>
                </w:tcPr>
                <w:p w14:paraId="1FDDA023">
                  <w:pPr>
                    <w:jc w:val="center"/>
                    <w:rPr>
                      <w:rFonts w:hint="default" w:cs="Times New Roman"/>
                      <w:color w:val="auto"/>
                      <w:spacing w:val="-20"/>
                      <w:sz w:val="18"/>
                      <w:szCs w:val="18"/>
                      <w:highlight w:val="none"/>
                      <w:lang w:val="en-US" w:eastAsia="zh-CN"/>
                    </w:rPr>
                  </w:pPr>
                </w:p>
              </w:tc>
              <w:tc>
                <w:tcPr>
                  <w:tcW w:w="308" w:type="pct"/>
                  <w:vMerge w:val="restart"/>
                  <w:tcBorders>
                    <w:tl2br w:val="nil"/>
                    <w:tr2bl w:val="nil"/>
                  </w:tcBorders>
                  <w:vAlign w:val="center"/>
                </w:tcPr>
                <w:p w14:paraId="4809C7C6">
                  <w:pPr>
                    <w:spacing w:line="0" w:lineRule="atLeast"/>
                    <w:jc w:val="center"/>
                    <w:rPr>
                      <w:rFonts w:hint="eastAsia" w:ascii="Times New Roman" w:hAnsi="Times New Roman" w:cs="Times New Roman"/>
                      <w:color w:val="auto"/>
                      <w:spacing w:val="-20"/>
                      <w:sz w:val="18"/>
                      <w:szCs w:val="18"/>
                      <w:highlight w:val="none"/>
                    </w:rPr>
                  </w:pPr>
                  <w:r>
                    <w:rPr>
                      <w:rFonts w:hint="eastAsia" w:ascii="Times New Roman" w:hAnsi="Times New Roman" w:cs="Times New Roman"/>
                      <w:color w:val="auto"/>
                      <w:spacing w:val="-20"/>
                      <w:sz w:val="18"/>
                      <w:szCs w:val="18"/>
                      <w:highlight w:val="none"/>
                    </w:rPr>
                    <w:t>危险</w:t>
                  </w:r>
                </w:p>
                <w:p w14:paraId="44572709">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cs="Times New Roman"/>
                      <w:color w:val="auto"/>
                      <w:spacing w:val="-20"/>
                      <w:sz w:val="18"/>
                      <w:szCs w:val="18"/>
                      <w:highlight w:val="none"/>
                    </w:rPr>
                    <w:t>废物HW</w:t>
                  </w:r>
                  <w:r>
                    <w:rPr>
                      <w:rFonts w:hint="eastAsia" w:cs="Times New Roman"/>
                      <w:color w:val="auto"/>
                      <w:spacing w:val="-20"/>
                      <w:sz w:val="18"/>
                      <w:szCs w:val="18"/>
                      <w:highlight w:val="none"/>
                      <w:lang w:val="en-US" w:eastAsia="zh-CN"/>
                    </w:rPr>
                    <w:t>49</w:t>
                  </w:r>
                </w:p>
              </w:tc>
              <w:tc>
                <w:tcPr>
                  <w:tcW w:w="554" w:type="pct"/>
                  <w:tcBorders>
                    <w:tl2br w:val="nil"/>
                    <w:tr2bl w:val="nil"/>
                  </w:tcBorders>
                  <w:vAlign w:val="center"/>
                </w:tcPr>
                <w:p w14:paraId="6CF5599F">
                  <w:pPr>
                    <w:jc w:val="center"/>
                    <w:rPr>
                      <w:rFonts w:hint="eastAsia" w:cs="Times New Roman"/>
                      <w:color w:val="auto"/>
                      <w:spacing w:val="-1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5C513079">
                  <w:pPr>
                    <w:spacing w:line="0" w:lineRule="atLeast"/>
                    <w:jc w:val="center"/>
                    <w:rPr>
                      <w:rFonts w:hint="default" w:eastAsia="宋体"/>
                      <w:color w:val="auto"/>
                      <w:spacing w:val="-20"/>
                      <w:sz w:val="18"/>
                      <w:szCs w:val="18"/>
                      <w:highlight w:val="none"/>
                      <w:lang w:val="en-US" w:eastAsia="zh-CN"/>
                    </w:rPr>
                  </w:pPr>
                  <w:r>
                    <w:rPr>
                      <w:rFonts w:hint="eastAsia"/>
                      <w:color w:val="auto"/>
                      <w:spacing w:val="-20"/>
                      <w:sz w:val="18"/>
                      <w:szCs w:val="18"/>
                      <w:highlight w:val="none"/>
                      <w:lang w:val="en-US" w:eastAsia="zh-CN"/>
                    </w:rPr>
                    <w:t>12.815</w:t>
                  </w:r>
                  <w:r>
                    <w:rPr>
                      <w:rFonts w:hint="default" w:cs="Times New Roman"/>
                      <w:color w:val="auto"/>
                      <w:spacing w:val="-10"/>
                      <w:sz w:val="18"/>
                      <w:szCs w:val="18"/>
                      <w:highlight w:val="none"/>
                      <w:lang w:val="en-US" w:eastAsia="zh-CN"/>
                    </w:rPr>
                    <w:t>t/a</w:t>
                  </w:r>
                </w:p>
              </w:tc>
              <w:tc>
                <w:tcPr>
                  <w:tcW w:w="377" w:type="pct"/>
                  <w:tcBorders>
                    <w:tl2br w:val="nil"/>
                    <w:tr2bl w:val="nil"/>
                  </w:tcBorders>
                  <w:vAlign w:val="center"/>
                </w:tcPr>
                <w:p w14:paraId="0C94DE9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氰、氟、</w:t>
                  </w:r>
                </w:p>
                <w:p w14:paraId="75CA39B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重金属等</w:t>
                  </w:r>
                </w:p>
              </w:tc>
              <w:tc>
                <w:tcPr>
                  <w:tcW w:w="239" w:type="pct"/>
                  <w:tcBorders>
                    <w:tl2br w:val="nil"/>
                    <w:tr2bl w:val="nil"/>
                  </w:tcBorders>
                  <w:vAlign w:val="center"/>
                </w:tcPr>
                <w:p w14:paraId="4917688C">
                  <w:pPr>
                    <w:spacing w:line="0" w:lineRule="atLeast"/>
                    <w:jc w:val="center"/>
                    <w:rPr>
                      <w:rFonts w:hint="eastAsia"/>
                      <w:color w:val="auto"/>
                      <w:spacing w:val="-20"/>
                      <w:sz w:val="18"/>
                      <w:szCs w:val="18"/>
                      <w:highlight w:val="none"/>
                    </w:rPr>
                  </w:pPr>
                  <w:r>
                    <w:rPr>
                      <w:rFonts w:hint="eastAsia"/>
                      <w:color w:val="auto"/>
                      <w:spacing w:val="-20"/>
                      <w:sz w:val="18"/>
                      <w:szCs w:val="18"/>
                      <w:highlight w:val="none"/>
                      <w:lang w:val="en-US" w:eastAsia="zh-CN"/>
                    </w:rPr>
                    <w:t>液态</w:t>
                  </w:r>
                </w:p>
              </w:tc>
              <w:tc>
                <w:tcPr>
                  <w:tcW w:w="276" w:type="pct"/>
                  <w:tcBorders>
                    <w:tl2br w:val="nil"/>
                    <w:tr2bl w:val="nil"/>
                  </w:tcBorders>
                  <w:vAlign w:val="center"/>
                </w:tcPr>
                <w:p w14:paraId="1273E6E1">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T/C/I/R</w:t>
                  </w:r>
                </w:p>
              </w:tc>
              <w:tc>
                <w:tcPr>
                  <w:tcW w:w="319" w:type="pct"/>
                  <w:vMerge w:val="restart"/>
                  <w:tcBorders>
                    <w:tl2br w:val="nil"/>
                    <w:tr2bl w:val="nil"/>
                  </w:tcBorders>
                  <w:vAlign w:val="center"/>
                </w:tcPr>
                <w:p w14:paraId="72F56AEE">
                  <w:pPr>
                    <w:spacing w:line="0" w:lineRule="atLeast"/>
                    <w:jc w:val="center"/>
                    <w:rPr>
                      <w:rFonts w:hint="eastAsia" w:eastAsia="宋体"/>
                      <w:color w:val="auto"/>
                      <w:spacing w:val="-20"/>
                      <w:sz w:val="18"/>
                      <w:szCs w:val="18"/>
                      <w:highlight w:val="none"/>
                      <w:lang w:val="en-US" w:eastAsia="zh-CN"/>
                    </w:rPr>
                  </w:pPr>
                  <w:r>
                    <w:rPr>
                      <w:rFonts w:hint="eastAsia"/>
                      <w:color w:val="auto"/>
                      <w:spacing w:val="-20"/>
                      <w:sz w:val="18"/>
                      <w:szCs w:val="18"/>
                      <w:highlight w:val="none"/>
                      <w:lang w:val="en-US" w:eastAsia="zh-CN"/>
                    </w:rPr>
                    <w:t>分区</w:t>
                  </w:r>
                  <w:r>
                    <w:rPr>
                      <w:rFonts w:hint="eastAsia"/>
                      <w:color w:val="auto"/>
                      <w:spacing w:val="-20"/>
                      <w:sz w:val="18"/>
                      <w:szCs w:val="18"/>
                      <w:highlight w:val="none"/>
                    </w:rPr>
                    <w:t>暂存于危险废物暂存间</w:t>
                  </w:r>
                </w:p>
              </w:tc>
              <w:tc>
                <w:tcPr>
                  <w:tcW w:w="645" w:type="pct"/>
                  <w:vMerge w:val="restart"/>
                  <w:tcBorders>
                    <w:tl2br w:val="nil"/>
                    <w:tr2bl w:val="nil"/>
                  </w:tcBorders>
                  <w:vAlign w:val="center"/>
                </w:tcPr>
                <w:p w14:paraId="12C58F8B">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送有资质单位进行处理</w:t>
                  </w:r>
                </w:p>
              </w:tc>
              <w:tc>
                <w:tcPr>
                  <w:tcW w:w="416" w:type="pct"/>
                  <w:tcBorders>
                    <w:tl2br w:val="nil"/>
                    <w:tr2bl w:val="nil"/>
                  </w:tcBorders>
                  <w:vAlign w:val="center"/>
                </w:tcPr>
                <w:p w14:paraId="7521D46F">
                  <w:pPr>
                    <w:spacing w:line="0" w:lineRule="atLeast"/>
                    <w:jc w:val="center"/>
                    <w:rPr>
                      <w:rFonts w:hint="default"/>
                      <w:color w:val="auto"/>
                      <w:spacing w:val="-20"/>
                      <w:sz w:val="18"/>
                      <w:szCs w:val="18"/>
                      <w:highlight w:val="none"/>
                      <w:lang w:val="en-US" w:eastAsia="zh-CN"/>
                    </w:rPr>
                  </w:pPr>
                  <w:r>
                    <w:rPr>
                      <w:rFonts w:hint="eastAsia"/>
                      <w:color w:val="auto"/>
                      <w:spacing w:val="-20"/>
                      <w:sz w:val="18"/>
                      <w:szCs w:val="18"/>
                      <w:highlight w:val="none"/>
                      <w:lang w:val="en-US" w:eastAsia="zh-CN"/>
                    </w:rPr>
                    <w:t>12.815</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61A4DAF1">
                  <w:pPr>
                    <w:spacing w:line="0" w:lineRule="atLeast"/>
                    <w:jc w:val="center"/>
                    <w:rPr>
                      <w:color w:val="auto"/>
                      <w:spacing w:val="-20"/>
                      <w:sz w:val="18"/>
                      <w:szCs w:val="18"/>
                      <w:highlight w:val="none"/>
                    </w:rPr>
                  </w:pPr>
                </w:p>
              </w:tc>
            </w:tr>
            <w:tr w14:paraId="57BC16B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224482D2">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6</w:t>
                  </w:r>
                </w:p>
              </w:tc>
              <w:tc>
                <w:tcPr>
                  <w:tcW w:w="526" w:type="pct"/>
                  <w:tcBorders>
                    <w:tl2br w:val="nil"/>
                    <w:tr2bl w:val="nil"/>
                  </w:tcBorders>
                  <w:vAlign w:val="center"/>
                </w:tcPr>
                <w:p w14:paraId="1FEC4EDA">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实验残渣及残留样品</w:t>
                  </w:r>
                </w:p>
              </w:tc>
              <w:tc>
                <w:tcPr>
                  <w:tcW w:w="305" w:type="pct"/>
                  <w:vMerge w:val="continue"/>
                  <w:tcBorders>
                    <w:tl2br w:val="nil"/>
                    <w:tr2bl w:val="nil"/>
                  </w:tcBorders>
                  <w:vAlign w:val="center"/>
                </w:tcPr>
                <w:p w14:paraId="549F58C0">
                  <w:pPr>
                    <w:jc w:val="center"/>
                    <w:rPr>
                      <w:rFonts w:hint="default"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54DB5265">
                  <w:pPr>
                    <w:spacing w:line="0" w:lineRule="atLeast"/>
                    <w:jc w:val="center"/>
                    <w:rPr>
                      <w:color w:val="auto"/>
                      <w:spacing w:val="-20"/>
                      <w:sz w:val="18"/>
                      <w:szCs w:val="18"/>
                      <w:highlight w:val="none"/>
                    </w:rPr>
                  </w:pPr>
                </w:p>
              </w:tc>
              <w:tc>
                <w:tcPr>
                  <w:tcW w:w="554" w:type="pct"/>
                  <w:tcBorders>
                    <w:tl2br w:val="nil"/>
                    <w:tr2bl w:val="nil"/>
                  </w:tcBorders>
                  <w:vAlign w:val="center"/>
                </w:tcPr>
                <w:p w14:paraId="70E06D67">
                  <w:pPr>
                    <w:jc w:val="center"/>
                    <w:rPr>
                      <w:rFonts w:hint="eastAsia" w:cs="Times New Roman"/>
                      <w:color w:val="auto"/>
                      <w:spacing w:val="-1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16A73AF4">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0.005t/a</w:t>
                  </w:r>
                </w:p>
              </w:tc>
              <w:tc>
                <w:tcPr>
                  <w:tcW w:w="377" w:type="pct"/>
                  <w:tcBorders>
                    <w:tl2br w:val="nil"/>
                    <w:tr2bl w:val="nil"/>
                  </w:tcBorders>
                  <w:vAlign w:val="center"/>
                </w:tcPr>
                <w:p w14:paraId="5F1BC673">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氰、氟、</w:t>
                  </w:r>
                </w:p>
                <w:p w14:paraId="1940A2E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重金属等</w:t>
                  </w:r>
                </w:p>
              </w:tc>
              <w:tc>
                <w:tcPr>
                  <w:tcW w:w="239" w:type="pct"/>
                  <w:tcBorders>
                    <w:tl2br w:val="nil"/>
                    <w:tr2bl w:val="nil"/>
                  </w:tcBorders>
                  <w:vAlign w:val="center"/>
                </w:tcPr>
                <w:p w14:paraId="0098204B">
                  <w:pPr>
                    <w:spacing w:line="0" w:lineRule="atLeast"/>
                    <w:jc w:val="center"/>
                    <w:rPr>
                      <w:rFonts w:hint="eastAsia"/>
                      <w:color w:val="auto"/>
                      <w:spacing w:val="-20"/>
                      <w:sz w:val="18"/>
                      <w:szCs w:val="18"/>
                      <w:highlight w:val="none"/>
                    </w:rPr>
                  </w:pPr>
                  <w:r>
                    <w:rPr>
                      <w:rFonts w:hint="eastAsia"/>
                      <w:color w:val="auto"/>
                      <w:spacing w:val="-20"/>
                      <w:sz w:val="18"/>
                      <w:szCs w:val="18"/>
                      <w:highlight w:val="none"/>
                    </w:rPr>
                    <w:t>固态</w:t>
                  </w:r>
                </w:p>
              </w:tc>
              <w:tc>
                <w:tcPr>
                  <w:tcW w:w="276" w:type="pct"/>
                  <w:tcBorders>
                    <w:tl2br w:val="nil"/>
                    <w:tr2bl w:val="nil"/>
                  </w:tcBorders>
                  <w:vAlign w:val="center"/>
                </w:tcPr>
                <w:p w14:paraId="69696982">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T/C/I/R</w:t>
                  </w:r>
                </w:p>
              </w:tc>
              <w:tc>
                <w:tcPr>
                  <w:tcW w:w="319" w:type="pct"/>
                  <w:vMerge w:val="continue"/>
                  <w:tcBorders>
                    <w:tl2br w:val="nil"/>
                    <w:tr2bl w:val="nil"/>
                  </w:tcBorders>
                  <w:vAlign w:val="center"/>
                </w:tcPr>
                <w:p w14:paraId="5CDD6983">
                  <w:pPr>
                    <w:spacing w:line="0" w:lineRule="atLeast"/>
                    <w:jc w:val="center"/>
                    <w:rPr>
                      <w:rFonts w:hint="eastAsia" w:eastAsia="宋体"/>
                      <w:color w:val="auto"/>
                      <w:spacing w:val="-20"/>
                      <w:sz w:val="18"/>
                      <w:szCs w:val="18"/>
                      <w:highlight w:val="none"/>
                      <w:lang w:val="en-US" w:eastAsia="zh-CN"/>
                    </w:rPr>
                  </w:pPr>
                </w:p>
              </w:tc>
              <w:tc>
                <w:tcPr>
                  <w:tcW w:w="645" w:type="pct"/>
                  <w:vMerge w:val="continue"/>
                  <w:tcBorders>
                    <w:tl2br w:val="nil"/>
                    <w:tr2bl w:val="nil"/>
                  </w:tcBorders>
                  <w:vAlign w:val="center"/>
                </w:tcPr>
                <w:p w14:paraId="11B48AD6">
                  <w:pPr>
                    <w:spacing w:line="0" w:lineRule="atLeast"/>
                    <w:jc w:val="center"/>
                    <w:rPr>
                      <w:rFonts w:hint="eastAsia" w:cs="Times New Roman"/>
                      <w:color w:val="auto"/>
                      <w:spacing w:val="-10"/>
                      <w:sz w:val="18"/>
                      <w:szCs w:val="18"/>
                      <w:highlight w:val="none"/>
                      <w:lang w:val="en-US" w:eastAsia="zh-CN"/>
                    </w:rPr>
                  </w:pPr>
                </w:p>
              </w:tc>
              <w:tc>
                <w:tcPr>
                  <w:tcW w:w="416" w:type="pct"/>
                  <w:tcBorders>
                    <w:tl2br w:val="nil"/>
                    <w:tr2bl w:val="nil"/>
                  </w:tcBorders>
                  <w:vAlign w:val="center"/>
                </w:tcPr>
                <w:p w14:paraId="7BC35323">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0.005t/a</w:t>
                  </w:r>
                </w:p>
              </w:tc>
              <w:tc>
                <w:tcPr>
                  <w:tcW w:w="479" w:type="pct"/>
                  <w:vMerge w:val="continue"/>
                  <w:tcBorders>
                    <w:tl2br w:val="nil"/>
                    <w:tr2bl w:val="nil"/>
                  </w:tcBorders>
                  <w:vAlign w:val="center"/>
                </w:tcPr>
                <w:p w14:paraId="26A2F968">
                  <w:pPr>
                    <w:spacing w:line="0" w:lineRule="atLeast"/>
                    <w:jc w:val="center"/>
                    <w:rPr>
                      <w:color w:val="auto"/>
                      <w:spacing w:val="-20"/>
                      <w:sz w:val="18"/>
                      <w:szCs w:val="18"/>
                      <w:highlight w:val="none"/>
                    </w:rPr>
                  </w:pPr>
                </w:p>
              </w:tc>
            </w:tr>
            <w:tr w14:paraId="3B0BFFA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0DF09741">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7</w:t>
                  </w:r>
                </w:p>
              </w:tc>
              <w:tc>
                <w:tcPr>
                  <w:tcW w:w="526" w:type="pct"/>
                  <w:tcBorders>
                    <w:tl2br w:val="nil"/>
                    <w:tr2bl w:val="nil"/>
                  </w:tcBorders>
                  <w:vAlign w:val="center"/>
                </w:tcPr>
                <w:p w14:paraId="7E5367F6">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废实验药品包装物</w:t>
                  </w:r>
                </w:p>
              </w:tc>
              <w:tc>
                <w:tcPr>
                  <w:tcW w:w="305" w:type="pct"/>
                  <w:vMerge w:val="continue"/>
                  <w:tcBorders>
                    <w:tl2br w:val="nil"/>
                    <w:tr2bl w:val="nil"/>
                  </w:tcBorders>
                  <w:vAlign w:val="center"/>
                </w:tcPr>
                <w:p w14:paraId="3B8CC378">
                  <w:pPr>
                    <w:jc w:val="center"/>
                    <w:rPr>
                      <w:rFonts w:hint="default" w:cs="Times New Roman"/>
                      <w:color w:val="auto"/>
                      <w:spacing w:val="-20"/>
                      <w:sz w:val="18"/>
                      <w:szCs w:val="18"/>
                      <w:highlight w:val="none"/>
                      <w:lang w:val="en-US" w:eastAsia="zh-CN"/>
                    </w:rPr>
                  </w:pPr>
                </w:p>
              </w:tc>
              <w:tc>
                <w:tcPr>
                  <w:tcW w:w="308" w:type="pct"/>
                  <w:vMerge w:val="continue"/>
                  <w:tcBorders>
                    <w:tl2br w:val="nil"/>
                    <w:tr2bl w:val="nil"/>
                  </w:tcBorders>
                  <w:vAlign w:val="center"/>
                </w:tcPr>
                <w:p w14:paraId="62D04CBF">
                  <w:pPr>
                    <w:spacing w:line="0" w:lineRule="atLeast"/>
                    <w:jc w:val="center"/>
                    <w:rPr>
                      <w:color w:val="auto"/>
                      <w:spacing w:val="-20"/>
                      <w:sz w:val="18"/>
                      <w:szCs w:val="18"/>
                      <w:highlight w:val="none"/>
                    </w:rPr>
                  </w:pPr>
                </w:p>
              </w:tc>
              <w:tc>
                <w:tcPr>
                  <w:tcW w:w="554" w:type="pct"/>
                  <w:tcBorders>
                    <w:tl2br w:val="nil"/>
                    <w:tr2bl w:val="nil"/>
                  </w:tcBorders>
                  <w:vAlign w:val="center"/>
                </w:tcPr>
                <w:p w14:paraId="2CF68C83">
                  <w:pPr>
                    <w:jc w:val="center"/>
                    <w:rPr>
                      <w:rFonts w:hint="eastAsia" w:cs="Times New Roman"/>
                      <w:color w:val="auto"/>
                      <w:spacing w:val="-1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5DFEFDED">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78</w:t>
                  </w:r>
                  <w:r>
                    <w:rPr>
                      <w:rFonts w:hint="default" w:cs="Times New Roman"/>
                      <w:color w:val="auto"/>
                      <w:spacing w:val="-10"/>
                      <w:sz w:val="18"/>
                      <w:szCs w:val="18"/>
                      <w:highlight w:val="none"/>
                      <w:lang w:val="en-US" w:eastAsia="zh-CN"/>
                    </w:rPr>
                    <w:t>t/a</w:t>
                  </w:r>
                </w:p>
              </w:tc>
              <w:tc>
                <w:tcPr>
                  <w:tcW w:w="377" w:type="pct"/>
                  <w:tcBorders>
                    <w:tl2br w:val="nil"/>
                    <w:tr2bl w:val="nil"/>
                  </w:tcBorders>
                  <w:shd w:val="clear" w:color="auto" w:fill="auto"/>
                  <w:vAlign w:val="center"/>
                </w:tcPr>
                <w:p w14:paraId="429DD96B">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 </w:t>
                  </w:r>
                </w:p>
                <w:p w14:paraId="31AA74E7">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险特性 </w:t>
                  </w:r>
                </w:p>
                <w:p w14:paraId="709DD197">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的残留 </w:t>
                  </w:r>
                </w:p>
                <w:p w14:paraId="5E24B9D3">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样品</w:t>
                  </w:r>
                </w:p>
              </w:tc>
              <w:tc>
                <w:tcPr>
                  <w:tcW w:w="239" w:type="pct"/>
                  <w:tcBorders>
                    <w:tl2br w:val="nil"/>
                    <w:tr2bl w:val="nil"/>
                  </w:tcBorders>
                  <w:shd w:val="clear" w:color="auto" w:fill="auto"/>
                  <w:vAlign w:val="center"/>
                </w:tcPr>
                <w:p w14:paraId="41B804B8">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固态</w:t>
                  </w:r>
                </w:p>
              </w:tc>
              <w:tc>
                <w:tcPr>
                  <w:tcW w:w="276" w:type="pct"/>
                  <w:tcBorders>
                    <w:tl2br w:val="nil"/>
                    <w:tr2bl w:val="nil"/>
                  </w:tcBorders>
                  <w:shd w:val="clear" w:color="auto" w:fill="auto"/>
                  <w:vAlign w:val="center"/>
                </w:tcPr>
                <w:p w14:paraId="2BEB0E3B">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T/C/I/R</w:t>
                  </w:r>
                </w:p>
              </w:tc>
              <w:tc>
                <w:tcPr>
                  <w:tcW w:w="319" w:type="pct"/>
                  <w:vMerge w:val="continue"/>
                  <w:tcBorders>
                    <w:tl2br w:val="nil"/>
                    <w:tr2bl w:val="nil"/>
                  </w:tcBorders>
                  <w:vAlign w:val="center"/>
                </w:tcPr>
                <w:p w14:paraId="092AA360">
                  <w:pPr>
                    <w:spacing w:line="0" w:lineRule="atLeast"/>
                    <w:jc w:val="center"/>
                    <w:rPr>
                      <w:rFonts w:hint="eastAsia" w:eastAsia="宋体"/>
                      <w:color w:val="auto"/>
                      <w:spacing w:val="-20"/>
                      <w:sz w:val="18"/>
                      <w:szCs w:val="18"/>
                      <w:highlight w:val="none"/>
                      <w:lang w:val="en-US" w:eastAsia="zh-CN"/>
                    </w:rPr>
                  </w:pPr>
                </w:p>
              </w:tc>
              <w:tc>
                <w:tcPr>
                  <w:tcW w:w="645" w:type="pct"/>
                  <w:vMerge w:val="continue"/>
                  <w:tcBorders>
                    <w:tl2br w:val="nil"/>
                    <w:tr2bl w:val="nil"/>
                  </w:tcBorders>
                  <w:vAlign w:val="center"/>
                </w:tcPr>
                <w:p w14:paraId="398F1E62">
                  <w:pPr>
                    <w:spacing w:line="0" w:lineRule="atLeast"/>
                    <w:jc w:val="center"/>
                    <w:rPr>
                      <w:rFonts w:hint="eastAsia" w:cs="Times New Roman"/>
                      <w:color w:val="auto"/>
                      <w:spacing w:val="-10"/>
                      <w:sz w:val="18"/>
                      <w:szCs w:val="18"/>
                      <w:highlight w:val="none"/>
                      <w:lang w:val="en-US" w:eastAsia="zh-CN"/>
                    </w:rPr>
                  </w:pPr>
                </w:p>
              </w:tc>
              <w:tc>
                <w:tcPr>
                  <w:tcW w:w="416" w:type="pct"/>
                  <w:tcBorders>
                    <w:tl2br w:val="nil"/>
                    <w:tr2bl w:val="nil"/>
                  </w:tcBorders>
                  <w:vAlign w:val="center"/>
                </w:tcPr>
                <w:p w14:paraId="4710D756">
                  <w:pPr>
                    <w:spacing w:line="0" w:lineRule="atLeast"/>
                    <w:jc w:val="center"/>
                    <w:rPr>
                      <w:rFonts w:hint="eastAsia"/>
                      <w:color w:val="auto"/>
                      <w:spacing w:val="-20"/>
                      <w:sz w:val="18"/>
                      <w:szCs w:val="18"/>
                      <w:highlight w:val="none"/>
                      <w:lang w:val="en-US" w:eastAsia="zh-CN"/>
                    </w:rPr>
                  </w:pPr>
                  <w:r>
                    <w:rPr>
                      <w:rFonts w:hint="default" w:cs="Times New Roman"/>
                      <w:color w:val="auto"/>
                      <w:spacing w:val="-10"/>
                      <w:sz w:val="18"/>
                      <w:szCs w:val="18"/>
                      <w:highlight w:val="none"/>
                      <w:lang w:val="en-US" w:eastAsia="zh-CN"/>
                    </w:rPr>
                    <w:t>0.0</w:t>
                  </w:r>
                  <w:r>
                    <w:rPr>
                      <w:rFonts w:hint="eastAsia" w:cs="Times New Roman"/>
                      <w:color w:val="auto"/>
                      <w:spacing w:val="-10"/>
                      <w:sz w:val="18"/>
                      <w:szCs w:val="18"/>
                      <w:highlight w:val="none"/>
                      <w:lang w:val="en-US" w:eastAsia="zh-CN"/>
                    </w:rPr>
                    <w:t>78</w:t>
                  </w:r>
                  <w:r>
                    <w:rPr>
                      <w:rFonts w:hint="default" w:cs="Times New Roman"/>
                      <w:color w:val="auto"/>
                      <w:spacing w:val="-10"/>
                      <w:sz w:val="18"/>
                      <w:szCs w:val="18"/>
                      <w:highlight w:val="none"/>
                      <w:lang w:val="en-US" w:eastAsia="zh-CN"/>
                    </w:rPr>
                    <w:t>t/a</w:t>
                  </w:r>
                </w:p>
              </w:tc>
              <w:tc>
                <w:tcPr>
                  <w:tcW w:w="479" w:type="pct"/>
                  <w:vMerge w:val="continue"/>
                  <w:tcBorders>
                    <w:tl2br w:val="nil"/>
                    <w:tr2bl w:val="nil"/>
                  </w:tcBorders>
                  <w:vAlign w:val="center"/>
                </w:tcPr>
                <w:p w14:paraId="670820A3">
                  <w:pPr>
                    <w:spacing w:line="0" w:lineRule="atLeast"/>
                    <w:jc w:val="center"/>
                    <w:rPr>
                      <w:color w:val="auto"/>
                      <w:spacing w:val="-20"/>
                      <w:sz w:val="18"/>
                      <w:szCs w:val="18"/>
                      <w:highlight w:val="none"/>
                    </w:rPr>
                  </w:pPr>
                </w:p>
              </w:tc>
            </w:tr>
            <w:tr w14:paraId="5BEF2F0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0F19E6AC">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8</w:t>
                  </w:r>
                </w:p>
              </w:tc>
              <w:tc>
                <w:tcPr>
                  <w:tcW w:w="526" w:type="pct"/>
                  <w:tcBorders>
                    <w:tl2br w:val="nil"/>
                    <w:tr2bl w:val="nil"/>
                  </w:tcBorders>
                  <w:vAlign w:val="center"/>
                </w:tcPr>
                <w:p w14:paraId="25C9CCE5">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废弃一次性实验用品</w:t>
                  </w:r>
                </w:p>
              </w:tc>
              <w:tc>
                <w:tcPr>
                  <w:tcW w:w="305" w:type="pct"/>
                  <w:vMerge w:val="continue"/>
                  <w:tcBorders>
                    <w:tl2br w:val="nil"/>
                    <w:tr2bl w:val="nil"/>
                  </w:tcBorders>
                  <w:vAlign w:val="center"/>
                </w:tcPr>
                <w:p w14:paraId="4875EC8B">
                  <w:pPr>
                    <w:spacing w:line="0" w:lineRule="atLeast"/>
                    <w:jc w:val="center"/>
                    <w:rPr>
                      <w:rFonts w:hint="default"/>
                      <w:color w:val="auto"/>
                      <w:spacing w:val="-10"/>
                      <w:sz w:val="18"/>
                      <w:szCs w:val="18"/>
                      <w:highlight w:val="none"/>
                      <w:lang w:val="en-US" w:eastAsia="zh-CN"/>
                    </w:rPr>
                  </w:pPr>
                </w:p>
              </w:tc>
              <w:tc>
                <w:tcPr>
                  <w:tcW w:w="308" w:type="pct"/>
                  <w:vMerge w:val="continue"/>
                  <w:tcBorders>
                    <w:tl2br w:val="nil"/>
                    <w:tr2bl w:val="nil"/>
                  </w:tcBorders>
                  <w:vAlign w:val="center"/>
                </w:tcPr>
                <w:p w14:paraId="7A29DE3D">
                  <w:pPr>
                    <w:spacing w:line="0" w:lineRule="atLeast"/>
                    <w:jc w:val="center"/>
                    <w:rPr>
                      <w:rFonts w:hint="default" w:ascii="Times New Roman" w:hAnsi="Times New Roman" w:eastAsia="宋体" w:cs="Times New Roman"/>
                      <w:color w:val="auto"/>
                      <w:spacing w:val="-20"/>
                      <w:kern w:val="2"/>
                      <w:sz w:val="18"/>
                      <w:szCs w:val="18"/>
                      <w:lang w:val="en-US" w:eastAsia="zh-CN" w:bidi="ar-SA"/>
                    </w:rPr>
                  </w:pPr>
                </w:p>
              </w:tc>
              <w:tc>
                <w:tcPr>
                  <w:tcW w:w="554" w:type="pct"/>
                  <w:tcBorders>
                    <w:tl2br w:val="nil"/>
                    <w:tr2bl w:val="nil"/>
                  </w:tcBorders>
                  <w:vAlign w:val="center"/>
                </w:tcPr>
                <w:p w14:paraId="68AD1211">
                  <w:pPr>
                    <w:spacing w:line="0" w:lineRule="atLeast"/>
                    <w:jc w:val="center"/>
                    <w:rPr>
                      <w:rFonts w:hint="eastAsia"/>
                      <w:color w:val="auto"/>
                      <w:spacing w:val="-2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2544EB44">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0.01t/a</w:t>
                  </w:r>
                </w:p>
              </w:tc>
              <w:tc>
                <w:tcPr>
                  <w:tcW w:w="377" w:type="pct"/>
                  <w:tcBorders>
                    <w:tl2br w:val="nil"/>
                    <w:tr2bl w:val="nil"/>
                  </w:tcBorders>
                  <w:vAlign w:val="center"/>
                </w:tcPr>
                <w:p w14:paraId="2E1C7F3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具有危险特性 </w:t>
                  </w:r>
                </w:p>
                <w:p w14:paraId="053F0467">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的药品、 </w:t>
                  </w:r>
                </w:p>
                <w:p w14:paraId="4EBAA6D2">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样品</w:t>
                  </w:r>
                </w:p>
              </w:tc>
              <w:tc>
                <w:tcPr>
                  <w:tcW w:w="239" w:type="pct"/>
                  <w:tcBorders>
                    <w:tl2br w:val="nil"/>
                    <w:tr2bl w:val="nil"/>
                  </w:tcBorders>
                  <w:shd w:val="clear" w:color="auto" w:fill="auto"/>
                  <w:vAlign w:val="center"/>
                </w:tcPr>
                <w:p w14:paraId="085952DC">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rPr>
                    <w:t>固态</w:t>
                  </w:r>
                </w:p>
              </w:tc>
              <w:tc>
                <w:tcPr>
                  <w:tcW w:w="276" w:type="pct"/>
                  <w:tcBorders>
                    <w:tl2br w:val="nil"/>
                    <w:tr2bl w:val="nil"/>
                  </w:tcBorders>
                  <w:shd w:val="clear" w:color="auto" w:fill="auto"/>
                  <w:vAlign w:val="center"/>
                </w:tcPr>
                <w:p w14:paraId="5E77B533">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highlight w:val="none"/>
                      <w:lang w:val="en-US" w:eastAsia="zh-CN"/>
                    </w:rPr>
                    <w:t>T/C/I/R</w:t>
                  </w:r>
                </w:p>
              </w:tc>
              <w:tc>
                <w:tcPr>
                  <w:tcW w:w="319" w:type="pct"/>
                  <w:vMerge w:val="continue"/>
                  <w:tcBorders>
                    <w:tl2br w:val="nil"/>
                    <w:tr2bl w:val="nil"/>
                  </w:tcBorders>
                  <w:vAlign w:val="center"/>
                </w:tcPr>
                <w:p w14:paraId="3350375F">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p>
              </w:tc>
              <w:tc>
                <w:tcPr>
                  <w:tcW w:w="645" w:type="pct"/>
                  <w:vMerge w:val="continue"/>
                  <w:tcBorders>
                    <w:tl2br w:val="nil"/>
                    <w:tr2bl w:val="nil"/>
                  </w:tcBorders>
                  <w:vAlign w:val="center"/>
                </w:tcPr>
                <w:p w14:paraId="32833E27">
                  <w:pPr>
                    <w:spacing w:line="0" w:lineRule="atLeast"/>
                    <w:jc w:val="center"/>
                    <w:rPr>
                      <w:rFonts w:hint="eastAsia"/>
                      <w:color w:val="auto"/>
                      <w:spacing w:val="-20"/>
                      <w:sz w:val="18"/>
                      <w:szCs w:val="18"/>
                      <w:highlight w:val="none"/>
                    </w:rPr>
                  </w:pPr>
                </w:p>
              </w:tc>
              <w:tc>
                <w:tcPr>
                  <w:tcW w:w="416" w:type="pct"/>
                  <w:tcBorders>
                    <w:tl2br w:val="nil"/>
                    <w:tr2bl w:val="nil"/>
                  </w:tcBorders>
                  <w:shd w:val="clear" w:color="auto" w:fill="auto"/>
                  <w:vAlign w:val="center"/>
                </w:tcPr>
                <w:p w14:paraId="788B297B">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cs="Times New Roman"/>
                      <w:color w:val="auto"/>
                      <w:spacing w:val="-10"/>
                      <w:sz w:val="18"/>
                      <w:szCs w:val="18"/>
                      <w:highlight w:val="none"/>
                      <w:lang w:val="en-US" w:eastAsia="zh-CN"/>
                    </w:rPr>
                    <w:t>0.01t/a</w:t>
                  </w:r>
                </w:p>
              </w:tc>
              <w:tc>
                <w:tcPr>
                  <w:tcW w:w="479" w:type="pct"/>
                  <w:vMerge w:val="continue"/>
                  <w:tcBorders>
                    <w:tl2br w:val="nil"/>
                    <w:tr2bl w:val="nil"/>
                  </w:tcBorders>
                  <w:vAlign w:val="center"/>
                </w:tcPr>
                <w:p w14:paraId="3F0013AB">
                  <w:pPr>
                    <w:spacing w:line="0" w:lineRule="atLeast"/>
                    <w:jc w:val="center"/>
                    <w:rPr>
                      <w:color w:val="auto"/>
                      <w:spacing w:val="-20"/>
                      <w:sz w:val="18"/>
                      <w:szCs w:val="18"/>
                      <w:highlight w:val="none"/>
                    </w:rPr>
                  </w:pPr>
                </w:p>
              </w:tc>
            </w:tr>
            <w:tr w14:paraId="0CD24A6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tcBorders>
                    <w:tl2br w:val="nil"/>
                    <w:tr2bl w:val="nil"/>
                  </w:tcBorders>
                  <w:shd w:val="clear" w:color="auto" w:fill="auto"/>
                  <w:vAlign w:val="center"/>
                </w:tcPr>
                <w:p w14:paraId="2D68B002">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9</w:t>
                  </w:r>
                </w:p>
              </w:tc>
              <w:tc>
                <w:tcPr>
                  <w:tcW w:w="526" w:type="pct"/>
                  <w:tcBorders>
                    <w:top w:val="single" w:color="auto" w:sz="4" w:space="0"/>
                    <w:tl2br w:val="nil"/>
                    <w:tr2bl w:val="nil"/>
                  </w:tcBorders>
                  <w:vAlign w:val="center"/>
                </w:tcPr>
                <w:p w14:paraId="2B2CA7DD">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含有毒有害物质的废玻璃器皿及玻璃试剂瓶</w:t>
                  </w:r>
                </w:p>
              </w:tc>
              <w:tc>
                <w:tcPr>
                  <w:tcW w:w="305" w:type="pct"/>
                  <w:vMerge w:val="continue"/>
                  <w:tcBorders>
                    <w:tl2br w:val="nil"/>
                    <w:tr2bl w:val="nil"/>
                  </w:tcBorders>
                  <w:vAlign w:val="center"/>
                </w:tcPr>
                <w:p w14:paraId="1CEEBEC2">
                  <w:pPr>
                    <w:spacing w:line="0" w:lineRule="atLeast"/>
                    <w:jc w:val="center"/>
                    <w:rPr>
                      <w:rFonts w:hint="eastAsia"/>
                      <w:color w:val="auto"/>
                      <w:spacing w:val="-20"/>
                      <w:sz w:val="18"/>
                      <w:szCs w:val="18"/>
                      <w:highlight w:val="none"/>
                    </w:rPr>
                  </w:pPr>
                </w:p>
              </w:tc>
              <w:tc>
                <w:tcPr>
                  <w:tcW w:w="308" w:type="pct"/>
                  <w:vMerge w:val="continue"/>
                  <w:tcBorders>
                    <w:tl2br w:val="nil"/>
                    <w:tr2bl w:val="nil"/>
                  </w:tcBorders>
                  <w:vAlign w:val="center"/>
                </w:tcPr>
                <w:p w14:paraId="0354A317">
                  <w:pPr>
                    <w:spacing w:line="0" w:lineRule="atLeast"/>
                    <w:jc w:val="center"/>
                    <w:rPr>
                      <w:color w:val="auto"/>
                      <w:spacing w:val="-20"/>
                      <w:sz w:val="18"/>
                      <w:szCs w:val="18"/>
                      <w:highlight w:val="none"/>
                    </w:rPr>
                  </w:pPr>
                </w:p>
              </w:tc>
              <w:tc>
                <w:tcPr>
                  <w:tcW w:w="554" w:type="pct"/>
                  <w:tcBorders>
                    <w:tl2br w:val="nil"/>
                    <w:tr2bl w:val="nil"/>
                  </w:tcBorders>
                  <w:vAlign w:val="center"/>
                </w:tcPr>
                <w:p w14:paraId="0BC621C3">
                  <w:pPr>
                    <w:spacing w:line="0" w:lineRule="atLeast"/>
                    <w:jc w:val="center"/>
                    <w:rPr>
                      <w:rFonts w:hint="default"/>
                      <w:color w:val="auto"/>
                      <w:spacing w:val="-20"/>
                      <w:sz w:val="18"/>
                      <w:szCs w:val="18"/>
                      <w:highlight w:val="none"/>
                      <w:lang w:val="en-US" w:eastAsia="zh-CN"/>
                    </w:rPr>
                  </w:pPr>
                  <w:r>
                    <w:rPr>
                      <w:rFonts w:hint="default"/>
                      <w:color w:val="auto"/>
                      <w:spacing w:val="-20"/>
                      <w:sz w:val="18"/>
                      <w:szCs w:val="18"/>
                      <w:highlight w:val="none"/>
                      <w:lang w:val="en-US" w:eastAsia="zh-CN"/>
                    </w:rPr>
                    <w:t>900-047-49</w:t>
                  </w:r>
                </w:p>
              </w:tc>
              <w:tc>
                <w:tcPr>
                  <w:tcW w:w="356" w:type="pct"/>
                  <w:tcBorders>
                    <w:tl2br w:val="nil"/>
                    <w:tr2bl w:val="nil"/>
                  </w:tcBorders>
                  <w:vAlign w:val="center"/>
                </w:tcPr>
                <w:p w14:paraId="62DB60A9">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0.02t/a</w:t>
                  </w:r>
                </w:p>
              </w:tc>
              <w:tc>
                <w:tcPr>
                  <w:tcW w:w="377" w:type="pct"/>
                  <w:tcBorders>
                    <w:tl2br w:val="nil"/>
                    <w:tr2bl w:val="nil"/>
                  </w:tcBorders>
                  <w:vAlign w:val="center"/>
                </w:tcPr>
                <w:p w14:paraId="583922B4">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具有危险特性 </w:t>
                  </w:r>
                </w:p>
                <w:p w14:paraId="355029CA">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的药品、 </w:t>
                  </w:r>
                </w:p>
                <w:p w14:paraId="268BFAD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样品</w:t>
                  </w:r>
                </w:p>
              </w:tc>
              <w:tc>
                <w:tcPr>
                  <w:tcW w:w="239" w:type="pct"/>
                  <w:tcBorders>
                    <w:tl2br w:val="nil"/>
                    <w:tr2bl w:val="nil"/>
                  </w:tcBorders>
                  <w:shd w:val="clear" w:color="auto" w:fill="auto"/>
                  <w:vAlign w:val="center"/>
                </w:tcPr>
                <w:p w14:paraId="089FD086">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rPr>
                    <w:t>固态</w:t>
                  </w:r>
                </w:p>
              </w:tc>
              <w:tc>
                <w:tcPr>
                  <w:tcW w:w="276" w:type="pct"/>
                  <w:tcBorders>
                    <w:tl2br w:val="nil"/>
                    <w:tr2bl w:val="nil"/>
                  </w:tcBorders>
                  <w:shd w:val="clear" w:color="auto" w:fill="auto"/>
                  <w:vAlign w:val="center"/>
                </w:tcPr>
                <w:p w14:paraId="5953691A">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highlight w:val="none"/>
                      <w:lang w:val="en-US" w:eastAsia="zh-CN"/>
                    </w:rPr>
                    <w:t>T/C/I/R</w:t>
                  </w:r>
                </w:p>
              </w:tc>
              <w:tc>
                <w:tcPr>
                  <w:tcW w:w="319" w:type="pct"/>
                  <w:vMerge w:val="continue"/>
                  <w:tcBorders>
                    <w:tl2br w:val="nil"/>
                    <w:tr2bl w:val="nil"/>
                  </w:tcBorders>
                  <w:shd w:val="clear" w:color="auto" w:fill="auto"/>
                  <w:vAlign w:val="center"/>
                </w:tcPr>
                <w:p w14:paraId="1AECFC7F">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p>
              </w:tc>
              <w:tc>
                <w:tcPr>
                  <w:tcW w:w="645" w:type="pct"/>
                  <w:vMerge w:val="continue"/>
                  <w:tcBorders>
                    <w:tl2br w:val="nil"/>
                    <w:tr2bl w:val="nil"/>
                  </w:tcBorders>
                  <w:shd w:val="clear" w:color="auto" w:fill="auto"/>
                  <w:vAlign w:val="center"/>
                </w:tcPr>
                <w:p w14:paraId="1A77DE6C">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p>
              </w:tc>
              <w:tc>
                <w:tcPr>
                  <w:tcW w:w="416" w:type="pct"/>
                  <w:tcBorders>
                    <w:tl2br w:val="nil"/>
                    <w:tr2bl w:val="nil"/>
                  </w:tcBorders>
                  <w:shd w:val="clear" w:color="auto" w:fill="auto"/>
                  <w:vAlign w:val="center"/>
                </w:tcPr>
                <w:p w14:paraId="46B22E27">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cs="Times New Roman"/>
                      <w:color w:val="auto"/>
                      <w:spacing w:val="-10"/>
                      <w:sz w:val="18"/>
                      <w:szCs w:val="18"/>
                      <w:highlight w:val="none"/>
                      <w:lang w:val="en-US" w:eastAsia="zh-CN"/>
                    </w:rPr>
                    <w:t>0.02t/a</w:t>
                  </w:r>
                </w:p>
              </w:tc>
              <w:tc>
                <w:tcPr>
                  <w:tcW w:w="479" w:type="pct"/>
                  <w:vMerge w:val="continue"/>
                  <w:tcBorders>
                    <w:tl2br w:val="nil"/>
                    <w:tr2bl w:val="nil"/>
                  </w:tcBorders>
                  <w:vAlign w:val="center"/>
                </w:tcPr>
                <w:p w14:paraId="6E01B343">
                  <w:pPr>
                    <w:spacing w:line="0" w:lineRule="atLeast"/>
                    <w:jc w:val="center"/>
                    <w:rPr>
                      <w:color w:val="auto"/>
                      <w:spacing w:val="-20"/>
                      <w:sz w:val="18"/>
                      <w:szCs w:val="18"/>
                      <w:highlight w:val="none"/>
                    </w:rPr>
                  </w:pPr>
                </w:p>
              </w:tc>
            </w:tr>
            <w:tr w14:paraId="0810D0B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shd w:val="clear" w:color="auto" w:fill="auto"/>
                  <w:vAlign w:val="center"/>
                </w:tcPr>
                <w:p w14:paraId="30282B26">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w:t>
                  </w:r>
                </w:p>
              </w:tc>
              <w:tc>
                <w:tcPr>
                  <w:tcW w:w="526" w:type="pct"/>
                  <w:vAlign w:val="center"/>
                </w:tcPr>
                <w:p w14:paraId="68D5FCD2">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过期试剂药品</w:t>
                  </w:r>
                </w:p>
              </w:tc>
              <w:tc>
                <w:tcPr>
                  <w:tcW w:w="305" w:type="pct"/>
                  <w:vMerge w:val="continue"/>
                  <w:vAlign w:val="center"/>
                </w:tcPr>
                <w:p w14:paraId="62766526">
                  <w:pPr>
                    <w:spacing w:line="0" w:lineRule="atLeast"/>
                    <w:jc w:val="center"/>
                    <w:rPr>
                      <w:rFonts w:hint="eastAsia"/>
                      <w:color w:val="auto"/>
                      <w:spacing w:val="-20"/>
                      <w:sz w:val="18"/>
                      <w:szCs w:val="18"/>
                      <w:highlight w:val="none"/>
                    </w:rPr>
                  </w:pPr>
                </w:p>
              </w:tc>
              <w:tc>
                <w:tcPr>
                  <w:tcW w:w="308" w:type="pct"/>
                  <w:tcBorders>
                    <w:top w:val="single" w:color="auto" w:sz="4" w:space="0"/>
                    <w:bottom w:val="single" w:color="auto" w:sz="4" w:space="0"/>
                  </w:tcBorders>
                  <w:vAlign w:val="center"/>
                </w:tcPr>
                <w:p w14:paraId="5C84FED6">
                  <w:pPr>
                    <w:spacing w:line="0" w:lineRule="atLeast"/>
                    <w:jc w:val="center"/>
                    <w:rPr>
                      <w:rFonts w:hint="eastAsia" w:ascii="Times New Roman" w:hAnsi="Times New Roman" w:cs="Times New Roman"/>
                      <w:color w:val="auto"/>
                      <w:spacing w:val="-20"/>
                      <w:sz w:val="18"/>
                      <w:szCs w:val="18"/>
                    </w:rPr>
                  </w:pPr>
                  <w:r>
                    <w:rPr>
                      <w:rFonts w:hint="eastAsia" w:ascii="Times New Roman" w:hAnsi="Times New Roman" w:cs="Times New Roman"/>
                      <w:color w:val="auto"/>
                      <w:spacing w:val="-20"/>
                      <w:sz w:val="18"/>
                      <w:szCs w:val="18"/>
                    </w:rPr>
                    <w:t>危险</w:t>
                  </w:r>
                </w:p>
                <w:p w14:paraId="573648CE">
                  <w:pPr>
                    <w:spacing w:line="0" w:lineRule="atLeast"/>
                    <w:jc w:val="center"/>
                    <w:rPr>
                      <w:rFonts w:hint="default" w:eastAsia="宋体"/>
                      <w:color w:val="auto"/>
                      <w:spacing w:val="-20"/>
                      <w:sz w:val="18"/>
                      <w:szCs w:val="18"/>
                      <w:highlight w:val="none"/>
                      <w:lang w:val="en-US" w:eastAsia="zh-CN"/>
                    </w:rPr>
                  </w:pPr>
                  <w:r>
                    <w:rPr>
                      <w:rFonts w:hint="eastAsia" w:ascii="Times New Roman" w:hAnsi="Times New Roman" w:cs="Times New Roman"/>
                      <w:color w:val="auto"/>
                      <w:spacing w:val="-20"/>
                      <w:sz w:val="18"/>
                      <w:szCs w:val="18"/>
                    </w:rPr>
                    <w:t>废物HW</w:t>
                  </w:r>
                  <w:r>
                    <w:rPr>
                      <w:rFonts w:hint="eastAsia" w:cs="Times New Roman"/>
                      <w:color w:val="auto"/>
                      <w:spacing w:val="-20"/>
                      <w:sz w:val="18"/>
                      <w:szCs w:val="18"/>
                      <w:lang w:val="en-US" w:eastAsia="zh-CN"/>
                    </w:rPr>
                    <w:t>03</w:t>
                  </w:r>
                </w:p>
              </w:tc>
              <w:tc>
                <w:tcPr>
                  <w:tcW w:w="554" w:type="pct"/>
                  <w:tcBorders>
                    <w:top w:val="single" w:color="auto" w:sz="4" w:space="0"/>
                    <w:bottom w:val="single" w:color="auto" w:sz="4" w:space="0"/>
                  </w:tcBorders>
                  <w:vAlign w:val="center"/>
                </w:tcPr>
                <w:p w14:paraId="0690B1D0">
                  <w:pPr>
                    <w:spacing w:line="0" w:lineRule="atLeast"/>
                    <w:jc w:val="center"/>
                    <w:rPr>
                      <w:rFonts w:hint="eastAsia"/>
                      <w:color w:val="auto"/>
                      <w:spacing w:val="-20"/>
                      <w:sz w:val="18"/>
                      <w:szCs w:val="18"/>
                      <w:highlight w:val="none"/>
                      <w:lang w:val="en-US" w:eastAsia="zh-CN"/>
                    </w:rPr>
                  </w:pPr>
                  <w:r>
                    <w:rPr>
                      <w:rFonts w:hint="default"/>
                      <w:color w:val="auto"/>
                      <w:spacing w:val="-20"/>
                      <w:sz w:val="18"/>
                      <w:szCs w:val="18"/>
                      <w:highlight w:val="none"/>
                      <w:lang w:val="en-US" w:eastAsia="zh-CN"/>
                    </w:rPr>
                    <w:t>900-002-03</w:t>
                  </w:r>
                </w:p>
              </w:tc>
              <w:tc>
                <w:tcPr>
                  <w:tcW w:w="356" w:type="pct"/>
                  <w:tcBorders>
                    <w:bottom w:val="single" w:color="auto" w:sz="4" w:space="0"/>
                  </w:tcBorders>
                  <w:vAlign w:val="center"/>
                </w:tcPr>
                <w:p w14:paraId="3FF5CEDF">
                  <w:pPr>
                    <w:spacing w:line="0" w:lineRule="atLeast"/>
                    <w:jc w:val="center"/>
                    <w:rPr>
                      <w:rFonts w:hint="default"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0.001t/a</w:t>
                  </w:r>
                </w:p>
              </w:tc>
              <w:tc>
                <w:tcPr>
                  <w:tcW w:w="377" w:type="pct"/>
                  <w:vAlign w:val="center"/>
                </w:tcPr>
                <w:p w14:paraId="06B053D9">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具有危 </w:t>
                  </w:r>
                </w:p>
                <w:p w14:paraId="1C1DCBFC">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 xml:space="preserve">险特性 </w:t>
                  </w:r>
                </w:p>
                <w:p w14:paraId="03DD9712">
                  <w:pPr>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的药品</w:t>
                  </w:r>
                </w:p>
              </w:tc>
              <w:tc>
                <w:tcPr>
                  <w:tcW w:w="239" w:type="pct"/>
                  <w:tcBorders>
                    <w:top w:val="single" w:color="auto" w:sz="4" w:space="0"/>
                    <w:bottom w:val="single" w:color="auto" w:sz="4" w:space="0"/>
                  </w:tcBorders>
                  <w:vAlign w:val="center"/>
                </w:tcPr>
                <w:p w14:paraId="4B628E11">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固态</w:t>
                  </w:r>
                  <w:r>
                    <w:rPr>
                      <w:rFonts w:hint="eastAsia"/>
                      <w:color w:val="auto"/>
                      <w:spacing w:val="-20"/>
                      <w:sz w:val="18"/>
                      <w:szCs w:val="18"/>
                      <w:highlight w:val="none"/>
                      <w:lang w:eastAsia="zh-CN"/>
                    </w:rPr>
                    <w:t>、</w:t>
                  </w:r>
                  <w:r>
                    <w:rPr>
                      <w:rFonts w:hint="eastAsia"/>
                      <w:color w:val="auto"/>
                      <w:spacing w:val="-20"/>
                      <w:sz w:val="18"/>
                      <w:szCs w:val="18"/>
                      <w:highlight w:val="none"/>
                      <w:lang w:val="en-US" w:eastAsia="zh-CN"/>
                    </w:rPr>
                    <w:t>液态</w:t>
                  </w:r>
                </w:p>
              </w:tc>
              <w:tc>
                <w:tcPr>
                  <w:tcW w:w="276" w:type="pct"/>
                  <w:tcBorders>
                    <w:top w:val="single" w:color="auto" w:sz="4" w:space="0"/>
                    <w:bottom w:val="single" w:color="auto" w:sz="4" w:space="0"/>
                  </w:tcBorders>
                  <w:vAlign w:val="center"/>
                </w:tcPr>
                <w:p w14:paraId="6A391439">
                  <w:pPr>
                    <w:spacing w:line="0" w:lineRule="atLeast"/>
                    <w:jc w:val="center"/>
                    <w:rPr>
                      <w:rFonts w:hint="default" w:ascii="Times New Roman" w:hAnsi="Times New Roman" w:eastAsia="宋体" w:cs="Times New Roman"/>
                      <w:color w:val="auto"/>
                      <w:spacing w:val="-20"/>
                      <w:kern w:val="2"/>
                      <w:sz w:val="18"/>
                      <w:szCs w:val="18"/>
                      <w:lang w:val="en-US" w:eastAsia="zh-CN" w:bidi="ar-SA"/>
                    </w:rPr>
                  </w:pPr>
                  <w:r>
                    <w:rPr>
                      <w:rFonts w:hint="eastAsia"/>
                      <w:color w:val="auto"/>
                      <w:spacing w:val="-20"/>
                      <w:sz w:val="18"/>
                      <w:szCs w:val="18"/>
                      <w:highlight w:val="none"/>
                      <w:lang w:val="en-US" w:eastAsia="zh-CN"/>
                    </w:rPr>
                    <w:t>T</w:t>
                  </w:r>
                </w:p>
              </w:tc>
              <w:tc>
                <w:tcPr>
                  <w:tcW w:w="319" w:type="pct"/>
                  <w:vMerge w:val="continue"/>
                  <w:vAlign w:val="center"/>
                </w:tcPr>
                <w:p w14:paraId="6E2EF754">
                  <w:pPr>
                    <w:spacing w:line="0" w:lineRule="atLeast"/>
                    <w:jc w:val="center"/>
                    <w:rPr>
                      <w:rFonts w:hint="eastAsia" w:ascii="Times New Roman" w:hAnsi="Times New Roman" w:eastAsia="宋体" w:cs="Times New Roman"/>
                      <w:color w:val="auto"/>
                      <w:spacing w:val="-20"/>
                      <w:kern w:val="2"/>
                      <w:sz w:val="18"/>
                      <w:szCs w:val="18"/>
                      <w:lang w:val="en-US" w:eastAsia="zh-CN" w:bidi="ar-SA"/>
                    </w:rPr>
                  </w:pPr>
                </w:p>
              </w:tc>
              <w:tc>
                <w:tcPr>
                  <w:tcW w:w="645" w:type="pct"/>
                  <w:vMerge w:val="continue"/>
                  <w:vAlign w:val="center"/>
                </w:tcPr>
                <w:p w14:paraId="51AACCDF">
                  <w:pPr>
                    <w:spacing w:line="0" w:lineRule="atLeast"/>
                    <w:jc w:val="center"/>
                    <w:rPr>
                      <w:rFonts w:hint="eastAsia"/>
                      <w:color w:val="auto"/>
                      <w:spacing w:val="-20"/>
                      <w:sz w:val="18"/>
                      <w:szCs w:val="18"/>
                      <w:highlight w:val="none"/>
                    </w:rPr>
                  </w:pPr>
                </w:p>
              </w:tc>
              <w:tc>
                <w:tcPr>
                  <w:tcW w:w="416" w:type="pct"/>
                  <w:shd w:val="clear" w:color="auto" w:fill="auto"/>
                  <w:vAlign w:val="center"/>
                </w:tcPr>
                <w:p w14:paraId="55F1CBCA">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default" w:cs="Times New Roman"/>
                      <w:color w:val="auto"/>
                      <w:spacing w:val="-10"/>
                      <w:sz w:val="18"/>
                      <w:szCs w:val="18"/>
                      <w:highlight w:val="none"/>
                      <w:lang w:val="en-US" w:eastAsia="zh-CN"/>
                    </w:rPr>
                    <w:t>0.001t/a</w:t>
                  </w:r>
                </w:p>
              </w:tc>
              <w:tc>
                <w:tcPr>
                  <w:tcW w:w="479" w:type="pct"/>
                  <w:vMerge w:val="continue"/>
                  <w:vAlign w:val="center"/>
                </w:tcPr>
                <w:p w14:paraId="6603274C">
                  <w:pPr>
                    <w:spacing w:line="0" w:lineRule="atLeast"/>
                    <w:jc w:val="center"/>
                    <w:rPr>
                      <w:color w:val="auto"/>
                      <w:spacing w:val="-20"/>
                      <w:sz w:val="18"/>
                      <w:szCs w:val="18"/>
                      <w:highlight w:val="none"/>
                    </w:rPr>
                  </w:pPr>
                </w:p>
              </w:tc>
            </w:tr>
            <w:tr w14:paraId="3102C2A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shd w:val="clear" w:color="auto" w:fill="auto"/>
                  <w:vAlign w:val="center"/>
                </w:tcPr>
                <w:p w14:paraId="50A0AE60">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11</w:t>
                  </w:r>
                </w:p>
              </w:tc>
              <w:tc>
                <w:tcPr>
                  <w:tcW w:w="526" w:type="pct"/>
                  <w:tcBorders>
                    <w:top w:val="single" w:color="auto" w:sz="4" w:space="0"/>
                  </w:tcBorders>
                  <w:vAlign w:val="center"/>
                </w:tcPr>
                <w:p w14:paraId="3E6726DC">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废活性炭</w:t>
                  </w:r>
                </w:p>
              </w:tc>
              <w:tc>
                <w:tcPr>
                  <w:tcW w:w="305" w:type="pct"/>
                  <w:tcBorders>
                    <w:top w:val="single" w:color="auto" w:sz="4" w:space="0"/>
                  </w:tcBorders>
                  <w:vAlign w:val="center"/>
                </w:tcPr>
                <w:p w14:paraId="34ACE40E">
                  <w:pPr>
                    <w:spacing w:line="0" w:lineRule="atLeast"/>
                    <w:jc w:val="center"/>
                    <w:rPr>
                      <w:rFonts w:hint="default" w:eastAsia="宋体"/>
                      <w:color w:val="auto"/>
                      <w:spacing w:val="-10"/>
                      <w:kern w:val="0"/>
                      <w:sz w:val="18"/>
                      <w:szCs w:val="18"/>
                      <w:highlight w:val="none"/>
                      <w:lang w:val="en-US" w:eastAsia="zh-CN"/>
                    </w:rPr>
                  </w:pPr>
                  <w:r>
                    <w:rPr>
                      <w:rFonts w:hint="eastAsia"/>
                      <w:color w:val="auto"/>
                      <w:spacing w:val="-10"/>
                      <w:kern w:val="0"/>
                      <w:sz w:val="18"/>
                      <w:szCs w:val="18"/>
                      <w:highlight w:val="none"/>
                      <w:lang w:val="en-US" w:eastAsia="zh-CN"/>
                    </w:rPr>
                    <w:t>废气处理</w:t>
                  </w:r>
                </w:p>
              </w:tc>
              <w:tc>
                <w:tcPr>
                  <w:tcW w:w="308" w:type="pct"/>
                  <w:vAlign w:val="center"/>
                </w:tcPr>
                <w:p w14:paraId="66980650">
                  <w:pPr>
                    <w:spacing w:line="0" w:lineRule="atLeast"/>
                    <w:jc w:val="center"/>
                    <w:rPr>
                      <w:rFonts w:hint="eastAsia" w:ascii="Times New Roman" w:hAnsi="Times New Roman" w:cs="Times New Roman"/>
                      <w:color w:val="auto"/>
                      <w:spacing w:val="-20"/>
                      <w:sz w:val="18"/>
                      <w:szCs w:val="18"/>
                    </w:rPr>
                  </w:pPr>
                  <w:r>
                    <w:rPr>
                      <w:rFonts w:hint="eastAsia" w:ascii="Times New Roman" w:hAnsi="Times New Roman" w:cs="Times New Roman"/>
                      <w:color w:val="auto"/>
                      <w:spacing w:val="-20"/>
                      <w:sz w:val="18"/>
                      <w:szCs w:val="18"/>
                    </w:rPr>
                    <w:t>危险</w:t>
                  </w:r>
                </w:p>
                <w:p w14:paraId="21E2E743">
                  <w:pPr>
                    <w:spacing w:line="0" w:lineRule="atLeast"/>
                    <w:jc w:val="center"/>
                    <w:rPr>
                      <w:rFonts w:hint="eastAsia" w:ascii="Times New Roman" w:hAnsi="Times New Roman" w:eastAsia="宋体" w:cs="Times New Roman"/>
                      <w:color w:val="auto"/>
                      <w:spacing w:val="-20"/>
                      <w:kern w:val="2"/>
                      <w:sz w:val="18"/>
                      <w:szCs w:val="18"/>
                      <w:lang w:val="en-US" w:eastAsia="zh-CN" w:bidi="ar-SA"/>
                    </w:rPr>
                  </w:pPr>
                  <w:r>
                    <w:rPr>
                      <w:rFonts w:hint="eastAsia" w:ascii="Times New Roman" w:hAnsi="Times New Roman" w:cs="Times New Roman"/>
                      <w:color w:val="auto"/>
                      <w:spacing w:val="-20"/>
                      <w:sz w:val="18"/>
                      <w:szCs w:val="18"/>
                    </w:rPr>
                    <w:t>废物HW</w:t>
                  </w:r>
                  <w:r>
                    <w:rPr>
                      <w:rFonts w:hint="eastAsia" w:cs="Times New Roman"/>
                      <w:color w:val="auto"/>
                      <w:spacing w:val="-20"/>
                      <w:sz w:val="18"/>
                      <w:szCs w:val="18"/>
                      <w:lang w:val="en-US" w:eastAsia="zh-CN"/>
                    </w:rPr>
                    <w:t>49</w:t>
                  </w:r>
                </w:p>
              </w:tc>
              <w:tc>
                <w:tcPr>
                  <w:tcW w:w="554" w:type="pct"/>
                  <w:tcBorders>
                    <w:top w:val="single" w:color="auto" w:sz="4" w:space="0"/>
                    <w:bottom w:val="single" w:color="auto" w:sz="4" w:space="0"/>
                  </w:tcBorders>
                  <w:vAlign w:val="center"/>
                </w:tcPr>
                <w:p w14:paraId="67B3623D">
                  <w:pPr>
                    <w:spacing w:line="0" w:lineRule="atLeast"/>
                    <w:jc w:val="center"/>
                    <w:rPr>
                      <w:rFonts w:hint="eastAsia" w:ascii="Times New Roman" w:hAnsi="Times New Roman" w:cs="Times New Roman"/>
                      <w:color w:val="auto"/>
                      <w:spacing w:val="-20"/>
                      <w:sz w:val="18"/>
                      <w:szCs w:val="18"/>
                      <w:highlight w:val="none"/>
                      <w:lang w:val="en-US" w:eastAsia="zh-CN"/>
                    </w:rPr>
                  </w:pPr>
                  <w:r>
                    <w:rPr>
                      <w:rFonts w:hint="eastAsia" w:ascii="Times New Roman" w:hAnsi="Times New Roman" w:cs="Times New Roman"/>
                      <w:color w:val="auto"/>
                      <w:spacing w:val="-20"/>
                      <w:sz w:val="18"/>
                      <w:szCs w:val="18"/>
                      <w:highlight w:val="none"/>
                      <w:lang w:val="en-US" w:eastAsia="zh-CN"/>
                    </w:rPr>
                    <w:t>900-039-49</w:t>
                  </w:r>
                </w:p>
              </w:tc>
              <w:tc>
                <w:tcPr>
                  <w:tcW w:w="356" w:type="pct"/>
                  <w:vAlign w:val="center"/>
                </w:tcPr>
                <w:p w14:paraId="50C18E07">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r>
                    <w:rPr>
                      <w:rFonts w:hint="default" w:cs="Times New Roman"/>
                      <w:color w:val="auto"/>
                      <w:spacing w:val="-10"/>
                      <w:sz w:val="18"/>
                      <w:szCs w:val="18"/>
                      <w:highlight w:val="none"/>
                      <w:lang w:val="en-US" w:eastAsia="zh-CN"/>
                    </w:rPr>
                    <w:t>t/a</w:t>
                  </w:r>
                </w:p>
              </w:tc>
              <w:tc>
                <w:tcPr>
                  <w:tcW w:w="377" w:type="pct"/>
                  <w:vAlign w:val="center"/>
                </w:tcPr>
                <w:p w14:paraId="7017476F">
                  <w:pPr>
                    <w:spacing w:line="0" w:lineRule="atLeast"/>
                    <w:jc w:val="center"/>
                    <w:rPr>
                      <w:rFonts w:hint="default" w:cs="Times New Roman"/>
                      <w:color w:val="auto"/>
                      <w:spacing w:val="-20"/>
                      <w:kern w:val="2"/>
                      <w:sz w:val="18"/>
                      <w:szCs w:val="18"/>
                      <w:lang w:val="en-US" w:eastAsia="zh-CN" w:bidi="ar-SA"/>
                    </w:rPr>
                  </w:pPr>
                  <w:r>
                    <w:rPr>
                      <w:rFonts w:hint="eastAsia" w:cs="Times New Roman"/>
                      <w:color w:val="auto"/>
                      <w:spacing w:val="-20"/>
                      <w:kern w:val="2"/>
                      <w:sz w:val="18"/>
                      <w:szCs w:val="18"/>
                      <w:lang w:val="en-US" w:eastAsia="zh-CN" w:bidi="ar-SA"/>
                    </w:rPr>
                    <w:t>有机物</w:t>
                  </w:r>
                </w:p>
              </w:tc>
              <w:tc>
                <w:tcPr>
                  <w:tcW w:w="239" w:type="pct"/>
                  <w:vAlign w:val="center"/>
                </w:tcPr>
                <w:p w14:paraId="4BB2E3A1">
                  <w:pPr>
                    <w:spacing w:line="0" w:lineRule="atLeast"/>
                    <w:jc w:val="center"/>
                    <w:rPr>
                      <w:rFonts w:hint="eastAsia"/>
                      <w:color w:val="auto"/>
                      <w:spacing w:val="-20"/>
                      <w:sz w:val="18"/>
                      <w:szCs w:val="18"/>
                    </w:rPr>
                  </w:pPr>
                  <w:r>
                    <w:rPr>
                      <w:rFonts w:hint="eastAsia"/>
                      <w:color w:val="auto"/>
                      <w:spacing w:val="-20"/>
                      <w:sz w:val="18"/>
                      <w:szCs w:val="18"/>
                    </w:rPr>
                    <w:t>固态</w:t>
                  </w:r>
                </w:p>
              </w:tc>
              <w:tc>
                <w:tcPr>
                  <w:tcW w:w="276" w:type="pct"/>
                  <w:tcBorders>
                    <w:top w:val="single" w:color="auto" w:sz="4" w:space="0"/>
                    <w:bottom w:val="single" w:color="auto" w:sz="4" w:space="0"/>
                  </w:tcBorders>
                  <w:vAlign w:val="center"/>
                </w:tcPr>
                <w:p w14:paraId="34B86E66">
                  <w:pPr>
                    <w:spacing w:line="0" w:lineRule="atLeast"/>
                    <w:jc w:val="center"/>
                    <w:rPr>
                      <w:rFonts w:hint="default"/>
                      <w:color w:val="auto"/>
                      <w:spacing w:val="-20"/>
                      <w:sz w:val="18"/>
                      <w:szCs w:val="18"/>
                      <w:lang w:val="en-US"/>
                    </w:rPr>
                  </w:pPr>
                  <w:r>
                    <w:rPr>
                      <w:rFonts w:hint="eastAsia"/>
                      <w:color w:val="auto"/>
                      <w:spacing w:val="-20"/>
                      <w:sz w:val="18"/>
                      <w:szCs w:val="18"/>
                      <w:highlight w:val="none"/>
                      <w:lang w:val="en-US" w:eastAsia="zh-CN"/>
                    </w:rPr>
                    <w:t>T</w:t>
                  </w:r>
                </w:p>
              </w:tc>
              <w:tc>
                <w:tcPr>
                  <w:tcW w:w="319" w:type="pct"/>
                  <w:vMerge w:val="continue"/>
                  <w:tcBorders>
                    <w:bottom w:val="single" w:color="auto" w:sz="4" w:space="0"/>
                  </w:tcBorders>
                  <w:vAlign w:val="center"/>
                </w:tcPr>
                <w:p w14:paraId="18F3603D">
                  <w:pPr>
                    <w:spacing w:line="0" w:lineRule="atLeast"/>
                    <w:jc w:val="center"/>
                    <w:rPr>
                      <w:rFonts w:hint="eastAsia" w:cs="Times New Roman"/>
                      <w:color w:val="auto"/>
                      <w:spacing w:val="-20"/>
                      <w:kern w:val="2"/>
                      <w:sz w:val="18"/>
                      <w:szCs w:val="18"/>
                      <w:lang w:val="en-US" w:eastAsia="zh-CN" w:bidi="ar-SA"/>
                    </w:rPr>
                  </w:pPr>
                </w:p>
              </w:tc>
              <w:tc>
                <w:tcPr>
                  <w:tcW w:w="645" w:type="pct"/>
                  <w:vMerge w:val="continue"/>
                  <w:vAlign w:val="center"/>
                </w:tcPr>
                <w:p w14:paraId="7A891D6A">
                  <w:pPr>
                    <w:spacing w:line="0" w:lineRule="atLeast"/>
                    <w:jc w:val="center"/>
                    <w:rPr>
                      <w:color w:val="auto"/>
                      <w:spacing w:val="-20"/>
                      <w:sz w:val="18"/>
                      <w:szCs w:val="18"/>
                      <w:highlight w:val="none"/>
                    </w:rPr>
                  </w:pPr>
                </w:p>
              </w:tc>
              <w:tc>
                <w:tcPr>
                  <w:tcW w:w="416" w:type="pct"/>
                  <w:tcBorders>
                    <w:top w:val="single" w:color="auto" w:sz="4" w:space="0"/>
                    <w:bottom w:val="single" w:color="auto" w:sz="4" w:space="0"/>
                  </w:tcBorders>
                  <w:vAlign w:val="center"/>
                </w:tcPr>
                <w:p w14:paraId="03923CD4">
                  <w:pPr>
                    <w:spacing w:line="0" w:lineRule="atLeast"/>
                    <w:jc w:val="center"/>
                    <w:rPr>
                      <w:rFonts w:hint="default" w:ascii="Times New Roman" w:hAnsi="Times New Roman" w:cs="Times New Roman"/>
                      <w:color w:val="auto"/>
                      <w:spacing w:val="-20"/>
                      <w:kern w:val="2"/>
                      <w:sz w:val="18"/>
                      <w:szCs w:val="18"/>
                      <w:lang w:val="en-US" w:eastAsia="zh-CN" w:bidi="ar-SA"/>
                    </w:rPr>
                  </w:pPr>
                  <w:r>
                    <w:rPr>
                      <w:rFonts w:hint="eastAsia" w:cs="Times New Roman"/>
                      <w:color w:val="auto"/>
                      <w:spacing w:val="-20"/>
                      <w:kern w:val="2"/>
                      <w:sz w:val="18"/>
                      <w:szCs w:val="18"/>
                      <w:lang w:val="en-US" w:eastAsia="zh-CN" w:bidi="ar-SA"/>
                    </w:rPr>
                    <w:t>1</w:t>
                  </w:r>
                  <w:r>
                    <w:rPr>
                      <w:rFonts w:hint="default" w:cs="Times New Roman"/>
                      <w:color w:val="auto"/>
                      <w:spacing w:val="-10"/>
                      <w:sz w:val="18"/>
                      <w:szCs w:val="18"/>
                      <w:highlight w:val="none"/>
                      <w:lang w:val="en-US" w:eastAsia="zh-CN"/>
                    </w:rPr>
                    <w:t>t/a</w:t>
                  </w:r>
                </w:p>
              </w:tc>
              <w:tc>
                <w:tcPr>
                  <w:tcW w:w="479" w:type="pct"/>
                  <w:vMerge w:val="continue"/>
                  <w:vAlign w:val="center"/>
                </w:tcPr>
                <w:p w14:paraId="78FFB46B">
                  <w:pPr>
                    <w:spacing w:line="0" w:lineRule="atLeast"/>
                    <w:jc w:val="center"/>
                    <w:rPr>
                      <w:rFonts w:hint="eastAsia" w:ascii="Times New Roman" w:hAnsi="Times New Roman" w:eastAsia="宋体" w:cs="Times New Roman"/>
                      <w:color w:val="auto"/>
                      <w:spacing w:val="-20"/>
                      <w:kern w:val="2"/>
                      <w:sz w:val="18"/>
                      <w:szCs w:val="18"/>
                      <w:lang w:val="en-US" w:eastAsia="zh-CN" w:bidi="ar-SA"/>
                    </w:rPr>
                  </w:pPr>
                </w:p>
              </w:tc>
            </w:tr>
            <w:tr w14:paraId="0EDED12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94" w:type="pct"/>
                  <w:vAlign w:val="center"/>
                </w:tcPr>
                <w:p w14:paraId="570075FC">
                  <w:pPr>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12</w:t>
                  </w:r>
                </w:p>
              </w:tc>
              <w:tc>
                <w:tcPr>
                  <w:tcW w:w="526" w:type="pct"/>
                  <w:shd w:val="clear" w:color="auto" w:fill="auto"/>
                  <w:vAlign w:val="center"/>
                </w:tcPr>
                <w:p w14:paraId="2B61B234">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生活垃圾</w:t>
                  </w:r>
                </w:p>
              </w:tc>
              <w:tc>
                <w:tcPr>
                  <w:tcW w:w="305" w:type="pct"/>
                  <w:shd w:val="clear" w:color="auto" w:fill="auto"/>
                  <w:vAlign w:val="center"/>
                </w:tcPr>
                <w:p w14:paraId="0E36FC69">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职工生活</w:t>
                  </w:r>
                </w:p>
              </w:tc>
              <w:tc>
                <w:tcPr>
                  <w:tcW w:w="308" w:type="pct"/>
                  <w:vAlign w:val="center"/>
                </w:tcPr>
                <w:p w14:paraId="6959317F">
                  <w:pPr>
                    <w:spacing w:line="0" w:lineRule="atLeast"/>
                    <w:jc w:val="center"/>
                    <w:rPr>
                      <w:rFonts w:hint="eastAsia" w:ascii="Times New Roman" w:hAnsi="Times New Roman" w:eastAsia="宋体" w:cs="Times New Roman"/>
                      <w:color w:val="auto"/>
                      <w:spacing w:val="-20"/>
                      <w:sz w:val="18"/>
                      <w:szCs w:val="18"/>
                      <w:lang w:val="en-US" w:eastAsia="zh-CN"/>
                    </w:rPr>
                  </w:pPr>
                  <w:r>
                    <w:rPr>
                      <w:rFonts w:hint="eastAsia" w:cs="Times New Roman"/>
                      <w:color w:val="auto"/>
                      <w:spacing w:val="-20"/>
                      <w:sz w:val="18"/>
                      <w:szCs w:val="18"/>
                      <w:lang w:val="en-US" w:eastAsia="zh-CN"/>
                    </w:rPr>
                    <w:t>/</w:t>
                  </w:r>
                </w:p>
              </w:tc>
              <w:tc>
                <w:tcPr>
                  <w:tcW w:w="554" w:type="pct"/>
                  <w:tcBorders>
                    <w:top w:val="single" w:color="auto" w:sz="4" w:space="0"/>
                  </w:tcBorders>
                  <w:shd w:val="clear" w:color="auto" w:fill="auto"/>
                  <w:vAlign w:val="center"/>
                </w:tcPr>
                <w:p w14:paraId="3FCD3974">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w:t>
                  </w:r>
                </w:p>
              </w:tc>
              <w:tc>
                <w:tcPr>
                  <w:tcW w:w="356" w:type="pct"/>
                  <w:shd w:val="clear" w:color="auto" w:fill="auto"/>
                  <w:vAlign w:val="center"/>
                </w:tcPr>
                <w:p w14:paraId="745DCC99">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14.25</w:t>
                  </w:r>
                  <w:r>
                    <w:rPr>
                      <w:rFonts w:hint="default" w:cs="Times New Roman"/>
                      <w:color w:val="auto"/>
                      <w:spacing w:val="-10"/>
                      <w:sz w:val="18"/>
                      <w:szCs w:val="18"/>
                      <w:highlight w:val="none"/>
                      <w:lang w:val="en-US" w:eastAsia="zh-CN"/>
                    </w:rPr>
                    <w:t>t/a</w:t>
                  </w:r>
                </w:p>
              </w:tc>
              <w:tc>
                <w:tcPr>
                  <w:tcW w:w="377" w:type="pct"/>
                  <w:shd w:val="clear" w:color="auto" w:fill="auto"/>
                  <w:vAlign w:val="center"/>
                </w:tcPr>
                <w:p w14:paraId="38DC8BA0">
                  <w:pPr>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239" w:type="pct"/>
                  <w:shd w:val="clear" w:color="auto" w:fill="auto"/>
                  <w:vAlign w:val="center"/>
                </w:tcPr>
                <w:p w14:paraId="635A12B8">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rPr>
                    <w:t>固态</w:t>
                  </w:r>
                </w:p>
              </w:tc>
              <w:tc>
                <w:tcPr>
                  <w:tcW w:w="276" w:type="pct"/>
                  <w:tcBorders>
                    <w:top w:val="single" w:color="auto" w:sz="4" w:space="0"/>
                  </w:tcBorders>
                  <w:shd w:val="clear" w:color="auto" w:fill="auto"/>
                  <w:vAlign w:val="center"/>
                </w:tcPr>
                <w:p w14:paraId="30269003">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w:t>
                  </w:r>
                </w:p>
              </w:tc>
              <w:tc>
                <w:tcPr>
                  <w:tcW w:w="319" w:type="pct"/>
                  <w:tcBorders>
                    <w:top w:val="single" w:color="auto" w:sz="4" w:space="0"/>
                  </w:tcBorders>
                  <w:shd w:val="clear" w:color="auto" w:fill="auto"/>
                  <w:vAlign w:val="center"/>
                </w:tcPr>
                <w:p w14:paraId="5CE23AD6">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olor w:val="auto"/>
                      <w:spacing w:val="-20"/>
                      <w:sz w:val="18"/>
                      <w:szCs w:val="18"/>
                      <w:highlight w:val="none"/>
                      <w:lang w:val="en-US" w:eastAsia="zh-CN"/>
                    </w:rPr>
                    <w:t>垃圾桶</w:t>
                  </w:r>
                </w:p>
              </w:tc>
              <w:tc>
                <w:tcPr>
                  <w:tcW w:w="645" w:type="pct"/>
                  <w:shd w:val="clear" w:color="auto" w:fill="auto"/>
                  <w:vAlign w:val="center"/>
                </w:tcPr>
                <w:p w14:paraId="29D21B38">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由环卫部门处理</w:t>
                  </w:r>
                </w:p>
              </w:tc>
              <w:tc>
                <w:tcPr>
                  <w:tcW w:w="416" w:type="pct"/>
                  <w:tcBorders>
                    <w:top w:val="single" w:color="auto" w:sz="4" w:space="0"/>
                  </w:tcBorders>
                  <w:shd w:val="clear" w:color="auto" w:fill="auto"/>
                  <w:vAlign w:val="center"/>
                </w:tcPr>
                <w:p w14:paraId="42D8155E">
                  <w:pPr>
                    <w:spacing w:line="0" w:lineRule="atLeas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14.25</w:t>
                  </w:r>
                  <w:r>
                    <w:rPr>
                      <w:rFonts w:hint="default" w:cs="Times New Roman"/>
                      <w:color w:val="auto"/>
                      <w:spacing w:val="-10"/>
                      <w:sz w:val="18"/>
                      <w:szCs w:val="18"/>
                      <w:highlight w:val="none"/>
                      <w:lang w:val="en-US" w:eastAsia="zh-CN"/>
                    </w:rPr>
                    <w:t>t/a</w:t>
                  </w:r>
                </w:p>
              </w:tc>
              <w:tc>
                <w:tcPr>
                  <w:tcW w:w="479" w:type="pct"/>
                  <w:vMerge w:val="continue"/>
                  <w:vAlign w:val="center"/>
                </w:tcPr>
                <w:p w14:paraId="3A171777">
                  <w:pPr>
                    <w:spacing w:line="0" w:lineRule="atLeast"/>
                    <w:jc w:val="center"/>
                    <w:rPr>
                      <w:rFonts w:hint="eastAsia" w:ascii="Times New Roman" w:hAnsi="Times New Roman" w:eastAsia="宋体" w:cs="Times New Roman"/>
                      <w:color w:val="auto"/>
                      <w:spacing w:val="-20"/>
                      <w:kern w:val="2"/>
                      <w:sz w:val="18"/>
                      <w:szCs w:val="18"/>
                      <w:lang w:val="en-US" w:eastAsia="zh-CN" w:bidi="ar-SA"/>
                    </w:rPr>
                  </w:pPr>
                </w:p>
              </w:tc>
            </w:tr>
          </w:tbl>
          <w:p w14:paraId="71851F04">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4.2一般固废</w:t>
            </w:r>
            <w:r>
              <w:rPr>
                <w:rFonts w:hint="default" w:ascii="Times New Roman" w:hAnsi="Times New Roman" w:eastAsia="宋体" w:cs="Times New Roman"/>
                <w:b/>
                <w:color w:val="auto"/>
                <w:sz w:val="21"/>
                <w:szCs w:val="21"/>
                <w:highlight w:val="none"/>
                <w:lang w:val="en-US" w:eastAsia="zh-CN"/>
              </w:rPr>
              <w:t>影响分析</w:t>
            </w:r>
          </w:p>
          <w:p w14:paraId="6734396E">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4.2.1一般固废贮存环境影响分析</w:t>
            </w:r>
          </w:p>
          <w:p w14:paraId="7D6C4516">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olor w:val="auto"/>
                <w:sz w:val="21"/>
                <w:szCs w:val="21"/>
              </w:rPr>
              <w:t>为避免本项目产生的一般工业固废对环境造成的影响，拟建项目在</w:t>
            </w:r>
            <w:r>
              <w:rPr>
                <w:rFonts w:hint="eastAsia" w:ascii="Times New Roman" w:hAnsi="Times New Roman"/>
                <w:color w:val="auto"/>
                <w:sz w:val="21"/>
                <w:szCs w:val="21"/>
                <w:lang w:val="en-US" w:eastAsia="zh-CN"/>
              </w:rPr>
              <w:t>实验室大楼3层</w:t>
            </w:r>
            <w:r>
              <w:rPr>
                <w:rFonts w:hint="eastAsia" w:ascii="Times New Roman" w:hAnsi="Times New Roman" w:cs="Times New Roman"/>
                <w:color w:val="auto"/>
                <w:sz w:val="21"/>
                <w:szCs w:val="21"/>
                <w:highlight w:val="none"/>
                <w:lang w:val="en-US" w:eastAsia="zh-CN"/>
              </w:rPr>
              <w:t>气相二室南</w:t>
            </w:r>
            <w:r>
              <w:rPr>
                <w:rFonts w:hint="eastAsia" w:ascii="Times New Roman" w:hAnsi="Times New Roman" w:eastAsia="宋体" w:cs="Times New Roman"/>
                <w:color w:val="auto"/>
                <w:sz w:val="21"/>
                <w:szCs w:val="21"/>
                <w:highlight w:val="none"/>
                <w:lang w:val="en-US" w:eastAsia="zh-CN"/>
              </w:rPr>
              <w:t>侧设一般固废暂存</w:t>
            </w:r>
            <w:r>
              <w:rPr>
                <w:rFonts w:hint="eastAsia" w:ascii="Times New Roman" w:hAnsi="Times New Roman" w:cs="Times New Roman"/>
                <w:color w:val="auto"/>
                <w:sz w:val="21"/>
                <w:szCs w:val="21"/>
                <w:highlight w:val="none"/>
                <w:lang w:val="en-US" w:eastAsia="zh-CN"/>
              </w:rPr>
              <w:t>间</w:t>
            </w:r>
            <w:r>
              <w:rPr>
                <w:rFonts w:hint="eastAsia" w:ascii="Times New Roman" w:hAnsi="Times New Roman" w:eastAsia="宋体" w:cs="Times New Roman"/>
                <w:color w:val="auto"/>
                <w:sz w:val="21"/>
                <w:szCs w:val="21"/>
                <w:highlight w:val="none"/>
                <w:lang w:val="en-US" w:eastAsia="zh-CN"/>
              </w:rPr>
              <w:t>，面积</w:t>
            </w:r>
            <w:r>
              <w:rPr>
                <w:rFonts w:hint="eastAsia" w:ascii="Times New Roman" w:hAnsi="Times New Roman" w:cs="Times New Roman"/>
                <w:color w:val="auto"/>
                <w:sz w:val="21"/>
                <w:szCs w:val="21"/>
                <w:highlight w:val="none"/>
                <w:lang w:val="en-US" w:eastAsia="zh-CN"/>
              </w:rPr>
              <w:t>18</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color w:val="auto"/>
                <w:sz w:val="21"/>
                <w:szCs w:val="21"/>
                <w:highlight w:val="none"/>
              </w:rPr>
              <w:t>，用于贮存项</w:t>
            </w:r>
            <w:r>
              <w:rPr>
                <w:rFonts w:hint="eastAsia" w:ascii="Times New Roman" w:hAnsi="Times New Roman"/>
                <w:color w:val="auto"/>
                <w:sz w:val="21"/>
                <w:szCs w:val="21"/>
              </w:rPr>
              <w:t>目产生的一般工业固体废物。</w:t>
            </w:r>
            <w:r>
              <w:rPr>
                <w:rFonts w:hint="eastAsia" w:ascii="Times New Roman" w:hAnsi="Times New Roman" w:cs="Times New Roman"/>
                <w:color w:val="auto"/>
                <w:sz w:val="21"/>
                <w:szCs w:val="21"/>
                <w:highlight w:val="none"/>
                <w:lang w:val="en-US" w:eastAsia="zh-CN"/>
              </w:rPr>
              <w:t>项目一般工业固体废物贮存或处置，应符合《排污许可证申请与核发技术规范 工业固体废物（试行）》（HJ1200-2021）有关要求。</w:t>
            </w:r>
          </w:p>
          <w:p w14:paraId="16ACF5D1">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①一般工业固体废物的贮存设施、场所必须采取防扬散、防流失、防渗漏或者其他防止污染环境的措施，必须符合国家环境保护标准，并对未处理的固体废物做出妥善处理，安全存放。拟建项目</w:t>
            </w:r>
            <w:r>
              <w:rPr>
                <w:rFonts w:hint="default" w:ascii="Times New Roman" w:hAnsi="Times New Roman" w:eastAsia="宋体" w:cs="Times New Roman"/>
                <w:color w:val="auto"/>
                <w:sz w:val="21"/>
                <w:szCs w:val="21"/>
                <w:highlight w:val="none"/>
                <w:lang w:val="en-US" w:eastAsia="zh-CN"/>
              </w:rPr>
              <w:t>一般固废</w:t>
            </w:r>
            <w:r>
              <w:rPr>
                <w:rFonts w:hint="eastAsia" w:ascii="Times New Roman" w:hAnsi="Times New Roman" w:eastAsia="宋体" w:cs="Times New Roman"/>
                <w:color w:val="auto"/>
                <w:sz w:val="21"/>
                <w:szCs w:val="21"/>
                <w:highlight w:val="none"/>
                <w:lang w:val="en-US" w:eastAsia="zh-CN"/>
              </w:rPr>
              <w:t>暂存间</w:t>
            </w:r>
            <w:r>
              <w:rPr>
                <w:rFonts w:hint="default" w:ascii="Times New Roman" w:hAnsi="Times New Roman" w:eastAsia="宋体" w:cs="Times New Roman"/>
                <w:color w:val="auto"/>
                <w:sz w:val="21"/>
                <w:szCs w:val="21"/>
                <w:highlight w:val="none"/>
                <w:lang w:val="en-US" w:eastAsia="zh-CN"/>
              </w:rPr>
              <w:t>地面基础及内墙采取防渗措施（其中内墙防渗层做到0.5m高），使用</w:t>
            </w:r>
            <w:r>
              <w:rPr>
                <w:rFonts w:hint="eastAsia" w:ascii="Times New Roman" w:hAnsi="Times New Roman" w:eastAsia="宋体" w:cs="Times New Roman"/>
                <w:color w:val="auto"/>
                <w:sz w:val="21"/>
                <w:szCs w:val="21"/>
                <w:highlight w:val="none"/>
                <w:lang w:val="en-US" w:eastAsia="zh-CN"/>
              </w:rPr>
              <w:t>抗渗混凝土</w:t>
            </w:r>
            <w:r>
              <w:rPr>
                <w:rFonts w:hint="default" w:ascii="Times New Roman" w:hAnsi="Times New Roman" w:eastAsia="宋体" w:cs="Times New Roman"/>
                <w:color w:val="auto"/>
                <w:sz w:val="21"/>
                <w:szCs w:val="21"/>
                <w:highlight w:val="none"/>
                <w:lang w:val="en-US" w:eastAsia="zh-CN"/>
              </w:rPr>
              <w:t>，地面做防滑处理，渗透系数</w:t>
            </w:r>
            <w:r>
              <w:rPr>
                <w:rFonts w:hint="eastAsia" w:ascii="Times New Roman" w:hAnsi="Times New Roman" w:eastAsia="宋体" w:cs="Times New Roman"/>
                <w:color w:val="auto"/>
                <w:sz w:val="21"/>
                <w:szCs w:val="21"/>
                <w:highlight w:val="none"/>
                <w:lang w:val="en-US" w:eastAsia="zh-CN"/>
              </w:rPr>
              <w:t>不大于</w:t>
            </w:r>
            <w:r>
              <w:rPr>
                <w:rFonts w:hint="default" w:ascii="Times New Roman" w:hAnsi="Times New Roman" w:eastAsia="宋体" w:cs="Times New Roman"/>
                <w:color w:val="auto"/>
                <w:sz w:val="21"/>
                <w:szCs w:val="21"/>
                <w:highlight w:val="none"/>
                <w:lang w:val="en-US" w:eastAsia="zh-CN"/>
              </w:rPr>
              <w:t>1.0×10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w:t>
            </w:r>
          </w:p>
          <w:p w14:paraId="6C3D216F">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②对暂时不利用或者不能回收利用的一般工业固体废物，必须配套建设防雨淋、防渗漏、易识别等符合环境保护标准和管理要求的贮存设施或场所，以及足够的流转空间按国家环境保护的技术和管理要求，有专人看管，建立便于核查的进、出物料的台账记录和固体废物明细表。</w:t>
            </w:r>
          </w:p>
          <w:p w14:paraId="1613CBEE">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③不得擅自倾倒、堆放、丢弃、遗撒固体废物。</w:t>
            </w:r>
          </w:p>
          <w:p w14:paraId="059F719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4.2.2</w:t>
            </w:r>
            <w:r>
              <w:rPr>
                <w:rFonts w:hint="eastAsia" w:ascii="Times New Roman" w:hAnsi="Times New Roman" w:cs="Times New Roman"/>
                <w:b/>
                <w:color w:val="auto"/>
                <w:sz w:val="21"/>
                <w:szCs w:val="21"/>
                <w:lang w:val="en-US" w:eastAsia="zh-CN"/>
              </w:rPr>
              <w:t>去向及</w:t>
            </w:r>
            <w:r>
              <w:rPr>
                <w:rFonts w:hint="eastAsia" w:ascii="Times New Roman" w:hAnsi="Times New Roman" w:eastAsia="宋体" w:cs="Times New Roman"/>
                <w:b/>
                <w:color w:val="auto"/>
                <w:sz w:val="21"/>
                <w:szCs w:val="21"/>
                <w:lang w:val="en-US" w:eastAsia="zh-CN"/>
              </w:rPr>
              <w:t xml:space="preserve">管理要求 </w:t>
            </w:r>
          </w:p>
          <w:p w14:paraId="2467EA1B">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生活垃圾</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生活垃圾交环卫部门定期清理，统一处理，并对垃圾堆放点进行消毒杀灭害虫，以免散发恶臭，孽生蚊蝇。</w:t>
            </w:r>
          </w:p>
          <w:p w14:paraId="39640DE4">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rPr>
            </w:pPr>
            <w:r>
              <w:rPr>
                <w:rFonts w:hint="eastAsia" w:ascii="Times New Roman" w:hAnsi="Times New Roman" w:eastAsia="宋体"/>
                <w:color w:val="auto"/>
                <w:sz w:val="21"/>
                <w:szCs w:val="21"/>
                <w:highlight w:val="none"/>
              </w:rPr>
              <w:t>一般工业固体废物</w:t>
            </w:r>
            <w:r>
              <w:rPr>
                <w:rFonts w:hint="eastAsia" w:ascii="Times New Roman" w:hAnsi="Times New Roman" w:eastAsia="宋体"/>
                <w:color w:val="auto"/>
                <w:sz w:val="21"/>
                <w:szCs w:val="21"/>
                <w:highlight w:val="none"/>
                <w:lang w:eastAsia="zh-CN"/>
              </w:rPr>
              <w:t>：</w:t>
            </w:r>
            <w:r>
              <w:rPr>
                <w:rFonts w:hint="eastAsia" w:ascii="Times New Roman" w:hAnsi="Times New Roman" w:eastAsia="宋体"/>
                <w:color w:val="auto"/>
                <w:sz w:val="21"/>
                <w:szCs w:val="21"/>
                <w:highlight w:val="none"/>
              </w:rPr>
              <w:t>项目</w:t>
            </w:r>
            <w:r>
              <w:rPr>
                <w:rFonts w:hint="eastAsia" w:ascii="Times New Roman" w:hAnsi="Times New Roman" w:eastAsia="宋体"/>
                <w:color w:val="auto"/>
                <w:sz w:val="21"/>
                <w:szCs w:val="21"/>
                <w:highlight w:val="none"/>
                <w:lang w:val="en-US" w:eastAsia="zh-CN"/>
              </w:rPr>
              <w:t>产生的废反渗透膜更换后直接由厂家回收；</w:t>
            </w:r>
            <w:r>
              <w:rPr>
                <w:rFonts w:hint="eastAsia" w:ascii="Times New Roman" w:hAnsi="Times New Roman" w:eastAsia="宋体" w:cs="Times New Roman"/>
                <w:color w:val="auto"/>
                <w:sz w:val="21"/>
                <w:szCs w:val="21"/>
                <w:highlight w:val="none"/>
                <w:lang w:val="en-US" w:eastAsia="zh-CN"/>
              </w:rPr>
              <w:t>未</w:t>
            </w:r>
            <w:r>
              <w:rPr>
                <w:rFonts w:hint="eastAsia" w:ascii="Times New Roman" w:hAnsi="Times New Roman" w:cs="Times New Roman"/>
                <w:color w:val="auto"/>
                <w:sz w:val="21"/>
                <w:szCs w:val="21"/>
                <w:highlight w:val="none"/>
                <w:lang w:val="en-US" w:eastAsia="zh-CN"/>
              </w:rPr>
              <w:t>参与实验过程的剩余</w:t>
            </w:r>
            <w:r>
              <w:rPr>
                <w:rFonts w:hint="eastAsia" w:ascii="Times New Roman" w:hAnsi="Times New Roman" w:eastAsia="宋体" w:cs="Times New Roman"/>
                <w:color w:val="auto"/>
                <w:sz w:val="21"/>
                <w:szCs w:val="21"/>
                <w:highlight w:val="none"/>
                <w:lang w:val="en-US" w:eastAsia="zh-CN"/>
              </w:rPr>
              <w:t>土样</w:t>
            </w:r>
            <w:r>
              <w:rPr>
                <w:rFonts w:hint="eastAsia" w:ascii="Times New Roman" w:hAnsi="Times New Roman" w:eastAsia="宋体"/>
                <w:color w:val="auto"/>
                <w:sz w:val="21"/>
                <w:szCs w:val="21"/>
                <w:highlight w:val="none"/>
                <w:lang w:val="en-US" w:eastAsia="zh-CN"/>
              </w:rPr>
              <w:t>样</w:t>
            </w:r>
            <w:r>
              <w:rPr>
                <w:rFonts w:hint="eastAsia" w:ascii="Times New Roman" w:hAnsi="Times New Roman" w:eastAsia="宋体"/>
                <w:color w:val="auto"/>
                <w:sz w:val="21"/>
                <w:szCs w:val="21"/>
                <w:highlight w:val="none"/>
              </w:rPr>
              <w:t>暂存于一般固废暂存</w:t>
            </w:r>
            <w:r>
              <w:rPr>
                <w:rFonts w:hint="eastAsia" w:ascii="Times New Roman" w:hAnsi="Times New Roman" w:eastAsia="宋体"/>
                <w:color w:val="auto"/>
                <w:sz w:val="21"/>
                <w:szCs w:val="21"/>
                <w:highlight w:val="none"/>
                <w:lang w:val="en-US" w:eastAsia="zh-CN"/>
              </w:rPr>
              <w:t>间</w:t>
            </w:r>
            <w:r>
              <w:rPr>
                <w:rFonts w:hint="eastAsia" w:ascii="Times New Roman" w:hAnsi="Times New Roman" w:eastAsia="宋体"/>
                <w:color w:val="auto"/>
                <w:sz w:val="21"/>
                <w:szCs w:val="21"/>
                <w:highlight w:val="none"/>
              </w:rPr>
              <w:t>，</w:t>
            </w:r>
            <w:r>
              <w:rPr>
                <w:rFonts w:hint="eastAsia" w:ascii="Times New Roman" w:hAnsi="Times New Roman" w:eastAsia="宋体"/>
                <w:color w:val="auto"/>
                <w:sz w:val="21"/>
                <w:szCs w:val="21"/>
                <w:highlight w:val="none"/>
                <w:lang w:val="en-US" w:eastAsia="zh-CN"/>
              </w:rPr>
              <w:t>之后交由环卫部门</w:t>
            </w:r>
            <w:r>
              <w:rPr>
                <w:rFonts w:hint="eastAsia" w:ascii="Times New Roman" w:hAnsi="Times New Roman" w:eastAsia="宋体"/>
                <w:color w:val="auto"/>
                <w:sz w:val="21"/>
                <w:szCs w:val="21"/>
                <w:highlight w:val="none"/>
              </w:rPr>
              <w:t>统一</w:t>
            </w:r>
            <w:r>
              <w:rPr>
                <w:rFonts w:hint="eastAsia" w:ascii="Times New Roman" w:hAnsi="Times New Roman" w:eastAsia="宋体"/>
                <w:color w:val="auto"/>
                <w:sz w:val="21"/>
                <w:szCs w:val="21"/>
                <w:highlight w:val="none"/>
                <w:lang w:val="en-US" w:eastAsia="zh-CN"/>
              </w:rPr>
              <w:t>处理；不含有毒有害物质的破损的玻璃器、废一般包装物</w:t>
            </w:r>
            <w:r>
              <w:rPr>
                <w:rFonts w:hint="eastAsia" w:ascii="Times New Roman" w:hAnsi="Times New Roman" w:eastAsia="宋体"/>
                <w:color w:val="auto"/>
                <w:sz w:val="21"/>
                <w:szCs w:val="21"/>
                <w:highlight w:val="none"/>
              </w:rPr>
              <w:t>暂存于一般固废暂存</w:t>
            </w:r>
            <w:r>
              <w:rPr>
                <w:rFonts w:hint="eastAsia" w:ascii="Times New Roman" w:hAnsi="Times New Roman" w:eastAsia="宋体"/>
                <w:color w:val="auto"/>
                <w:sz w:val="21"/>
                <w:szCs w:val="21"/>
                <w:highlight w:val="none"/>
                <w:lang w:val="en-US" w:eastAsia="zh-CN"/>
              </w:rPr>
              <w:t>间</w:t>
            </w:r>
            <w:r>
              <w:rPr>
                <w:rFonts w:hint="eastAsia" w:ascii="Times New Roman" w:hAnsi="Times New Roman" w:eastAsia="宋体"/>
                <w:color w:val="auto"/>
                <w:sz w:val="21"/>
                <w:szCs w:val="21"/>
                <w:highlight w:val="none"/>
              </w:rPr>
              <w:t>，</w:t>
            </w:r>
            <w:r>
              <w:rPr>
                <w:rFonts w:hint="eastAsia" w:ascii="Times New Roman" w:hAnsi="Times New Roman" w:eastAsia="宋体"/>
                <w:color w:val="auto"/>
                <w:sz w:val="21"/>
                <w:szCs w:val="21"/>
                <w:highlight w:val="none"/>
                <w:lang w:val="en-US" w:eastAsia="zh-CN"/>
              </w:rPr>
              <w:t>外售资源回收单位综合利用</w:t>
            </w:r>
            <w:r>
              <w:rPr>
                <w:rFonts w:hint="eastAsia" w:ascii="Times New Roman" w:hAnsi="Times New Roman"/>
                <w:color w:val="auto"/>
                <w:sz w:val="21"/>
                <w:szCs w:val="21"/>
                <w:highlight w:val="none"/>
                <w:lang w:val="en-US" w:eastAsia="zh-CN"/>
              </w:rPr>
              <w:t>。</w:t>
            </w:r>
            <w:r>
              <w:rPr>
                <w:rFonts w:hint="eastAsia" w:ascii="Times New Roman" w:hAnsi="Times New Roman" w:cs="Times New Roman"/>
                <w:color w:val="auto"/>
                <w:sz w:val="21"/>
                <w:szCs w:val="21"/>
                <w:highlight w:val="none"/>
              </w:rPr>
              <w:t>项目应按照《中华人民共和国固体废物污染环境防治法》</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2020年4月29日修订版</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，建立健全工业固体废物产生、收集、贮存、运输、利用、处置全过程的污染环境防治责任制度</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建立工业固体废物管理台账，如实记录产生工业固体废物的种类、数量、流向、贮存、利用、处置等信息，实现工业固体废物可追溯、可查询。应当对受托方的主体资格和技术能力进行核实，依法签订书面合同，在合同中约定污染防治要求。应当向所在地生态环境主管部门提供工业固体废物的种类、数量、流向、贮存、利用、处置等有关资料，以及减少工业固体废物产生、促进综合利用的具体措施，并执行排污许可管理制度的相关规定。</w:t>
            </w:r>
          </w:p>
          <w:p w14:paraId="713A5798">
            <w:pPr>
              <w:pStyle w:val="22"/>
              <w:adjustRightInd w:val="0"/>
              <w:snapToGrid w:val="0"/>
              <w:spacing w:before="0" w:beforeAutospacing="0" w:after="0" w:afterAutospacing="0" w:line="440" w:lineRule="exact"/>
              <w:ind w:firstLine="420" w:firstLineChars="200"/>
              <w:rPr>
                <w:rFonts w:hint="eastAsia" w:ascii="Times New Roman" w:hAnsi="Times New Roman"/>
                <w:color w:val="auto"/>
                <w:sz w:val="21"/>
                <w:szCs w:val="21"/>
              </w:rPr>
            </w:pPr>
            <w:r>
              <w:rPr>
                <w:rFonts w:hint="eastAsia" w:ascii="Times New Roman" w:hAnsi="Times New Roman" w:cs="Times New Roman"/>
                <w:color w:val="auto"/>
                <w:sz w:val="21"/>
                <w:szCs w:val="21"/>
                <w:highlight w:val="none"/>
              </w:rPr>
              <w:t>经上述措施治理后，项目排放的一般工业固体废物对环境影响不大。</w:t>
            </w:r>
          </w:p>
          <w:p w14:paraId="721F4C02">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4.3危险废物</w:t>
            </w:r>
            <w:r>
              <w:rPr>
                <w:rFonts w:hint="default" w:ascii="Times New Roman" w:hAnsi="Times New Roman" w:eastAsia="宋体" w:cs="Times New Roman"/>
                <w:b/>
                <w:color w:val="auto"/>
                <w:sz w:val="21"/>
                <w:szCs w:val="21"/>
                <w:highlight w:val="none"/>
                <w:lang w:val="en-US" w:eastAsia="zh-CN"/>
              </w:rPr>
              <w:t>影响分析</w:t>
            </w:r>
          </w:p>
          <w:p w14:paraId="2EC44F6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4.3.1危险废物贮存环境影响分析</w:t>
            </w:r>
          </w:p>
          <w:p w14:paraId="2E5699E3">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为避免本项目产生的危险废物对环境造成的影响，拟建项目在</w:t>
            </w:r>
            <w:r>
              <w:rPr>
                <w:rFonts w:hint="eastAsia" w:ascii="Times New Roman" w:hAnsi="Times New Roman" w:cs="Times New Roman"/>
                <w:color w:val="auto"/>
                <w:sz w:val="21"/>
                <w:szCs w:val="21"/>
                <w:highlight w:val="none"/>
                <w:lang w:val="en-US" w:eastAsia="zh-CN"/>
              </w:rPr>
              <w:t>实验室大楼3层采样准备室北</w:t>
            </w:r>
            <w:r>
              <w:rPr>
                <w:rFonts w:hint="eastAsia" w:ascii="Times New Roman" w:hAnsi="Times New Roman" w:eastAsia="宋体" w:cs="Times New Roman"/>
                <w:color w:val="auto"/>
                <w:sz w:val="21"/>
                <w:szCs w:val="21"/>
                <w:highlight w:val="none"/>
                <w:lang w:val="en-US" w:eastAsia="zh-CN"/>
              </w:rPr>
              <w:t>侧设立面积</w:t>
            </w:r>
            <w:r>
              <w:rPr>
                <w:rFonts w:hint="eastAsia" w:ascii="Times New Roman" w:hAnsi="Times New Roman" w:cs="Times New Roman"/>
                <w:color w:val="auto"/>
                <w:sz w:val="21"/>
                <w:szCs w:val="21"/>
                <w:highlight w:val="none"/>
                <w:lang w:val="en-US" w:eastAsia="zh-CN"/>
              </w:rPr>
              <w:t>20</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的危废间，用于贮存项目产生的危险废物。</w:t>
            </w:r>
          </w:p>
          <w:p w14:paraId="5384BA19">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危险废物暂存间按照《危险废物贮存污染控制标准》的相关要求</w:t>
            </w:r>
            <w:r>
              <w:rPr>
                <w:rFonts w:hint="eastAsia" w:ascii="Times New Roman" w:hAnsi="Times New Roman" w:eastAsia="宋体" w:cs="Times New Roman"/>
                <w:color w:val="auto"/>
                <w:sz w:val="21"/>
                <w:szCs w:val="21"/>
                <w:highlight w:val="none"/>
                <w:lang w:val="en-US" w:eastAsia="zh-CN"/>
              </w:rPr>
              <w:t>进行建设。</w:t>
            </w:r>
            <w:r>
              <w:rPr>
                <w:rFonts w:hint="default" w:ascii="Times New Roman" w:hAnsi="Times New Roman" w:eastAsia="宋体" w:cs="Times New Roman"/>
                <w:color w:val="auto"/>
                <w:sz w:val="21"/>
                <w:szCs w:val="21"/>
                <w:highlight w:val="none"/>
                <w:lang w:val="en-US" w:eastAsia="zh-CN"/>
              </w:rPr>
              <w:t>危废间地面与裙角要用坚固、防渗的材料建造，防渗层</w:t>
            </w:r>
            <w:r>
              <w:rPr>
                <w:rFonts w:hint="eastAsia" w:ascii="Times New Roman" w:hAnsi="Times New Roman" w:cs="Times New Roman"/>
                <w:color w:val="auto"/>
                <w:sz w:val="21"/>
                <w:szCs w:val="21"/>
                <w:highlight w:val="none"/>
                <w:lang w:val="en-US" w:eastAsia="zh-CN"/>
              </w:rPr>
              <w:t>采用</w:t>
            </w:r>
            <w:r>
              <w:rPr>
                <w:rFonts w:hint="default" w:ascii="Times New Roman" w:hAnsi="Times New Roman" w:eastAsia="宋体" w:cs="Times New Roman"/>
                <w:color w:val="auto"/>
                <w:sz w:val="21"/>
                <w:szCs w:val="21"/>
                <w:highlight w:val="none"/>
                <w:lang w:val="en-US" w:eastAsia="zh-CN"/>
              </w:rPr>
              <w:t>抗渗混凝土+</w:t>
            </w:r>
            <w:r>
              <w:rPr>
                <w:rFonts w:hint="eastAsia" w:ascii="Times New Roman" w:hAnsi="Times New Roman" w:cs="Times New Roman"/>
                <w:color w:val="auto"/>
                <w:sz w:val="21"/>
                <w:szCs w:val="21"/>
                <w:highlight w:val="none"/>
                <w:lang w:val="en-US" w:eastAsia="zh-CN"/>
              </w:rPr>
              <w:t>至少</w:t>
            </w:r>
            <w:r>
              <w:rPr>
                <w:rFonts w:hint="default" w:ascii="Times New Roman" w:hAnsi="Times New Roman" w:eastAsia="宋体" w:cs="Times New Roman"/>
                <w:color w:val="auto"/>
                <w:sz w:val="21"/>
                <w:szCs w:val="21"/>
                <w:highlight w:val="none"/>
                <w:lang w:val="en-US" w:eastAsia="zh-CN"/>
              </w:rPr>
              <w:t>2mm厚</w:t>
            </w:r>
            <w:r>
              <w:rPr>
                <w:rFonts w:hint="eastAsia" w:ascii="Times New Roman" w:hAnsi="Times New Roman" w:eastAsia="宋体" w:cs="Times New Roman"/>
                <w:color w:val="auto"/>
                <w:sz w:val="21"/>
                <w:szCs w:val="21"/>
                <w:highlight w:val="none"/>
                <w:lang w:val="en-US" w:eastAsia="zh-CN"/>
              </w:rPr>
              <w:t>环氧树脂+瓷砖（接缝材质采用呋喃树脂防渗材料）</w:t>
            </w:r>
            <w:r>
              <w:rPr>
                <w:rFonts w:hint="default" w:ascii="Times New Roman" w:hAnsi="Times New Roman" w:eastAsia="宋体" w:cs="Times New Roman"/>
                <w:color w:val="auto"/>
                <w:sz w:val="21"/>
                <w:szCs w:val="21"/>
                <w:highlight w:val="none"/>
                <w:lang w:val="en-US" w:eastAsia="zh-CN"/>
              </w:rPr>
              <w:t>，渗透系数≤10</w:t>
            </w:r>
            <w:r>
              <w:rPr>
                <w:rFonts w:hint="default" w:ascii="Times New Roman" w:hAnsi="Times New Roman" w:eastAsia="宋体" w:cs="Times New Roman"/>
                <w:color w:val="auto"/>
                <w:sz w:val="21"/>
                <w:szCs w:val="21"/>
                <w:highlight w:val="none"/>
                <w:vertAlign w:val="superscript"/>
                <w:lang w:val="en-US" w:eastAsia="zh-CN"/>
              </w:rPr>
              <w:t>-10</w:t>
            </w:r>
            <w:r>
              <w:rPr>
                <w:rFonts w:hint="default" w:ascii="Times New Roman" w:hAnsi="Times New Roman" w:eastAsia="宋体" w:cs="Times New Roman"/>
                <w:color w:val="auto"/>
                <w:sz w:val="21"/>
                <w:szCs w:val="21"/>
                <w:highlight w:val="none"/>
                <w:lang w:val="en-US" w:eastAsia="zh-CN"/>
              </w:rPr>
              <w:t>cm/s。</w:t>
            </w:r>
            <w:r>
              <w:rPr>
                <w:rFonts w:hint="eastAsia" w:ascii="Times New Roman" w:hAnsi="Times New Roman" w:cs="Times New Roman"/>
                <w:color w:val="auto"/>
                <w:sz w:val="21"/>
                <w:szCs w:val="21"/>
                <w:highlight w:val="none"/>
                <w:lang w:val="en-US" w:eastAsia="zh-CN"/>
              </w:rPr>
              <w:t>危废间</w:t>
            </w:r>
            <w:r>
              <w:rPr>
                <w:rFonts w:hint="default" w:ascii="Times New Roman" w:hAnsi="Times New Roman" w:eastAsia="宋体" w:cs="Times New Roman"/>
                <w:color w:val="auto"/>
                <w:sz w:val="21"/>
                <w:szCs w:val="21"/>
                <w:highlight w:val="none"/>
                <w:lang w:val="en-US" w:eastAsia="zh-CN"/>
              </w:rPr>
              <w:t>地面及四周裙脚均应耐腐蚀，耐热且表面无裂隙，同时设置泄漏液体的收集装置，设施内有安全照明装置和观察窗口，并设置环保专用标志。</w:t>
            </w:r>
            <w:r>
              <w:rPr>
                <w:rFonts w:hint="eastAsia" w:ascii="Times New Roman" w:hAnsi="Times New Roman" w:eastAsia="宋体" w:cs="Times New Roman"/>
                <w:color w:val="auto"/>
                <w:sz w:val="21"/>
                <w:szCs w:val="21"/>
                <w:highlight w:val="none"/>
                <w:lang w:val="en-US" w:eastAsia="zh-CN"/>
              </w:rPr>
              <w:t>同时</w:t>
            </w:r>
            <w:r>
              <w:rPr>
                <w:rFonts w:hint="default" w:ascii="Times New Roman" w:hAnsi="Times New Roman" w:eastAsia="宋体" w:cs="Times New Roman"/>
                <w:color w:val="auto"/>
                <w:sz w:val="21"/>
                <w:szCs w:val="21"/>
                <w:highlight w:val="none"/>
                <w:lang w:val="en-US" w:eastAsia="zh-CN"/>
              </w:rPr>
              <w:t>危废间设有隔离设施、报警装置和防风、防晒、防雨等安全设施</w:t>
            </w:r>
            <w:r>
              <w:rPr>
                <w:rFonts w:hint="eastAsia" w:ascii="Times New Roman" w:hAnsi="Times New Roman" w:eastAsia="宋体" w:cs="Times New Roman"/>
                <w:color w:val="auto"/>
                <w:sz w:val="21"/>
                <w:szCs w:val="21"/>
                <w:highlight w:val="none"/>
                <w:lang w:val="en-US" w:eastAsia="zh-CN"/>
              </w:rPr>
              <w:t>。</w:t>
            </w:r>
          </w:p>
          <w:p w14:paraId="06970CD6">
            <w:pPr>
              <w:spacing w:line="440" w:lineRule="exact"/>
              <w:jc w:val="center"/>
              <w:rPr>
                <w:rFonts w:hint="eastAsia" w:ascii="Times New Roman" w:hAnsi="Times New Roman" w:eastAsia="宋体" w:cs="Times New Roman"/>
                <w:b/>
                <w:color w:val="auto"/>
                <w:szCs w:val="21"/>
                <w:highlight w:val="none"/>
                <w:lang w:val="en-US" w:eastAsia="zh-CN"/>
              </w:rPr>
            </w:pPr>
            <w:r>
              <w:rPr>
                <w:rFonts w:hint="eastAsia" w:ascii="Times New Roman" w:hAnsi="Times New Roman" w:eastAsia="宋体" w:cs="Times New Roman"/>
                <w:b/>
                <w:color w:val="auto"/>
                <w:szCs w:val="21"/>
                <w:highlight w:val="none"/>
                <w:lang w:val="en-US" w:eastAsia="zh-CN"/>
              </w:rPr>
              <w:t>表</w:t>
            </w:r>
            <w:r>
              <w:rPr>
                <w:rFonts w:hint="eastAsia" w:cs="Times New Roman"/>
                <w:b/>
                <w:color w:val="auto"/>
                <w:szCs w:val="21"/>
                <w:highlight w:val="none"/>
                <w:lang w:val="en-US" w:eastAsia="zh-CN"/>
              </w:rPr>
              <w:t>37</w:t>
            </w:r>
            <w:r>
              <w:rPr>
                <w:rFonts w:hint="eastAsia" w:ascii="Times New Roman" w:hAnsi="Times New Roman" w:eastAsia="宋体" w:cs="Times New Roman"/>
                <w:b/>
                <w:color w:val="auto"/>
                <w:szCs w:val="21"/>
                <w:highlight w:val="none"/>
                <w:lang w:val="en-US" w:eastAsia="zh-CN"/>
              </w:rPr>
              <w:t xml:space="preserve">  拟建项目危险废物贮存场所（设施）基本情况表</w:t>
            </w:r>
          </w:p>
          <w:tbl>
            <w:tblPr>
              <w:tblStyle w:val="26"/>
              <w:tblW w:w="8007" w:type="dxa"/>
              <w:tblInd w:w="-68"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622"/>
              <w:gridCol w:w="1039"/>
              <w:gridCol w:w="777"/>
              <w:gridCol w:w="723"/>
              <w:gridCol w:w="577"/>
              <w:gridCol w:w="567"/>
              <w:gridCol w:w="1259"/>
              <w:gridCol w:w="744"/>
              <w:gridCol w:w="609"/>
              <w:gridCol w:w="1090"/>
            </w:tblGrid>
            <w:tr w14:paraId="5B1E3F7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622" w:type="dxa"/>
                  <w:tcBorders>
                    <w:tl2br w:val="nil"/>
                    <w:tr2bl w:val="nil"/>
                  </w:tcBorders>
                  <w:noWrap w:val="0"/>
                  <w:vAlign w:val="center"/>
                </w:tcPr>
                <w:p w14:paraId="355C6606">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贮存场所名称</w:t>
                  </w:r>
                </w:p>
              </w:tc>
              <w:tc>
                <w:tcPr>
                  <w:tcW w:w="1039" w:type="dxa"/>
                  <w:tcBorders>
                    <w:tl2br w:val="nil"/>
                    <w:tr2bl w:val="nil"/>
                  </w:tcBorders>
                  <w:noWrap w:val="0"/>
                  <w:vAlign w:val="center"/>
                </w:tcPr>
                <w:p w14:paraId="6568AFFB">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危险废物名称</w:t>
                  </w:r>
                </w:p>
              </w:tc>
              <w:tc>
                <w:tcPr>
                  <w:tcW w:w="777" w:type="dxa"/>
                  <w:tcBorders>
                    <w:tl2br w:val="nil"/>
                    <w:tr2bl w:val="nil"/>
                  </w:tcBorders>
                  <w:noWrap w:val="0"/>
                  <w:vAlign w:val="center"/>
                </w:tcPr>
                <w:p w14:paraId="0D89D945">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危险废物类别</w:t>
                  </w:r>
                </w:p>
              </w:tc>
              <w:tc>
                <w:tcPr>
                  <w:tcW w:w="723" w:type="dxa"/>
                  <w:tcBorders>
                    <w:tl2br w:val="nil"/>
                    <w:tr2bl w:val="nil"/>
                  </w:tcBorders>
                  <w:noWrap w:val="0"/>
                  <w:vAlign w:val="center"/>
                </w:tcPr>
                <w:p w14:paraId="129CF35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危险废物代码</w:t>
                  </w:r>
                </w:p>
              </w:tc>
              <w:tc>
                <w:tcPr>
                  <w:tcW w:w="577" w:type="dxa"/>
                  <w:tcBorders>
                    <w:tl2br w:val="nil"/>
                    <w:tr2bl w:val="nil"/>
                  </w:tcBorders>
                  <w:noWrap w:val="0"/>
                  <w:vAlign w:val="center"/>
                </w:tcPr>
                <w:p w14:paraId="38223AF1">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位置</w:t>
                  </w:r>
                </w:p>
              </w:tc>
              <w:tc>
                <w:tcPr>
                  <w:tcW w:w="567" w:type="dxa"/>
                  <w:tcBorders>
                    <w:tl2br w:val="nil"/>
                    <w:tr2bl w:val="nil"/>
                  </w:tcBorders>
                  <w:noWrap w:val="0"/>
                  <w:vAlign w:val="center"/>
                </w:tcPr>
                <w:p w14:paraId="79275E2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占地面积</w:t>
                  </w:r>
                </w:p>
              </w:tc>
              <w:tc>
                <w:tcPr>
                  <w:tcW w:w="1259" w:type="dxa"/>
                  <w:tcBorders>
                    <w:tl2br w:val="nil"/>
                    <w:tr2bl w:val="nil"/>
                  </w:tcBorders>
                  <w:noWrap w:val="0"/>
                  <w:vAlign w:val="center"/>
                </w:tcPr>
                <w:p w14:paraId="0D8790E8">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w:t>
                  </w:r>
                </w:p>
                <w:p w14:paraId="40B0B881">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方式</w:t>
                  </w:r>
                </w:p>
              </w:tc>
              <w:tc>
                <w:tcPr>
                  <w:tcW w:w="744" w:type="dxa"/>
                  <w:tcBorders>
                    <w:tl2br w:val="nil"/>
                    <w:tr2bl w:val="nil"/>
                  </w:tcBorders>
                  <w:noWrap w:val="0"/>
                  <w:vAlign w:val="center"/>
                </w:tcPr>
                <w:p w14:paraId="5B2E7A99">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w:t>
                  </w:r>
                </w:p>
                <w:p w14:paraId="12DD77DC">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能力</w:t>
                  </w:r>
                </w:p>
              </w:tc>
              <w:tc>
                <w:tcPr>
                  <w:tcW w:w="609" w:type="dxa"/>
                  <w:tcBorders>
                    <w:tl2br w:val="nil"/>
                    <w:tr2bl w:val="nil"/>
                  </w:tcBorders>
                  <w:noWrap w:val="0"/>
                  <w:vAlign w:val="center"/>
                </w:tcPr>
                <w:p w14:paraId="0B48763D">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贮存</w:t>
                  </w:r>
                </w:p>
                <w:p w14:paraId="58F4ED03">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周期</w:t>
                  </w:r>
                </w:p>
              </w:tc>
              <w:tc>
                <w:tcPr>
                  <w:tcW w:w="1090" w:type="dxa"/>
                  <w:tcBorders>
                    <w:tl2br w:val="nil"/>
                    <w:tr2bl w:val="nil"/>
                  </w:tcBorders>
                  <w:noWrap w:val="0"/>
                  <w:vAlign w:val="center"/>
                </w:tcPr>
                <w:p w14:paraId="0B1B0EA3">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防治措施</w:t>
                  </w:r>
                </w:p>
              </w:tc>
            </w:tr>
            <w:tr w14:paraId="5621826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restart"/>
                  <w:tcBorders>
                    <w:tl2br w:val="nil"/>
                    <w:tr2bl w:val="nil"/>
                  </w:tcBorders>
                  <w:noWrap w:val="0"/>
                  <w:vAlign w:val="center"/>
                </w:tcPr>
                <w:p w14:paraId="24109EA7">
                  <w:pPr>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危废</w:t>
                  </w:r>
                </w:p>
                <w:p w14:paraId="0CC22C15">
                  <w:pPr>
                    <w:jc w:val="center"/>
                    <w:rPr>
                      <w:rFonts w:hint="eastAsia" w:ascii="Times New Roman" w:hAnsi="Times New Roman" w:eastAsia="宋体" w:cs="Times New Roman"/>
                      <w:color w:val="auto"/>
                      <w:spacing w:val="-10"/>
                      <w:sz w:val="18"/>
                      <w:szCs w:val="18"/>
                      <w:highlight w:val="yellow"/>
                      <w:lang w:val="en-US" w:eastAsia="zh-CN"/>
                    </w:rPr>
                  </w:pPr>
                  <w:r>
                    <w:rPr>
                      <w:rFonts w:hint="eastAsia" w:ascii="Times New Roman" w:hAnsi="Times New Roman" w:eastAsia="宋体" w:cs="Times New Roman"/>
                      <w:color w:val="auto"/>
                      <w:spacing w:val="-10"/>
                      <w:sz w:val="18"/>
                      <w:szCs w:val="18"/>
                      <w:highlight w:val="none"/>
                      <w:lang w:val="en-US" w:eastAsia="zh-CN"/>
                    </w:rPr>
                    <w:t>间</w:t>
                  </w:r>
                </w:p>
              </w:tc>
              <w:tc>
                <w:tcPr>
                  <w:tcW w:w="1039" w:type="dxa"/>
                  <w:tcBorders>
                    <w:tl2br w:val="nil"/>
                    <w:tr2bl w:val="nil"/>
                  </w:tcBorders>
                  <w:shd w:val="clear" w:color="auto" w:fill="auto"/>
                  <w:noWrap w:val="0"/>
                  <w:vAlign w:val="center"/>
                </w:tcPr>
                <w:p w14:paraId="7DBEA9F4">
                  <w:pPr>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实验废液</w:t>
                  </w:r>
                </w:p>
              </w:tc>
              <w:tc>
                <w:tcPr>
                  <w:tcW w:w="777" w:type="dxa"/>
                  <w:tcBorders>
                    <w:tl2br w:val="nil"/>
                    <w:tr2bl w:val="nil"/>
                  </w:tcBorders>
                  <w:noWrap w:val="0"/>
                  <w:vAlign w:val="center"/>
                </w:tcPr>
                <w:p w14:paraId="4AB44039">
                  <w:pPr>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52411EAD">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restart"/>
                  <w:tcBorders>
                    <w:tl2br w:val="nil"/>
                    <w:tr2bl w:val="nil"/>
                  </w:tcBorders>
                  <w:noWrap w:val="0"/>
                  <w:vAlign w:val="center"/>
                </w:tcPr>
                <w:p w14:paraId="7C314EEF">
                  <w:pPr>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实验室大楼3层采样准备室北侧</w:t>
                  </w:r>
                </w:p>
              </w:tc>
              <w:tc>
                <w:tcPr>
                  <w:tcW w:w="567" w:type="dxa"/>
                  <w:vMerge w:val="restart"/>
                  <w:tcBorders>
                    <w:tl2br w:val="nil"/>
                    <w:tr2bl w:val="nil"/>
                  </w:tcBorders>
                  <w:noWrap w:val="0"/>
                  <w:vAlign w:val="center"/>
                </w:tcPr>
                <w:p w14:paraId="117E5126">
                  <w:pPr>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20m</w:t>
                  </w:r>
                  <w:r>
                    <w:rPr>
                      <w:rFonts w:hint="eastAsia" w:cs="Times New Roman"/>
                      <w:color w:val="auto"/>
                      <w:spacing w:val="-10"/>
                      <w:sz w:val="18"/>
                      <w:szCs w:val="18"/>
                      <w:highlight w:val="none"/>
                      <w:vertAlign w:val="superscript"/>
                      <w:lang w:val="en-US" w:eastAsia="zh-CN"/>
                    </w:rPr>
                    <w:t>2</w:t>
                  </w:r>
                </w:p>
              </w:tc>
              <w:tc>
                <w:tcPr>
                  <w:tcW w:w="1259" w:type="dxa"/>
                  <w:tcBorders>
                    <w:tl2br w:val="nil"/>
                    <w:tr2bl w:val="nil"/>
                  </w:tcBorders>
                  <w:noWrap w:val="0"/>
                  <w:vAlign w:val="center"/>
                </w:tcPr>
                <w:p w14:paraId="1C067ABC">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专用容器</w:t>
                  </w:r>
                </w:p>
              </w:tc>
              <w:tc>
                <w:tcPr>
                  <w:tcW w:w="744" w:type="dxa"/>
                  <w:vMerge w:val="restart"/>
                  <w:tcBorders>
                    <w:tl2br w:val="nil"/>
                    <w:tr2bl w:val="nil"/>
                  </w:tcBorders>
                  <w:noWrap w:val="0"/>
                  <w:vAlign w:val="center"/>
                </w:tcPr>
                <w:p w14:paraId="1F746C21">
                  <w:pPr>
                    <w:jc w:val="center"/>
                    <w:rPr>
                      <w:rFonts w:hint="default" w:ascii="Times New Roman" w:hAnsi="Times New Roman" w:eastAsia="宋体" w:cs="Times New Roman"/>
                      <w:color w:val="auto"/>
                      <w:spacing w:val="-10"/>
                      <w:sz w:val="18"/>
                      <w:szCs w:val="18"/>
                      <w:highlight w:val="yellow"/>
                      <w:lang w:val="en-US" w:eastAsia="zh-CN"/>
                    </w:rPr>
                  </w:pPr>
                  <w:r>
                    <w:rPr>
                      <w:rFonts w:hint="eastAsia" w:cs="Times New Roman"/>
                      <w:color w:val="auto"/>
                      <w:spacing w:val="-10"/>
                      <w:sz w:val="18"/>
                      <w:szCs w:val="18"/>
                      <w:highlight w:val="none"/>
                      <w:lang w:val="en-US" w:eastAsia="zh-CN"/>
                    </w:rPr>
                    <w:t>8t</w:t>
                  </w:r>
                </w:p>
              </w:tc>
              <w:tc>
                <w:tcPr>
                  <w:tcW w:w="609" w:type="dxa"/>
                  <w:vMerge w:val="restart"/>
                  <w:tcBorders>
                    <w:tl2br w:val="nil"/>
                    <w:tr2bl w:val="nil"/>
                  </w:tcBorders>
                  <w:noWrap w:val="0"/>
                  <w:vAlign w:val="center"/>
                </w:tcPr>
                <w:p w14:paraId="5C6B2D7D">
                  <w:pPr>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半</w:t>
                  </w:r>
                  <w:r>
                    <w:rPr>
                      <w:rFonts w:hint="eastAsia" w:ascii="Times New Roman" w:hAnsi="Times New Roman" w:eastAsia="宋体" w:cs="Times New Roman"/>
                      <w:color w:val="auto"/>
                      <w:spacing w:val="-10"/>
                      <w:sz w:val="18"/>
                      <w:szCs w:val="18"/>
                      <w:highlight w:val="none"/>
                      <w:lang w:val="en-US" w:eastAsia="zh-CN"/>
                    </w:rPr>
                    <w:t>年</w:t>
                  </w:r>
                </w:p>
              </w:tc>
              <w:tc>
                <w:tcPr>
                  <w:tcW w:w="1090" w:type="dxa"/>
                  <w:vMerge w:val="restart"/>
                  <w:tcBorders>
                    <w:tl2br w:val="nil"/>
                    <w:tr2bl w:val="nil"/>
                  </w:tcBorders>
                  <w:noWrap w:val="0"/>
                  <w:vAlign w:val="center"/>
                </w:tcPr>
                <w:p w14:paraId="6FC69B1F">
                  <w:pPr>
                    <w:jc w:val="center"/>
                    <w:rPr>
                      <w:rFonts w:hint="default" w:ascii="Times New Roman" w:hAnsi="Times New Roman" w:eastAsia="宋体" w:cs="Times New Roman"/>
                      <w:color w:val="auto"/>
                      <w:spacing w:val="-10"/>
                      <w:sz w:val="18"/>
                      <w:szCs w:val="18"/>
                      <w:highlight w:val="none"/>
                      <w:vertAlign w:val="superscript"/>
                      <w:lang w:val="en-US" w:eastAsia="zh-CN"/>
                    </w:rPr>
                  </w:pPr>
                  <w:r>
                    <w:rPr>
                      <w:rFonts w:hint="eastAsia" w:cs="Times New Roman"/>
                      <w:color w:val="auto"/>
                      <w:spacing w:val="-10"/>
                      <w:sz w:val="18"/>
                      <w:szCs w:val="18"/>
                      <w:highlight w:val="none"/>
                      <w:lang w:val="en-US" w:eastAsia="zh-CN"/>
                    </w:rPr>
                    <w:t>位于实验室三层，危废间</w:t>
                  </w:r>
                  <w:r>
                    <w:rPr>
                      <w:rFonts w:hint="default" w:ascii="Times New Roman" w:hAnsi="Times New Roman" w:eastAsia="宋体" w:cs="Times New Roman"/>
                      <w:color w:val="auto"/>
                      <w:spacing w:val="-10"/>
                      <w:sz w:val="18"/>
                      <w:szCs w:val="18"/>
                      <w:highlight w:val="none"/>
                      <w:lang w:val="en-US" w:eastAsia="zh-CN"/>
                    </w:rPr>
                    <w:t>地面与裙角要用坚固、防渗的材料建造，防渗层</w:t>
                  </w:r>
                  <w:r>
                    <w:rPr>
                      <w:rFonts w:hint="eastAsia" w:ascii="Times New Roman" w:hAnsi="Times New Roman" w:eastAsia="宋体" w:cs="Times New Roman"/>
                      <w:color w:val="auto"/>
                      <w:spacing w:val="-10"/>
                      <w:sz w:val="18"/>
                      <w:szCs w:val="18"/>
                      <w:highlight w:val="none"/>
                      <w:lang w:val="en-US" w:eastAsia="zh-CN"/>
                    </w:rPr>
                    <w:t>采用</w:t>
                  </w:r>
                  <w:r>
                    <w:rPr>
                      <w:rFonts w:hint="default" w:ascii="Times New Roman" w:hAnsi="Times New Roman" w:eastAsia="宋体" w:cs="Times New Roman"/>
                      <w:color w:val="auto"/>
                      <w:spacing w:val="-10"/>
                      <w:sz w:val="18"/>
                      <w:szCs w:val="18"/>
                      <w:highlight w:val="none"/>
                      <w:lang w:val="en-US" w:eastAsia="zh-CN"/>
                    </w:rPr>
                    <w:t>抗渗混凝土+</w:t>
                  </w:r>
                  <w:r>
                    <w:rPr>
                      <w:rFonts w:hint="eastAsia" w:ascii="Times New Roman" w:hAnsi="Times New Roman" w:eastAsia="宋体" w:cs="Times New Roman"/>
                      <w:color w:val="auto"/>
                      <w:spacing w:val="-10"/>
                      <w:sz w:val="18"/>
                      <w:szCs w:val="18"/>
                      <w:highlight w:val="none"/>
                      <w:lang w:val="en-US" w:eastAsia="zh-CN"/>
                    </w:rPr>
                    <w:t>至少</w:t>
                  </w:r>
                  <w:r>
                    <w:rPr>
                      <w:rFonts w:hint="default" w:ascii="Times New Roman" w:hAnsi="Times New Roman" w:eastAsia="宋体" w:cs="Times New Roman"/>
                      <w:color w:val="auto"/>
                      <w:spacing w:val="-10"/>
                      <w:sz w:val="18"/>
                      <w:szCs w:val="18"/>
                      <w:highlight w:val="none"/>
                      <w:lang w:val="en-US" w:eastAsia="zh-CN"/>
                    </w:rPr>
                    <w:t>2mm厚</w:t>
                  </w:r>
                  <w:r>
                    <w:rPr>
                      <w:rFonts w:hint="eastAsia" w:ascii="Times New Roman" w:hAnsi="Times New Roman" w:eastAsia="宋体" w:cs="Times New Roman"/>
                      <w:color w:val="auto"/>
                      <w:spacing w:val="-10"/>
                      <w:sz w:val="18"/>
                      <w:szCs w:val="18"/>
                      <w:highlight w:val="none"/>
                      <w:lang w:val="en-US" w:eastAsia="zh-CN"/>
                    </w:rPr>
                    <w:t>环氧树脂</w:t>
                  </w:r>
                  <w:r>
                    <w:rPr>
                      <w:rFonts w:hint="eastAsia" w:cs="Times New Roman"/>
                      <w:color w:val="auto"/>
                      <w:spacing w:val="-10"/>
                      <w:sz w:val="18"/>
                      <w:szCs w:val="18"/>
                      <w:highlight w:val="none"/>
                      <w:lang w:val="en-US" w:eastAsia="zh-CN"/>
                    </w:rPr>
                    <w:t>+瓷砖</w:t>
                  </w:r>
                  <w:r>
                    <w:rPr>
                      <w:rFonts w:hint="eastAsia" w:ascii="Times New Roman" w:hAnsi="Times New Roman" w:eastAsia="宋体" w:cs="Times New Roman"/>
                      <w:color w:val="auto"/>
                      <w:spacing w:val="-10"/>
                      <w:sz w:val="18"/>
                      <w:szCs w:val="18"/>
                      <w:highlight w:val="none"/>
                      <w:lang w:val="en-US" w:eastAsia="zh-CN"/>
                    </w:rPr>
                    <w:t>（接缝材质采用呋喃树脂防渗材料）</w:t>
                  </w:r>
                  <w:r>
                    <w:rPr>
                      <w:rFonts w:hint="default" w:ascii="Times New Roman" w:hAnsi="Times New Roman" w:eastAsia="宋体" w:cs="Times New Roman"/>
                      <w:color w:val="auto"/>
                      <w:spacing w:val="-10"/>
                      <w:sz w:val="18"/>
                      <w:szCs w:val="18"/>
                      <w:highlight w:val="none"/>
                      <w:lang w:val="en-US" w:eastAsia="zh-CN"/>
                    </w:rPr>
                    <w:t>，渗透系数≤10</w:t>
                  </w:r>
                  <w:r>
                    <w:rPr>
                      <w:rFonts w:hint="default" w:ascii="Times New Roman" w:hAnsi="Times New Roman" w:eastAsia="宋体" w:cs="Times New Roman"/>
                      <w:color w:val="auto"/>
                      <w:spacing w:val="-10"/>
                      <w:sz w:val="18"/>
                      <w:szCs w:val="18"/>
                      <w:highlight w:val="none"/>
                      <w:vertAlign w:val="superscript"/>
                      <w:lang w:val="en-US" w:eastAsia="zh-CN"/>
                    </w:rPr>
                    <w:t>-10</w:t>
                  </w:r>
                </w:p>
                <w:p w14:paraId="7CB06470">
                  <w:pPr>
                    <w:jc w:val="center"/>
                    <w:rPr>
                      <w:rFonts w:hint="eastAsia"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cm/s</w:t>
                  </w:r>
                </w:p>
              </w:tc>
            </w:tr>
            <w:tr w14:paraId="1D33D01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Borders>
                    <w:tl2br w:val="nil"/>
                    <w:tr2bl w:val="nil"/>
                  </w:tcBorders>
                  <w:noWrap w:val="0"/>
                  <w:vAlign w:val="center"/>
                </w:tcPr>
                <w:p w14:paraId="44668325">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62B3C203">
                  <w:pPr>
                    <w:spacing w:line="0" w:lineRule="atLeas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实验残渣及残留样品</w:t>
                  </w:r>
                </w:p>
              </w:tc>
              <w:tc>
                <w:tcPr>
                  <w:tcW w:w="777" w:type="dxa"/>
                  <w:tcBorders>
                    <w:tl2br w:val="nil"/>
                    <w:tr2bl w:val="nil"/>
                  </w:tcBorders>
                  <w:noWrap w:val="0"/>
                  <w:vAlign w:val="center"/>
                </w:tcPr>
                <w:p w14:paraId="718A0E9F">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3AF4983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21EC6629">
                  <w:pPr>
                    <w:jc w:val="center"/>
                    <w:rPr>
                      <w:rFonts w:hint="eastAsia"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4FFFA537">
                  <w:pPr>
                    <w:jc w:val="center"/>
                    <w:rPr>
                      <w:rFonts w:hint="eastAsia" w:cs="Times New Roman"/>
                      <w:color w:val="auto"/>
                      <w:spacing w:val="-10"/>
                      <w:sz w:val="18"/>
                      <w:szCs w:val="18"/>
                      <w:highlight w:val="yellow"/>
                      <w:lang w:val="en-US" w:eastAsia="zh-CN"/>
                    </w:rPr>
                  </w:pPr>
                </w:p>
              </w:tc>
              <w:tc>
                <w:tcPr>
                  <w:tcW w:w="1259" w:type="dxa"/>
                  <w:tcBorders>
                    <w:tl2br w:val="nil"/>
                    <w:tr2bl w:val="nil"/>
                  </w:tcBorders>
                  <w:noWrap w:val="0"/>
                  <w:vAlign w:val="center"/>
                </w:tcPr>
                <w:p w14:paraId="0F85AAA0">
                  <w:pPr>
                    <w:spacing w:line="0" w:lineRule="atLeas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专用容器</w:t>
                  </w:r>
                </w:p>
              </w:tc>
              <w:tc>
                <w:tcPr>
                  <w:tcW w:w="744" w:type="dxa"/>
                  <w:vMerge w:val="continue"/>
                  <w:tcBorders>
                    <w:tl2br w:val="nil"/>
                    <w:tr2bl w:val="nil"/>
                  </w:tcBorders>
                  <w:shd w:val="clear" w:color="auto" w:fill="auto"/>
                  <w:noWrap w:val="0"/>
                  <w:vAlign w:val="center"/>
                </w:tcPr>
                <w:p w14:paraId="21F2F64C">
                  <w:pPr>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647C037B">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30F6D96D">
                  <w:pPr>
                    <w:jc w:val="center"/>
                    <w:rPr>
                      <w:rFonts w:hint="eastAsia" w:ascii="Times New Roman" w:hAnsi="Times New Roman" w:eastAsia="宋体" w:cs="Times New Roman"/>
                      <w:color w:val="auto"/>
                      <w:spacing w:val="-10"/>
                      <w:sz w:val="18"/>
                      <w:szCs w:val="18"/>
                      <w:highlight w:val="yellow"/>
                      <w:lang w:val="en-US" w:eastAsia="zh-CN"/>
                    </w:rPr>
                  </w:pPr>
                </w:p>
              </w:tc>
            </w:tr>
            <w:tr w14:paraId="4B052CB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Borders>
                    <w:tl2br w:val="nil"/>
                    <w:tr2bl w:val="nil"/>
                  </w:tcBorders>
                  <w:noWrap w:val="0"/>
                  <w:vAlign w:val="center"/>
                </w:tcPr>
                <w:p w14:paraId="6819096B">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0A4737F6">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废实验药品包装物</w:t>
                  </w:r>
                </w:p>
              </w:tc>
              <w:tc>
                <w:tcPr>
                  <w:tcW w:w="777" w:type="dxa"/>
                  <w:tcBorders>
                    <w:tl2br w:val="nil"/>
                    <w:tr2bl w:val="nil"/>
                  </w:tcBorders>
                  <w:noWrap w:val="0"/>
                  <w:vAlign w:val="center"/>
                </w:tcPr>
                <w:p w14:paraId="2158746A">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5DBA1D58">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5E6EA8FA">
                  <w:pPr>
                    <w:jc w:val="center"/>
                    <w:rPr>
                      <w:rFonts w:hint="eastAsia"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0A73A1EB">
                  <w:pPr>
                    <w:jc w:val="center"/>
                    <w:rPr>
                      <w:rFonts w:hint="default" w:cs="Times New Roman"/>
                      <w:color w:val="auto"/>
                      <w:spacing w:val="-10"/>
                      <w:sz w:val="18"/>
                      <w:szCs w:val="18"/>
                      <w:highlight w:val="yellow"/>
                      <w:lang w:val="en-US" w:eastAsia="zh-CN"/>
                    </w:rPr>
                  </w:pPr>
                </w:p>
              </w:tc>
              <w:tc>
                <w:tcPr>
                  <w:tcW w:w="1259" w:type="dxa"/>
                  <w:tcBorders>
                    <w:tl2br w:val="nil"/>
                    <w:tr2bl w:val="nil"/>
                  </w:tcBorders>
                  <w:noWrap w:val="0"/>
                  <w:vAlign w:val="center"/>
                </w:tcPr>
                <w:p w14:paraId="660BFB07">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包装袋袋装（袋口扎紧）包装瓶（装箱）</w:t>
                  </w:r>
                </w:p>
              </w:tc>
              <w:tc>
                <w:tcPr>
                  <w:tcW w:w="744" w:type="dxa"/>
                  <w:vMerge w:val="continue"/>
                  <w:tcBorders>
                    <w:tl2br w:val="nil"/>
                    <w:tr2bl w:val="nil"/>
                  </w:tcBorders>
                  <w:shd w:val="clear" w:color="auto" w:fill="auto"/>
                  <w:noWrap w:val="0"/>
                  <w:vAlign w:val="center"/>
                </w:tcPr>
                <w:p w14:paraId="014A7D25">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713B427A">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191D44F0">
                  <w:pPr>
                    <w:jc w:val="center"/>
                    <w:rPr>
                      <w:rFonts w:hint="eastAsia" w:ascii="Times New Roman" w:hAnsi="Times New Roman" w:eastAsia="宋体" w:cs="Times New Roman"/>
                      <w:color w:val="auto"/>
                      <w:spacing w:val="-10"/>
                      <w:sz w:val="18"/>
                      <w:szCs w:val="18"/>
                      <w:highlight w:val="yellow"/>
                      <w:lang w:val="en-US" w:eastAsia="zh-CN"/>
                    </w:rPr>
                  </w:pPr>
                </w:p>
              </w:tc>
            </w:tr>
            <w:tr w14:paraId="6CCEFBB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Borders>
                    <w:tl2br w:val="nil"/>
                    <w:tr2bl w:val="nil"/>
                  </w:tcBorders>
                  <w:noWrap w:val="0"/>
                  <w:vAlign w:val="center"/>
                </w:tcPr>
                <w:p w14:paraId="0CB132E0">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7339E537">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废弃一次性实验用品</w:t>
                  </w:r>
                </w:p>
              </w:tc>
              <w:tc>
                <w:tcPr>
                  <w:tcW w:w="777" w:type="dxa"/>
                  <w:tcBorders>
                    <w:tl2br w:val="nil"/>
                    <w:tr2bl w:val="nil"/>
                  </w:tcBorders>
                  <w:noWrap w:val="0"/>
                  <w:vAlign w:val="center"/>
                </w:tcPr>
                <w:p w14:paraId="599818E4">
                  <w:pPr>
                    <w:spacing w:line="0" w:lineRule="atLeast"/>
                    <w:jc w:val="center"/>
                    <w:rPr>
                      <w:rFonts w:hint="eastAsia" w:ascii="Times New Roman" w:hAnsi="Times New Roman" w:cs="Times New Roman"/>
                      <w:color w:val="auto"/>
                      <w:spacing w:val="-2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2AEAE779">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4212CA83">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128CF0D5">
                  <w:pPr>
                    <w:jc w:val="center"/>
                    <w:rPr>
                      <w:rFonts w:hint="default" w:ascii="Times New Roman" w:hAnsi="Times New Roman" w:eastAsia="宋体" w:cs="Times New Roman"/>
                      <w:color w:val="auto"/>
                      <w:spacing w:val="-10"/>
                      <w:sz w:val="18"/>
                      <w:szCs w:val="18"/>
                      <w:highlight w:val="yellow"/>
                      <w:lang w:val="en-US" w:eastAsia="zh-CN"/>
                    </w:rPr>
                  </w:pPr>
                </w:p>
              </w:tc>
              <w:tc>
                <w:tcPr>
                  <w:tcW w:w="1259" w:type="dxa"/>
                  <w:tcBorders>
                    <w:tl2br w:val="nil"/>
                    <w:tr2bl w:val="nil"/>
                  </w:tcBorders>
                  <w:noWrap w:val="0"/>
                  <w:vAlign w:val="center"/>
                </w:tcPr>
                <w:p w14:paraId="3D0A26B1">
                  <w:pPr>
                    <w:jc w:val="center"/>
                    <w:rPr>
                      <w:rFonts w:hint="default" w:ascii="Times New Roman" w:hAnsi="Times New Roman" w:eastAsia="宋体" w:cs="Times New Roman"/>
                      <w:color w:val="auto"/>
                      <w:spacing w:val="-10"/>
                      <w:sz w:val="18"/>
                      <w:szCs w:val="18"/>
                      <w:highlight w:val="yellow"/>
                      <w:lang w:val="en-US" w:eastAsia="zh-CN"/>
                    </w:rPr>
                  </w:pPr>
                  <w:r>
                    <w:rPr>
                      <w:rFonts w:hint="default" w:cs="Times New Roman"/>
                      <w:color w:val="auto"/>
                      <w:spacing w:val="-10"/>
                      <w:sz w:val="18"/>
                      <w:szCs w:val="18"/>
                      <w:highlight w:val="none"/>
                      <w:lang w:val="en-US" w:eastAsia="zh-CN"/>
                    </w:rPr>
                    <w:t>桶装（桶口封严）</w:t>
                  </w:r>
                </w:p>
              </w:tc>
              <w:tc>
                <w:tcPr>
                  <w:tcW w:w="744" w:type="dxa"/>
                  <w:vMerge w:val="continue"/>
                  <w:tcBorders>
                    <w:tl2br w:val="nil"/>
                    <w:tr2bl w:val="nil"/>
                  </w:tcBorders>
                  <w:shd w:val="clear" w:color="auto" w:fill="auto"/>
                  <w:noWrap w:val="0"/>
                  <w:vAlign w:val="center"/>
                </w:tcPr>
                <w:p w14:paraId="1E8BEF10">
                  <w:pPr>
                    <w:spacing w:line="0" w:lineRule="atLeast"/>
                    <w:jc w:val="center"/>
                    <w:rPr>
                      <w:rFonts w:hint="default"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1CAF7401">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281D59EA">
                  <w:pPr>
                    <w:jc w:val="center"/>
                    <w:rPr>
                      <w:rFonts w:hint="eastAsia" w:ascii="Times New Roman" w:hAnsi="Times New Roman" w:eastAsia="宋体" w:cs="Times New Roman"/>
                      <w:color w:val="auto"/>
                      <w:spacing w:val="-10"/>
                      <w:sz w:val="18"/>
                      <w:szCs w:val="18"/>
                      <w:highlight w:val="yellow"/>
                      <w:lang w:val="en-US" w:eastAsia="zh-CN"/>
                    </w:rPr>
                  </w:pPr>
                </w:p>
              </w:tc>
            </w:tr>
            <w:tr w14:paraId="7721921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907" w:hRule="exact"/>
              </w:trPr>
              <w:tc>
                <w:tcPr>
                  <w:tcW w:w="622" w:type="dxa"/>
                  <w:vMerge w:val="continue"/>
                  <w:tcBorders>
                    <w:tl2br w:val="nil"/>
                    <w:tr2bl w:val="nil"/>
                  </w:tcBorders>
                  <w:noWrap w:val="0"/>
                  <w:vAlign w:val="center"/>
                </w:tcPr>
                <w:p w14:paraId="540A8D80">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tcBorders>
                    <w:tl2br w:val="nil"/>
                    <w:tr2bl w:val="nil"/>
                  </w:tcBorders>
                  <w:shd w:val="clear" w:color="auto" w:fill="auto"/>
                  <w:noWrap w:val="0"/>
                  <w:vAlign w:val="center"/>
                </w:tcPr>
                <w:p w14:paraId="5A8AA31C">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含有毒有害物质的废玻璃器皿及玻璃试剂瓶</w:t>
                  </w:r>
                </w:p>
              </w:tc>
              <w:tc>
                <w:tcPr>
                  <w:tcW w:w="777" w:type="dxa"/>
                  <w:tcBorders>
                    <w:tl2br w:val="nil"/>
                    <w:tr2bl w:val="nil"/>
                  </w:tcBorders>
                  <w:noWrap w:val="0"/>
                  <w:vAlign w:val="center"/>
                </w:tcPr>
                <w:p w14:paraId="47B9485C">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HW</w:t>
                  </w:r>
                  <w:r>
                    <w:rPr>
                      <w:rFonts w:hint="eastAsia" w:cs="Times New Roman"/>
                      <w:color w:val="auto"/>
                      <w:spacing w:val="-10"/>
                      <w:sz w:val="18"/>
                      <w:szCs w:val="18"/>
                      <w:highlight w:val="none"/>
                      <w:lang w:val="en-US" w:eastAsia="zh-CN"/>
                    </w:rPr>
                    <w:t>49</w:t>
                  </w:r>
                </w:p>
              </w:tc>
              <w:tc>
                <w:tcPr>
                  <w:tcW w:w="723" w:type="dxa"/>
                  <w:tcBorders>
                    <w:tl2br w:val="nil"/>
                    <w:tr2bl w:val="nil"/>
                  </w:tcBorders>
                  <w:shd w:val="clear" w:color="auto" w:fill="auto"/>
                  <w:noWrap w:val="0"/>
                  <w:vAlign w:val="center"/>
                </w:tcPr>
                <w:p w14:paraId="1831A042">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default"/>
                      <w:color w:val="auto"/>
                      <w:spacing w:val="-20"/>
                      <w:sz w:val="18"/>
                      <w:szCs w:val="18"/>
                      <w:highlight w:val="none"/>
                      <w:lang w:val="en-US" w:eastAsia="zh-CN"/>
                    </w:rPr>
                    <w:t>900-047-49</w:t>
                  </w:r>
                </w:p>
              </w:tc>
              <w:tc>
                <w:tcPr>
                  <w:tcW w:w="577" w:type="dxa"/>
                  <w:vMerge w:val="continue"/>
                  <w:tcBorders>
                    <w:tl2br w:val="nil"/>
                    <w:tr2bl w:val="nil"/>
                  </w:tcBorders>
                  <w:noWrap w:val="0"/>
                  <w:vAlign w:val="center"/>
                </w:tcPr>
                <w:p w14:paraId="40ED3A35">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Borders>
                    <w:tl2br w:val="nil"/>
                    <w:tr2bl w:val="nil"/>
                  </w:tcBorders>
                  <w:noWrap w:val="0"/>
                  <w:vAlign w:val="center"/>
                </w:tcPr>
                <w:p w14:paraId="0F5B5D0A">
                  <w:pPr>
                    <w:jc w:val="center"/>
                    <w:rPr>
                      <w:rFonts w:hint="eastAsia" w:cs="Times New Roman"/>
                      <w:color w:val="auto"/>
                      <w:spacing w:val="-10"/>
                      <w:sz w:val="18"/>
                      <w:szCs w:val="18"/>
                      <w:highlight w:val="yellow"/>
                      <w:lang w:val="en-US" w:eastAsia="zh-CN"/>
                    </w:rPr>
                  </w:pPr>
                </w:p>
              </w:tc>
              <w:tc>
                <w:tcPr>
                  <w:tcW w:w="1259" w:type="dxa"/>
                  <w:tcBorders>
                    <w:tl2br w:val="nil"/>
                    <w:tr2bl w:val="nil"/>
                  </w:tcBorders>
                  <w:noWrap w:val="0"/>
                  <w:vAlign w:val="center"/>
                </w:tcPr>
                <w:p w14:paraId="0DF3A924">
                  <w:pPr>
                    <w:jc w:val="center"/>
                    <w:rPr>
                      <w:rFonts w:hint="eastAsia" w:cs="Times New Roman"/>
                      <w:color w:val="auto"/>
                      <w:spacing w:val="-10"/>
                      <w:sz w:val="18"/>
                      <w:szCs w:val="18"/>
                      <w:highlight w:val="yellow"/>
                      <w:lang w:val="en-US" w:eastAsia="zh-CN"/>
                    </w:rPr>
                  </w:pPr>
                  <w:r>
                    <w:rPr>
                      <w:rFonts w:hint="default" w:cs="Times New Roman"/>
                      <w:color w:val="auto"/>
                      <w:spacing w:val="-10"/>
                      <w:sz w:val="18"/>
                      <w:szCs w:val="18"/>
                      <w:highlight w:val="none"/>
                      <w:lang w:val="en-US" w:eastAsia="zh-CN"/>
                    </w:rPr>
                    <w:t>桶装（桶口封严）</w:t>
                  </w:r>
                </w:p>
              </w:tc>
              <w:tc>
                <w:tcPr>
                  <w:tcW w:w="744" w:type="dxa"/>
                  <w:vMerge w:val="continue"/>
                  <w:tcBorders>
                    <w:tl2br w:val="nil"/>
                    <w:tr2bl w:val="nil"/>
                  </w:tcBorders>
                  <w:shd w:val="clear" w:color="auto" w:fill="auto"/>
                  <w:noWrap w:val="0"/>
                  <w:vAlign w:val="center"/>
                </w:tcPr>
                <w:p w14:paraId="7913FE09">
                  <w:pPr>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609" w:type="dxa"/>
                  <w:vMerge w:val="continue"/>
                  <w:tcBorders>
                    <w:tl2br w:val="nil"/>
                    <w:tr2bl w:val="nil"/>
                  </w:tcBorders>
                  <w:noWrap w:val="0"/>
                  <w:vAlign w:val="center"/>
                </w:tcPr>
                <w:p w14:paraId="1F4B81F0">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Borders>
                    <w:tl2br w:val="nil"/>
                    <w:tr2bl w:val="nil"/>
                  </w:tcBorders>
                  <w:noWrap w:val="0"/>
                  <w:vAlign w:val="center"/>
                </w:tcPr>
                <w:p w14:paraId="5E4054F0">
                  <w:pPr>
                    <w:jc w:val="center"/>
                    <w:rPr>
                      <w:rFonts w:hint="eastAsia" w:ascii="Times New Roman" w:hAnsi="Times New Roman" w:eastAsia="宋体" w:cs="Times New Roman"/>
                      <w:color w:val="auto"/>
                      <w:spacing w:val="-10"/>
                      <w:sz w:val="18"/>
                      <w:szCs w:val="18"/>
                      <w:highlight w:val="yellow"/>
                      <w:lang w:val="en-US" w:eastAsia="zh-CN"/>
                    </w:rPr>
                  </w:pPr>
                </w:p>
              </w:tc>
            </w:tr>
            <w:tr w14:paraId="618D932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Pr>
                <w:p w14:paraId="29382347">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shd w:val="clear" w:color="auto" w:fill="auto"/>
                  <w:vAlign w:val="center"/>
                </w:tcPr>
                <w:p w14:paraId="07890566">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过期试剂药品</w:t>
                  </w:r>
                </w:p>
              </w:tc>
              <w:tc>
                <w:tcPr>
                  <w:tcW w:w="777" w:type="dxa"/>
                  <w:vAlign w:val="center"/>
                </w:tcPr>
                <w:p w14:paraId="76DC2110">
                  <w:pPr>
                    <w:spacing w:line="0" w:lineRule="atLeast"/>
                    <w:jc w:val="center"/>
                    <w:rPr>
                      <w:rFonts w:hint="default"/>
                      <w:color w:val="auto"/>
                      <w:spacing w:val="-20"/>
                      <w:sz w:val="18"/>
                      <w:szCs w:val="18"/>
                      <w:highlight w:val="none"/>
                      <w:lang w:val="en-US" w:eastAsia="zh-CN"/>
                    </w:rPr>
                  </w:pPr>
                  <w:r>
                    <w:rPr>
                      <w:rFonts w:hint="eastAsia"/>
                      <w:color w:val="auto"/>
                      <w:spacing w:val="-20"/>
                      <w:sz w:val="18"/>
                      <w:szCs w:val="18"/>
                      <w:highlight w:val="none"/>
                      <w:lang w:val="en-US" w:eastAsia="zh-CN"/>
                    </w:rPr>
                    <w:t>HW03</w:t>
                  </w:r>
                </w:p>
              </w:tc>
              <w:tc>
                <w:tcPr>
                  <w:tcW w:w="723" w:type="dxa"/>
                  <w:shd w:val="clear" w:color="auto" w:fill="auto"/>
                  <w:vAlign w:val="center"/>
                </w:tcPr>
                <w:p w14:paraId="5295DB22">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default"/>
                      <w:color w:val="auto"/>
                      <w:spacing w:val="-20"/>
                      <w:sz w:val="18"/>
                      <w:szCs w:val="18"/>
                      <w:highlight w:val="none"/>
                      <w:lang w:val="en-US" w:eastAsia="zh-CN"/>
                    </w:rPr>
                    <w:t>900-002-03</w:t>
                  </w:r>
                </w:p>
              </w:tc>
              <w:tc>
                <w:tcPr>
                  <w:tcW w:w="577" w:type="dxa"/>
                  <w:vMerge w:val="continue"/>
                </w:tcPr>
                <w:p w14:paraId="74C91030">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Pr>
                <w:p w14:paraId="5CDDA6E2">
                  <w:pPr>
                    <w:jc w:val="center"/>
                    <w:rPr>
                      <w:rFonts w:hint="eastAsia" w:cs="Times New Roman"/>
                      <w:color w:val="auto"/>
                      <w:spacing w:val="-10"/>
                      <w:sz w:val="18"/>
                      <w:szCs w:val="18"/>
                      <w:highlight w:val="yellow"/>
                      <w:lang w:val="en-US" w:eastAsia="zh-CN"/>
                    </w:rPr>
                  </w:pPr>
                </w:p>
              </w:tc>
              <w:tc>
                <w:tcPr>
                  <w:tcW w:w="1259" w:type="dxa"/>
                  <w:vAlign w:val="center"/>
                </w:tcPr>
                <w:p w14:paraId="4B45F0B1">
                  <w:pPr>
                    <w:spacing w:line="0" w:lineRule="atLeas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专用容器</w:t>
                  </w:r>
                </w:p>
              </w:tc>
              <w:tc>
                <w:tcPr>
                  <w:tcW w:w="744" w:type="dxa"/>
                  <w:vMerge w:val="continue"/>
                  <w:shd w:val="clear" w:color="auto" w:fill="auto"/>
                  <w:vAlign w:val="center"/>
                </w:tcPr>
                <w:p w14:paraId="5FC2094A">
                  <w:pPr>
                    <w:spacing w:line="0" w:lineRule="atLeast"/>
                    <w:jc w:val="center"/>
                    <w:rPr>
                      <w:rFonts w:hint="eastAsia" w:ascii="Times New Roman" w:hAnsi="Times New Roman" w:eastAsia="宋体" w:cs="Times New Roman"/>
                      <w:color w:val="auto"/>
                      <w:spacing w:val="-10"/>
                      <w:kern w:val="2"/>
                      <w:sz w:val="18"/>
                      <w:szCs w:val="18"/>
                      <w:highlight w:val="none"/>
                      <w:lang w:val="en-US" w:eastAsia="zh-CN" w:bidi="ar-SA"/>
                    </w:rPr>
                  </w:pPr>
                </w:p>
              </w:tc>
              <w:tc>
                <w:tcPr>
                  <w:tcW w:w="609" w:type="dxa"/>
                  <w:vMerge w:val="continue"/>
                </w:tcPr>
                <w:p w14:paraId="547BAA74">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Pr>
                <w:p w14:paraId="6A143E68">
                  <w:pPr>
                    <w:jc w:val="center"/>
                    <w:rPr>
                      <w:rFonts w:hint="eastAsia" w:ascii="Times New Roman" w:hAnsi="Times New Roman" w:eastAsia="宋体" w:cs="Times New Roman"/>
                      <w:color w:val="auto"/>
                      <w:spacing w:val="-10"/>
                      <w:sz w:val="18"/>
                      <w:szCs w:val="18"/>
                      <w:highlight w:val="yellow"/>
                      <w:lang w:val="en-US" w:eastAsia="zh-CN"/>
                    </w:rPr>
                  </w:pPr>
                </w:p>
              </w:tc>
            </w:tr>
            <w:tr w14:paraId="493009D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622" w:type="dxa"/>
                  <w:vMerge w:val="continue"/>
                </w:tcPr>
                <w:p w14:paraId="6D468DEE">
                  <w:pPr>
                    <w:jc w:val="center"/>
                    <w:rPr>
                      <w:rFonts w:hint="eastAsia" w:ascii="Times New Roman" w:hAnsi="Times New Roman" w:eastAsia="宋体" w:cs="Times New Roman"/>
                      <w:color w:val="auto"/>
                      <w:spacing w:val="-10"/>
                      <w:sz w:val="18"/>
                      <w:szCs w:val="18"/>
                      <w:highlight w:val="yellow"/>
                      <w:lang w:val="en-US" w:eastAsia="zh-CN"/>
                    </w:rPr>
                  </w:pPr>
                </w:p>
              </w:tc>
              <w:tc>
                <w:tcPr>
                  <w:tcW w:w="1039" w:type="dxa"/>
                  <w:shd w:val="clear" w:color="auto" w:fill="auto"/>
                  <w:vAlign w:val="center"/>
                </w:tcPr>
                <w:p w14:paraId="4E7AC0DC">
                  <w:pPr>
                    <w:spacing w:line="0" w:lineRule="atLeas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废活性炭</w:t>
                  </w:r>
                </w:p>
              </w:tc>
              <w:tc>
                <w:tcPr>
                  <w:tcW w:w="777" w:type="dxa"/>
                  <w:vAlign w:val="center"/>
                </w:tcPr>
                <w:p w14:paraId="173E719A">
                  <w:pPr>
                    <w:spacing w:line="0" w:lineRule="atLeast"/>
                    <w:jc w:val="center"/>
                    <w:rPr>
                      <w:rFonts w:hint="eastAsia"/>
                      <w:color w:val="auto"/>
                      <w:spacing w:val="-20"/>
                      <w:sz w:val="18"/>
                      <w:szCs w:val="18"/>
                      <w:highlight w:val="none"/>
                      <w:lang w:val="en-US" w:eastAsia="zh-CN"/>
                    </w:rPr>
                  </w:pPr>
                  <w:r>
                    <w:rPr>
                      <w:rFonts w:hint="eastAsia"/>
                      <w:color w:val="auto"/>
                      <w:spacing w:val="-20"/>
                      <w:sz w:val="18"/>
                      <w:szCs w:val="18"/>
                      <w:highlight w:val="none"/>
                      <w:lang w:val="en-US" w:eastAsia="zh-CN"/>
                    </w:rPr>
                    <w:t>HW49</w:t>
                  </w:r>
                </w:p>
              </w:tc>
              <w:tc>
                <w:tcPr>
                  <w:tcW w:w="723" w:type="dxa"/>
                  <w:shd w:val="clear" w:color="auto" w:fill="auto"/>
                  <w:vAlign w:val="center"/>
                </w:tcPr>
                <w:p w14:paraId="6F9906B6">
                  <w:pPr>
                    <w:spacing w:line="0" w:lineRule="atLeas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cs="Times New Roman"/>
                      <w:color w:val="auto"/>
                      <w:spacing w:val="-20"/>
                      <w:sz w:val="18"/>
                      <w:szCs w:val="18"/>
                      <w:highlight w:val="none"/>
                      <w:lang w:val="en-US" w:eastAsia="zh-CN"/>
                    </w:rPr>
                    <w:t>900-039-49</w:t>
                  </w:r>
                </w:p>
              </w:tc>
              <w:tc>
                <w:tcPr>
                  <w:tcW w:w="577" w:type="dxa"/>
                  <w:vMerge w:val="continue"/>
                </w:tcPr>
                <w:p w14:paraId="774D5F11">
                  <w:pPr>
                    <w:jc w:val="center"/>
                    <w:rPr>
                      <w:rFonts w:hint="eastAsia" w:ascii="Times New Roman" w:hAnsi="Times New Roman" w:eastAsia="宋体" w:cs="Times New Roman"/>
                      <w:color w:val="auto"/>
                      <w:spacing w:val="-10"/>
                      <w:sz w:val="18"/>
                      <w:szCs w:val="18"/>
                      <w:highlight w:val="yellow"/>
                      <w:lang w:val="en-US" w:eastAsia="zh-CN"/>
                    </w:rPr>
                  </w:pPr>
                </w:p>
              </w:tc>
              <w:tc>
                <w:tcPr>
                  <w:tcW w:w="567" w:type="dxa"/>
                  <w:vMerge w:val="continue"/>
                </w:tcPr>
                <w:p w14:paraId="2E703222">
                  <w:pPr>
                    <w:jc w:val="center"/>
                    <w:rPr>
                      <w:rFonts w:hint="eastAsia" w:cs="Times New Roman"/>
                      <w:color w:val="auto"/>
                      <w:spacing w:val="-10"/>
                      <w:sz w:val="18"/>
                      <w:szCs w:val="18"/>
                      <w:highlight w:val="yellow"/>
                      <w:lang w:val="en-US" w:eastAsia="zh-CN"/>
                    </w:rPr>
                  </w:pPr>
                </w:p>
              </w:tc>
              <w:tc>
                <w:tcPr>
                  <w:tcW w:w="1259" w:type="dxa"/>
                </w:tcPr>
                <w:p w14:paraId="00FFF89B">
                  <w:pPr>
                    <w:spacing w:line="0" w:lineRule="atLeast"/>
                    <w:jc w:val="center"/>
                    <w:rPr>
                      <w:rFonts w:hint="eastAsia" w:cs="Times New Roman"/>
                      <w:color w:val="auto"/>
                      <w:spacing w:val="-10"/>
                      <w:sz w:val="18"/>
                      <w:szCs w:val="18"/>
                      <w:highlight w:val="none"/>
                      <w:lang w:val="en-US" w:eastAsia="zh-CN"/>
                    </w:rPr>
                  </w:pPr>
                  <w:r>
                    <w:rPr>
                      <w:rFonts w:hint="default" w:cs="Times New Roman"/>
                      <w:color w:val="auto"/>
                      <w:spacing w:val="-10"/>
                      <w:sz w:val="18"/>
                      <w:szCs w:val="18"/>
                      <w:highlight w:val="none"/>
                      <w:lang w:val="en-US" w:eastAsia="zh-CN"/>
                    </w:rPr>
                    <w:t>袋装（袋口扎紧）后桶装（桶口封严）</w:t>
                  </w:r>
                </w:p>
              </w:tc>
              <w:tc>
                <w:tcPr>
                  <w:tcW w:w="744" w:type="dxa"/>
                  <w:vMerge w:val="continue"/>
                </w:tcPr>
                <w:p w14:paraId="22C9573D">
                  <w:pPr>
                    <w:jc w:val="center"/>
                    <w:rPr>
                      <w:rFonts w:hint="eastAsia" w:cs="Times New Roman"/>
                      <w:color w:val="auto"/>
                      <w:spacing w:val="-10"/>
                      <w:sz w:val="18"/>
                      <w:szCs w:val="18"/>
                      <w:highlight w:val="yellow"/>
                      <w:lang w:val="en-US" w:eastAsia="zh-CN"/>
                    </w:rPr>
                  </w:pPr>
                </w:p>
              </w:tc>
              <w:tc>
                <w:tcPr>
                  <w:tcW w:w="609" w:type="dxa"/>
                  <w:vMerge w:val="continue"/>
                </w:tcPr>
                <w:p w14:paraId="22E55E5F">
                  <w:pPr>
                    <w:jc w:val="center"/>
                    <w:rPr>
                      <w:rFonts w:hint="eastAsia" w:ascii="Times New Roman" w:hAnsi="Times New Roman" w:eastAsia="宋体" w:cs="Times New Roman"/>
                      <w:color w:val="auto"/>
                      <w:spacing w:val="-10"/>
                      <w:sz w:val="18"/>
                      <w:szCs w:val="18"/>
                      <w:highlight w:val="yellow"/>
                      <w:lang w:val="en-US" w:eastAsia="zh-CN"/>
                    </w:rPr>
                  </w:pPr>
                </w:p>
              </w:tc>
              <w:tc>
                <w:tcPr>
                  <w:tcW w:w="1090" w:type="dxa"/>
                  <w:vMerge w:val="continue"/>
                </w:tcPr>
                <w:p w14:paraId="24F25A18">
                  <w:pPr>
                    <w:jc w:val="center"/>
                    <w:rPr>
                      <w:rFonts w:hint="eastAsia" w:ascii="Times New Roman" w:hAnsi="Times New Roman" w:eastAsia="宋体" w:cs="Times New Roman"/>
                      <w:color w:val="auto"/>
                      <w:spacing w:val="-10"/>
                      <w:sz w:val="18"/>
                      <w:szCs w:val="18"/>
                      <w:highlight w:val="yellow"/>
                      <w:lang w:val="en-US" w:eastAsia="zh-CN"/>
                    </w:rPr>
                  </w:pPr>
                </w:p>
              </w:tc>
            </w:tr>
          </w:tbl>
          <w:p w14:paraId="764BEC0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lang w:val="en-US" w:eastAsia="zh-CN"/>
              </w:rPr>
              <w:t xml:space="preserve">4.3.2日常管理要求 </w:t>
            </w:r>
          </w:p>
          <w:p w14:paraId="3298994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依照《中华人民共和国固体废物污染环境防治法》，对危险废物提出以下要求：危险废物贮存按《危险废物贮存污染控制标准》（GB18597-20</w:t>
            </w:r>
            <w:r>
              <w:rPr>
                <w:rFonts w:hint="eastAsia" w:ascii="Times New Roman" w:hAnsi="Times New Roman" w:cs="Times New Roman"/>
                <w:color w:val="auto"/>
                <w:sz w:val="21"/>
                <w:szCs w:val="21"/>
                <w:highlight w:val="none"/>
                <w:lang w:val="en-US" w:eastAsia="zh-CN"/>
              </w:rPr>
              <w:t>23</w:t>
            </w:r>
            <w:r>
              <w:rPr>
                <w:rFonts w:hint="default" w:ascii="Times New Roman" w:hAnsi="Times New Roman" w:eastAsia="宋体" w:cs="Times New Roman"/>
                <w:color w:val="auto"/>
                <w:sz w:val="21"/>
                <w:szCs w:val="21"/>
                <w:highlight w:val="none"/>
                <w:lang w:val="en-US" w:eastAsia="zh-CN"/>
              </w:rPr>
              <w:t>）规定进行：</w:t>
            </w:r>
          </w:p>
          <w:p w14:paraId="1D9A5BE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①危险废物在危废暂存间内按危险废物类别分区存放，不能混放；</w:t>
            </w:r>
          </w:p>
          <w:p w14:paraId="504F3E7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微软雅黑" w:cs="Times New Roman"/>
                <w:color w:val="auto"/>
                <w:sz w:val="21"/>
                <w:szCs w:val="21"/>
                <w:highlight w:val="none"/>
                <w:lang w:val="en-US" w:eastAsia="zh-CN"/>
              </w:rPr>
              <w:t>②</w:t>
            </w:r>
            <w:r>
              <w:rPr>
                <w:rFonts w:hint="default" w:ascii="Times New Roman" w:hAnsi="Times New Roman" w:eastAsia="宋体" w:cs="Times New Roman"/>
                <w:color w:val="auto"/>
                <w:sz w:val="21"/>
                <w:szCs w:val="21"/>
                <w:highlight w:val="none"/>
                <w:lang w:val="en-US" w:eastAsia="zh-CN"/>
              </w:rPr>
              <w:t xml:space="preserve">必须使用符合标准的容器盛装危险废物，装载危险废物的容器内须留足够空间，容器顶部与液体表面之间保留100毫米以上的空间； </w:t>
            </w:r>
          </w:p>
          <w:p w14:paraId="14A15FFC">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③装载危险废物的容器及材质要满足相应的强度要求，装载危险废物的容器必须完好无损</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盛装危险废物的容器材质和衬里要与危险废物相容（不相互反应）</w:t>
            </w:r>
            <w:r>
              <w:rPr>
                <w:rFonts w:hint="default" w:ascii="Times New Roman" w:hAnsi="Times New Roman" w:cs="Times New Roman"/>
                <w:color w:val="auto"/>
                <w:sz w:val="21"/>
                <w:szCs w:val="21"/>
                <w:highlight w:val="none"/>
                <w:lang w:val="en-US" w:eastAsia="zh-CN"/>
              </w:rPr>
              <w:t>；</w:t>
            </w:r>
          </w:p>
          <w:p w14:paraId="65F32CF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④盛装危险废物的容器上必须粘贴符合标准要求的标签</w:t>
            </w:r>
            <w:r>
              <w:rPr>
                <w:rFonts w:hint="eastAsia" w:ascii="Times New Roman" w:hAnsi="Times New Roman" w:eastAsia="宋体" w:cs="Times New Roman"/>
                <w:color w:val="auto"/>
                <w:sz w:val="21"/>
                <w:szCs w:val="21"/>
                <w:highlight w:val="none"/>
                <w:lang w:val="en-US" w:eastAsia="zh-CN"/>
              </w:rPr>
              <w:t>；</w:t>
            </w:r>
          </w:p>
          <w:p w14:paraId="0CA28245">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⑤作好危险废物情况的记录，记录上须注明危险废物的名称、来源、数量、特性和包装容器的类别、入库日期、存放库位、废物出库日期及接收单位名称。危险废物的记录和货单在危险废物回取后应继续保留三年</w:t>
            </w:r>
            <w:r>
              <w:rPr>
                <w:rFonts w:hint="eastAsia" w:ascii="Times New Roman" w:hAnsi="Times New Roman" w:cs="Times New Roman"/>
                <w:color w:val="auto"/>
                <w:sz w:val="21"/>
                <w:szCs w:val="21"/>
                <w:highlight w:val="none"/>
                <w:lang w:val="en-US" w:eastAsia="zh-CN"/>
              </w:rPr>
              <w:t>；</w:t>
            </w:r>
          </w:p>
          <w:p w14:paraId="30A50B77">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⑥</w:t>
            </w:r>
            <w:r>
              <w:rPr>
                <w:rFonts w:hint="default" w:ascii="Times New Roman" w:hAnsi="Times New Roman" w:eastAsia="宋体" w:cs="Times New Roman"/>
                <w:color w:val="auto"/>
                <w:sz w:val="21"/>
                <w:szCs w:val="21"/>
                <w:highlight w:val="none"/>
                <w:lang w:val="en-US" w:eastAsia="zh-CN"/>
              </w:rPr>
              <w:t>必须定期对所贮存的危险废物包装容器及贮存设施进行检查，发现破损，应及时采取措施清理更换。</w:t>
            </w:r>
          </w:p>
          <w:p w14:paraId="03D03EC6">
            <w:pPr>
              <w:spacing w:line="440" w:lineRule="exact"/>
              <w:jc w:val="center"/>
              <w:rPr>
                <w:rFonts w:hint="default" w:ascii="Times New Roman" w:hAnsi="Times New Roman" w:eastAsia="宋体" w:cs="Times New Roman"/>
                <w:b/>
                <w:color w:val="auto"/>
                <w:szCs w:val="21"/>
                <w:highlight w:val="none"/>
                <w:lang w:val="en-US" w:eastAsia="zh-CN"/>
              </w:rPr>
            </w:pPr>
            <w:r>
              <w:rPr>
                <w:rFonts w:hint="default" w:ascii="Times New Roman" w:hAnsi="Times New Roman" w:eastAsia="宋体" w:cs="Times New Roman"/>
                <w:b/>
                <w:color w:val="auto"/>
                <w:szCs w:val="21"/>
                <w:highlight w:val="none"/>
                <w:lang w:val="en-US" w:eastAsia="zh-CN"/>
              </w:rPr>
              <w:t>表</w:t>
            </w:r>
            <w:r>
              <w:rPr>
                <w:rFonts w:hint="eastAsia" w:cs="Times New Roman"/>
                <w:b/>
                <w:color w:val="auto"/>
                <w:szCs w:val="21"/>
                <w:highlight w:val="none"/>
                <w:lang w:val="en-US" w:eastAsia="zh-CN"/>
              </w:rPr>
              <w:t>38</w:t>
            </w:r>
            <w:r>
              <w:rPr>
                <w:rFonts w:hint="default" w:ascii="Times New Roman" w:hAnsi="Times New Roman" w:eastAsia="宋体" w:cs="Times New Roman"/>
                <w:b/>
                <w:color w:val="auto"/>
                <w:szCs w:val="21"/>
                <w:highlight w:val="none"/>
                <w:lang w:val="en-US" w:eastAsia="zh-CN"/>
              </w:rPr>
              <w:t xml:space="preserve"> </w:t>
            </w:r>
            <w:r>
              <w:rPr>
                <w:rFonts w:hint="eastAsia" w:ascii="Times New Roman" w:hAnsi="Times New Roman" w:eastAsia="宋体" w:cs="Times New Roman"/>
                <w:b/>
                <w:color w:val="auto"/>
                <w:szCs w:val="21"/>
                <w:highlight w:val="none"/>
                <w:lang w:val="en-US" w:eastAsia="zh-CN"/>
              </w:rPr>
              <w:t xml:space="preserve"> </w:t>
            </w:r>
            <w:r>
              <w:rPr>
                <w:rFonts w:hint="default" w:ascii="Times New Roman" w:hAnsi="Times New Roman" w:eastAsia="宋体" w:cs="Times New Roman"/>
                <w:b/>
                <w:color w:val="auto"/>
                <w:szCs w:val="21"/>
                <w:highlight w:val="none"/>
                <w:lang w:val="en-US" w:eastAsia="zh-CN"/>
              </w:rPr>
              <w:t>危废间及储存容器标签示例</w:t>
            </w:r>
          </w:p>
          <w:tbl>
            <w:tblPr>
              <w:tblStyle w:val="26"/>
              <w:tblW w:w="7942"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406"/>
              <w:gridCol w:w="5536"/>
            </w:tblGrid>
            <w:tr w14:paraId="664A4E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64" w:hRule="atLeast"/>
                <w:jc w:val="center"/>
              </w:trPr>
              <w:tc>
                <w:tcPr>
                  <w:tcW w:w="2406" w:type="dxa"/>
                  <w:tcBorders>
                    <w:tl2br w:val="nil"/>
                    <w:tr2bl w:val="nil"/>
                  </w:tcBorders>
                  <w:noWrap w:val="0"/>
                  <w:vAlign w:val="center"/>
                </w:tcPr>
                <w:p w14:paraId="21381041">
                  <w:pPr>
                    <w:keepNext w:val="0"/>
                    <w:keepLines w:val="0"/>
                    <w:suppressLineNumbers w:val="0"/>
                    <w:shd w:val="clear" w:color="auto" w:fill="auto"/>
                    <w:spacing w:before="0" w:beforeAutospacing="0" w:after="0" w:afterAutospacing="0"/>
                    <w:ind w:left="0" w:right="0"/>
                    <w:jc w:val="center"/>
                    <w:rPr>
                      <w:rFonts w:hint="default" w:ascii="Times New Roman" w:hAnsi="Times New Roman" w:eastAsia="仿宋_GB2312" w:cs="Times New Roman"/>
                      <w:color w:val="auto"/>
                      <w:sz w:val="18"/>
                      <w:szCs w:val="18"/>
                      <w:highlight w:val="none"/>
                    </w:rPr>
                  </w:pPr>
                  <w:r>
                    <w:rPr>
                      <w:color w:val="auto"/>
                    </w:rPr>
                    <w:drawing>
                      <wp:inline distT="0" distB="0" distL="114300" distR="114300">
                        <wp:extent cx="1383030" cy="876300"/>
                        <wp:effectExtent l="0" t="0" r="7620" b="0"/>
                        <wp:docPr id="4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2"/>
                                <pic:cNvPicPr>
                                  <a:picLocks noChangeAspect="1"/>
                                </pic:cNvPicPr>
                              </pic:nvPicPr>
                              <pic:blipFill>
                                <a:blip r:embed="rId11"/>
                                <a:stretch>
                                  <a:fillRect/>
                                </a:stretch>
                              </pic:blipFill>
                              <pic:spPr>
                                <a:xfrm>
                                  <a:off x="0" y="0"/>
                                  <a:ext cx="1383030" cy="876300"/>
                                </a:xfrm>
                                <a:prstGeom prst="rect">
                                  <a:avLst/>
                                </a:prstGeom>
                                <a:noFill/>
                                <a:ln>
                                  <a:noFill/>
                                </a:ln>
                              </pic:spPr>
                            </pic:pic>
                          </a:graphicData>
                        </a:graphic>
                      </wp:inline>
                    </w:drawing>
                  </w:r>
                </w:p>
              </w:tc>
              <w:tc>
                <w:tcPr>
                  <w:tcW w:w="5536" w:type="dxa"/>
                  <w:vMerge w:val="restart"/>
                  <w:tcBorders>
                    <w:tl2br w:val="nil"/>
                    <w:tr2bl w:val="nil"/>
                  </w:tcBorders>
                  <w:noWrap w:val="0"/>
                  <w:vAlign w:val="center"/>
                </w:tcPr>
                <w:p w14:paraId="2C11C1AA">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说明：</w:t>
                  </w:r>
                </w:p>
                <w:p w14:paraId="737D4AFD">
                  <w:pPr>
                    <w:keepNext w:val="0"/>
                    <w:keepLines w:val="0"/>
                    <w:pageBreakBefore w:val="0"/>
                    <w:widowControl w:val="0"/>
                    <w:numPr>
                      <w:ilvl w:val="0"/>
                      <w:numId w:val="5"/>
                    </w:numPr>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标签</w:t>
                  </w:r>
                  <w:r>
                    <w:rPr>
                      <w:rFonts w:hint="default" w:ascii="Times New Roman" w:hAnsi="Times New Roman" w:eastAsia="宋体" w:cs="Times New Roman"/>
                      <w:color w:val="auto"/>
                      <w:spacing w:val="-10"/>
                      <w:sz w:val="18"/>
                      <w:szCs w:val="18"/>
                      <w:highlight w:val="none"/>
                      <w:lang w:val="en-US" w:eastAsia="zh-CN"/>
                    </w:rPr>
                    <w:t>尺寸：</w:t>
                  </w:r>
                  <w:r>
                    <w:rPr>
                      <w:rFonts w:hint="eastAsia" w:ascii="Times New Roman" w:hAnsi="Times New Roman" w:eastAsia="宋体" w:cs="Times New Roman"/>
                      <w:color w:val="auto"/>
                      <w:spacing w:val="-10"/>
                      <w:sz w:val="18"/>
                      <w:szCs w:val="18"/>
                      <w:highlight w:val="none"/>
                      <w:lang w:val="en-US" w:eastAsia="zh-CN"/>
                    </w:rPr>
                    <w:t>①露天/室外入口：观察距离＞10m，最小尺寸90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558m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，三角形外边长500mm，三角形内边长375mm，边框外角圆弧半径30mm；②室内入口：4m＜观察距离≤10m，最小尺寸600</w:t>
                  </w: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372m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，三角形外边长300mm，三角形内边长225mm，边框外角圆弧半径18mm；③室内入口：观察距离≤</w:t>
                  </w:r>
                  <w:r>
                    <w:rPr>
                      <w:rFonts w:hint="eastAsia"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m，最小尺寸</w:t>
                  </w:r>
                  <w:r>
                    <w:rPr>
                      <w:rFonts w:hint="eastAsia" w:cs="Times New Roman"/>
                      <w:color w:val="auto"/>
                      <w:spacing w:val="-10"/>
                      <w:sz w:val="18"/>
                      <w:szCs w:val="18"/>
                      <w:highlight w:val="none"/>
                      <w:lang w:val="en-US" w:eastAsia="zh-CN"/>
                    </w:rPr>
                    <w:t>3</w:t>
                  </w:r>
                  <w:r>
                    <w:rPr>
                      <w:rFonts w:hint="eastAsia" w:ascii="Times New Roman" w:hAnsi="Times New Roman" w:eastAsia="宋体" w:cs="Times New Roman"/>
                      <w:color w:val="auto"/>
                      <w:spacing w:val="-10"/>
                      <w:sz w:val="18"/>
                      <w:szCs w:val="18"/>
                      <w:highlight w:val="none"/>
                      <w:lang w:val="en-US" w:eastAsia="zh-CN"/>
                    </w:rPr>
                    <w:t>00</w:t>
                  </w:r>
                  <w:r>
                    <w:rPr>
                      <w:rFonts w:hint="default" w:ascii="Times New Roman" w:hAnsi="Times New Roman" w:eastAsia="宋体"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186</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，三角形外边长</w:t>
                  </w:r>
                  <w:r>
                    <w:rPr>
                      <w:rFonts w:hint="eastAsia" w:cs="Times New Roman"/>
                      <w:color w:val="auto"/>
                      <w:spacing w:val="-10"/>
                      <w:sz w:val="18"/>
                      <w:szCs w:val="18"/>
                      <w:highlight w:val="none"/>
                      <w:lang w:val="en-US" w:eastAsia="zh-CN"/>
                    </w:rPr>
                    <w:t>14</w:t>
                  </w:r>
                  <w:r>
                    <w:rPr>
                      <w:rFonts w:hint="eastAsia" w:ascii="Times New Roman" w:hAnsi="Times New Roman" w:eastAsia="宋体" w:cs="Times New Roman"/>
                      <w:color w:val="auto"/>
                      <w:spacing w:val="-10"/>
                      <w:sz w:val="18"/>
                      <w:szCs w:val="18"/>
                      <w:highlight w:val="none"/>
                      <w:lang w:val="en-US" w:eastAsia="zh-CN"/>
                    </w:rPr>
                    <w:t>0mm，三角形内边长</w:t>
                  </w:r>
                  <w:r>
                    <w:rPr>
                      <w:rFonts w:hint="eastAsia"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5mm，边框外角圆弧半径</w:t>
                  </w:r>
                  <w:r>
                    <w:rPr>
                      <w:rFonts w:hint="eastAsia" w:cs="Times New Roman"/>
                      <w:color w:val="auto"/>
                      <w:spacing w:val="-10"/>
                      <w:sz w:val="18"/>
                      <w:szCs w:val="18"/>
                      <w:highlight w:val="none"/>
                      <w:lang w:val="en-US" w:eastAsia="zh-CN"/>
                    </w:rPr>
                    <w:t>8.4</w:t>
                  </w:r>
                  <w:r>
                    <w:rPr>
                      <w:rFonts w:hint="eastAsia" w:ascii="Times New Roman" w:hAnsi="Times New Roman" w:eastAsia="宋体" w:cs="Times New Roman"/>
                      <w:color w:val="auto"/>
                      <w:spacing w:val="-10"/>
                      <w:sz w:val="18"/>
                      <w:szCs w:val="18"/>
                      <w:highlight w:val="none"/>
                      <w:lang w:val="en-US" w:eastAsia="zh-CN"/>
                    </w:rPr>
                    <w:t>mm。</w:t>
                  </w:r>
                </w:p>
                <w:p w14:paraId="32DA9F97">
                  <w:pPr>
                    <w:keepNext w:val="0"/>
                    <w:keepLines w:val="0"/>
                    <w:pageBreakBefore w:val="0"/>
                    <w:widowControl w:val="0"/>
                    <w:numPr>
                      <w:ilvl w:val="0"/>
                      <w:numId w:val="5"/>
                    </w:numPr>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危险废物设施标志背景颜色为黄色，RGB 颜色值为（255，255，0）。字体和边框颜色为黑色，RGB颜色值为（0，0，0）。</w:t>
                  </w:r>
                </w:p>
                <w:p w14:paraId="3B95B96A">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w:t>
                  </w:r>
                  <w:r>
                    <w:rPr>
                      <w:rFonts w:hint="default" w:ascii="Times New Roman" w:hAnsi="Times New Roman" w:eastAsia="宋体" w:cs="Times New Roman"/>
                      <w:color w:val="auto"/>
                      <w:spacing w:val="-10"/>
                      <w:sz w:val="18"/>
                      <w:szCs w:val="18"/>
                      <w:highlight w:val="none"/>
                      <w:lang w:val="en-US" w:eastAsia="zh-CN"/>
                    </w:rPr>
                    <w:t>危险废物设施标志字体应采用黑体字，其中危险废物设施类型的字样应加粗放大并居中显示。</w:t>
                  </w:r>
                </w:p>
                <w:p w14:paraId="6B2B31C5">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w:t>
                  </w:r>
                  <w:r>
                    <w:rPr>
                      <w:rFonts w:hint="eastAsia" w:ascii="Times New Roman" w:hAnsi="Times New Roman" w:eastAsia="宋体" w:cs="Times New Roman"/>
                      <w:color w:val="auto"/>
                      <w:spacing w:val="-10"/>
                      <w:sz w:val="18"/>
                      <w:szCs w:val="18"/>
                      <w:highlight w:val="none"/>
                      <w:lang w:val="en-US" w:eastAsia="zh-CN"/>
                    </w:rPr>
                    <w:t>材质：</w:t>
                  </w:r>
                  <w:r>
                    <w:rPr>
                      <w:rFonts w:hint="default" w:ascii="Times New Roman" w:hAnsi="Times New Roman" w:eastAsia="宋体" w:cs="Times New Roman"/>
                      <w:color w:val="auto"/>
                      <w:spacing w:val="-10"/>
                      <w:sz w:val="18"/>
                      <w:szCs w:val="18"/>
                      <w:highlight w:val="none"/>
                      <w:lang w:val="en-US" w:eastAsia="zh-CN"/>
                    </w:rPr>
                    <w:t>采用坚固耐用的材料，并做搪瓷处理或贴膜处理</w:t>
                  </w:r>
                  <w:r>
                    <w:rPr>
                      <w:rFonts w:hint="eastAsia" w:ascii="Times New Roman" w:hAnsi="Times New Roman" w:eastAsia="宋体" w:cs="Times New Roman"/>
                      <w:color w:val="auto"/>
                      <w:spacing w:val="-10"/>
                      <w:sz w:val="18"/>
                      <w:szCs w:val="18"/>
                      <w:highlight w:val="none"/>
                      <w:lang w:val="en-US" w:eastAsia="zh-CN"/>
                    </w:rPr>
                    <w:t>。柱式标志牌的立柱可采用38×4无缝钢管或其他坚固耐用的材料，并经过防腐处理。</w:t>
                  </w:r>
                </w:p>
                <w:p w14:paraId="1B71F5A6">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仿宋_GB2312" w:cs="Times New Roman"/>
                      <w:color w:val="auto"/>
                      <w:sz w:val="18"/>
                      <w:szCs w:val="18"/>
                      <w:highlight w:val="yellow"/>
                    </w:rPr>
                  </w:pPr>
                  <w:r>
                    <w:rPr>
                      <w:rFonts w:hint="eastAsia" w:ascii="Times New Roman" w:hAnsi="Times New Roman" w:eastAsia="宋体" w:cs="Times New Roman"/>
                      <w:color w:val="auto"/>
                      <w:spacing w:val="-10"/>
                      <w:sz w:val="18"/>
                      <w:szCs w:val="18"/>
                      <w:highlight w:val="none"/>
                      <w:lang w:val="en-US" w:eastAsia="zh-CN"/>
                    </w:rPr>
                    <w:t>5、印刷：</w:t>
                  </w:r>
                  <w:r>
                    <w:rPr>
                      <w:rFonts w:hint="default" w:ascii="Times New Roman" w:hAnsi="Times New Roman" w:eastAsia="宋体" w:cs="Times New Roman"/>
                      <w:color w:val="auto"/>
                      <w:spacing w:val="-10"/>
                      <w:sz w:val="18"/>
                      <w:szCs w:val="18"/>
                      <w:highlight w:val="none"/>
                      <w:lang w:val="en-US" w:eastAsia="zh-CN"/>
                    </w:rPr>
                    <w:t>图形和文字应清晰、完整，保证在足够的观察距离条件下也不影响阅读。三角形警告性图形与其他信息间宜加黑色分界线区分，分界线的宽度宜不小于3mm。</w:t>
                  </w:r>
                </w:p>
              </w:tc>
            </w:tr>
            <w:tr w14:paraId="0DB944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2406" w:type="dxa"/>
                  <w:tcBorders>
                    <w:tl2br w:val="nil"/>
                    <w:tr2bl w:val="nil"/>
                  </w:tcBorders>
                  <w:noWrap w:val="0"/>
                  <w:vAlign w:val="center"/>
                </w:tcPr>
                <w:p w14:paraId="60B74FAF">
                  <w:pPr>
                    <w:keepNext w:val="0"/>
                    <w:keepLines w:val="0"/>
                    <w:suppressLineNumbers w:val="0"/>
                    <w:shd w:val="clear" w:color="auto" w:fill="auto"/>
                    <w:spacing w:before="0" w:beforeAutospacing="0" w:after="0" w:afterAutospacing="0"/>
                    <w:ind w:left="0" w:right="0"/>
                    <w:jc w:val="center"/>
                    <w:rPr>
                      <w:color w:val="auto"/>
                    </w:rPr>
                  </w:pPr>
                  <w:r>
                    <w:rPr>
                      <w:color w:val="auto"/>
                    </w:rPr>
                    <w:drawing>
                      <wp:anchor distT="0" distB="0" distL="114300" distR="114300" simplePos="0" relativeHeight="251662336" behindDoc="0" locked="0" layoutInCell="1" allowOverlap="1">
                        <wp:simplePos x="0" y="0"/>
                        <wp:positionH relativeFrom="column">
                          <wp:posOffset>229870</wp:posOffset>
                        </wp:positionH>
                        <wp:positionV relativeFrom="paragraph">
                          <wp:posOffset>11430</wp:posOffset>
                        </wp:positionV>
                        <wp:extent cx="891540" cy="1407795"/>
                        <wp:effectExtent l="0" t="0" r="3810" b="1905"/>
                        <wp:wrapNone/>
                        <wp:docPr id="5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4"/>
                                <pic:cNvPicPr>
                                  <a:picLocks noChangeAspect="1"/>
                                </pic:cNvPicPr>
                              </pic:nvPicPr>
                              <pic:blipFill>
                                <a:blip r:embed="rId12"/>
                                <a:stretch>
                                  <a:fillRect/>
                                </a:stretch>
                              </pic:blipFill>
                              <pic:spPr>
                                <a:xfrm>
                                  <a:off x="0" y="0"/>
                                  <a:ext cx="891540" cy="1407795"/>
                                </a:xfrm>
                                <a:prstGeom prst="rect">
                                  <a:avLst/>
                                </a:prstGeom>
                                <a:noFill/>
                                <a:ln>
                                  <a:noFill/>
                                </a:ln>
                              </pic:spPr>
                            </pic:pic>
                          </a:graphicData>
                        </a:graphic>
                      </wp:anchor>
                    </w:drawing>
                  </w:r>
                </w:p>
              </w:tc>
              <w:tc>
                <w:tcPr>
                  <w:tcW w:w="5536" w:type="dxa"/>
                  <w:vMerge w:val="continue"/>
                  <w:tcBorders>
                    <w:tl2br w:val="nil"/>
                    <w:tr2bl w:val="nil"/>
                  </w:tcBorders>
                  <w:noWrap w:val="0"/>
                  <w:vAlign w:val="center"/>
                </w:tcPr>
                <w:p w14:paraId="2D454D4E">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tc>
            </w:tr>
            <w:tr w14:paraId="07E18BB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2406" w:type="dxa"/>
                  <w:tcBorders>
                    <w:tl2br w:val="nil"/>
                    <w:tr2bl w:val="nil"/>
                  </w:tcBorders>
                  <w:noWrap w:val="0"/>
                  <w:vAlign w:val="center"/>
                </w:tcPr>
                <w:p w14:paraId="37267005">
                  <w:pPr>
                    <w:keepNext w:val="0"/>
                    <w:keepLines w:val="0"/>
                    <w:suppressLineNumbers w:val="0"/>
                    <w:shd w:val="clear" w:color="auto" w:fill="auto"/>
                    <w:spacing w:before="0" w:beforeAutospacing="0" w:after="0" w:afterAutospacing="0"/>
                    <w:ind w:left="0" w:right="0"/>
                    <w:jc w:val="center"/>
                    <w:rPr>
                      <w:rFonts w:hint="default" w:ascii="Times New Roman" w:hAnsi="Times New Roman" w:cs="Times New Roman"/>
                      <w:color w:val="auto"/>
                      <w:sz w:val="18"/>
                      <w:szCs w:val="18"/>
                      <w:highlight w:val="none"/>
                    </w:rPr>
                  </w:pPr>
                  <w:r>
                    <w:rPr>
                      <w:color w:val="auto"/>
                    </w:rPr>
                    <w:drawing>
                      <wp:inline distT="0" distB="0" distL="114300" distR="114300">
                        <wp:extent cx="1386205" cy="1381760"/>
                        <wp:effectExtent l="0" t="0" r="4445" b="8890"/>
                        <wp:docPr id="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
                                <pic:cNvPicPr>
                                  <a:picLocks noChangeAspect="1"/>
                                </pic:cNvPicPr>
                              </pic:nvPicPr>
                              <pic:blipFill>
                                <a:blip r:embed="rId13"/>
                                <a:stretch>
                                  <a:fillRect/>
                                </a:stretch>
                              </pic:blipFill>
                              <pic:spPr>
                                <a:xfrm>
                                  <a:off x="0" y="0"/>
                                  <a:ext cx="1386205" cy="1381760"/>
                                </a:xfrm>
                                <a:prstGeom prst="rect">
                                  <a:avLst/>
                                </a:prstGeom>
                                <a:noFill/>
                                <a:ln>
                                  <a:noFill/>
                                </a:ln>
                              </pic:spPr>
                            </pic:pic>
                          </a:graphicData>
                        </a:graphic>
                      </wp:inline>
                    </w:drawing>
                  </w:r>
                </w:p>
              </w:tc>
              <w:tc>
                <w:tcPr>
                  <w:tcW w:w="5536" w:type="dxa"/>
                  <w:tcBorders>
                    <w:tl2br w:val="nil"/>
                    <w:tr2bl w:val="nil"/>
                  </w:tcBorders>
                  <w:noWrap w:val="0"/>
                  <w:vAlign w:val="center"/>
                </w:tcPr>
                <w:p w14:paraId="40467417">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说明：</w:t>
                  </w:r>
                </w:p>
                <w:p w14:paraId="3A25062A">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1、标签</w:t>
                  </w:r>
                  <w:r>
                    <w:rPr>
                      <w:rFonts w:hint="default" w:ascii="Times New Roman" w:hAnsi="Times New Roman" w:eastAsia="宋体" w:cs="Times New Roman"/>
                      <w:color w:val="auto"/>
                      <w:spacing w:val="-10"/>
                      <w:sz w:val="18"/>
                      <w:szCs w:val="18"/>
                      <w:highlight w:val="none"/>
                      <w:lang w:val="en-US" w:eastAsia="zh-CN"/>
                    </w:rPr>
                    <w:t>尺寸：</w:t>
                  </w:r>
                  <w:r>
                    <w:rPr>
                      <w:rFonts w:hint="eastAsia" w:ascii="Times New Roman" w:hAnsi="Times New Roman" w:eastAsia="宋体" w:cs="Times New Roman"/>
                      <w:color w:val="auto"/>
                      <w:spacing w:val="-10"/>
                      <w:sz w:val="18"/>
                      <w:szCs w:val="18"/>
                      <w:highlight w:val="none"/>
                      <w:lang w:val="en-US" w:eastAsia="zh-CN"/>
                    </w:rPr>
                    <w:t>①容器或包装物容积≤50L，标签最小尺寸10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10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②50L＜容器或包装物容积≤450L，标签最小尺寸15</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15</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③容器或包装物容积＞450L，标签最小尺寸20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20</w:t>
                  </w:r>
                  <w:r>
                    <w:rPr>
                      <w:rFonts w:hint="default" w:ascii="Times New Roman" w:hAnsi="Times New Roman" w:eastAsia="宋体" w:cs="Times New Roman"/>
                      <w:color w:val="auto"/>
                      <w:spacing w:val="-10"/>
                      <w:sz w:val="18"/>
                      <w:szCs w:val="18"/>
                      <w:highlight w:val="none"/>
                      <w:lang w:val="en-US" w:eastAsia="zh-CN"/>
                    </w:rPr>
                    <w:t>0</w:t>
                  </w:r>
                  <w:r>
                    <w:rPr>
                      <w:rFonts w:hint="eastAsia" w:ascii="Times New Roman" w:hAnsi="Times New Roman" w:eastAsia="宋体" w:cs="Times New Roman"/>
                      <w:color w:val="auto"/>
                      <w:spacing w:val="-10"/>
                      <w:sz w:val="18"/>
                      <w:szCs w:val="18"/>
                      <w:highlight w:val="none"/>
                      <w:lang w:val="en-US" w:eastAsia="zh-CN"/>
                    </w:rPr>
                    <w:t>m</w:t>
                  </w:r>
                  <w:r>
                    <w:rPr>
                      <w:rFonts w:hint="default" w:ascii="Times New Roman" w:hAnsi="Times New Roman" w:eastAsia="宋体" w:cs="Times New Roman"/>
                      <w:color w:val="auto"/>
                      <w:spacing w:val="-10"/>
                      <w:sz w:val="18"/>
                      <w:szCs w:val="18"/>
                      <w:highlight w:val="none"/>
                      <w:lang w:val="en-US" w:eastAsia="zh-CN"/>
                    </w:rPr>
                    <w:t>m</w:t>
                  </w:r>
                  <w:r>
                    <w:rPr>
                      <w:rFonts w:hint="eastAsia" w:ascii="Times New Roman" w:hAnsi="Times New Roman" w:eastAsia="宋体" w:cs="Times New Roman"/>
                      <w:color w:val="auto"/>
                      <w:spacing w:val="-10"/>
                      <w:sz w:val="18"/>
                      <w:szCs w:val="18"/>
                      <w:highlight w:val="none"/>
                      <w:lang w:val="en-US" w:eastAsia="zh-CN"/>
                    </w:rPr>
                    <w:t>。</w:t>
                  </w:r>
                </w:p>
                <w:p w14:paraId="2EA83692">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2、标签背景</w:t>
                  </w:r>
                  <w:r>
                    <w:rPr>
                      <w:rFonts w:hint="default" w:ascii="Times New Roman" w:hAnsi="Times New Roman" w:eastAsia="宋体" w:cs="Times New Roman"/>
                      <w:color w:val="auto"/>
                      <w:spacing w:val="-10"/>
                      <w:sz w:val="18"/>
                      <w:szCs w:val="18"/>
                      <w:highlight w:val="none"/>
                      <w:lang w:val="en-US" w:eastAsia="zh-CN"/>
                    </w:rPr>
                    <w:t>色</w:t>
                  </w:r>
                  <w:r>
                    <w:rPr>
                      <w:rFonts w:hint="eastAsia" w:ascii="Times New Roman" w:hAnsi="Times New Roman" w:eastAsia="宋体" w:cs="Times New Roman"/>
                      <w:color w:val="auto"/>
                      <w:spacing w:val="-10"/>
                      <w:sz w:val="18"/>
                      <w:szCs w:val="18"/>
                      <w:highlight w:val="none"/>
                      <w:lang w:val="en-US" w:eastAsia="zh-CN"/>
                    </w:rPr>
                    <w:t>应为</w:t>
                  </w:r>
                  <w:r>
                    <w:rPr>
                      <w:rFonts w:hint="default" w:ascii="Times New Roman" w:hAnsi="Times New Roman" w:eastAsia="宋体" w:cs="Times New Roman"/>
                      <w:color w:val="auto"/>
                      <w:spacing w:val="-10"/>
                      <w:sz w:val="18"/>
                      <w:szCs w:val="18"/>
                      <w:highlight w:val="none"/>
                      <w:lang w:val="en-US" w:eastAsia="zh-CN"/>
                    </w:rPr>
                    <w:t>醒目的橘黄色</w:t>
                  </w:r>
                  <w:r>
                    <w:rPr>
                      <w:rFonts w:hint="eastAsia" w:ascii="Times New Roman" w:hAnsi="Times New Roman" w:eastAsia="宋体" w:cs="Times New Roman"/>
                      <w:color w:val="auto"/>
                      <w:spacing w:val="-10"/>
                      <w:sz w:val="18"/>
                      <w:szCs w:val="18"/>
                      <w:highlight w:val="none"/>
                      <w:lang w:val="en-US" w:eastAsia="zh-CN"/>
                    </w:rPr>
                    <w:t>，RGB颜色值为（255，150，0）。</w:t>
                  </w:r>
                </w:p>
                <w:p w14:paraId="49164EA1">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3、标签边框和字体颜色为黑色，RGB颜色值为（0，0，0）。</w:t>
                  </w:r>
                </w:p>
                <w:p w14:paraId="124330AD">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4、标签材质：具有一定的耐用性和防水性。标签可采用不干胶印刷品，或印刷品外加防水塑料袋或塑封等。</w:t>
                  </w:r>
                </w:p>
                <w:p w14:paraId="07F0D26B">
                  <w:pPr>
                    <w:keepNext w:val="0"/>
                    <w:keepLines w:val="0"/>
                    <w:pageBreakBefore w:val="0"/>
                    <w:widowControl w:val="0"/>
                    <w:kinsoku/>
                    <w:wordWrap/>
                    <w:overflowPunct/>
                    <w:topLinePunct w:val="0"/>
                    <w:autoSpaceDE/>
                    <w:autoSpaceDN/>
                    <w:bidi w:val="0"/>
                    <w:adjustRightInd/>
                    <w:snapToGrid/>
                    <w:ind w:firstLine="320" w:firstLineChars="200"/>
                    <w:jc w:val="left"/>
                    <w:textAlignment w:val="auto"/>
                    <w:rPr>
                      <w:rFonts w:hint="default"/>
                      <w:color w:val="auto"/>
                      <w:lang w:val="en-US" w:eastAsia="zh-CN"/>
                    </w:rPr>
                  </w:pPr>
                  <w:r>
                    <w:rPr>
                      <w:rFonts w:hint="eastAsia" w:ascii="Times New Roman" w:hAnsi="Times New Roman" w:eastAsia="宋体" w:cs="Times New Roman"/>
                      <w:color w:val="auto"/>
                      <w:spacing w:val="-10"/>
                      <w:sz w:val="18"/>
                      <w:szCs w:val="18"/>
                      <w:highlight w:val="none"/>
                      <w:lang w:val="en-US" w:eastAsia="zh-CN"/>
                    </w:rPr>
                    <w:t>5、危险废物标签印刷的油墨应均匀，图案和文字应清晰、完整。危险废物标签的文字边缘宜加黑色边框，边框宽度不小于1mm，边框外宜留不小于3mm的空白。</w:t>
                  </w:r>
                </w:p>
              </w:tc>
            </w:tr>
          </w:tbl>
          <w:p w14:paraId="089DF1AB">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lang w:val="en-US" w:eastAsia="zh-CN"/>
              </w:rPr>
            </w:pPr>
            <w:r>
              <w:rPr>
                <w:rFonts w:hint="eastAsia" w:ascii="Times New Roman" w:hAnsi="Times New Roman" w:eastAsia="宋体" w:cs="Times New Roman"/>
                <w:b/>
                <w:color w:val="auto"/>
                <w:sz w:val="21"/>
                <w:szCs w:val="21"/>
              </w:rPr>
              <w:t>4.3.</w:t>
            </w:r>
            <w:r>
              <w:rPr>
                <w:rFonts w:hint="eastAsia" w:ascii="Times New Roman" w:hAnsi="Times New Roman" w:eastAsia="宋体" w:cs="Times New Roman"/>
                <w:b/>
                <w:color w:val="auto"/>
                <w:sz w:val="21"/>
                <w:szCs w:val="21"/>
                <w:lang w:val="en-US" w:eastAsia="zh-CN"/>
              </w:rPr>
              <w:t>3</w:t>
            </w:r>
            <w:r>
              <w:rPr>
                <w:rFonts w:hint="eastAsia" w:ascii="Times New Roman" w:hAnsi="Times New Roman" w:eastAsia="宋体" w:cs="Times New Roman"/>
                <w:b/>
                <w:color w:val="auto"/>
                <w:sz w:val="21"/>
                <w:szCs w:val="21"/>
              </w:rPr>
              <w:t>危险废物</w:t>
            </w:r>
            <w:r>
              <w:rPr>
                <w:rFonts w:hint="eastAsia" w:ascii="Times New Roman" w:hAnsi="Times New Roman" w:cs="Times New Roman"/>
                <w:b/>
                <w:color w:val="auto"/>
                <w:sz w:val="21"/>
                <w:szCs w:val="21"/>
                <w:lang w:val="en-US" w:eastAsia="zh-CN"/>
              </w:rPr>
              <w:t>外运</w:t>
            </w:r>
          </w:p>
          <w:p w14:paraId="5966F140">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根据《危险废物转移联单管理办法》的规定。在转移危险废物前，报批危险废物转移计划，申请领取联单。在转移前三日内报告当地环保局，并同时将预期到达时间报告接受地环保局。每转移一次同类危险废物，填写一份联单。每次有多类危险废物时，分别填写联单，并加盖公章。交付运输单位核实验收签字后，将联单第一联副联自留存档，将联单第二联交当地环保局。</w:t>
            </w:r>
          </w:p>
          <w:p w14:paraId="666FB0ED">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危废外运时，公司应当向当地环保局提交下列材料：</w:t>
            </w:r>
          </w:p>
          <w:p w14:paraId="192B98BD">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（1）拟转移危险废物的名称、种类、特性、形态、包装方式、数量、转移时间、主要危险废物成分等基本情况；</w:t>
            </w:r>
          </w:p>
          <w:p w14:paraId="08923762">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（2）运输单位具有运输危险货物资格的证明材料；</w:t>
            </w:r>
          </w:p>
          <w:p w14:paraId="575DDF24">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lang w:val="en-GB"/>
              </w:rPr>
            </w:pPr>
            <w:r>
              <w:rPr>
                <w:rFonts w:hint="eastAsia" w:ascii="Times New Roman" w:hAnsi="Times New Roman" w:eastAsia="宋体" w:cs="Times New Roman"/>
                <w:color w:val="auto"/>
                <w:sz w:val="21"/>
                <w:szCs w:val="21"/>
              </w:rPr>
              <w:t>（3）接受单位具有利用和处置危险废物资格及同意接受的证明材料。</w:t>
            </w:r>
          </w:p>
          <w:p w14:paraId="101338F4">
            <w:pPr>
              <w:pStyle w:val="22"/>
              <w:adjustRightInd w:val="0"/>
              <w:snapToGrid w:val="0"/>
              <w:spacing w:before="0" w:beforeAutospacing="0" w:after="0" w:afterAutospacing="0" w:line="440" w:lineRule="exact"/>
              <w:ind w:firstLine="422" w:firstLineChars="200"/>
              <w:rPr>
                <w:rFonts w:hint="eastAsia" w:ascii="Times New Roman" w:hAnsi="Times New Roman" w:eastAsia="宋体" w:cs="Times New Roman"/>
                <w:b/>
                <w:color w:val="auto"/>
                <w:sz w:val="21"/>
                <w:szCs w:val="21"/>
                <w:lang w:eastAsia="zh-CN"/>
              </w:rPr>
            </w:pPr>
            <w:r>
              <w:rPr>
                <w:rFonts w:hint="eastAsia" w:ascii="Times New Roman" w:hAnsi="Times New Roman" w:eastAsia="宋体" w:cs="Times New Roman"/>
                <w:b/>
                <w:color w:val="auto"/>
                <w:sz w:val="21"/>
                <w:szCs w:val="21"/>
              </w:rPr>
              <w:t>4.3.</w:t>
            </w:r>
            <w:r>
              <w:rPr>
                <w:rFonts w:hint="eastAsia" w:ascii="Times New Roman" w:hAnsi="Times New Roman" w:eastAsia="宋体" w:cs="Times New Roman"/>
                <w:b/>
                <w:color w:val="auto"/>
                <w:sz w:val="21"/>
                <w:szCs w:val="21"/>
                <w:lang w:val="en-US" w:eastAsia="zh-CN"/>
              </w:rPr>
              <w:t>4</w:t>
            </w:r>
            <w:r>
              <w:rPr>
                <w:rFonts w:hint="eastAsia" w:ascii="Times New Roman" w:hAnsi="Times New Roman" w:eastAsia="宋体" w:cs="Times New Roman"/>
                <w:b/>
                <w:color w:val="auto"/>
                <w:sz w:val="21"/>
                <w:szCs w:val="21"/>
              </w:rPr>
              <w:t>危险废物</w:t>
            </w:r>
            <w:r>
              <w:rPr>
                <w:rFonts w:hint="eastAsia" w:ascii="Times New Roman" w:hAnsi="Times New Roman" w:eastAsia="宋体" w:cs="Times New Roman"/>
                <w:b/>
                <w:color w:val="auto"/>
                <w:sz w:val="21"/>
                <w:szCs w:val="21"/>
                <w:lang w:val="en-US" w:eastAsia="zh-CN"/>
              </w:rPr>
              <w:t>处置</w:t>
            </w:r>
          </w:p>
          <w:p w14:paraId="78E296A6">
            <w:pPr>
              <w:pStyle w:val="22"/>
              <w:adjustRightInd w:val="0"/>
              <w:snapToGrid w:val="0"/>
              <w:spacing w:before="0" w:beforeAutospacing="0" w:after="0" w:afterAutospacing="0" w:line="440" w:lineRule="exact"/>
              <w:ind w:firstLine="420" w:firstLineChars="200"/>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本项目不对厂区内危险废物进行处置，危险废物经收集后委托</w:t>
            </w:r>
            <w:r>
              <w:rPr>
                <w:rFonts w:hint="eastAsia" w:ascii="Times New Roman" w:hAnsi="Times New Roman" w:eastAsia="宋体" w:cs="Times New Roman"/>
                <w:color w:val="auto"/>
                <w:sz w:val="21"/>
                <w:szCs w:val="21"/>
              </w:rPr>
              <w:t>有资质的危险废物处置单位</w:t>
            </w:r>
            <w:r>
              <w:rPr>
                <w:rFonts w:hint="eastAsia" w:ascii="Times New Roman" w:hAnsi="Times New Roman" w:eastAsia="宋体" w:cs="Times New Roman"/>
                <w:color w:val="auto"/>
                <w:sz w:val="21"/>
                <w:szCs w:val="21"/>
                <w:lang w:val="en-US" w:eastAsia="zh-CN"/>
              </w:rPr>
              <w:t>进行</w:t>
            </w:r>
            <w:r>
              <w:rPr>
                <w:rFonts w:hint="eastAsia" w:ascii="Times New Roman" w:hAnsi="Times New Roman" w:eastAsia="宋体" w:cs="Times New Roman"/>
                <w:color w:val="auto"/>
                <w:sz w:val="21"/>
                <w:szCs w:val="21"/>
              </w:rPr>
              <w:t>处置。</w:t>
            </w:r>
          </w:p>
          <w:p w14:paraId="08EC0800">
            <w:pPr>
              <w:pStyle w:val="22"/>
              <w:adjustRightInd w:val="0"/>
              <w:snapToGrid w:val="0"/>
              <w:spacing w:before="0" w:beforeAutospacing="0" w:after="0" w:afterAutospacing="0" w:line="440" w:lineRule="exact"/>
              <w:ind w:firstLine="420" w:firstLineChars="200"/>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根据上述分析可知，本项目危险废物贮存和运输满足《危险废物收集、贮存、运输技术规范》（HJ2025-2012）、《危险废物贮存污染控制标准》（GB18597-2023），对环境影响很小。</w:t>
            </w:r>
          </w:p>
          <w:p w14:paraId="7A29E7EE">
            <w:pPr>
              <w:pStyle w:val="22"/>
              <w:adjustRightInd w:val="0"/>
              <w:snapToGrid w:val="0"/>
              <w:spacing w:before="0" w:beforeAutospacing="0" w:after="0" w:afterAutospacing="0" w:line="440" w:lineRule="exact"/>
              <w:ind w:firstLine="422" w:firstLineChars="200"/>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4.4结论</w:t>
            </w:r>
          </w:p>
          <w:p w14:paraId="3566A727">
            <w:pPr>
              <w:spacing w:line="440" w:lineRule="exact"/>
              <w:ind w:firstLine="420" w:firstLineChars="200"/>
              <w:rPr>
                <w:color w:val="auto"/>
                <w:szCs w:val="21"/>
                <w:highlight w:val="none"/>
              </w:rPr>
            </w:pPr>
            <w:r>
              <w:rPr>
                <w:rFonts w:hint="eastAsia"/>
                <w:color w:val="auto"/>
                <w:szCs w:val="21"/>
                <w:highlight w:val="none"/>
                <w:lang w:val="en-US" w:eastAsia="zh-CN"/>
              </w:rPr>
              <w:t>综上</w:t>
            </w:r>
            <w:r>
              <w:rPr>
                <w:rFonts w:hint="eastAsia"/>
                <w:color w:val="auto"/>
                <w:szCs w:val="21"/>
                <w:highlight w:val="none"/>
              </w:rPr>
              <w:t>，</w:t>
            </w:r>
            <w:r>
              <w:rPr>
                <w:rFonts w:hint="eastAsia"/>
                <w:color w:val="auto"/>
                <w:szCs w:val="21"/>
                <w:highlight w:val="none"/>
                <w:lang w:val="en-US" w:eastAsia="zh-CN"/>
              </w:rPr>
              <w:t>拟建</w:t>
            </w:r>
            <w:r>
              <w:rPr>
                <w:rFonts w:hint="eastAsia"/>
                <w:color w:val="auto"/>
                <w:szCs w:val="21"/>
                <w:highlight w:val="none"/>
              </w:rPr>
              <w:t>项目固体废物全部综合利用或妥善处置，不会对环境产生明显影响，措施可行。</w:t>
            </w:r>
          </w:p>
          <w:p w14:paraId="2E24B9DA">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5</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地下水、土壤</w:t>
            </w:r>
          </w:p>
          <w:p w14:paraId="7D6EF3A6">
            <w:pPr>
              <w:spacing w:line="440" w:lineRule="exact"/>
              <w:ind w:firstLine="420" w:firstLineChars="200"/>
              <w:rPr>
                <w:color w:val="auto"/>
                <w:szCs w:val="21"/>
                <w:highlight w:val="none"/>
              </w:rPr>
            </w:pPr>
            <w:r>
              <w:rPr>
                <w:rFonts w:hint="eastAsia"/>
                <w:color w:val="auto"/>
                <w:szCs w:val="21"/>
                <w:highlight w:val="none"/>
              </w:rPr>
              <w:t>（1）污染源及途径</w:t>
            </w:r>
          </w:p>
          <w:p w14:paraId="3A8CB39F">
            <w:pPr>
              <w:adjustRightInd w:val="0"/>
              <w:spacing w:line="440" w:lineRule="exact"/>
              <w:ind w:firstLine="420" w:firstLineChars="200"/>
              <w:outlineLvl w:val="2"/>
              <w:rPr>
                <w:rFonts w:hint="eastAsia" w:ascii="Times New Roman" w:hAnsi="Times New Roman" w:eastAsia="宋体" w:cs="Times New Roman"/>
                <w:color w:val="auto"/>
                <w:szCs w:val="21"/>
                <w:highlight w:val="yellow"/>
              </w:rPr>
            </w:pPr>
            <w:r>
              <w:rPr>
                <w:rFonts w:hint="eastAsia" w:ascii="Times New Roman" w:hAnsi="Times New Roman" w:eastAsia="宋体" w:cs="Times New Roman"/>
                <w:color w:val="auto"/>
                <w:szCs w:val="21"/>
              </w:rPr>
              <w:t>本项目生产过程产生的废气主要为</w:t>
            </w:r>
            <w:r>
              <w:rPr>
                <w:rFonts w:hint="eastAsia" w:cs="Times New Roman"/>
                <w:color w:val="auto"/>
                <w:szCs w:val="21"/>
                <w:lang w:val="en-US" w:eastAsia="zh-CN"/>
              </w:rPr>
              <w:t>颗粒物、</w:t>
            </w:r>
            <w:r>
              <w:rPr>
                <w:rFonts w:hint="eastAsia" w:ascii="Times New Roman" w:hAnsi="Times New Roman" w:eastAsia="宋体" w:cs="Times New Roman"/>
                <w:color w:val="auto"/>
                <w:szCs w:val="21"/>
                <w:lang w:val="en-US" w:eastAsia="zh-CN"/>
              </w:rPr>
              <w:t>非甲烷总烃、氯化氢、硫酸雾，项目废气污染物</w:t>
            </w:r>
            <w:r>
              <w:rPr>
                <w:rFonts w:hint="eastAsia" w:ascii="Times New Roman" w:hAnsi="Times New Roman" w:eastAsia="宋体" w:cs="Times New Roman"/>
                <w:color w:val="auto"/>
                <w:szCs w:val="21"/>
              </w:rPr>
              <w:t>排放量较少</w:t>
            </w:r>
            <w:r>
              <w:rPr>
                <w:rFonts w:hint="eastAsia" w:ascii="Times New Roman" w:hAnsi="Times New Roman" w:eastAsia="宋体" w:cs="Times New Roman"/>
                <w:color w:val="auto"/>
                <w:szCs w:val="21"/>
                <w:lang w:val="en-US" w:eastAsia="zh-CN"/>
              </w:rPr>
              <w:t>，项目应落实相关防治措施，确保废气能达标排放，因此，</w:t>
            </w:r>
            <w:r>
              <w:rPr>
                <w:rFonts w:hint="eastAsia" w:ascii="Times New Roman" w:hAnsi="Times New Roman" w:eastAsia="宋体" w:cs="Times New Roman"/>
                <w:color w:val="auto"/>
                <w:szCs w:val="21"/>
              </w:rPr>
              <w:t>不会通过大气沉降对土壤环境及地下水环境产生明显不利</w:t>
            </w:r>
            <w:r>
              <w:rPr>
                <w:rFonts w:hint="eastAsia" w:ascii="Times New Roman" w:hAnsi="Times New Roman" w:eastAsia="宋体" w:cs="Times New Roman"/>
                <w:color w:val="auto"/>
                <w:szCs w:val="21"/>
                <w:highlight w:val="none"/>
              </w:rPr>
              <w:t>影响。</w:t>
            </w:r>
            <w:r>
              <w:rPr>
                <w:rFonts w:hint="eastAsia" w:ascii="Times New Roman" w:hAnsi="Times New Roman" w:eastAsia="宋体" w:cs="Times New Roman"/>
                <w:color w:val="auto"/>
                <w:szCs w:val="21"/>
                <w:highlight w:val="none"/>
                <w:lang w:val="en-US" w:eastAsia="zh-CN"/>
              </w:rPr>
              <w:t>项目</w:t>
            </w:r>
            <w:r>
              <w:rPr>
                <w:rFonts w:hint="eastAsia" w:cs="Times New Roman"/>
                <w:color w:val="auto"/>
                <w:szCs w:val="21"/>
                <w:highlight w:val="none"/>
                <w:lang w:val="en-US" w:eastAsia="zh-CN"/>
              </w:rPr>
              <w:t>实验废水经中和处理后与地面清洗废水、</w:t>
            </w:r>
            <w:r>
              <w:rPr>
                <w:rFonts w:hint="eastAsia" w:ascii="Times New Roman" w:hAnsi="Times New Roman" w:eastAsia="宋体" w:cs="Times New Roman"/>
                <w:color w:val="auto"/>
                <w:szCs w:val="21"/>
                <w:highlight w:val="none"/>
                <w:lang w:val="en-US" w:eastAsia="zh-CN"/>
              </w:rPr>
              <w:t>生活污水一并经化粪池处理后，经市政污水管网排入迁安市污水处理厂进行处理，</w:t>
            </w:r>
            <w:r>
              <w:rPr>
                <w:rFonts w:hint="eastAsia" w:ascii="Times New Roman" w:hAnsi="Times New Roman" w:eastAsia="宋体" w:cs="Times New Roman"/>
                <w:color w:val="auto"/>
                <w:szCs w:val="21"/>
                <w:highlight w:val="none"/>
              </w:rPr>
              <w:t>因此，</w:t>
            </w:r>
            <w:r>
              <w:rPr>
                <w:rFonts w:hint="eastAsia" w:ascii="Times New Roman" w:hAnsi="Times New Roman" w:eastAsia="宋体" w:cs="Times New Roman"/>
                <w:color w:val="auto"/>
                <w:szCs w:val="21"/>
                <w:highlight w:val="none"/>
                <w:lang w:val="en-US" w:eastAsia="zh-CN"/>
              </w:rPr>
              <w:t>项目产生的废水不会通过地表漫流对土壤及地下水环境产生明显不利影响。项目实验室药剂主要暂存于药品室，危险废物暂存于危险废物暂存间，理化实验主要在理化一室及理化二室内进行，</w:t>
            </w:r>
            <w:r>
              <w:rPr>
                <w:rFonts w:hint="eastAsia" w:ascii="Times New Roman" w:hAnsi="Times New Roman" w:eastAsia="宋体" w:cs="Times New Roman"/>
                <w:color w:val="auto"/>
                <w:szCs w:val="21"/>
                <w:highlight w:val="none"/>
              </w:rPr>
              <w:t>因此本项目建成后对地下水、土壤的污染源主要为</w:t>
            </w:r>
            <w:r>
              <w:rPr>
                <w:rFonts w:hint="eastAsia" w:ascii="Times New Roman" w:hAnsi="Times New Roman" w:eastAsia="宋体" w:cs="Times New Roman"/>
                <w:color w:val="auto"/>
                <w:szCs w:val="21"/>
                <w:highlight w:val="none"/>
                <w:lang w:val="en-US" w:eastAsia="zh-CN"/>
              </w:rPr>
              <w:t>药品室、危险废物暂存间、理化一室及理化二室因使用或保存过程中</w:t>
            </w:r>
            <w:r>
              <w:rPr>
                <w:rFonts w:hint="eastAsia" w:ascii="Times New Roman" w:hAnsi="Times New Roman" w:eastAsia="宋体" w:cs="Times New Roman"/>
                <w:color w:val="auto"/>
                <w:szCs w:val="21"/>
                <w:highlight w:val="none"/>
              </w:rPr>
              <w:t>，事故状态下可能因泄漏导致垂直入渗污染地下水、土壤</w:t>
            </w:r>
            <w:r>
              <w:rPr>
                <w:rFonts w:hint="default" w:ascii="Times New Roman" w:hAnsi="Times New Roman" w:eastAsia="宋体" w:cs="Times New Roman"/>
                <w:color w:val="auto"/>
                <w:szCs w:val="21"/>
                <w:highlight w:val="none"/>
                <w:lang w:eastAsia="zh-CN"/>
              </w:rPr>
              <w:t>。</w:t>
            </w:r>
          </w:p>
          <w:p w14:paraId="6B9872A7">
            <w:pPr>
              <w:spacing w:line="440" w:lineRule="exact"/>
              <w:ind w:firstLine="420" w:firstLineChars="200"/>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rPr>
              <w:t>（2）</w:t>
            </w:r>
            <w:r>
              <w:rPr>
                <w:rFonts w:hint="eastAsia" w:cs="Times New Roman"/>
                <w:color w:val="auto"/>
                <w:szCs w:val="21"/>
                <w:highlight w:val="none"/>
                <w:lang w:val="en-US" w:eastAsia="zh-CN"/>
              </w:rPr>
              <w:t>污染防治措施</w:t>
            </w:r>
          </w:p>
          <w:p w14:paraId="261FEAFC">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①源头控制措施</w:t>
            </w:r>
          </w:p>
          <w:p w14:paraId="5ACE90E8">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a.积极推行实施清洁生产，实现各类废物循环利用，减少污染物的排放量；</w:t>
            </w:r>
          </w:p>
          <w:p w14:paraId="3EBD3C85">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b.根据国家现行相关规范加强环境管理，采取防止和降低污染物跑、冒、滴、漏的措施。正常运营过程中应加强巡检及时处理污染物跑、冒、滴、漏，同时应加强对防渗工程的检查，若发现防渗密封材料老化或损坏，应及时维修更换；</w:t>
            </w:r>
          </w:p>
          <w:p w14:paraId="697A61F1">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c.对设备等采取控制措施，防止污染物的跑、冒、滴、漏，将污染物泄漏的环境风险事故降到最低限度；</w:t>
            </w:r>
          </w:p>
          <w:p w14:paraId="6EECD2AB">
            <w:pPr>
              <w:spacing w:line="440" w:lineRule="exact"/>
              <w:ind w:firstLine="420" w:firstLineChars="200"/>
              <w:rPr>
                <w:rFonts w:hint="eastAsia"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rPr>
              <w:t>d.坚持“可视化”原则，在满足工程和防渗层结构标准要求的前提下，尽量在地表面实施防渗措施，便于泄漏物质的收集和及时发现破损的防渗层。</w:t>
            </w:r>
          </w:p>
          <w:p w14:paraId="0F87AF08">
            <w:pPr>
              <w:spacing w:line="440" w:lineRule="exact"/>
              <w:ind w:firstLine="420" w:firstLineChars="200"/>
              <w:rPr>
                <w:rFonts w:hint="eastAsia"/>
                <w:color w:val="auto"/>
                <w:szCs w:val="21"/>
                <w:highlight w:val="none"/>
                <w:lang w:val="en-US" w:eastAsia="zh-CN"/>
              </w:rPr>
            </w:pPr>
            <w:r>
              <w:rPr>
                <w:rFonts w:hint="eastAsia" w:ascii="宋体" w:hAnsi="宋体"/>
                <w:color w:val="auto"/>
                <w:szCs w:val="21"/>
                <w:highlight w:val="none"/>
              </w:rPr>
              <w:t>②</w:t>
            </w:r>
            <w:r>
              <w:rPr>
                <w:rFonts w:hint="eastAsia" w:ascii="宋体" w:hAnsi="宋体"/>
                <w:color w:val="auto"/>
                <w:szCs w:val="21"/>
                <w:highlight w:val="none"/>
                <w:lang w:val="en-US" w:eastAsia="zh-CN"/>
              </w:rPr>
              <w:t>分区</w:t>
            </w:r>
            <w:r>
              <w:rPr>
                <w:rFonts w:hint="eastAsia"/>
                <w:color w:val="auto"/>
                <w:szCs w:val="21"/>
                <w:highlight w:val="none"/>
              </w:rPr>
              <w:t>防渗：</w:t>
            </w:r>
            <w:r>
              <w:rPr>
                <w:rFonts w:hint="default"/>
                <w:color w:val="auto"/>
                <w:szCs w:val="21"/>
                <w:highlight w:val="none"/>
                <w:lang w:val="en-US" w:eastAsia="zh-CN"/>
              </w:rPr>
              <w:t>为</w:t>
            </w:r>
            <w:r>
              <w:rPr>
                <w:rFonts w:hint="eastAsia"/>
                <w:color w:val="auto"/>
                <w:szCs w:val="21"/>
                <w:highlight w:val="none"/>
              </w:rPr>
              <w:t>防止项目建设对</w:t>
            </w:r>
            <w:r>
              <w:rPr>
                <w:rFonts w:hint="eastAsia"/>
                <w:color w:val="auto"/>
                <w:szCs w:val="21"/>
                <w:highlight w:val="none"/>
                <w:lang w:val="en-US" w:eastAsia="zh-CN"/>
              </w:rPr>
              <w:t>土壤、</w:t>
            </w:r>
            <w:r>
              <w:rPr>
                <w:rFonts w:hint="eastAsia"/>
                <w:color w:val="auto"/>
                <w:szCs w:val="21"/>
                <w:highlight w:val="none"/>
              </w:rPr>
              <w:t>地下水的影响，</w:t>
            </w:r>
            <w:r>
              <w:rPr>
                <w:rFonts w:hint="eastAsia" w:ascii="Times New Roman" w:hAnsi="Times New Roman" w:eastAsia="宋体" w:cs="Times New Roman"/>
                <w:color w:val="auto"/>
                <w:szCs w:val="21"/>
                <w:highlight w:val="none"/>
                <w:lang w:val="en-US" w:eastAsia="zh-CN"/>
              </w:rPr>
              <w:t>项目采取了分区防渗措施。</w:t>
            </w:r>
            <w:r>
              <w:rPr>
                <w:rFonts w:hint="eastAsia"/>
                <w:color w:val="auto"/>
                <w:szCs w:val="21"/>
                <w:highlight w:val="none"/>
                <w:lang w:val="en-US" w:eastAsia="zh-CN"/>
              </w:rPr>
              <w:t>拟建项目采取的</w:t>
            </w:r>
            <w:r>
              <w:rPr>
                <w:rFonts w:hint="eastAsia"/>
                <w:color w:val="auto"/>
                <w:szCs w:val="21"/>
                <w:highlight w:val="none"/>
              </w:rPr>
              <w:t>防渗设计能满足《环境影响评价技术导则 地下水环境》（HJ610-2016）地下水污染防渗分区防渗技术要求。</w:t>
            </w:r>
            <w:r>
              <w:rPr>
                <w:rFonts w:hint="eastAsia"/>
                <w:color w:val="auto"/>
                <w:szCs w:val="21"/>
                <w:highlight w:val="none"/>
                <w:lang w:val="en-US" w:eastAsia="zh-CN"/>
              </w:rPr>
              <w:t>拟建</w:t>
            </w:r>
            <w:r>
              <w:rPr>
                <w:rFonts w:hint="eastAsia"/>
                <w:color w:val="auto"/>
                <w:szCs w:val="21"/>
                <w:highlight w:val="none"/>
              </w:rPr>
              <w:t>项目采取了防渗措施，阻断了地下水污染途径，正常工况下，不会对</w:t>
            </w:r>
            <w:r>
              <w:rPr>
                <w:rFonts w:hint="eastAsia"/>
                <w:color w:val="auto"/>
                <w:szCs w:val="21"/>
                <w:highlight w:val="none"/>
                <w:lang w:val="en-US" w:eastAsia="zh-CN"/>
              </w:rPr>
              <w:t>土壤、</w:t>
            </w:r>
            <w:r>
              <w:rPr>
                <w:rFonts w:hint="eastAsia"/>
                <w:color w:val="auto"/>
                <w:szCs w:val="21"/>
                <w:highlight w:val="none"/>
              </w:rPr>
              <w:t>地下水环境产生影响。</w:t>
            </w:r>
            <w:r>
              <w:rPr>
                <w:rFonts w:hint="eastAsia"/>
                <w:color w:val="auto"/>
                <w:szCs w:val="21"/>
                <w:highlight w:val="none"/>
                <w:lang w:val="en-US" w:eastAsia="zh-CN"/>
              </w:rPr>
              <w:t>分区防渗措施详见下表。</w:t>
            </w:r>
          </w:p>
          <w:p w14:paraId="4D95D6BC">
            <w:pPr>
              <w:tabs>
                <w:tab w:val="left" w:pos="4253"/>
              </w:tabs>
              <w:spacing w:line="440" w:lineRule="exact"/>
              <w:jc w:val="center"/>
              <w:rPr>
                <w:rFonts w:ascii="Times New Roman" w:hAnsi="Times New Roman" w:eastAsia="宋体" w:cs="Times New Roman"/>
                <w:b/>
                <w:color w:val="auto"/>
                <w:szCs w:val="21"/>
                <w:highlight w:val="none"/>
              </w:rPr>
            </w:pP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39</w:t>
            </w:r>
            <w:r>
              <w:rPr>
                <w:rFonts w:ascii="Times New Roman" w:hAnsi="Times New Roman" w:eastAsia="宋体" w:cs="Times New Roman"/>
                <w:b/>
                <w:color w:val="auto"/>
                <w:szCs w:val="21"/>
                <w:highlight w:val="none"/>
              </w:rPr>
              <w:t xml:space="preserve">  防渗分区及防渗防腐要求一览表</w:t>
            </w:r>
          </w:p>
          <w:tbl>
            <w:tblPr>
              <w:tblStyle w:val="26"/>
              <w:tblW w:w="797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89"/>
              <w:gridCol w:w="3057"/>
              <w:gridCol w:w="2215"/>
              <w:gridCol w:w="1617"/>
            </w:tblGrid>
            <w:tr w14:paraId="3BE623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9" w:hRule="atLeast"/>
                <w:tblHeader/>
                <w:jc w:val="center"/>
              </w:trPr>
              <w:tc>
                <w:tcPr>
                  <w:tcW w:w="1089" w:type="dxa"/>
                  <w:tcBorders>
                    <w:top w:val="single" w:color="auto" w:sz="12" w:space="0"/>
                    <w:left w:val="nil"/>
                    <w:bottom w:val="single" w:color="auto" w:sz="12" w:space="0"/>
                  </w:tcBorders>
                  <w:noWrap w:val="0"/>
                  <w:vAlign w:val="top"/>
                </w:tcPr>
                <w:p w14:paraId="18972F8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防渗级别</w:t>
                  </w:r>
                </w:p>
              </w:tc>
              <w:tc>
                <w:tcPr>
                  <w:tcW w:w="3057" w:type="dxa"/>
                  <w:tcBorders>
                    <w:top w:val="single" w:color="auto" w:sz="12" w:space="0"/>
                    <w:bottom w:val="single" w:color="auto" w:sz="12" w:space="0"/>
                    <w:right w:val="single" w:color="auto" w:sz="4" w:space="0"/>
                  </w:tcBorders>
                  <w:noWrap w:val="0"/>
                  <w:vAlign w:val="center"/>
                </w:tcPr>
                <w:p w14:paraId="72D9164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防渗区域</w:t>
                  </w:r>
                </w:p>
              </w:tc>
              <w:tc>
                <w:tcPr>
                  <w:tcW w:w="2215" w:type="dxa"/>
                  <w:tcBorders>
                    <w:top w:val="single" w:color="auto" w:sz="12" w:space="0"/>
                    <w:left w:val="single" w:color="auto" w:sz="4" w:space="0"/>
                    <w:bottom w:val="single" w:color="auto" w:sz="12" w:space="0"/>
                    <w:right w:val="single" w:color="auto" w:sz="4" w:space="0"/>
                  </w:tcBorders>
                  <w:noWrap w:val="0"/>
                  <w:vAlign w:val="center"/>
                </w:tcPr>
                <w:p w14:paraId="5EB585D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防渗</w:t>
                  </w:r>
                  <w:r>
                    <w:rPr>
                      <w:rFonts w:hint="eastAsia" w:cs="Times New Roman"/>
                      <w:color w:val="auto"/>
                      <w:spacing w:val="-10"/>
                      <w:sz w:val="18"/>
                      <w:szCs w:val="18"/>
                      <w:highlight w:val="none"/>
                      <w:lang w:val="en-US" w:eastAsia="zh-CN"/>
                    </w:rPr>
                    <w:t>技术要求</w:t>
                  </w:r>
                </w:p>
              </w:tc>
              <w:tc>
                <w:tcPr>
                  <w:tcW w:w="1617" w:type="dxa"/>
                  <w:tcBorders>
                    <w:top w:val="single" w:color="auto" w:sz="12" w:space="0"/>
                    <w:left w:val="single" w:color="auto" w:sz="4" w:space="0"/>
                    <w:bottom w:val="single" w:color="auto" w:sz="12" w:space="0"/>
                    <w:right w:val="nil"/>
                  </w:tcBorders>
                  <w:noWrap w:val="0"/>
                  <w:vAlign w:val="center"/>
                </w:tcPr>
                <w:p w14:paraId="46D88B8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lang w:val="en-US" w:eastAsia="zh-CN"/>
                    </w:rPr>
                    <w:t>备注</w:t>
                  </w:r>
                </w:p>
              </w:tc>
            </w:tr>
            <w:tr w14:paraId="4FBEA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8" w:hRule="atLeast"/>
                <w:jc w:val="center"/>
              </w:trPr>
              <w:tc>
                <w:tcPr>
                  <w:tcW w:w="1089" w:type="dxa"/>
                  <w:tcBorders>
                    <w:top w:val="single" w:color="auto" w:sz="12" w:space="0"/>
                    <w:left w:val="nil"/>
                  </w:tcBorders>
                  <w:noWrap w:val="0"/>
                  <w:vAlign w:val="center"/>
                </w:tcPr>
                <w:p w14:paraId="10E5586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重点防渗区</w:t>
                  </w:r>
                </w:p>
              </w:tc>
              <w:tc>
                <w:tcPr>
                  <w:tcW w:w="3057" w:type="dxa"/>
                  <w:tcBorders>
                    <w:top w:val="single" w:color="auto" w:sz="12" w:space="0"/>
                    <w:right w:val="single" w:color="auto" w:sz="4" w:space="0"/>
                  </w:tcBorders>
                  <w:noWrap w:val="0"/>
                  <w:vAlign w:val="center"/>
                </w:tcPr>
                <w:p w14:paraId="0EA12FCA">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highlight w:val="none"/>
                      <w:lang w:val="en-US" w:eastAsia="zh-CN"/>
                    </w:rPr>
                    <w:t>危险废物暂存间、药品室、理化一室、理化二室、测油室</w:t>
                  </w:r>
                </w:p>
              </w:tc>
              <w:tc>
                <w:tcPr>
                  <w:tcW w:w="2215" w:type="dxa"/>
                  <w:tcBorders>
                    <w:top w:val="single" w:color="auto" w:sz="12" w:space="0"/>
                    <w:left w:val="single" w:color="auto" w:sz="4" w:space="0"/>
                    <w:right w:val="single" w:color="auto" w:sz="4" w:space="0"/>
                  </w:tcBorders>
                  <w:noWrap w:val="0"/>
                  <w:vAlign w:val="center"/>
                </w:tcPr>
                <w:p w14:paraId="2CFE2E51">
                  <w:pPr>
                    <w:spacing w:line="28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K≤1.0×10</w:t>
                  </w:r>
                  <w:r>
                    <w:rPr>
                      <w:rFonts w:hint="eastAsia" w:ascii="Times New Roman" w:hAnsi="Times New Roman" w:cs="Times New Roman"/>
                      <w:color w:val="auto"/>
                      <w:spacing w:val="-10"/>
                      <w:sz w:val="18"/>
                      <w:szCs w:val="18"/>
                      <w:highlight w:val="none"/>
                      <w:vertAlign w:val="superscript"/>
                      <w:lang w:val="en-US" w:eastAsia="zh-CN"/>
                    </w:rPr>
                    <w:t>-</w:t>
                  </w:r>
                  <w:r>
                    <w:rPr>
                      <w:rFonts w:hint="eastAsia" w:cs="Times New Roman"/>
                      <w:color w:val="auto"/>
                      <w:spacing w:val="-10"/>
                      <w:sz w:val="18"/>
                      <w:szCs w:val="18"/>
                      <w:highlight w:val="none"/>
                      <w:vertAlign w:val="superscript"/>
                      <w:lang w:val="en-US" w:eastAsia="zh-CN"/>
                    </w:rPr>
                    <w:t>10</w:t>
                  </w:r>
                  <w:r>
                    <w:rPr>
                      <w:rFonts w:hint="eastAsia" w:ascii="Times New Roman" w:hAnsi="Times New Roman" w:cs="Times New Roman"/>
                      <w:color w:val="auto"/>
                      <w:spacing w:val="-10"/>
                      <w:sz w:val="18"/>
                      <w:szCs w:val="18"/>
                      <w:highlight w:val="none"/>
                      <w:lang w:val="en-US" w:eastAsia="zh-CN"/>
                    </w:rPr>
                    <w:t>cm/s</w:t>
                  </w:r>
                </w:p>
              </w:tc>
              <w:tc>
                <w:tcPr>
                  <w:tcW w:w="1617" w:type="dxa"/>
                  <w:vMerge w:val="restart"/>
                  <w:tcBorders>
                    <w:top w:val="single" w:color="auto" w:sz="12" w:space="0"/>
                    <w:left w:val="single" w:color="auto" w:sz="4" w:space="0"/>
                    <w:right w:val="nil"/>
                  </w:tcBorders>
                  <w:noWrap w:val="0"/>
                  <w:vAlign w:val="center"/>
                </w:tcPr>
                <w:p w14:paraId="613BD8A2">
                  <w:pPr>
                    <w:spacing w:line="280" w:lineRule="exact"/>
                    <w:jc w:val="center"/>
                    <w:rPr>
                      <w:rFonts w:hint="eastAsia" w:ascii="Times New Roman" w:hAnsi="Times New Roman" w:cs="Times New Roman"/>
                      <w:color w:val="auto"/>
                      <w:spacing w:val="-10"/>
                      <w:sz w:val="18"/>
                      <w:szCs w:val="18"/>
                      <w:highlight w:val="none"/>
                      <w:lang w:val="en-US" w:eastAsia="zh-CN"/>
                    </w:rPr>
                  </w:pPr>
                  <w:r>
                    <w:rPr>
                      <w:rFonts w:hint="eastAsia"/>
                      <w:color w:val="auto"/>
                      <w:spacing w:val="-10"/>
                      <w:sz w:val="18"/>
                      <w:szCs w:val="18"/>
                      <w:lang w:val="en-US" w:eastAsia="zh-CN"/>
                    </w:rPr>
                    <w:t>符</w:t>
                  </w:r>
                  <w:r>
                    <w:rPr>
                      <w:rFonts w:hint="eastAsia" w:ascii="Times New Roman" w:hAnsi="Times New Roman" w:eastAsia="宋体" w:cs="Times New Roman"/>
                      <w:color w:val="auto"/>
                      <w:spacing w:val="-10"/>
                      <w:sz w:val="18"/>
                      <w:szCs w:val="18"/>
                      <w:highlight w:val="none"/>
                      <w:lang w:val="en-US" w:eastAsia="zh-CN"/>
                    </w:rPr>
                    <w:t>合《环境影响评价技术导则 地下水环境》（HJ610-2016）地下水污染防渗分区防渗技术要求</w:t>
                  </w:r>
                </w:p>
              </w:tc>
            </w:tr>
            <w:tr w14:paraId="37271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089" w:type="dxa"/>
                  <w:tcBorders>
                    <w:left w:val="nil"/>
                  </w:tcBorders>
                  <w:noWrap w:val="0"/>
                  <w:vAlign w:val="center"/>
                </w:tcPr>
                <w:p w14:paraId="5D0329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一般防渗区</w:t>
                  </w:r>
                </w:p>
              </w:tc>
              <w:tc>
                <w:tcPr>
                  <w:tcW w:w="3057" w:type="dxa"/>
                  <w:tcBorders>
                    <w:right w:val="single" w:color="auto" w:sz="4" w:space="0"/>
                  </w:tcBorders>
                  <w:noWrap w:val="0"/>
                  <w:vAlign w:val="center"/>
                </w:tcPr>
                <w:p w14:paraId="568370ED">
                  <w:pPr>
                    <w:spacing w:line="280" w:lineRule="exact"/>
                    <w:jc w:val="center"/>
                    <w:rPr>
                      <w:rFonts w:hint="default" w:ascii="Times New Roman" w:hAnsi="Times New Roman"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除重点防渗区及简单防渗区以外其他区域</w:t>
                  </w:r>
                </w:p>
              </w:tc>
              <w:tc>
                <w:tcPr>
                  <w:tcW w:w="2215" w:type="dxa"/>
                  <w:tcBorders>
                    <w:left w:val="single" w:color="auto" w:sz="4" w:space="0"/>
                    <w:right w:val="single" w:color="auto" w:sz="4" w:space="0"/>
                  </w:tcBorders>
                  <w:noWrap w:val="0"/>
                  <w:vAlign w:val="center"/>
                </w:tcPr>
                <w:p w14:paraId="61D3A052">
                  <w:pPr>
                    <w:spacing w:line="280" w:lineRule="exact"/>
                    <w:jc w:val="center"/>
                    <w:rPr>
                      <w:rFonts w:hint="eastAsia"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K≤1.0×10</w:t>
                  </w:r>
                  <w:r>
                    <w:rPr>
                      <w:rFonts w:hint="eastAsia" w:ascii="Times New Roman" w:hAnsi="Times New Roman" w:cs="Times New Roman"/>
                      <w:color w:val="auto"/>
                      <w:spacing w:val="-10"/>
                      <w:sz w:val="18"/>
                      <w:szCs w:val="18"/>
                      <w:highlight w:val="none"/>
                      <w:vertAlign w:val="superscript"/>
                      <w:lang w:val="en-US" w:eastAsia="zh-CN"/>
                    </w:rPr>
                    <w:t>-7</w:t>
                  </w:r>
                  <w:r>
                    <w:rPr>
                      <w:rFonts w:hint="eastAsia" w:ascii="Times New Roman" w:hAnsi="Times New Roman" w:cs="Times New Roman"/>
                      <w:color w:val="auto"/>
                      <w:spacing w:val="-10"/>
                      <w:sz w:val="18"/>
                      <w:szCs w:val="18"/>
                      <w:highlight w:val="none"/>
                      <w:lang w:val="en-US" w:eastAsia="zh-CN"/>
                    </w:rPr>
                    <w:t>cm/s</w:t>
                  </w:r>
                </w:p>
              </w:tc>
              <w:tc>
                <w:tcPr>
                  <w:tcW w:w="1617" w:type="dxa"/>
                  <w:vMerge w:val="continue"/>
                  <w:tcBorders>
                    <w:left w:val="single" w:color="auto" w:sz="4" w:space="0"/>
                    <w:right w:val="nil"/>
                  </w:tcBorders>
                  <w:noWrap w:val="0"/>
                  <w:vAlign w:val="center"/>
                </w:tcPr>
                <w:p w14:paraId="7686950C">
                  <w:pPr>
                    <w:spacing w:line="280" w:lineRule="exact"/>
                    <w:jc w:val="center"/>
                    <w:rPr>
                      <w:rFonts w:hint="eastAsia" w:ascii="Times New Roman" w:hAnsi="Times New Roman" w:cs="Times New Roman"/>
                      <w:color w:val="auto"/>
                      <w:spacing w:val="-10"/>
                      <w:sz w:val="18"/>
                      <w:szCs w:val="18"/>
                      <w:highlight w:val="none"/>
                      <w:lang w:val="en-US" w:eastAsia="zh-CN"/>
                    </w:rPr>
                  </w:pPr>
                </w:p>
              </w:tc>
            </w:tr>
            <w:tr w14:paraId="7FB434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jc w:val="center"/>
              </w:trPr>
              <w:tc>
                <w:tcPr>
                  <w:tcW w:w="1089" w:type="dxa"/>
                  <w:tcBorders>
                    <w:left w:val="nil"/>
                    <w:bottom w:val="single" w:color="auto" w:sz="12" w:space="0"/>
                  </w:tcBorders>
                  <w:noWrap w:val="0"/>
                  <w:vAlign w:val="center"/>
                </w:tcPr>
                <w:p w14:paraId="08C7AD4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简单防渗区</w:t>
                  </w:r>
                </w:p>
              </w:tc>
              <w:tc>
                <w:tcPr>
                  <w:tcW w:w="3057" w:type="dxa"/>
                  <w:tcBorders>
                    <w:bottom w:val="single" w:color="auto" w:sz="12" w:space="0"/>
                    <w:right w:val="single" w:color="auto" w:sz="4" w:space="0"/>
                  </w:tcBorders>
                  <w:noWrap w:val="0"/>
                  <w:vAlign w:val="center"/>
                </w:tcPr>
                <w:p w14:paraId="330C8B1A">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敞开式</w:t>
                  </w:r>
                  <w:r>
                    <w:rPr>
                      <w:rFonts w:hint="eastAsia" w:ascii="Times New Roman" w:hAnsi="Times New Roman" w:eastAsia="宋体" w:cs="Times New Roman"/>
                      <w:color w:val="auto"/>
                      <w:spacing w:val="-10"/>
                      <w:sz w:val="18"/>
                      <w:szCs w:val="18"/>
                      <w:highlight w:val="none"/>
                      <w:lang w:val="en-US" w:eastAsia="zh-CN"/>
                    </w:rPr>
                    <w:t>办公</w:t>
                  </w:r>
                  <w:r>
                    <w:rPr>
                      <w:rFonts w:hint="eastAsia" w:cs="Times New Roman"/>
                      <w:color w:val="auto"/>
                      <w:spacing w:val="-10"/>
                      <w:sz w:val="18"/>
                      <w:szCs w:val="18"/>
                      <w:highlight w:val="none"/>
                      <w:lang w:val="en-US" w:eastAsia="zh-CN"/>
                    </w:rPr>
                    <w:t>区、打印室、茶水间、办公室、财务室、会议室、洽谈室</w:t>
                  </w:r>
                </w:p>
              </w:tc>
              <w:tc>
                <w:tcPr>
                  <w:tcW w:w="2215" w:type="dxa"/>
                  <w:tcBorders>
                    <w:left w:val="single" w:color="auto" w:sz="4" w:space="0"/>
                    <w:bottom w:val="single" w:color="auto" w:sz="12" w:space="0"/>
                    <w:right w:val="single" w:color="auto" w:sz="4" w:space="0"/>
                  </w:tcBorders>
                  <w:noWrap w:val="0"/>
                  <w:vAlign w:val="center"/>
                </w:tcPr>
                <w:p w14:paraId="09E73539">
                  <w:pPr>
                    <w:spacing w:line="280" w:lineRule="exact"/>
                    <w:jc w:val="center"/>
                    <w:rPr>
                      <w:rFonts w:hint="default" w:ascii="Times New Roman" w:hAnsi="Times New Roman" w:cs="Times New Roman"/>
                      <w:color w:val="auto"/>
                      <w:spacing w:val="-10"/>
                      <w:sz w:val="18"/>
                      <w:szCs w:val="18"/>
                      <w:highlight w:val="none"/>
                      <w:lang w:val="en-US" w:eastAsia="zh-CN"/>
                    </w:rPr>
                  </w:pPr>
                  <w:r>
                    <w:rPr>
                      <w:rFonts w:hint="eastAsia" w:ascii="Times New Roman" w:hAnsi="Times New Roman" w:cs="Times New Roman"/>
                      <w:color w:val="auto"/>
                      <w:spacing w:val="-10"/>
                      <w:sz w:val="18"/>
                      <w:szCs w:val="18"/>
                      <w:highlight w:val="none"/>
                      <w:lang w:val="en-US" w:eastAsia="zh-CN"/>
                    </w:rPr>
                    <w:t>一般地面硬化</w:t>
                  </w:r>
                </w:p>
              </w:tc>
              <w:tc>
                <w:tcPr>
                  <w:tcW w:w="1617" w:type="dxa"/>
                  <w:vMerge w:val="continue"/>
                  <w:tcBorders>
                    <w:left w:val="single" w:color="auto" w:sz="4" w:space="0"/>
                    <w:bottom w:val="single" w:color="auto" w:sz="12" w:space="0"/>
                    <w:right w:val="nil"/>
                  </w:tcBorders>
                  <w:noWrap w:val="0"/>
                  <w:vAlign w:val="center"/>
                </w:tcPr>
                <w:p w14:paraId="432223EC">
                  <w:pPr>
                    <w:spacing w:line="280" w:lineRule="exact"/>
                    <w:jc w:val="center"/>
                    <w:rPr>
                      <w:rFonts w:hint="eastAsia" w:ascii="Times New Roman" w:hAnsi="Times New Roman" w:cs="Times New Roman"/>
                      <w:color w:val="auto"/>
                      <w:spacing w:val="-10"/>
                      <w:sz w:val="18"/>
                      <w:szCs w:val="18"/>
                      <w:highlight w:val="none"/>
                      <w:lang w:val="en-US" w:eastAsia="zh-CN"/>
                    </w:rPr>
                  </w:pPr>
                </w:p>
              </w:tc>
            </w:tr>
          </w:tbl>
          <w:p w14:paraId="39DAE2D6">
            <w:pPr>
              <w:spacing w:line="440" w:lineRule="exact"/>
              <w:ind w:firstLine="420" w:firstLineChars="200"/>
              <w:rPr>
                <w:color w:val="auto"/>
                <w:szCs w:val="21"/>
                <w:highlight w:val="none"/>
              </w:rPr>
            </w:pPr>
            <w:r>
              <w:rPr>
                <w:rFonts w:hint="eastAsia" w:ascii="宋体" w:hAnsi="宋体"/>
                <w:color w:val="auto"/>
                <w:szCs w:val="21"/>
                <w:highlight w:val="none"/>
              </w:rPr>
              <w:t>③</w:t>
            </w:r>
            <w:r>
              <w:rPr>
                <w:rFonts w:hint="eastAsia"/>
                <w:color w:val="auto"/>
                <w:szCs w:val="21"/>
                <w:highlight w:val="none"/>
              </w:rPr>
              <w:t>污染监控措施：安排专人定期进行检查，发生</w:t>
            </w:r>
            <w:r>
              <w:rPr>
                <w:rFonts w:hint="eastAsia"/>
                <w:color w:val="auto"/>
                <w:szCs w:val="21"/>
                <w:highlight w:val="none"/>
                <w:lang w:val="en-US" w:eastAsia="zh-CN"/>
              </w:rPr>
              <w:t>地面</w:t>
            </w:r>
            <w:r>
              <w:rPr>
                <w:rFonts w:hint="eastAsia"/>
                <w:color w:val="auto"/>
                <w:szCs w:val="21"/>
                <w:highlight w:val="none"/>
              </w:rPr>
              <w:t>破裂、泄漏易于及时发现。</w:t>
            </w:r>
          </w:p>
          <w:p w14:paraId="22788145">
            <w:pPr>
              <w:spacing w:line="440" w:lineRule="exact"/>
              <w:ind w:firstLine="420" w:firstLineChars="200"/>
              <w:rPr>
                <w:rFonts w:hint="eastAsia"/>
                <w:color w:val="auto"/>
                <w:szCs w:val="21"/>
                <w:highlight w:val="none"/>
              </w:rPr>
            </w:pPr>
            <w:r>
              <w:rPr>
                <w:rFonts w:hint="eastAsia" w:ascii="宋体" w:hAnsi="宋体" w:eastAsia="宋体" w:cs="宋体"/>
                <w:color w:val="auto"/>
                <w:szCs w:val="21"/>
                <w:highlight w:val="none"/>
              </w:rPr>
              <w:t>④</w:t>
            </w:r>
            <w:r>
              <w:rPr>
                <w:rFonts w:hint="eastAsia"/>
                <w:color w:val="auto"/>
                <w:szCs w:val="21"/>
                <w:highlight w:val="none"/>
              </w:rPr>
              <w:t>应急响应措施：建设单位通过严格管理，专人巡检等方式进行监管，非正常情况渗漏一经发现，启动应急预案，立即采取封堵、吸收、吸附等措施，防止大量泄漏。综上所述，防渗措施符合《环境影响评价技术导则 地下水环境》（HJ610-2016）相关要求，能够有效防控</w:t>
            </w:r>
            <w:r>
              <w:rPr>
                <w:rFonts w:hint="eastAsia"/>
                <w:color w:val="auto"/>
                <w:szCs w:val="21"/>
                <w:highlight w:val="none"/>
                <w:lang w:val="en-US" w:eastAsia="zh-CN"/>
              </w:rPr>
              <w:t>土壤、</w:t>
            </w:r>
            <w:r>
              <w:rPr>
                <w:rFonts w:hint="eastAsia"/>
                <w:color w:val="auto"/>
                <w:szCs w:val="21"/>
                <w:highlight w:val="none"/>
              </w:rPr>
              <w:t>地下水污染。</w:t>
            </w:r>
          </w:p>
          <w:p w14:paraId="1FDD4BD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rPr>
              <w:t>（</w:t>
            </w:r>
            <w:r>
              <w:rPr>
                <w:rFonts w:hint="eastAsia" w:ascii="Times New Roman" w:hAnsi="Times New Roman" w:eastAsia="宋体" w:cs="Times New Roman"/>
                <w:color w:val="auto"/>
                <w:szCs w:val="21"/>
                <w:highlight w:val="none"/>
                <w:lang w:val="en-US" w:eastAsia="zh-CN"/>
              </w:rPr>
              <w:t>3</w:t>
            </w:r>
            <w:r>
              <w:rPr>
                <w:rFonts w:hint="eastAsia" w:ascii="Times New Roman" w:hAnsi="Times New Roman" w:eastAsia="宋体" w:cs="Times New Roman"/>
                <w:color w:val="auto"/>
                <w:szCs w:val="21"/>
                <w:highlight w:val="none"/>
              </w:rPr>
              <w:t>）</w:t>
            </w:r>
            <w:r>
              <w:rPr>
                <w:rFonts w:hint="eastAsia" w:ascii="Times New Roman" w:hAnsi="Times New Roman" w:eastAsia="宋体" w:cs="Times New Roman"/>
                <w:color w:val="auto"/>
                <w:szCs w:val="21"/>
                <w:highlight w:val="none"/>
                <w:lang w:val="en-US" w:eastAsia="zh-CN"/>
              </w:rPr>
              <w:t>跟踪监测</w:t>
            </w:r>
          </w:p>
          <w:p w14:paraId="08FFABD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Times New Roman" w:hAnsi="Times New Roman" w:eastAsia="宋体" w:cs="Times New Roman"/>
                <w:color w:val="auto"/>
                <w:szCs w:val="21"/>
                <w:highlight w:val="none"/>
              </w:rPr>
            </w:pPr>
            <w:r>
              <w:rPr>
                <w:rFonts w:hint="eastAsia" w:ascii="Times New Roman" w:hAnsi="Times New Roman" w:eastAsia="宋体" w:cs="Times New Roman"/>
                <w:color w:val="auto"/>
                <w:szCs w:val="21"/>
                <w:highlight w:val="none"/>
                <w:lang w:val="en-US" w:eastAsia="zh-CN"/>
              </w:rPr>
              <w:t>拟建</w:t>
            </w:r>
            <w:r>
              <w:rPr>
                <w:rFonts w:hint="eastAsia" w:ascii="Times New Roman" w:hAnsi="Times New Roman" w:eastAsia="宋体" w:cs="Times New Roman"/>
                <w:color w:val="auto"/>
                <w:szCs w:val="21"/>
                <w:highlight w:val="none"/>
              </w:rPr>
              <w:t>项目采取</w:t>
            </w:r>
            <w:r>
              <w:rPr>
                <w:rFonts w:hint="eastAsia" w:ascii="Times New Roman" w:hAnsi="Times New Roman" w:eastAsia="宋体" w:cs="Times New Roman"/>
                <w:color w:val="auto"/>
                <w:szCs w:val="21"/>
                <w:highlight w:val="none"/>
                <w:lang w:val="en-US" w:eastAsia="zh-CN"/>
              </w:rPr>
              <w:t>了严格的分区防渗措施，</w:t>
            </w:r>
            <w:r>
              <w:rPr>
                <w:rFonts w:hint="eastAsia"/>
                <w:color w:val="auto"/>
                <w:szCs w:val="21"/>
                <w:highlight w:val="none"/>
              </w:rPr>
              <w:t>阻断了地下水污染途径，正常工况下，不会对地下水环境产生影响</w:t>
            </w:r>
            <w:r>
              <w:rPr>
                <w:rFonts w:hint="eastAsia" w:ascii="Times New Roman" w:hAnsi="Times New Roman" w:eastAsia="宋体" w:cs="Times New Roman"/>
                <w:color w:val="auto"/>
                <w:szCs w:val="21"/>
                <w:highlight w:val="none"/>
              </w:rPr>
              <w:t>，且</w:t>
            </w:r>
            <w:r>
              <w:rPr>
                <w:rFonts w:hint="eastAsia" w:ascii="Times New Roman" w:hAnsi="Times New Roman" w:eastAsia="宋体" w:cs="Times New Roman"/>
                <w:color w:val="auto"/>
                <w:szCs w:val="21"/>
                <w:highlight w:val="none"/>
                <w:lang w:val="en-US" w:eastAsia="zh-CN"/>
              </w:rPr>
              <w:t>拟建</w:t>
            </w:r>
            <w:r>
              <w:rPr>
                <w:rFonts w:hint="eastAsia" w:ascii="Times New Roman" w:hAnsi="Times New Roman" w:eastAsia="宋体" w:cs="Times New Roman"/>
                <w:color w:val="auto"/>
                <w:szCs w:val="21"/>
                <w:highlight w:val="none"/>
              </w:rPr>
              <w:t>项目厂界外500m范围内无地下水集中式饮用水水源和热水、矿泉水、温泉等特殊地下水资源，可不开展</w:t>
            </w:r>
            <w:r>
              <w:rPr>
                <w:rFonts w:hint="eastAsia" w:cs="Times New Roman"/>
                <w:color w:val="auto"/>
                <w:szCs w:val="21"/>
                <w:highlight w:val="none"/>
                <w:lang w:val="en-US" w:eastAsia="zh-CN"/>
              </w:rPr>
              <w:t>土壤、</w:t>
            </w:r>
            <w:r>
              <w:rPr>
                <w:rFonts w:hint="eastAsia" w:ascii="Times New Roman" w:hAnsi="Times New Roman" w:eastAsia="宋体" w:cs="Times New Roman"/>
                <w:color w:val="auto"/>
                <w:szCs w:val="21"/>
                <w:highlight w:val="none"/>
              </w:rPr>
              <w:t>地下水跟踪监测。</w:t>
            </w:r>
          </w:p>
          <w:p w14:paraId="358FCFE0">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6</w:t>
            </w:r>
            <w:r>
              <w:rPr>
                <w:rFonts w:ascii="Times New Roman" w:hAnsi="Times New Roman"/>
                <w:b/>
                <w:color w:val="auto"/>
                <w:sz w:val="21"/>
                <w:szCs w:val="21"/>
                <w:highlight w:val="none"/>
              </w:rPr>
              <w:t>.</w:t>
            </w:r>
            <w:r>
              <w:rPr>
                <w:rFonts w:hint="eastAsia" w:ascii="Times New Roman" w:hAnsi="Times New Roman"/>
                <w:b/>
                <w:color w:val="auto"/>
                <w:sz w:val="21"/>
                <w:szCs w:val="21"/>
                <w:highlight w:val="none"/>
              </w:rPr>
              <w:t>生态</w:t>
            </w:r>
          </w:p>
          <w:p w14:paraId="09162626">
            <w:pPr>
              <w:spacing w:line="440" w:lineRule="exact"/>
              <w:ind w:firstLine="420" w:firstLineChars="200"/>
              <w:rPr>
                <w:rFonts w:hint="default" w:ascii="Times New Roman" w:hAnsi="Times New Roman" w:cs="Times New Roman"/>
                <w:color w:val="auto"/>
                <w:szCs w:val="21"/>
                <w:lang w:val="en-US" w:eastAsia="zh-CN"/>
              </w:rPr>
            </w:pPr>
            <w:r>
              <w:rPr>
                <w:rFonts w:hint="eastAsia" w:ascii="Times New Roman" w:hAnsi="Times New Roman" w:eastAsia="宋体" w:cs="Times New Roman"/>
                <w:color w:val="auto"/>
                <w:szCs w:val="21"/>
                <w:lang w:val="en-US" w:eastAsia="zh-CN"/>
              </w:rPr>
              <w:t>本项目位于河北省迁安市永顺昌盛路与兴安大街交叉口620号，租赁现有房屋建设，占地范围内无</w:t>
            </w:r>
            <w:r>
              <w:rPr>
                <w:rFonts w:hint="eastAsia" w:ascii="Times New Roman" w:hAnsi="Times New Roman" w:cs="Times New Roman"/>
                <w:color w:val="auto"/>
                <w:szCs w:val="21"/>
                <w:lang w:val="en-US" w:eastAsia="zh-CN"/>
              </w:rPr>
              <w:t>生态环境保护目标，无需开展生态环境影响评价。</w:t>
            </w:r>
          </w:p>
          <w:p w14:paraId="12E8C688">
            <w:pPr>
              <w:pStyle w:val="22"/>
              <w:keepNext w:val="0"/>
              <w:keepLines w:val="0"/>
              <w:pageBreakBefore w:val="0"/>
              <w:kinsoku/>
              <w:wordWrap/>
              <w:overflowPunct/>
              <w:topLinePunct w:val="0"/>
              <w:autoSpaceDE/>
              <w:autoSpaceDN/>
              <w:bidi w:val="0"/>
              <w:adjustRightInd w:val="0"/>
              <w:snapToGrid w:val="0"/>
              <w:spacing w:before="0" w:beforeAutospacing="0" w:after="0" w:afterAutospacing="0" w:line="440" w:lineRule="exact"/>
              <w:ind w:firstLine="422" w:firstLineChars="200"/>
              <w:textAlignment w:val="auto"/>
              <w:rPr>
                <w:rFonts w:ascii="Times New Roman" w:hAnsi="Times New Roman"/>
                <w:b/>
                <w:color w:val="auto"/>
                <w:sz w:val="21"/>
                <w:szCs w:val="21"/>
                <w:highlight w:val="none"/>
              </w:rPr>
            </w:pPr>
            <w:r>
              <w:rPr>
                <w:rFonts w:hint="eastAsia" w:ascii="Times New Roman" w:hAnsi="Times New Roman"/>
                <w:b/>
                <w:color w:val="auto"/>
                <w:sz w:val="21"/>
                <w:szCs w:val="21"/>
                <w:highlight w:val="none"/>
              </w:rPr>
              <w:t>7.环境风险</w:t>
            </w:r>
          </w:p>
          <w:p w14:paraId="02BC3C49">
            <w:pPr>
              <w:spacing w:line="440" w:lineRule="exact"/>
              <w:ind w:firstLine="422" w:firstLineChars="200"/>
              <w:rPr>
                <w:rFonts w:hint="default" w:eastAsia="宋体"/>
                <w:b/>
                <w:bCs/>
                <w:color w:val="auto"/>
                <w:lang w:val="en-US" w:eastAsia="zh-CN"/>
              </w:rPr>
            </w:pPr>
            <w:r>
              <w:rPr>
                <w:rFonts w:hint="eastAsia"/>
                <w:b/>
                <w:bCs/>
                <w:color w:val="auto"/>
              </w:rPr>
              <w:t>7.1</w:t>
            </w:r>
            <w:r>
              <w:rPr>
                <w:rFonts w:hint="eastAsia"/>
                <w:b/>
                <w:bCs/>
                <w:color w:val="auto"/>
                <w:lang w:val="en-US" w:eastAsia="zh-CN"/>
              </w:rPr>
              <w:t>风险源调查</w:t>
            </w:r>
          </w:p>
          <w:p w14:paraId="35E802CF">
            <w:pPr>
              <w:spacing w:line="440" w:lineRule="exact"/>
              <w:ind w:firstLine="420" w:firstLineChars="200"/>
              <w:rPr>
                <w:rFonts w:hint="eastAsia" w:ascii="Times New Roman" w:hAnsi="Times New Roman" w:eastAsia="宋体" w:cs="Times New Roman"/>
                <w:color w:val="auto"/>
                <w:szCs w:val="21"/>
                <w:lang w:val="en-US" w:eastAsia="zh-CN"/>
              </w:rPr>
            </w:pPr>
            <w:r>
              <w:rPr>
                <w:rFonts w:hint="eastAsia" w:ascii="Times New Roman" w:hAnsi="Times New Roman" w:eastAsia="宋体" w:cs="Times New Roman"/>
                <w:color w:val="auto"/>
                <w:szCs w:val="21"/>
                <w:lang w:val="en-US" w:eastAsia="zh-CN"/>
              </w:rPr>
              <w:t>根据《建设项目环境风险评价技术导则》（HJ169-2018）附录B，本</w:t>
            </w:r>
            <w:r>
              <w:rPr>
                <w:rFonts w:hint="default" w:ascii="Times New Roman" w:hAnsi="Times New Roman" w:eastAsia="宋体" w:cs="Times New Roman"/>
                <w:color w:val="auto"/>
                <w:szCs w:val="21"/>
                <w:lang w:val="en-US" w:eastAsia="zh-CN"/>
              </w:rPr>
              <w:t>项目涉及的风险物质为</w:t>
            </w:r>
            <w:r>
              <w:rPr>
                <w:rFonts w:hint="eastAsia" w:ascii="Times New Roman" w:hAnsi="Times New Roman" w:eastAsia="宋体" w:cs="Times New Roman"/>
                <w:color w:val="auto"/>
                <w:szCs w:val="21"/>
                <w:lang w:val="en-US" w:eastAsia="zh-CN"/>
              </w:rPr>
              <w:t>盐酸、硫酸、乙炔等试验药剂及试验废液，本项目盐酸、硫酸等实验药剂主要暂存于药品室；乙炔暂存于气瓶室；同时实验药剂在理化试验区进行使用；实验废液暂存于危险废物暂存间，定期委托有资质单位进行处置。</w:t>
            </w:r>
          </w:p>
          <w:p w14:paraId="4AF83F83">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fldChar w:fldCharType="begin"/>
            </w:r>
            <w:r>
              <w:rPr>
                <w:rFonts w:hint="eastAsia" w:ascii="Times New Roman" w:hAnsi="Times New Roman" w:eastAsia="宋体" w:cs="Times New Roman"/>
                <w:color w:val="auto"/>
                <w:szCs w:val="21"/>
              </w:rPr>
              <w:instrText xml:space="preserve"> = 1 \* GB3 </w:instrText>
            </w:r>
            <w:r>
              <w:rPr>
                <w:rFonts w:hint="eastAsia" w:ascii="Times New Roman" w:hAnsi="Times New Roman" w:eastAsia="宋体" w:cs="Times New Roman"/>
                <w:color w:val="auto"/>
                <w:szCs w:val="21"/>
              </w:rPr>
              <w:fldChar w:fldCharType="separate"/>
            </w:r>
            <w:r>
              <w:rPr>
                <w:rFonts w:hint="eastAsia" w:ascii="Times New Roman" w:hAnsi="Times New Roman" w:eastAsia="宋体" w:cs="Times New Roman"/>
                <w:color w:val="auto"/>
                <w:szCs w:val="21"/>
              </w:rPr>
              <w:t>①</w:t>
            </w:r>
            <w:r>
              <w:rPr>
                <w:rFonts w:hint="eastAsia" w:ascii="Times New Roman" w:hAnsi="Times New Roman" w:eastAsia="宋体" w:cs="Times New Roman"/>
                <w:color w:val="auto"/>
                <w:szCs w:val="21"/>
              </w:rPr>
              <w:fldChar w:fldCharType="end"/>
            </w:r>
            <w:r>
              <w:rPr>
                <w:rFonts w:hint="eastAsia" w:ascii="Times New Roman" w:hAnsi="Times New Roman" w:eastAsia="宋体" w:cs="Times New Roman"/>
                <w:color w:val="auto"/>
                <w:szCs w:val="21"/>
              </w:rPr>
              <w:t>项目涉及物质危险性识别和评价</w:t>
            </w:r>
          </w:p>
          <w:p w14:paraId="2C714D26">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项目涉及到的危险性物质主要有</w:t>
            </w:r>
            <w:r>
              <w:rPr>
                <w:rFonts w:hint="eastAsia" w:ascii="Times New Roman" w:hAnsi="Times New Roman" w:eastAsia="宋体" w:cs="Times New Roman"/>
                <w:color w:val="auto"/>
                <w:szCs w:val="21"/>
                <w:lang w:val="en-US" w:eastAsia="zh-CN"/>
              </w:rPr>
              <w:t>盐酸、硫酸、乙炔</w:t>
            </w:r>
            <w:r>
              <w:rPr>
                <w:rFonts w:hint="eastAsia" w:ascii="Times New Roman" w:hAnsi="Times New Roman" w:eastAsia="宋体" w:cs="Times New Roman"/>
                <w:color w:val="auto"/>
                <w:szCs w:val="21"/>
              </w:rPr>
              <w:t>等化学药品，这些物质在生产、贮存及运输过程中均存在一定危险有害性，其物化性质及毒性见表</w:t>
            </w:r>
            <w:r>
              <w:rPr>
                <w:rFonts w:hint="eastAsia" w:cs="Times New Roman"/>
                <w:color w:val="auto"/>
                <w:szCs w:val="21"/>
                <w:lang w:val="en-US" w:eastAsia="zh-CN"/>
              </w:rPr>
              <w:t>40</w:t>
            </w:r>
            <w:r>
              <w:rPr>
                <w:rFonts w:hint="eastAsia" w:ascii="Times New Roman" w:hAnsi="Times New Roman" w:eastAsia="宋体" w:cs="Times New Roman"/>
                <w:color w:val="auto"/>
                <w:szCs w:val="21"/>
              </w:rPr>
              <w:t>、表</w:t>
            </w:r>
            <w:r>
              <w:rPr>
                <w:rFonts w:hint="eastAsia" w:cs="Times New Roman"/>
                <w:color w:val="auto"/>
                <w:szCs w:val="21"/>
                <w:lang w:val="en-US" w:eastAsia="zh-CN"/>
              </w:rPr>
              <w:t>41</w:t>
            </w:r>
            <w:r>
              <w:rPr>
                <w:rFonts w:hint="eastAsia" w:ascii="Times New Roman" w:hAnsi="Times New Roman" w:eastAsia="宋体" w:cs="Times New Roman"/>
                <w:color w:val="auto"/>
                <w:szCs w:val="21"/>
              </w:rPr>
              <w:t>。</w:t>
            </w:r>
          </w:p>
          <w:p w14:paraId="008B5D97">
            <w:pPr>
              <w:tabs>
                <w:tab w:val="left" w:pos="4253"/>
              </w:tabs>
              <w:spacing w:line="440" w:lineRule="exact"/>
              <w:jc w:val="center"/>
              <w:rPr>
                <w:rFonts w:ascii="Times New Roman" w:hAnsi="Times New Roman" w:eastAsia="宋体" w:cs="Times New Roman"/>
                <w:b/>
                <w:color w:val="auto"/>
                <w:szCs w:val="21"/>
                <w:highlight w:val="none"/>
              </w:rPr>
            </w:pP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40</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项目涉及主要物料理化特性一览表</w:t>
            </w:r>
          </w:p>
          <w:tbl>
            <w:tblPr>
              <w:tblStyle w:val="26"/>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90"/>
              <w:gridCol w:w="544"/>
              <w:gridCol w:w="1621"/>
              <w:gridCol w:w="572"/>
              <w:gridCol w:w="621"/>
              <w:gridCol w:w="605"/>
              <w:gridCol w:w="519"/>
              <w:gridCol w:w="749"/>
              <w:gridCol w:w="812"/>
              <w:gridCol w:w="536"/>
              <w:gridCol w:w="886"/>
            </w:tblGrid>
            <w:tr w14:paraId="738E028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6F3E286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346" w:type="pct"/>
                  <w:tcBorders>
                    <w:tl2br w:val="nil"/>
                    <w:tr2bl w:val="nil"/>
                  </w:tcBorders>
                  <w:noWrap w:val="0"/>
                  <w:vAlign w:val="center"/>
                </w:tcPr>
                <w:p w14:paraId="405393D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物质分类</w:t>
                  </w:r>
                </w:p>
              </w:tc>
              <w:tc>
                <w:tcPr>
                  <w:tcW w:w="1031" w:type="pct"/>
                  <w:tcBorders>
                    <w:tl2br w:val="nil"/>
                    <w:tr2bl w:val="nil"/>
                  </w:tcBorders>
                  <w:noWrap w:val="0"/>
                  <w:vAlign w:val="center"/>
                </w:tcPr>
                <w:p w14:paraId="4603A5B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364" w:type="pct"/>
                  <w:tcBorders>
                    <w:tl2br w:val="nil"/>
                    <w:tr2bl w:val="nil"/>
                  </w:tcBorders>
                  <w:noWrap w:val="0"/>
                  <w:vAlign w:val="center"/>
                </w:tcPr>
                <w:p w14:paraId="5FA5265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形态</w:t>
                  </w:r>
                </w:p>
              </w:tc>
              <w:tc>
                <w:tcPr>
                  <w:tcW w:w="395" w:type="pct"/>
                  <w:tcBorders>
                    <w:tl2br w:val="nil"/>
                    <w:tr2bl w:val="nil"/>
                  </w:tcBorders>
                  <w:noWrap w:val="0"/>
                  <w:vAlign w:val="center"/>
                </w:tcPr>
                <w:p w14:paraId="374C104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熔点</w:t>
                  </w:r>
                </w:p>
                <w:p w14:paraId="60F6D86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noWrap w:val="0"/>
                  <w:vAlign w:val="center"/>
                </w:tcPr>
                <w:p w14:paraId="43C5B2B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沸点</w:t>
                  </w:r>
                </w:p>
                <w:p w14:paraId="5E1D73A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1A811C4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闪点</w:t>
                  </w:r>
                </w:p>
                <w:p w14:paraId="69EB4EF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28C374E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爆炸极限%</w:t>
                  </w:r>
                </w:p>
              </w:tc>
              <w:tc>
                <w:tcPr>
                  <w:tcW w:w="516" w:type="pct"/>
                  <w:tcBorders>
                    <w:tl2br w:val="nil"/>
                    <w:tr2bl w:val="nil"/>
                  </w:tcBorders>
                  <w:noWrap w:val="0"/>
                  <w:vAlign w:val="center"/>
                </w:tcPr>
                <w:p w14:paraId="7B793C8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w:t>
                  </w:r>
                </w:p>
                <w:p w14:paraId="2DD18F7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特性</w:t>
                  </w:r>
                </w:p>
              </w:tc>
              <w:tc>
                <w:tcPr>
                  <w:tcW w:w="341" w:type="pct"/>
                  <w:tcBorders>
                    <w:tl2br w:val="nil"/>
                    <w:tr2bl w:val="nil"/>
                  </w:tcBorders>
                  <w:noWrap w:val="0"/>
                  <w:vAlign w:val="center"/>
                </w:tcPr>
                <w:p w14:paraId="593810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危险度</w:t>
                  </w:r>
                </w:p>
                <w:p w14:paraId="7100C10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H</w:t>
                  </w:r>
                </w:p>
              </w:tc>
              <w:tc>
                <w:tcPr>
                  <w:tcW w:w="563" w:type="pct"/>
                  <w:tcBorders>
                    <w:tl2br w:val="nil"/>
                    <w:tr2bl w:val="nil"/>
                  </w:tcBorders>
                  <w:noWrap w:val="0"/>
                  <w:vAlign w:val="center"/>
                </w:tcPr>
                <w:p w14:paraId="35AC9E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分布</w:t>
                  </w:r>
                </w:p>
                <w:p w14:paraId="78FEE2B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场所</w:t>
                  </w:r>
                </w:p>
              </w:tc>
            </w:tr>
            <w:tr w14:paraId="54AC5E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63FDBE1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w:t>
                  </w:r>
                </w:p>
              </w:tc>
              <w:tc>
                <w:tcPr>
                  <w:tcW w:w="346" w:type="pct"/>
                  <w:vMerge w:val="restart"/>
                  <w:tcBorders>
                    <w:tl2br w:val="nil"/>
                    <w:tr2bl w:val="nil"/>
                  </w:tcBorders>
                  <w:noWrap w:val="0"/>
                  <w:vAlign w:val="center"/>
                </w:tcPr>
                <w:p w14:paraId="365C9FB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实验室药品</w:t>
                  </w:r>
                </w:p>
              </w:tc>
              <w:tc>
                <w:tcPr>
                  <w:tcW w:w="1031" w:type="pct"/>
                  <w:tcBorders>
                    <w:tl2br w:val="nil"/>
                    <w:tr2bl w:val="nil"/>
                  </w:tcBorders>
                  <w:noWrap w:val="0"/>
                  <w:vAlign w:val="center"/>
                </w:tcPr>
                <w:p w14:paraId="4BC8C3D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氢氧化钠</w:t>
                  </w:r>
                </w:p>
              </w:tc>
              <w:tc>
                <w:tcPr>
                  <w:tcW w:w="364" w:type="pct"/>
                  <w:tcBorders>
                    <w:tl2br w:val="nil"/>
                    <w:tr2bl w:val="nil"/>
                  </w:tcBorders>
                  <w:noWrap w:val="0"/>
                  <w:vAlign w:val="center"/>
                </w:tcPr>
                <w:p w14:paraId="2A1DD9D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10D941D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318.4</w:t>
                  </w:r>
                </w:p>
              </w:tc>
              <w:tc>
                <w:tcPr>
                  <w:tcW w:w="385" w:type="pct"/>
                  <w:tcBorders>
                    <w:tl2br w:val="nil"/>
                    <w:tr2bl w:val="nil"/>
                  </w:tcBorders>
                  <w:noWrap w:val="0"/>
                  <w:vAlign w:val="center"/>
                </w:tcPr>
                <w:p w14:paraId="3EB1FE7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1390</w:t>
                  </w:r>
                </w:p>
              </w:tc>
              <w:tc>
                <w:tcPr>
                  <w:tcW w:w="330" w:type="pct"/>
                  <w:tcBorders>
                    <w:tl2br w:val="nil"/>
                    <w:tr2bl w:val="nil"/>
                  </w:tcBorders>
                  <w:noWrap w:val="0"/>
                  <w:vAlign w:val="center"/>
                </w:tcPr>
                <w:p w14:paraId="40C7215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3DCF763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DB8565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26F6D1F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restart"/>
                  <w:tcBorders>
                    <w:tl2br w:val="nil"/>
                    <w:tr2bl w:val="nil"/>
                  </w:tcBorders>
                  <w:noWrap w:val="0"/>
                  <w:vAlign w:val="center"/>
                </w:tcPr>
                <w:p w14:paraId="161004EB">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药品室、理化实验室、气瓶室、危险废物暂存间</w:t>
                  </w:r>
                </w:p>
              </w:tc>
            </w:tr>
            <w:tr w14:paraId="6B0D1C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7C1EC32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w:t>
                  </w:r>
                </w:p>
              </w:tc>
              <w:tc>
                <w:tcPr>
                  <w:tcW w:w="346" w:type="pct"/>
                  <w:vMerge w:val="continue"/>
                  <w:tcBorders>
                    <w:tl2br w:val="nil"/>
                    <w:tr2bl w:val="nil"/>
                  </w:tcBorders>
                  <w:noWrap w:val="0"/>
                  <w:vAlign w:val="center"/>
                </w:tcPr>
                <w:p w14:paraId="0BCE449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8FCF85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氢氧化钾</w:t>
                  </w:r>
                </w:p>
              </w:tc>
              <w:tc>
                <w:tcPr>
                  <w:tcW w:w="364" w:type="pct"/>
                  <w:tcBorders>
                    <w:tl2br w:val="nil"/>
                    <w:tr2bl w:val="nil"/>
                  </w:tcBorders>
                  <w:noWrap w:val="0"/>
                  <w:vAlign w:val="center"/>
                </w:tcPr>
                <w:p w14:paraId="0E486EE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3D41C62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360</w:t>
                  </w:r>
                </w:p>
              </w:tc>
              <w:tc>
                <w:tcPr>
                  <w:tcW w:w="385" w:type="pct"/>
                  <w:tcBorders>
                    <w:tl2br w:val="nil"/>
                    <w:tr2bl w:val="nil"/>
                  </w:tcBorders>
                  <w:noWrap w:val="0"/>
                  <w:vAlign w:val="center"/>
                </w:tcPr>
                <w:p w14:paraId="4D22A39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1320</w:t>
                  </w:r>
                </w:p>
              </w:tc>
              <w:tc>
                <w:tcPr>
                  <w:tcW w:w="330" w:type="pct"/>
                  <w:tcBorders>
                    <w:tl2br w:val="nil"/>
                    <w:tr2bl w:val="nil"/>
                  </w:tcBorders>
                  <w:noWrap w:val="0"/>
                  <w:vAlign w:val="center"/>
                </w:tcPr>
                <w:p w14:paraId="30F03D0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06C6F0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5E9B46A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6205B2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767B4B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D2BF8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480BC2C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w:t>
                  </w:r>
                </w:p>
              </w:tc>
              <w:tc>
                <w:tcPr>
                  <w:tcW w:w="346" w:type="pct"/>
                  <w:vMerge w:val="continue"/>
                  <w:tcBorders>
                    <w:tl2br w:val="nil"/>
                    <w:tr2bl w:val="nil"/>
                  </w:tcBorders>
                  <w:noWrap w:val="0"/>
                  <w:vAlign w:val="center"/>
                </w:tcPr>
                <w:p w14:paraId="356E1FA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4A8D1B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氢氧化铝</w:t>
                  </w:r>
                </w:p>
              </w:tc>
              <w:tc>
                <w:tcPr>
                  <w:tcW w:w="364" w:type="pct"/>
                  <w:tcBorders>
                    <w:tl2br w:val="nil"/>
                    <w:tr2bl w:val="nil"/>
                  </w:tcBorders>
                  <w:noWrap w:val="0"/>
                  <w:vAlign w:val="center"/>
                </w:tcPr>
                <w:p w14:paraId="2F2F3DD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0F09B8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300</w:t>
                  </w:r>
                </w:p>
              </w:tc>
              <w:tc>
                <w:tcPr>
                  <w:tcW w:w="385" w:type="pct"/>
                  <w:tcBorders>
                    <w:tl2br w:val="nil"/>
                    <w:tr2bl w:val="nil"/>
                  </w:tcBorders>
                  <w:noWrap w:val="0"/>
                  <w:vAlign w:val="center"/>
                </w:tcPr>
                <w:p w14:paraId="26682F3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2EFCC20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620A2C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CEEAFE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2972C1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704C71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2C5FB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10CADC4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4</w:t>
                  </w:r>
                </w:p>
              </w:tc>
              <w:tc>
                <w:tcPr>
                  <w:tcW w:w="346" w:type="pct"/>
                  <w:vMerge w:val="continue"/>
                  <w:tcBorders>
                    <w:tl2br w:val="nil"/>
                    <w:tr2bl w:val="nil"/>
                  </w:tcBorders>
                  <w:noWrap w:val="0"/>
                  <w:vAlign w:val="center"/>
                </w:tcPr>
                <w:p w14:paraId="4D22421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865498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氢氧化铵</w:t>
                  </w:r>
                </w:p>
              </w:tc>
              <w:tc>
                <w:tcPr>
                  <w:tcW w:w="364" w:type="pct"/>
                  <w:tcBorders>
                    <w:tl2br w:val="nil"/>
                    <w:tr2bl w:val="nil"/>
                  </w:tcBorders>
                  <w:noWrap w:val="0"/>
                  <w:vAlign w:val="center"/>
                </w:tcPr>
                <w:p w14:paraId="5E2EB4A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228F627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51.7</w:t>
                  </w:r>
                </w:p>
              </w:tc>
              <w:tc>
                <w:tcPr>
                  <w:tcW w:w="385" w:type="pct"/>
                  <w:tcBorders>
                    <w:tl2br w:val="nil"/>
                    <w:tr2bl w:val="nil"/>
                  </w:tcBorders>
                  <w:noWrap w:val="0"/>
                  <w:vAlign w:val="center"/>
                </w:tcPr>
                <w:p w14:paraId="7EB6E89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120.1</w:t>
                  </w:r>
                </w:p>
              </w:tc>
              <w:tc>
                <w:tcPr>
                  <w:tcW w:w="330" w:type="pct"/>
                  <w:tcBorders>
                    <w:tl2br w:val="nil"/>
                    <w:tr2bl w:val="nil"/>
                  </w:tcBorders>
                  <w:noWrap w:val="0"/>
                  <w:vAlign w:val="center"/>
                </w:tcPr>
                <w:p w14:paraId="1864B5E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73</w:t>
                  </w:r>
                </w:p>
              </w:tc>
              <w:tc>
                <w:tcPr>
                  <w:tcW w:w="476" w:type="pct"/>
                  <w:tcBorders>
                    <w:tl2br w:val="nil"/>
                    <w:tr2bl w:val="nil"/>
                  </w:tcBorders>
                  <w:noWrap w:val="0"/>
                  <w:vAlign w:val="center"/>
                </w:tcPr>
                <w:p w14:paraId="3FDC097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55FDC14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微毒</w:t>
                  </w:r>
                </w:p>
              </w:tc>
              <w:tc>
                <w:tcPr>
                  <w:tcW w:w="341" w:type="pct"/>
                  <w:tcBorders>
                    <w:tl2br w:val="nil"/>
                    <w:tr2bl w:val="nil"/>
                  </w:tcBorders>
                  <w:noWrap w:val="0"/>
                  <w:vAlign w:val="center"/>
                </w:tcPr>
                <w:p w14:paraId="63D5075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8453D71">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B0758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2B45B8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5</w:t>
                  </w:r>
                </w:p>
              </w:tc>
              <w:tc>
                <w:tcPr>
                  <w:tcW w:w="346" w:type="pct"/>
                  <w:vMerge w:val="continue"/>
                  <w:tcBorders>
                    <w:tl2br w:val="nil"/>
                    <w:tr2bl w:val="nil"/>
                  </w:tcBorders>
                  <w:noWrap w:val="0"/>
                  <w:vAlign w:val="center"/>
                </w:tcPr>
                <w:p w14:paraId="67BE86F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6162AC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olor w:val="auto"/>
                      <w:spacing w:val="-10"/>
                      <w:sz w:val="18"/>
                      <w:szCs w:val="18"/>
                      <w:lang w:val="en-US" w:eastAsia="zh-CN"/>
                    </w:rPr>
                    <w:t>氢氧化钡</w:t>
                  </w:r>
                </w:p>
              </w:tc>
              <w:tc>
                <w:tcPr>
                  <w:tcW w:w="364" w:type="pct"/>
                  <w:tcBorders>
                    <w:tl2br w:val="nil"/>
                    <w:tr2bl w:val="nil"/>
                  </w:tcBorders>
                  <w:noWrap w:val="0"/>
                  <w:vAlign w:val="center"/>
                </w:tcPr>
                <w:p w14:paraId="0E2EAA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6B42EC5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78</w:t>
                  </w:r>
                </w:p>
              </w:tc>
              <w:tc>
                <w:tcPr>
                  <w:tcW w:w="385" w:type="pct"/>
                  <w:tcBorders>
                    <w:tl2br w:val="nil"/>
                    <w:tr2bl w:val="nil"/>
                  </w:tcBorders>
                  <w:noWrap w:val="0"/>
                  <w:vAlign w:val="center"/>
                </w:tcPr>
                <w:p w14:paraId="6028173A">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780</w:t>
                  </w:r>
                </w:p>
              </w:tc>
              <w:tc>
                <w:tcPr>
                  <w:tcW w:w="330" w:type="pct"/>
                  <w:tcBorders>
                    <w:tl2br w:val="nil"/>
                    <w:tr2bl w:val="nil"/>
                  </w:tcBorders>
                  <w:noWrap w:val="0"/>
                  <w:vAlign w:val="center"/>
                </w:tcPr>
                <w:p w14:paraId="3AD88481">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169.8</w:t>
                  </w:r>
                </w:p>
              </w:tc>
              <w:tc>
                <w:tcPr>
                  <w:tcW w:w="476" w:type="pct"/>
                  <w:tcBorders>
                    <w:tl2br w:val="nil"/>
                    <w:tr2bl w:val="nil"/>
                  </w:tcBorders>
                  <w:noWrap w:val="0"/>
                  <w:vAlign w:val="center"/>
                </w:tcPr>
                <w:p w14:paraId="021CE41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A14C944">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2334F48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CBB7111">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E5D06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52E59C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6</w:t>
                  </w:r>
                </w:p>
              </w:tc>
              <w:tc>
                <w:tcPr>
                  <w:tcW w:w="346" w:type="pct"/>
                  <w:vMerge w:val="continue"/>
                  <w:tcBorders>
                    <w:tl2br w:val="nil"/>
                    <w:tr2bl w:val="nil"/>
                  </w:tcBorders>
                  <w:noWrap w:val="0"/>
                  <w:vAlign w:val="center"/>
                </w:tcPr>
                <w:p w14:paraId="3F0EFBC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6005FB4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硝酸银</w:t>
                  </w:r>
                </w:p>
              </w:tc>
              <w:tc>
                <w:tcPr>
                  <w:tcW w:w="364" w:type="pct"/>
                  <w:tcBorders>
                    <w:tl2br w:val="nil"/>
                    <w:tr2bl w:val="nil"/>
                  </w:tcBorders>
                  <w:shd w:val="clear" w:color="auto" w:fill="auto"/>
                  <w:noWrap w:val="0"/>
                  <w:vAlign w:val="center"/>
                </w:tcPr>
                <w:p w14:paraId="42C494E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shd w:val="clear" w:color="auto" w:fill="auto"/>
                  <w:noWrap w:val="0"/>
                  <w:vAlign w:val="center"/>
                </w:tcPr>
                <w:p w14:paraId="5B741F4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212</w:t>
                  </w:r>
                </w:p>
              </w:tc>
              <w:tc>
                <w:tcPr>
                  <w:tcW w:w="385" w:type="pct"/>
                  <w:tcBorders>
                    <w:tl2br w:val="nil"/>
                    <w:tr2bl w:val="nil"/>
                  </w:tcBorders>
                  <w:shd w:val="clear" w:color="auto" w:fill="auto"/>
                  <w:noWrap w:val="0"/>
                  <w:vAlign w:val="center"/>
                </w:tcPr>
                <w:p w14:paraId="074BACA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444</w:t>
                  </w:r>
                </w:p>
              </w:tc>
              <w:tc>
                <w:tcPr>
                  <w:tcW w:w="330" w:type="pct"/>
                  <w:tcBorders>
                    <w:tl2br w:val="nil"/>
                    <w:tr2bl w:val="nil"/>
                  </w:tcBorders>
                  <w:shd w:val="clear" w:color="auto" w:fill="auto"/>
                  <w:noWrap w:val="0"/>
                  <w:vAlign w:val="center"/>
                </w:tcPr>
                <w:p w14:paraId="256A546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40</w:t>
                  </w:r>
                </w:p>
              </w:tc>
              <w:tc>
                <w:tcPr>
                  <w:tcW w:w="476" w:type="pct"/>
                  <w:tcBorders>
                    <w:tl2br w:val="nil"/>
                    <w:tr2bl w:val="nil"/>
                  </w:tcBorders>
                  <w:shd w:val="clear" w:color="auto" w:fill="auto"/>
                  <w:noWrap w:val="0"/>
                  <w:vAlign w:val="center"/>
                </w:tcPr>
                <w:p w14:paraId="105E61F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EC2985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368C9C5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C3E674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D3444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6993141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w:t>
                  </w:r>
                </w:p>
              </w:tc>
              <w:tc>
                <w:tcPr>
                  <w:tcW w:w="346" w:type="pct"/>
                  <w:vMerge w:val="continue"/>
                  <w:tcBorders>
                    <w:tl2br w:val="nil"/>
                    <w:tr2bl w:val="nil"/>
                  </w:tcBorders>
                  <w:noWrap w:val="0"/>
                  <w:vAlign w:val="center"/>
                </w:tcPr>
                <w:p w14:paraId="4E0EC05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327EBB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亚硝酸钠</w:t>
                  </w:r>
                </w:p>
              </w:tc>
              <w:tc>
                <w:tcPr>
                  <w:tcW w:w="364" w:type="pct"/>
                  <w:tcBorders>
                    <w:tl2br w:val="nil"/>
                    <w:tr2bl w:val="nil"/>
                  </w:tcBorders>
                  <w:noWrap w:val="0"/>
                  <w:vAlign w:val="center"/>
                </w:tcPr>
                <w:p w14:paraId="6B1EC3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932FF8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271</w:t>
                  </w:r>
                </w:p>
              </w:tc>
              <w:tc>
                <w:tcPr>
                  <w:tcW w:w="385" w:type="pct"/>
                  <w:tcBorders>
                    <w:tl2br w:val="nil"/>
                    <w:tr2bl w:val="nil"/>
                  </w:tcBorders>
                  <w:noWrap w:val="0"/>
                  <w:vAlign w:val="center"/>
                </w:tcPr>
                <w:p w14:paraId="63B5572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320</w:t>
                  </w:r>
                </w:p>
              </w:tc>
              <w:tc>
                <w:tcPr>
                  <w:tcW w:w="330" w:type="pct"/>
                  <w:tcBorders>
                    <w:tl2br w:val="nil"/>
                    <w:tr2bl w:val="nil"/>
                  </w:tcBorders>
                  <w:noWrap w:val="0"/>
                  <w:vAlign w:val="center"/>
                </w:tcPr>
                <w:p w14:paraId="291191D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359C70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E7EDC0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E3BBEA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57B4073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7E8D0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746CCE3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8</w:t>
                  </w:r>
                </w:p>
              </w:tc>
              <w:tc>
                <w:tcPr>
                  <w:tcW w:w="346" w:type="pct"/>
                  <w:vMerge w:val="continue"/>
                  <w:tcBorders>
                    <w:tl2br w:val="nil"/>
                    <w:tr2bl w:val="nil"/>
                  </w:tcBorders>
                  <w:noWrap w:val="0"/>
                  <w:vAlign w:val="center"/>
                </w:tcPr>
                <w:p w14:paraId="785C0DF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1163101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硫酸银</w:t>
                  </w:r>
                </w:p>
              </w:tc>
              <w:tc>
                <w:tcPr>
                  <w:tcW w:w="364" w:type="pct"/>
                  <w:tcBorders>
                    <w:tl2br w:val="nil"/>
                    <w:tr2bl w:val="nil"/>
                  </w:tcBorders>
                  <w:noWrap w:val="0"/>
                  <w:vAlign w:val="center"/>
                </w:tcPr>
                <w:p w14:paraId="0F6D829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1681D7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657</w:t>
                  </w:r>
                </w:p>
              </w:tc>
              <w:tc>
                <w:tcPr>
                  <w:tcW w:w="385" w:type="pct"/>
                  <w:tcBorders>
                    <w:tl2br w:val="nil"/>
                    <w:tr2bl w:val="nil"/>
                  </w:tcBorders>
                  <w:noWrap w:val="0"/>
                  <w:vAlign w:val="center"/>
                </w:tcPr>
                <w:p w14:paraId="6E8441D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1085</w:t>
                  </w:r>
                </w:p>
              </w:tc>
              <w:tc>
                <w:tcPr>
                  <w:tcW w:w="330" w:type="pct"/>
                  <w:tcBorders>
                    <w:tl2br w:val="nil"/>
                    <w:tr2bl w:val="nil"/>
                  </w:tcBorders>
                  <w:noWrap w:val="0"/>
                  <w:vAlign w:val="center"/>
                </w:tcPr>
                <w:p w14:paraId="0823AAC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113C7D8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09E5B2B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6F27E6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71682C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E9C7E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BDD523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9</w:t>
                  </w:r>
                </w:p>
              </w:tc>
              <w:tc>
                <w:tcPr>
                  <w:tcW w:w="346" w:type="pct"/>
                  <w:vMerge w:val="continue"/>
                  <w:tcBorders>
                    <w:tl2br w:val="nil"/>
                    <w:tr2bl w:val="nil"/>
                  </w:tcBorders>
                  <w:noWrap w:val="0"/>
                  <w:vAlign w:val="center"/>
                </w:tcPr>
                <w:p w14:paraId="7A961E0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BF66AF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硫酸汞</w:t>
                  </w:r>
                </w:p>
              </w:tc>
              <w:tc>
                <w:tcPr>
                  <w:tcW w:w="364" w:type="pct"/>
                  <w:tcBorders>
                    <w:tl2br w:val="nil"/>
                    <w:tr2bl w:val="nil"/>
                  </w:tcBorders>
                  <w:noWrap w:val="0"/>
                  <w:vAlign w:val="center"/>
                </w:tcPr>
                <w:p w14:paraId="5424779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6BB5F2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850</w:t>
                  </w:r>
                </w:p>
              </w:tc>
              <w:tc>
                <w:tcPr>
                  <w:tcW w:w="385" w:type="pct"/>
                  <w:tcBorders>
                    <w:tl2br w:val="nil"/>
                    <w:tr2bl w:val="nil"/>
                  </w:tcBorders>
                  <w:noWrap w:val="0"/>
                  <w:vAlign w:val="center"/>
                </w:tcPr>
                <w:p w14:paraId="444994A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66A4F6F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6D620F5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04C458F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4DA76C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2CD57CC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598AED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F1EA73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10</w:t>
                  </w:r>
                </w:p>
              </w:tc>
              <w:tc>
                <w:tcPr>
                  <w:tcW w:w="346" w:type="pct"/>
                  <w:vMerge w:val="continue"/>
                  <w:tcBorders>
                    <w:tl2br w:val="nil"/>
                    <w:tr2bl w:val="nil"/>
                  </w:tcBorders>
                  <w:noWrap w:val="0"/>
                  <w:vAlign w:val="center"/>
                </w:tcPr>
                <w:p w14:paraId="0E6A44B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03706A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硫酸锰（无水二价）</w:t>
                  </w:r>
                </w:p>
              </w:tc>
              <w:tc>
                <w:tcPr>
                  <w:tcW w:w="364" w:type="pct"/>
                  <w:tcBorders>
                    <w:tl2br w:val="nil"/>
                    <w:tr2bl w:val="nil"/>
                  </w:tcBorders>
                  <w:noWrap w:val="0"/>
                  <w:vAlign w:val="center"/>
                </w:tcPr>
                <w:p w14:paraId="33A9617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26670A6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700</w:t>
                  </w:r>
                </w:p>
              </w:tc>
              <w:tc>
                <w:tcPr>
                  <w:tcW w:w="385" w:type="pct"/>
                  <w:tcBorders>
                    <w:tl2br w:val="nil"/>
                    <w:tr2bl w:val="nil"/>
                  </w:tcBorders>
                  <w:noWrap w:val="0"/>
                  <w:vAlign w:val="center"/>
                </w:tcPr>
                <w:p w14:paraId="71576E6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4F5A60A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F4DE2B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BC9A71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7930E8F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4A4B2B4">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78458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2499EBB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11</w:t>
                  </w:r>
                </w:p>
              </w:tc>
              <w:tc>
                <w:tcPr>
                  <w:tcW w:w="346" w:type="pct"/>
                  <w:vMerge w:val="continue"/>
                  <w:tcBorders>
                    <w:tl2br w:val="nil"/>
                    <w:tr2bl w:val="nil"/>
                  </w:tcBorders>
                  <w:noWrap w:val="0"/>
                  <w:vAlign w:val="center"/>
                </w:tcPr>
                <w:p w14:paraId="5A7291D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3DB9082">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乙酸铅</w:t>
                  </w:r>
                </w:p>
              </w:tc>
              <w:tc>
                <w:tcPr>
                  <w:tcW w:w="364" w:type="pct"/>
                  <w:tcBorders>
                    <w:tl2br w:val="nil"/>
                    <w:tr2bl w:val="nil"/>
                  </w:tcBorders>
                  <w:noWrap w:val="0"/>
                  <w:vAlign w:val="center"/>
                </w:tcPr>
                <w:p w14:paraId="0F274BE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AC26E1B">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280</w:t>
                  </w:r>
                </w:p>
              </w:tc>
              <w:tc>
                <w:tcPr>
                  <w:tcW w:w="385" w:type="pct"/>
                  <w:tcBorders>
                    <w:tl2br w:val="nil"/>
                    <w:tr2bl w:val="nil"/>
                  </w:tcBorders>
                  <w:noWrap w:val="0"/>
                  <w:vAlign w:val="center"/>
                </w:tcPr>
                <w:p w14:paraId="415F010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117.1</w:t>
                  </w:r>
                </w:p>
              </w:tc>
              <w:tc>
                <w:tcPr>
                  <w:tcW w:w="330" w:type="pct"/>
                  <w:tcBorders>
                    <w:tl2br w:val="nil"/>
                    <w:tr2bl w:val="nil"/>
                  </w:tcBorders>
                  <w:noWrap w:val="0"/>
                  <w:vAlign w:val="center"/>
                </w:tcPr>
                <w:p w14:paraId="679195E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40</w:t>
                  </w:r>
                </w:p>
              </w:tc>
              <w:tc>
                <w:tcPr>
                  <w:tcW w:w="476" w:type="pct"/>
                  <w:tcBorders>
                    <w:tl2br w:val="nil"/>
                    <w:tr2bl w:val="nil"/>
                  </w:tcBorders>
                  <w:shd w:val="clear" w:color="auto" w:fill="auto"/>
                  <w:noWrap w:val="0"/>
                  <w:vAlign w:val="center"/>
                </w:tcPr>
                <w:p w14:paraId="7969895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01BDCE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3D4E469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C19FC2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612E9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8" w:type="pct"/>
                  <w:tcBorders>
                    <w:tl2br w:val="nil"/>
                    <w:tr2bl w:val="nil"/>
                  </w:tcBorders>
                  <w:shd w:val="clear" w:color="auto" w:fill="auto"/>
                  <w:noWrap w:val="0"/>
                  <w:vAlign w:val="center"/>
                </w:tcPr>
                <w:p w14:paraId="418D2BE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12</w:t>
                  </w:r>
                </w:p>
              </w:tc>
              <w:tc>
                <w:tcPr>
                  <w:tcW w:w="346" w:type="pct"/>
                  <w:vMerge w:val="continue"/>
                  <w:tcBorders>
                    <w:tl2br w:val="nil"/>
                    <w:tr2bl w:val="nil"/>
                  </w:tcBorders>
                  <w:noWrap w:val="0"/>
                  <w:vAlign w:val="center"/>
                </w:tcPr>
                <w:p w14:paraId="7660B87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A5200BD">
                  <w:pPr>
                    <w:spacing w:line="280" w:lineRule="exact"/>
                    <w:jc w:val="center"/>
                    <w:rPr>
                      <w:rFonts w:hint="eastAsia" w:cs="Times New Roman"/>
                      <w:color w:val="auto"/>
                      <w:spacing w:val="-10"/>
                      <w:sz w:val="18"/>
                      <w:szCs w:val="18"/>
                      <w:highlight w:val="none"/>
                      <w:lang w:val="en-US" w:eastAsia="zh-CN"/>
                    </w:rPr>
                  </w:pPr>
                  <w:r>
                    <w:rPr>
                      <w:rFonts w:hint="eastAsia"/>
                      <w:color w:val="auto"/>
                      <w:spacing w:val="-10"/>
                      <w:sz w:val="18"/>
                      <w:szCs w:val="18"/>
                      <w:lang w:val="en-US" w:eastAsia="zh-CN"/>
                    </w:rPr>
                    <w:t>盐酸羟胺</w:t>
                  </w:r>
                </w:p>
              </w:tc>
              <w:tc>
                <w:tcPr>
                  <w:tcW w:w="364" w:type="pct"/>
                  <w:tcBorders>
                    <w:tl2br w:val="nil"/>
                    <w:tr2bl w:val="nil"/>
                  </w:tcBorders>
                  <w:noWrap w:val="0"/>
                  <w:vAlign w:val="center"/>
                </w:tcPr>
                <w:p w14:paraId="60D205B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11068782">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150</w:t>
                  </w:r>
                </w:p>
              </w:tc>
              <w:tc>
                <w:tcPr>
                  <w:tcW w:w="385" w:type="pct"/>
                  <w:tcBorders>
                    <w:tl2br w:val="nil"/>
                    <w:tr2bl w:val="nil"/>
                  </w:tcBorders>
                  <w:noWrap w:val="0"/>
                  <w:vAlign w:val="center"/>
                </w:tcPr>
                <w:p w14:paraId="48564D7F">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196</w:t>
                  </w:r>
                </w:p>
              </w:tc>
              <w:tc>
                <w:tcPr>
                  <w:tcW w:w="330" w:type="pct"/>
                  <w:tcBorders>
                    <w:tl2br w:val="nil"/>
                    <w:tr2bl w:val="nil"/>
                  </w:tcBorders>
                  <w:noWrap w:val="0"/>
                  <w:vAlign w:val="center"/>
                </w:tcPr>
                <w:p w14:paraId="4677B764">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33D7AC6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2F132E2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6B437EF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5EE6E5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C1B83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9860F8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13</w:t>
                  </w:r>
                </w:p>
              </w:tc>
              <w:tc>
                <w:tcPr>
                  <w:tcW w:w="346" w:type="pct"/>
                  <w:vMerge w:val="continue"/>
                  <w:tcBorders>
                    <w:tl2br w:val="nil"/>
                    <w:tr2bl w:val="nil"/>
                  </w:tcBorders>
                  <w:noWrap w:val="0"/>
                  <w:vAlign w:val="center"/>
                </w:tcPr>
                <w:p w14:paraId="3FB7147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7CCD7B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硼氢化钾</w:t>
                  </w:r>
                </w:p>
              </w:tc>
              <w:tc>
                <w:tcPr>
                  <w:tcW w:w="364" w:type="pct"/>
                  <w:tcBorders>
                    <w:tl2br w:val="nil"/>
                    <w:tr2bl w:val="nil"/>
                  </w:tcBorders>
                  <w:noWrap w:val="0"/>
                  <w:vAlign w:val="center"/>
                </w:tcPr>
                <w:p w14:paraId="72EACFF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50935E5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585</w:t>
                  </w:r>
                </w:p>
              </w:tc>
              <w:tc>
                <w:tcPr>
                  <w:tcW w:w="385" w:type="pct"/>
                  <w:tcBorders>
                    <w:tl2br w:val="nil"/>
                    <w:tr2bl w:val="nil"/>
                  </w:tcBorders>
                  <w:noWrap w:val="0"/>
                  <w:vAlign w:val="center"/>
                </w:tcPr>
                <w:p w14:paraId="7010BF9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6380518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701BAD2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B26E11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096482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8EA14D0">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B028D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519CB35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14</w:t>
                  </w:r>
                </w:p>
              </w:tc>
              <w:tc>
                <w:tcPr>
                  <w:tcW w:w="346" w:type="pct"/>
                  <w:vMerge w:val="continue"/>
                  <w:tcBorders>
                    <w:tl2br w:val="nil"/>
                    <w:tr2bl w:val="nil"/>
                  </w:tcBorders>
                  <w:noWrap w:val="0"/>
                  <w:vAlign w:val="center"/>
                </w:tcPr>
                <w:p w14:paraId="54B4448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2BEB96A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硫脲</w:t>
                  </w:r>
                </w:p>
              </w:tc>
              <w:tc>
                <w:tcPr>
                  <w:tcW w:w="364" w:type="pct"/>
                  <w:tcBorders>
                    <w:tl2br w:val="nil"/>
                    <w:tr2bl w:val="nil"/>
                  </w:tcBorders>
                  <w:noWrap w:val="0"/>
                  <w:vAlign w:val="center"/>
                </w:tcPr>
                <w:p w14:paraId="0E3B099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29378C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182</w:t>
                  </w:r>
                </w:p>
              </w:tc>
              <w:tc>
                <w:tcPr>
                  <w:tcW w:w="385" w:type="pct"/>
                  <w:tcBorders>
                    <w:tl2br w:val="nil"/>
                    <w:tr2bl w:val="nil"/>
                  </w:tcBorders>
                  <w:noWrap w:val="0"/>
                  <w:vAlign w:val="center"/>
                </w:tcPr>
                <w:p w14:paraId="5E059CF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263</w:t>
                  </w:r>
                </w:p>
              </w:tc>
              <w:tc>
                <w:tcPr>
                  <w:tcW w:w="330" w:type="pct"/>
                  <w:tcBorders>
                    <w:tl2br w:val="nil"/>
                    <w:tr2bl w:val="nil"/>
                  </w:tcBorders>
                  <w:noWrap w:val="0"/>
                  <w:vAlign w:val="center"/>
                </w:tcPr>
                <w:p w14:paraId="1B95007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182</w:t>
                  </w:r>
                </w:p>
              </w:tc>
              <w:tc>
                <w:tcPr>
                  <w:tcW w:w="476" w:type="pct"/>
                  <w:tcBorders>
                    <w:tl2br w:val="nil"/>
                    <w:tr2bl w:val="nil"/>
                  </w:tcBorders>
                  <w:noWrap w:val="0"/>
                  <w:vAlign w:val="center"/>
                </w:tcPr>
                <w:p w14:paraId="55BC72D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17B189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8DD7BC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D2AFCE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966BA0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17255C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15</w:t>
                  </w:r>
                </w:p>
              </w:tc>
              <w:tc>
                <w:tcPr>
                  <w:tcW w:w="346" w:type="pct"/>
                  <w:vMerge w:val="continue"/>
                  <w:tcBorders>
                    <w:tl2br w:val="nil"/>
                    <w:tr2bl w:val="nil"/>
                  </w:tcBorders>
                  <w:noWrap w:val="0"/>
                  <w:vAlign w:val="center"/>
                </w:tcPr>
                <w:p w14:paraId="67347E9E">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73287E9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高锰酸钾</w:t>
                  </w:r>
                </w:p>
              </w:tc>
              <w:tc>
                <w:tcPr>
                  <w:tcW w:w="364" w:type="pct"/>
                  <w:tcBorders>
                    <w:tl2br w:val="nil"/>
                    <w:tr2bl w:val="nil"/>
                  </w:tcBorders>
                  <w:noWrap w:val="0"/>
                  <w:vAlign w:val="center"/>
                </w:tcPr>
                <w:p w14:paraId="36766CA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556B1C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240</w:t>
                  </w:r>
                </w:p>
              </w:tc>
              <w:tc>
                <w:tcPr>
                  <w:tcW w:w="385" w:type="pct"/>
                  <w:tcBorders>
                    <w:tl2br w:val="nil"/>
                    <w:tr2bl w:val="nil"/>
                  </w:tcBorders>
                  <w:noWrap w:val="0"/>
                  <w:vAlign w:val="center"/>
                </w:tcPr>
                <w:p w14:paraId="7CC27A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0EBB99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D93C29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AB9605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9AD778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2D58C7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27D7AF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729FF7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16</w:t>
                  </w:r>
                </w:p>
              </w:tc>
              <w:tc>
                <w:tcPr>
                  <w:tcW w:w="346" w:type="pct"/>
                  <w:vMerge w:val="continue"/>
                  <w:tcBorders>
                    <w:tl2br w:val="nil"/>
                    <w:tr2bl w:val="nil"/>
                  </w:tcBorders>
                  <w:noWrap w:val="0"/>
                  <w:vAlign w:val="center"/>
                </w:tcPr>
                <w:p w14:paraId="666FDB3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7AE0E1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铬酸钾</w:t>
                  </w:r>
                </w:p>
              </w:tc>
              <w:tc>
                <w:tcPr>
                  <w:tcW w:w="364" w:type="pct"/>
                  <w:tcBorders>
                    <w:tl2br w:val="nil"/>
                    <w:tr2bl w:val="nil"/>
                  </w:tcBorders>
                  <w:noWrap w:val="0"/>
                  <w:vAlign w:val="center"/>
                </w:tcPr>
                <w:p w14:paraId="4FB7A7A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F6A77B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968</w:t>
                  </w:r>
                </w:p>
              </w:tc>
              <w:tc>
                <w:tcPr>
                  <w:tcW w:w="385" w:type="pct"/>
                  <w:tcBorders>
                    <w:tl2br w:val="nil"/>
                    <w:tr2bl w:val="nil"/>
                  </w:tcBorders>
                  <w:noWrap w:val="0"/>
                  <w:vAlign w:val="center"/>
                </w:tcPr>
                <w:p w14:paraId="5F9BF45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603C151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42FEA21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E856E9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F97C44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FAAB7A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D1694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001E6D3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17</w:t>
                  </w:r>
                </w:p>
              </w:tc>
              <w:tc>
                <w:tcPr>
                  <w:tcW w:w="346" w:type="pct"/>
                  <w:vMerge w:val="continue"/>
                  <w:tcBorders>
                    <w:tl2br w:val="nil"/>
                    <w:tr2bl w:val="nil"/>
                  </w:tcBorders>
                  <w:noWrap w:val="0"/>
                  <w:vAlign w:val="center"/>
                </w:tcPr>
                <w:p w14:paraId="39E6C39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40CE14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重铬酸钾</w:t>
                  </w:r>
                </w:p>
              </w:tc>
              <w:tc>
                <w:tcPr>
                  <w:tcW w:w="364" w:type="pct"/>
                  <w:tcBorders>
                    <w:tl2br w:val="nil"/>
                    <w:tr2bl w:val="nil"/>
                  </w:tcBorders>
                  <w:noWrap w:val="0"/>
                  <w:vAlign w:val="center"/>
                </w:tcPr>
                <w:p w14:paraId="7FF48A0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384649B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398</w:t>
                  </w:r>
                </w:p>
              </w:tc>
              <w:tc>
                <w:tcPr>
                  <w:tcW w:w="385" w:type="pct"/>
                  <w:tcBorders>
                    <w:tl2br w:val="nil"/>
                    <w:tr2bl w:val="nil"/>
                  </w:tcBorders>
                  <w:noWrap w:val="0"/>
                  <w:vAlign w:val="center"/>
                </w:tcPr>
                <w:p w14:paraId="38E40A5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500</w:t>
                  </w:r>
                </w:p>
              </w:tc>
              <w:tc>
                <w:tcPr>
                  <w:tcW w:w="330" w:type="pct"/>
                  <w:tcBorders>
                    <w:tl2br w:val="nil"/>
                    <w:tr2bl w:val="nil"/>
                  </w:tcBorders>
                  <w:noWrap w:val="0"/>
                  <w:vAlign w:val="center"/>
                </w:tcPr>
                <w:p w14:paraId="08C9593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7FDBF5C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3BCE8A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8270CE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63F8C38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2EBC0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AE0DA8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18</w:t>
                  </w:r>
                </w:p>
              </w:tc>
              <w:tc>
                <w:tcPr>
                  <w:tcW w:w="346" w:type="pct"/>
                  <w:vMerge w:val="continue"/>
                  <w:tcBorders>
                    <w:tl2br w:val="nil"/>
                    <w:tr2bl w:val="nil"/>
                  </w:tcBorders>
                  <w:noWrap w:val="0"/>
                  <w:vAlign w:val="center"/>
                </w:tcPr>
                <w:p w14:paraId="356B2A7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0A0EA7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二氯化汞</w:t>
                  </w:r>
                </w:p>
              </w:tc>
              <w:tc>
                <w:tcPr>
                  <w:tcW w:w="364" w:type="pct"/>
                  <w:tcBorders>
                    <w:tl2br w:val="nil"/>
                    <w:tr2bl w:val="nil"/>
                  </w:tcBorders>
                  <w:noWrap w:val="0"/>
                  <w:vAlign w:val="center"/>
                </w:tcPr>
                <w:p w14:paraId="30F6107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89695D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276</w:t>
                  </w:r>
                </w:p>
              </w:tc>
              <w:tc>
                <w:tcPr>
                  <w:tcW w:w="385" w:type="pct"/>
                  <w:tcBorders>
                    <w:tl2br w:val="nil"/>
                    <w:tr2bl w:val="nil"/>
                  </w:tcBorders>
                  <w:noWrap w:val="0"/>
                  <w:vAlign w:val="center"/>
                </w:tcPr>
                <w:p w14:paraId="0B83C2B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302</w:t>
                  </w:r>
                </w:p>
              </w:tc>
              <w:tc>
                <w:tcPr>
                  <w:tcW w:w="330" w:type="pct"/>
                  <w:tcBorders>
                    <w:tl2br w:val="nil"/>
                    <w:tr2bl w:val="nil"/>
                  </w:tcBorders>
                  <w:noWrap w:val="0"/>
                  <w:vAlign w:val="center"/>
                </w:tcPr>
                <w:p w14:paraId="53BFBEF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12696F2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3499E9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440E4B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6CA27C7">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F7555D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AD3677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19</w:t>
                  </w:r>
                </w:p>
              </w:tc>
              <w:tc>
                <w:tcPr>
                  <w:tcW w:w="346" w:type="pct"/>
                  <w:vMerge w:val="continue"/>
                  <w:tcBorders>
                    <w:tl2br w:val="nil"/>
                    <w:tr2bl w:val="nil"/>
                  </w:tcBorders>
                  <w:noWrap w:val="0"/>
                  <w:vAlign w:val="center"/>
                </w:tcPr>
                <w:p w14:paraId="027A3F47">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07CE67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钼酸铵</w:t>
                  </w:r>
                </w:p>
              </w:tc>
              <w:tc>
                <w:tcPr>
                  <w:tcW w:w="364" w:type="pct"/>
                  <w:tcBorders>
                    <w:tl2br w:val="nil"/>
                    <w:tr2bl w:val="nil"/>
                  </w:tcBorders>
                  <w:noWrap w:val="0"/>
                  <w:vAlign w:val="center"/>
                </w:tcPr>
                <w:p w14:paraId="0BA764C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BFB618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300</w:t>
                  </w:r>
                </w:p>
              </w:tc>
              <w:tc>
                <w:tcPr>
                  <w:tcW w:w="385" w:type="pct"/>
                  <w:tcBorders>
                    <w:tl2br w:val="nil"/>
                    <w:tr2bl w:val="nil"/>
                  </w:tcBorders>
                  <w:noWrap w:val="0"/>
                  <w:vAlign w:val="center"/>
                </w:tcPr>
                <w:p w14:paraId="08FFD22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2B946B4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76C0F3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C4397C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6DF0844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3500B1E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4FAA9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54AD0E0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20</w:t>
                  </w:r>
                </w:p>
              </w:tc>
              <w:tc>
                <w:tcPr>
                  <w:tcW w:w="346" w:type="pct"/>
                  <w:vMerge w:val="continue"/>
                  <w:tcBorders>
                    <w:tl2br w:val="nil"/>
                    <w:tr2bl w:val="nil"/>
                  </w:tcBorders>
                  <w:noWrap w:val="0"/>
                  <w:vAlign w:val="center"/>
                </w:tcPr>
                <w:p w14:paraId="3122F3D0">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9993EA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酒石酸锑钾</w:t>
                  </w:r>
                </w:p>
              </w:tc>
              <w:tc>
                <w:tcPr>
                  <w:tcW w:w="364" w:type="pct"/>
                  <w:tcBorders>
                    <w:tl2br w:val="nil"/>
                    <w:tr2bl w:val="nil"/>
                  </w:tcBorders>
                  <w:noWrap w:val="0"/>
                  <w:vAlign w:val="center"/>
                </w:tcPr>
                <w:p w14:paraId="61C3AFC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61E20A8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100</w:t>
                  </w:r>
                </w:p>
              </w:tc>
              <w:tc>
                <w:tcPr>
                  <w:tcW w:w="385" w:type="pct"/>
                  <w:tcBorders>
                    <w:tl2br w:val="nil"/>
                    <w:tr2bl w:val="nil"/>
                  </w:tcBorders>
                  <w:noWrap w:val="0"/>
                  <w:vAlign w:val="center"/>
                </w:tcPr>
                <w:p w14:paraId="4736180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4B9219F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135CA8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677721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41" w:type="pct"/>
                  <w:tcBorders>
                    <w:tl2br w:val="nil"/>
                    <w:tr2bl w:val="nil"/>
                  </w:tcBorders>
                  <w:noWrap w:val="0"/>
                  <w:vAlign w:val="center"/>
                </w:tcPr>
                <w:p w14:paraId="2C5A763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ADF03D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C424E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087BC37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21</w:t>
                  </w:r>
                </w:p>
              </w:tc>
              <w:tc>
                <w:tcPr>
                  <w:tcW w:w="346" w:type="pct"/>
                  <w:vMerge w:val="continue"/>
                  <w:tcBorders>
                    <w:tl2br w:val="nil"/>
                    <w:tr2bl w:val="nil"/>
                  </w:tcBorders>
                  <w:noWrap w:val="0"/>
                  <w:vAlign w:val="center"/>
                </w:tcPr>
                <w:p w14:paraId="59896AB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9236F7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碘</w:t>
                  </w:r>
                </w:p>
              </w:tc>
              <w:tc>
                <w:tcPr>
                  <w:tcW w:w="364" w:type="pct"/>
                  <w:tcBorders>
                    <w:tl2br w:val="nil"/>
                    <w:tr2bl w:val="nil"/>
                  </w:tcBorders>
                  <w:noWrap w:val="0"/>
                  <w:vAlign w:val="center"/>
                </w:tcPr>
                <w:p w14:paraId="5BD58CF3">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晶体</w:t>
                  </w:r>
                </w:p>
              </w:tc>
              <w:tc>
                <w:tcPr>
                  <w:tcW w:w="395" w:type="pct"/>
                  <w:tcBorders>
                    <w:tl2br w:val="nil"/>
                    <w:tr2bl w:val="nil"/>
                  </w:tcBorders>
                  <w:noWrap w:val="0"/>
                  <w:vAlign w:val="center"/>
                </w:tcPr>
                <w:p w14:paraId="63EF9CCE">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113.5</w:t>
                  </w:r>
                </w:p>
              </w:tc>
              <w:tc>
                <w:tcPr>
                  <w:tcW w:w="385" w:type="pct"/>
                  <w:tcBorders>
                    <w:tl2br w:val="nil"/>
                    <w:tr2bl w:val="nil"/>
                  </w:tcBorders>
                  <w:noWrap w:val="0"/>
                  <w:vAlign w:val="center"/>
                </w:tcPr>
                <w:p w14:paraId="19DA5BF8">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184.35</w:t>
                  </w:r>
                </w:p>
              </w:tc>
              <w:tc>
                <w:tcPr>
                  <w:tcW w:w="330" w:type="pct"/>
                  <w:tcBorders>
                    <w:tl2br w:val="nil"/>
                    <w:tr2bl w:val="nil"/>
                  </w:tcBorders>
                  <w:noWrap w:val="0"/>
                  <w:vAlign w:val="center"/>
                </w:tcPr>
                <w:p w14:paraId="4EF2B27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noWrap w:val="0"/>
                  <w:vAlign w:val="center"/>
                </w:tcPr>
                <w:p w14:paraId="39AE868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31D8500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4A58C15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5C3DE2A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F8090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9" w:hRule="atLeast"/>
                <w:jc w:val="center"/>
              </w:trPr>
              <w:tc>
                <w:tcPr>
                  <w:tcW w:w="248" w:type="pct"/>
                  <w:tcBorders>
                    <w:tl2br w:val="nil"/>
                    <w:tr2bl w:val="nil"/>
                  </w:tcBorders>
                  <w:shd w:val="clear" w:color="auto" w:fill="auto"/>
                  <w:noWrap w:val="0"/>
                  <w:vAlign w:val="center"/>
                </w:tcPr>
                <w:p w14:paraId="4A7496A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22</w:t>
                  </w:r>
                </w:p>
              </w:tc>
              <w:tc>
                <w:tcPr>
                  <w:tcW w:w="346" w:type="pct"/>
                  <w:vMerge w:val="continue"/>
                  <w:tcBorders>
                    <w:tl2br w:val="nil"/>
                    <w:tr2bl w:val="nil"/>
                  </w:tcBorders>
                  <w:noWrap w:val="0"/>
                  <w:vAlign w:val="center"/>
                </w:tcPr>
                <w:p w14:paraId="19E103CB">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F8D813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盐酸</w:t>
                  </w:r>
                </w:p>
              </w:tc>
              <w:tc>
                <w:tcPr>
                  <w:tcW w:w="364" w:type="pct"/>
                  <w:tcBorders>
                    <w:tl2br w:val="nil"/>
                    <w:tr2bl w:val="nil"/>
                  </w:tcBorders>
                  <w:noWrap w:val="0"/>
                  <w:vAlign w:val="center"/>
                </w:tcPr>
                <w:p w14:paraId="275487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noWrap w:val="0"/>
                  <w:vAlign w:val="center"/>
                </w:tcPr>
                <w:p w14:paraId="1EED11B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-114.2</w:t>
                  </w:r>
                </w:p>
              </w:tc>
              <w:tc>
                <w:tcPr>
                  <w:tcW w:w="385" w:type="pct"/>
                  <w:tcBorders>
                    <w:tl2br w:val="nil"/>
                    <w:tr2bl w:val="nil"/>
                  </w:tcBorders>
                  <w:noWrap w:val="0"/>
                  <w:vAlign w:val="center"/>
                </w:tcPr>
                <w:p w14:paraId="0F33671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-85</w:t>
                  </w:r>
                </w:p>
              </w:tc>
              <w:tc>
                <w:tcPr>
                  <w:tcW w:w="330" w:type="pct"/>
                  <w:tcBorders>
                    <w:tl2br w:val="nil"/>
                    <w:tr2bl w:val="nil"/>
                  </w:tcBorders>
                  <w:noWrap w:val="0"/>
                  <w:vAlign w:val="center"/>
                </w:tcPr>
                <w:p w14:paraId="4A38369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26F0D0D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2DD5338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63D3899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80B5A3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08B1A6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560A86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23</w:t>
                  </w:r>
                </w:p>
              </w:tc>
              <w:tc>
                <w:tcPr>
                  <w:tcW w:w="346" w:type="pct"/>
                  <w:vMerge w:val="continue"/>
                  <w:tcBorders>
                    <w:tl2br w:val="nil"/>
                    <w:tr2bl w:val="nil"/>
                  </w:tcBorders>
                  <w:noWrap w:val="0"/>
                  <w:vAlign w:val="center"/>
                </w:tcPr>
                <w:p w14:paraId="49025560">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4BCC7E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磷酸</w:t>
                  </w:r>
                </w:p>
              </w:tc>
              <w:tc>
                <w:tcPr>
                  <w:tcW w:w="364" w:type="pct"/>
                  <w:tcBorders>
                    <w:tl2br w:val="nil"/>
                    <w:tr2bl w:val="nil"/>
                  </w:tcBorders>
                  <w:shd w:val="clear" w:color="auto" w:fill="auto"/>
                  <w:noWrap w:val="0"/>
                  <w:vAlign w:val="center"/>
                </w:tcPr>
                <w:p w14:paraId="09084E0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2651D5B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42</w:t>
                  </w:r>
                </w:p>
              </w:tc>
              <w:tc>
                <w:tcPr>
                  <w:tcW w:w="385" w:type="pct"/>
                  <w:tcBorders>
                    <w:tl2br w:val="nil"/>
                    <w:tr2bl w:val="nil"/>
                  </w:tcBorders>
                  <w:shd w:val="clear" w:color="auto" w:fill="auto"/>
                  <w:noWrap w:val="0"/>
                  <w:vAlign w:val="center"/>
                </w:tcPr>
                <w:p w14:paraId="359426F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261</w:t>
                  </w:r>
                </w:p>
              </w:tc>
              <w:tc>
                <w:tcPr>
                  <w:tcW w:w="330" w:type="pct"/>
                  <w:tcBorders>
                    <w:tl2br w:val="nil"/>
                    <w:tr2bl w:val="nil"/>
                  </w:tcBorders>
                  <w:shd w:val="clear" w:color="auto" w:fill="auto"/>
                  <w:noWrap w:val="0"/>
                  <w:vAlign w:val="center"/>
                </w:tcPr>
                <w:p w14:paraId="243055F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2BF811A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517942D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73CDBDC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5C8195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54ECA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3370BC4">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24</w:t>
                  </w:r>
                </w:p>
              </w:tc>
              <w:tc>
                <w:tcPr>
                  <w:tcW w:w="346" w:type="pct"/>
                  <w:vMerge w:val="continue"/>
                  <w:tcBorders>
                    <w:tl2br w:val="nil"/>
                    <w:tr2bl w:val="nil"/>
                  </w:tcBorders>
                  <w:noWrap w:val="0"/>
                  <w:vAlign w:val="center"/>
                </w:tcPr>
                <w:p w14:paraId="109445D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494F36D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硫酸</w:t>
                  </w:r>
                </w:p>
              </w:tc>
              <w:tc>
                <w:tcPr>
                  <w:tcW w:w="364" w:type="pct"/>
                  <w:tcBorders>
                    <w:tl2br w:val="nil"/>
                    <w:tr2bl w:val="nil"/>
                  </w:tcBorders>
                  <w:shd w:val="clear" w:color="auto" w:fill="auto"/>
                  <w:noWrap w:val="0"/>
                  <w:vAlign w:val="center"/>
                </w:tcPr>
                <w:p w14:paraId="550C45E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30A27E9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10</w:t>
                  </w:r>
                </w:p>
              </w:tc>
              <w:tc>
                <w:tcPr>
                  <w:tcW w:w="385" w:type="pct"/>
                  <w:tcBorders>
                    <w:tl2br w:val="nil"/>
                    <w:tr2bl w:val="nil"/>
                  </w:tcBorders>
                  <w:shd w:val="clear" w:color="auto" w:fill="auto"/>
                  <w:noWrap w:val="0"/>
                  <w:vAlign w:val="center"/>
                </w:tcPr>
                <w:p w14:paraId="100BC9B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337</w:t>
                  </w:r>
                </w:p>
              </w:tc>
              <w:tc>
                <w:tcPr>
                  <w:tcW w:w="330" w:type="pct"/>
                  <w:tcBorders>
                    <w:tl2br w:val="nil"/>
                    <w:tr2bl w:val="nil"/>
                  </w:tcBorders>
                  <w:shd w:val="clear" w:color="auto" w:fill="auto"/>
                  <w:noWrap w:val="0"/>
                  <w:vAlign w:val="center"/>
                </w:tcPr>
                <w:p w14:paraId="6E0A08C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16D035E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7D1893E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4386940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5563C524">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1987C1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D0217A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25</w:t>
                  </w:r>
                </w:p>
              </w:tc>
              <w:tc>
                <w:tcPr>
                  <w:tcW w:w="346" w:type="pct"/>
                  <w:vMerge w:val="continue"/>
                  <w:tcBorders>
                    <w:tl2br w:val="nil"/>
                    <w:tr2bl w:val="nil"/>
                  </w:tcBorders>
                  <w:noWrap w:val="0"/>
                  <w:vAlign w:val="center"/>
                </w:tcPr>
                <w:p w14:paraId="6A0A0D6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0F20BF09">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汞</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364" w:type="pct"/>
                  <w:tcBorders>
                    <w:tl2br w:val="nil"/>
                    <w:tr2bl w:val="nil"/>
                  </w:tcBorders>
                  <w:shd w:val="clear" w:color="auto" w:fill="auto"/>
                  <w:noWrap w:val="0"/>
                  <w:vAlign w:val="center"/>
                </w:tcPr>
                <w:p w14:paraId="7FB03C1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69EF845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3EF6BC6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6D23E35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3E3E403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4DB781B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2AD5E4A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F88524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bl>
          <w:p w14:paraId="749A0771">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40</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项目涉及主要物料理化特性一览表</w:t>
            </w:r>
          </w:p>
          <w:tbl>
            <w:tblPr>
              <w:tblStyle w:val="26"/>
              <w:tblW w:w="785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90"/>
              <w:gridCol w:w="544"/>
              <w:gridCol w:w="1621"/>
              <w:gridCol w:w="572"/>
              <w:gridCol w:w="621"/>
              <w:gridCol w:w="605"/>
              <w:gridCol w:w="519"/>
              <w:gridCol w:w="749"/>
              <w:gridCol w:w="812"/>
              <w:gridCol w:w="536"/>
              <w:gridCol w:w="886"/>
            </w:tblGrid>
            <w:tr w14:paraId="4A0097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3595A41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346" w:type="pct"/>
                  <w:tcBorders>
                    <w:tl2br w:val="nil"/>
                    <w:tr2bl w:val="nil"/>
                  </w:tcBorders>
                  <w:noWrap w:val="0"/>
                  <w:vAlign w:val="center"/>
                </w:tcPr>
                <w:p w14:paraId="271C294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物质分类</w:t>
                  </w:r>
                </w:p>
              </w:tc>
              <w:tc>
                <w:tcPr>
                  <w:tcW w:w="1031" w:type="pct"/>
                  <w:tcBorders>
                    <w:tl2br w:val="nil"/>
                    <w:tr2bl w:val="nil"/>
                  </w:tcBorders>
                  <w:noWrap w:val="0"/>
                  <w:vAlign w:val="center"/>
                </w:tcPr>
                <w:p w14:paraId="57C714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364" w:type="pct"/>
                  <w:tcBorders>
                    <w:tl2br w:val="nil"/>
                    <w:tr2bl w:val="nil"/>
                  </w:tcBorders>
                  <w:noWrap w:val="0"/>
                  <w:vAlign w:val="center"/>
                </w:tcPr>
                <w:p w14:paraId="5606042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形态</w:t>
                  </w:r>
                </w:p>
              </w:tc>
              <w:tc>
                <w:tcPr>
                  <w:tcW w:w="395" w:type="pct"/>
                  <w:tcBorders>
                    <w:tl2br w:val="nil"/>
                    <w:tr2bl w:val="nil"/>
                  </w:tcBorders>
                  <w:noWrap w:val="0"/>
                  <w:vAlign w:val="center"/>
                </w:tcPr>
                <w:p w14:paraId="6D305D8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熔点</w:t>
                  </w:r>
                </w:p>
                <w:p w14:paraId="0DD7D5B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noWrap w:val="0"/>
                  <w:vAlign w:val="center"/>
                </w:tcPr>
                <w:p w14:paraId="3D91EB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沸点</w:t>
                  </w:r>
                </w:p>
                <w:p w14:paraId="4AED960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38A42E6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闪点</w:t>
                  </w:r>
                </w:p>
                <w:p w14:paraId="6210086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67BBFE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爆炸极限%</w:t>
                  </w:r>
                </w:p>
              </w:tc>
              <w:tc>
                <w:tcPr>
                  <w:tcW w:w="516" w:type="pct"/>
                  <w:tcBorders>
                    <w:tl2br w:val="nil"/>
                    <w:tr2bl w:val="nil"/>
                  </w:tcBorders>
                  <w:noWrap w:val="0"/>
                  <w:vAlign w:val="center"/>
                </w:tcPr>
                <w:p w14:paraId="59681BC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w:t>
                  </w:r>
                </w:p>
                <w:p w14:paraId="5172917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特性</w:t>
                  </w:r>
                </w:p>
              </w:tc>
              <w:tc>
                <w:tcPr>
                  <w:tcW w:w="341" w:type="pct"/>
                  <w:tcBorders>
                    <w:tl2br w:val="nil"/>
                    <w:tr2bl w:val="nil"/>
                  </w:tcBorders>
                  <w:noWrap w:val="0"/>
                  <w:vAlign w:val="center"/>
                </w:tcPr>
                <w:p w14:paraId="7EE52DC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危险度</w:t>
                  </w:r>
                </w:p>
                <w:p w14:paraId="0490DE5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H</w:t>
                  </w:r>
                </w:p>
              </w:tc>
              <w:tc>
                <w:tcPr>
                  <w:tcW w:w="563" w:type="pct"/>
                  <w:tcBorders>
                    <w:tl2br w:val="nil"/>
                    <w:tr2bl w:val="nil"/>
                  </w:tcBorders>
                  <w:noWrap w:val="0"/>
                  <w:vAlign w:val="center"/>
                </w:tcPr>
                <w:p w14:paraId="1B3E3BA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分布</w:t>
                  </w:r>
                </w:p>
                <w:p w14:paraId="7E16043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场所</w:t>
                  </w:r>
                </w:p>
              </w:tc>
            </w:tr>
            <w:tr w14:paraId="694D0C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6C00F70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26</w:t>
                  </w:r>
                </w:p>
              </w:tc>
              <w:tc>
                <w:tcPr>
                  <w:tcW w:w="346" w:type="pct"/>
                  <w:vMerge w:val="restart"/>
                  <w:tcBorders>
                    <w:tl2br w:val="nil"/>
                    <w:tr2bl w:val="nil"/>
                  </w:tcBorders>
                  <w:noWrap w:val="0"/>
                  <w:vAlign w:val="center"/>
                </w:tcPr>
                <w:p w14:paraId="78644C6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实验室药品</w:t>
                  </w:r>
                </w:p>
              </w:tc>
              <w:tc>
                <w:tcPr>
                  <w:tcW w:w="1031" w:type="pct"/>
                  <w:tcBorders>
                    <w:tl2br w:val="nil"/>
                    <w:tr2bl w:val="nil"/>
                  </w:tcBorders>
                  <w:shd w:val="clear" w:color="auto" w:fill="auto"/>
                  <w:noWrap w:val="0"/>
                  <w:vAlign w:val="center"/>
                </w:tcPr>
                <w:p w14:paraId="0BEC81D8">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铜（标准溶液）</w:t>
                  </w:r>
                </w:p>
              </w:tc>
              <w:tc>
                <w:tcPr>
                  <w:tcW w:w="364" w:type="pct"/>
                  <w:tcBorders>
                    <w:tl2br w:val="nil"/>
                    <w:tr2bl w:val="nil"/>
                  </w:tcBorders>
                  <w:noWrap w:val="0"/>
                  <w:vAlign w:val="center"/>
                </w:tcPr>
                <w:p w14:paraId="1D18A02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25F19B68">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5349649E">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735E724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1D80A80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1638E1E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603BF35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restart"/>
                  <w:tcBorders>
                    <w:tl2br w:val="nil"/>
                    <w:tr2bl w:val="nil"/>
                  </w:tcBorders>
                  <w:noWrap w:val="0"/>
                  <w:vAlign w:val="center"/>
                </w:tcPr>
                <w:p w14:paraId="75FE24F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药品室、理化实验室、气瓶室、危险废物暂存间</w:t>
                  </w:r>
                </w:p>
              </w:tc>
            </w:tr>
            <w:tr w14:paraId="01AB3D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95C8CA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27</w:t>
                  </w:r>
                </w:p>
              </w:tc>
              <w:tc>
                <w:tcPr>
                  <w:tcW w:w="346" w:type="pct"/>
                  <w:vMerge w:val="continue"/>
                  <w:tcBorders>
                    <w:tl2br w:val="nil"/>
                    <w:tr2bl w:val="nil"/>
                  </w:tcBorders>
                  <w:noWrap w:val="0"/>
                  <w:vAlign w:val="center"/>
                </w:tcPr>
                <w:p w14:paraId="12A7F631">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619C2E8A">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铅</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364" w:type="pct"/>
                  <w:tcBorders>
                    <w:tl2br w:val="nil"/>
                    <w:tr2bl w:val="nil"/>
                  </w:tcBorders>
                  <w:noWrap w:val="0"/>
                  <w:vAlign w:val="center"/>
                </w:tcPr>
                <w:p w14:paraId="5DCE7620">
                  <w:pPr>
                    <w:spacing w:line="28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5DCEC5C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42CFB205">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0FE712CA">
                  <w:pPr>
                    <w:spacing w:line="280" w:lineRule="exact"/>
                    <w:jc w:val="center"/>
                    <w:rPr>
                      <w:rFonts w:hint="eastAsia"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422D10D3">
                  <w:pPr>
                    <w:spacing w:line="280" w:lineRule="exact"/>
                    <w:jc w:val="center"/>
                    <w:rPr>
                      <w:rFonts w:hint="eastAsia"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207F4A2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危害水生生物</w:t>
                  </w:r>
                </w:p>
              </w:tc>
              <w:tc>
                <w:tcPr>
                  <w:tcW w:w="341" w:type="pct"/>
                  <w:tcBorders>
                    <w:tl2br w:val="nil"/>
                    <w:tr2bl w:val="nil"/>
                  </w:tcBorders>
                  <w:noWrap w:val="0"/>
                  <w:vAlign w:val="center"/>
                </w:tcPr>
                <w:p w14:paraId="40367B9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35879C83">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F9D81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7EDC141">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28</w:t>
                  </w:r>
                </w:p>
              </w:tc>
              <w:tc>
                <w:tcPr>
                  <w:tcW w:w="346" w:type="pct"/>
                  <w:vMerge w:val="continue"/>
                  <w:tcBorders>
                    <w:tl2br w:val="nil"/>
                    <w:tr2bl w:val="nil"/>
                  </w:tcBorders>
                  <w:noWrap w:val="0"/>
                  <w:vAlign w:val="center"/>
                </w:tcPr>
                <w:p w14:paraId="217CA9F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1DEAE6D">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镉（标准溶液）</w:t>
                  </w:r>
                </w:p>
              </w:tc>
              <w:tc>
                <w:tcPr>
                  <w:tcW w:w="364" w:type="pct"/>
                  <w:tcBorders>
                    <w:tl2br w:val="nil"/>
                    <w:tr2bl w:val="nil"/>
                  </w:tcBorders>
                  <w:noWrap w:val="0"/>
                  <w:vAlign w:val="center"/>
                </w:tcPr>
                <w:p w14:paraId="4368E35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7EFA7B3B">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2A268BD5">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noWrap w:val="0"/>
                  <w:vAlign w:val="center"/>
                </w:tcPr>
                <w:p w14:paraId="427ACD2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noWrap w:val="0"/>
                  <w:vAlign w:val="center"/>
                </w:tcPr>
                <w:p w14:paraId="7BFBE6C2">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0BEAD645">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A02A93B">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3787691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7E80C4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2F95C42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29</w:t>
                  </w:r>
                </w:p>
              </w:tc>
              <w:tc>
                <w:tcPr>
                  <w:tcW w:w="346" w:type="pct"/>
                  <w:vMerge w:val="continue"/>
                  <w:tcBorders>
                    <w:tl2br w:val="nil"/>
                    <w:tr2bl w:val="nil"/>
                  </w:tcBorders>
                  <w:noWrap w:val="0"/>
                  <w:vAlign w:val="center"/>
                </w:tcPr>
                <w:p w14:paraId="273C9BB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7FDBD2A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锰（标准溶液）</w:t>
                  </w:r>
                </w:p>
              </w:tc>
              <w:tc>
                <w:tcPr>
                  <w:tcW w:w="364" w:type="pct"/>
                  <w:tcBorders>
                    <w:tl2br w:val="nil"/>
                    <w:tr2bl w:val="nil"/>
                  </w:tcBorders>
                  <w:noWrap w:val="0"/>
                  <w:vAlign w:val="center"/>
                </w:tcPr>
                <w:p w14:paraId="0C9E2B5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3C29CBE">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60B8ED6C">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noWrap w:val="0"/>
                  <w:vAlign w:val="center"/>
                </w:tcPr>
                <w:p w14:paraId="052F44F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476" w:type="pct"/>
                  <w:tcBorders>
                    <w:tl2br w:val="nil"/>
                    <w:tr2bl w:val="nil"/>
                  </w:tcBorders>
                  <w:noWrap w:val="0"/>
                  <w:vAlign w:val="center"/>
                </w:tcPr>
                <w:p w14:paraId="739FF091">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225DD2E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17033C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464FBB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B5487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17BF29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30</w:t>
                  </w:r>
                </w:p>
              </w:tc>
              <w:tc>
                <w:tcPr>
                  <w:tcW w:w="346" w:type="pct"/>
                  <w:vMerge w:val="continue"/>
                  <w:tcBorders>
                    <w:tl2br w:val="nil"/>
                    <w:tr2bl w:val="nil"/>
                  </w:tcBorders>
                  <w:noWrap w:val="0"/>
                  <w:vAlign w:val="center"/>
                </w:tcPr>
                <w:p w14:paraId="187889F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3A51EC3F">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镍（标准溶液）</w:t>
                  </w:r>
                </w:p>
              </w:tc>
              <w:tc>
                <w:tcPr>
                  <w:tcW w:w="364" w:type="pct"/>
                  <w:tcBorders>
                    <w:tl2br w:val="nil"/>
                    <w:tr2bl w:val="nil"/>
                  </w:tcBorders>
                  <w:noWrap w:val="0"/>
                  <w:vAlign w:val="center"/>
                </w:tcPr>
                <w:p w14:paraId="34D7D95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3C853096">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66EBD6CD">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2077F42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72E6392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54C366C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51ECDD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536F11F">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34558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7AD8CF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31</w:t>
                  </w:r>
                </w:p>
              </w:tc>
              <w:tc>
                <w:tcPr>
                  <w:tcW w:w="346" w:type="pct"/>
                  <w:vMerge w:val="continue"/>
                  <w:tcBorders>
                    <w:tl2br w:val="nil"/>
                    <w:tr2bl w:val="nil"/>
                  </w:tcBorders>
                  <w:noWrap w:val="0"/>
                  <w:vAlign w:val="center"/>
                </w:tcPr>
                <w:p w14:paraId="27D6DBE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5E92F7A1">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砷（标准溶液）</w:t>
                  </w:r>
                </w:p>
              </w:tc>
              <w:tc>
                <w:tcPr>
                  <w:tcW w:w="364" w:type="pct"/>
                  <w:tcBorders>
                    <w:tl2br w:val="nil"/>
                    <w:tr2bl w:val="nil"/>
                  </w:tcBorders>
                  <w:noWrap w:val="0"/>
                  <w:vAlign w:val="center"/>
                </w:tcPr>
                <w:p w14:paraId="3E5406D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A987012">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167BE2CD">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247B8C4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6F84F85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noWrap w:val="0"/>
                  <w:vAlign w:val="center"/>
                </w:tcPr>
                <w:p w14:paraId="5863605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3E76841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20EEB0D">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488C84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5944278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32</w:t>
                  </w:r>
                </w:p>
              </w:tc>
              <w:tc>
                <w:tcPr>
                  <w:tcW w:w="346" w:type="pct"/>
                  <w:vMerge w:val="continue"/>
                  <w:tcBorders>
                    <w:tl2br w:val="nil"/>
                    <w:tr2bl w:val="nil"/>
                  </w:tcBorders>
                  <w:noWrap w:val="0"/>
                  <w:vAlign w:val="center"/>
                </w:tcPr>
                <w:p w14:paraId="0B084F0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83B1B3F">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氟化物（标准溶液）</w:t>
                  </w:r>
                </w:p>
              </w:tc>
              <w:tc>
                <w:tcPr>
                  <w:tcW w:w="364" w:type="pct"/>
                  <w:tcBorders>
                    <w:tl2br w:val="nil"/>
                    <w:tr2bl w:val="nil"/>
                  </w:tcBorders>
                  <w:noWrap w:val="0"/>
                  <w:vAlign w:val="center"/>
                </w:tcPr>
                <w:p w14:paraId="4B4F554E">
                  <w:pPr>
                    <w:spacing w:line="28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F8FD81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557864F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091E81D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69DB948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554AC7B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6EA6A63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660EB53E">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D13E9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E73965E">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33</w:t>
                  </w:r>
                </w:p>
              </w:tc>
              <w:tc>
                <w:tcPr>
                  <w:tcW w:w="346" w:type="pct"/>
                  <w:vMerge w:val="continue"/>
                  <w:tcBorders>
                    <w:tl2br w:val="nil"/>
                    <w:tr2bl w:val="nil"/>
                  </w:tcBorders>
                  <w:noWrap w:val="0"/>
                  <w:vAlign w:val="center"/>
                </w:tcPr>
                <w:p w14:paraId="1AF7AE4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12197C5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氰化钾（标准溶液）</w:t>
                  </w:r>
                </w:p>
              </w:tc>
              <w:tc>
                <w:tcPr>
                  <w:tcW w:w="364" w:type="pct"/>
                  <w:tcBorders>
                    <w:tl2br w:val="nil"/>
                    <w:tr2bl w:val="nil"/>
                  </w:tcBorders>
                  <w:shd w:val="clear" w:color="auto" w:fill="auto"/>
                  <w:noWrap w:val="0"/>
                  <w:vAlign w:val="center"/>
                </w:tcPr>
                <w:p w14:paraId="729B15F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00FCAED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563</w:t>
                  </w:r>
                </w:p>
              </w:tc>
              <w:tc>
                <w:tcPr>
                  <w:tcW w:w="385" w:type="pct"/>
                  <w:tcBorders>
                    <w:tl2br w:val="nil"/>
                    <w:tr2bl w:val="nil"/>
                  </w:tcBorders>
                  <w:shd w:val="clear" w:color="auto" w:fill="auto"/>
                  <w:noWrap w:val="0"/>
                  <w:vAlign w:val="center"/>
                </w:tcPr>
                <w:p w14:paraId="6D55E88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1497</w:t>
                  </w:r>
                </w:p>
              </w:tc>
              <w:tc>
                <w:tcPr>
                  <w:tcW w:w="330" w:type="pct"/>
                  <w:tcBorders>
                    <w:tl2br w:val="nil"/>
                    <w:tr2bl w:val="nil"/>
                  </w:tcBorders>
                  <w:shd w:val="clear" w:color="auto" w:fill="auto"/>
                  <w:noWrap w:val="0"/>
                  <w:vAlign w:val="center"/>
                </w:tcPr>
                <w:p w14:paraId="5E2277E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46854DB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46A6BAB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0BB6454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2EF8AE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B6198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30BD60A0">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34</w:t>
                  </w:r>
                </w:p>
              </w:tc>
              <w:tc>
                <w:tcPr>
                  <w:tcW w:w="346" w:type="pct"/>
                  <w:vMerge w:val="continue"/>
                  <w:tcBorders>
                    <w:tl2br w:val="nil"/>
                    <w:tr2bl w:val="nil"/>
                  </w:tcBorders>
                  <w:noWrap w:val="0"/>
                  <w:vAlign w:val="center"/>
                </w:tcPr>
                <w:p w14:paraId="7B009BD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2BFA41F4">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四氯化碳（环保专用）</w:t>
                  </w:r>
                </w:p>
              </w:tc>
              <w:tc>
                <w:tcPr>
                  <w:tcW w:w="364" w:type="pct"/>
                  <w:tcBorders>
                    <w:tl2br w:val="nil"/>
                    <w:tr2bl w:val="nil"/>
                  </w:tcBorders>
                  <w:shd w:val="clear" w:color="auto" w:fill="auto"/>
                  <w:noWrap w:val="0"/>
                  <w:vAlign w:val="center"/>
                </w:tcPr>
                <w:p w14:paraId="0530C374">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3C51F556">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-22.92</w:t>
                  </w:r>
                </w:p>
              </w:tc>
              <w:tc>
                <w:tcPr>
                  <w:tcW w:w="385" w:type="pct"/>
                  <w:tcBorders>
                    <w:tl2br w:val="nil"/>
                    <w:tr2bl w:val="nil"/>
                  </w:tcBorders>
                  <w:shd w:val="clear" w:color="auto" w:fill="auto"/>
                  <w:noWrap w:val="0"/>
                  <w:vAlign w:val="center"/>
                </w:tcPr>
                <w:p w14:paraId="780A8F5B">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76.8</w:t>
                  </w:r>
                </w:p>
              </w:tc>
              <w:tc>
                <w:tcPr>
                  <w:tcW w:w="330" w:type="pct"/>
                  <w:tcBorders>
                    <w:tl2br w:val="nil"/>
                    <w:tr2bl w:val="nil"/>
                  </w:tcBorders>
                  <w:shd w:val="clear" w:color="auto" w:fill="auto"/>
                  <w:noWrap w:val="0"/>
                  <w:vAlign w:val="center"/>
                </w:tcPr>
                <w:p w14:paraId="312467A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6876F25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730A33C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2F8CA4B7">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1F9192B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3AB790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49F484CA">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35</w:t>
                  </w:r>
                </w:p>
              </w:tc>
              <w:tc>
                <w:tcPr>
                  <w:tcW w:w="346" w:type="pct"/>
                  <w:vMerge w:val="continue"/>
                  <w:tcBorders>
                    <w:tl2br w:val="nil"/>
                    <w:tr2bl w:val="nil"/>
                  </w:tcBorders>
                  <w:noWrap w:val="0"/>
                  <w:vAlign w:val="center"/>
                </w:tcPr>
                <w:p w14:paraId="422A954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C9FDF2C">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冰醋酸</w:t>
                  </w:r>
                </w:p>
              </w:tc>
              <w:tc>
                <w:tcPr>
                  <w:tcW w:w="364" w:type="pct"/>
                  <w:tcBorders>
                    <w:tl2br w:val="nil"/>
                    <w:tr2bl w:val="nil"/>
                  </w:tcBorders>
                  <w:noWrap w:val="0"/>
                  <w:vAlign w:val="center"/>
                </w:tcPr>
                <w:p w14:paraId="6EC6ACE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noWrap w:val="0"/>
                  <w:vAlign w:val="center"/>
                </w:tcPr>
                <w:p w14:paraId="26FCA246">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16.6</w:t>
                  </w:r>
                </w:p>
              </w:tc>
              <w:tc>
                <w:tcPr>
                  <w:tcW w:w="385" w:type="pct"/>
                  <w:tcBorders>
                    <w:tl2br w:val="nil"/>
                    <w:tr2bl w:val="nil"/>
                  </w:tcBorders>
                  <w:noWrap w:val="0"/>
                  <w:vAlign w:val="center"/>
                </w:tcPr>
                <w:p w14:paraId="11E5FD27">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117.9</w:t>
                  </w:r>
                </w:p>
              </w:tc>
              <w:tc>
                <w:tcPr>
                  <w:tcW w:w="330" w:type="pct"/>
                  <w:tcBorders>
                    <w:tl2br w:val="nil"/>
                    <w:tr2bl w:val="nil"/>
                  </w:tcBorders>
                  <w:noWrap w:val="0"/>
                  <w:vAlign w:val="center"/>
                </w:tcPr>
                <w:p w14:paraId="5F3A6A3E">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39</w:t>
                  </w:r>
                </w:p>
              </w:tc>
              <w:tc>
                <w:tcPr>
                  <w:tcW w:w="476" w:type="pct"/>
                  <w:tcBorders>
                    <w:tl2br w:val="nil"/>
                    <w:tr2bl w:val="nil"/>
                  </w:tcBorders>
                  <w:noWrap w:val="0"/>
                  <w:vAlign w:val="center"/>
                </w:tcPr>
                <w:p w14:paraId="20F2E607">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58C2F755">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70083CCC">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25FBB86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8E9BBE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14EE5A6F">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36</w:t>
                  </w:r>
                </w:p>
              </w:tc>
              <w:tc>
                <w:tcPr>
                  <w:tcW w:w="346" w:type="pct"/>
                  <w:vMerge w:val="continue"/>
                  <w:tcBorders>
                    <w:tl2br w:val="nil"/>
                    <w:tr2bl w:val="nil"/>
                  </w:tcBorders>
                  <w:noWrap w:val="0"/>
                  <w:vAlign w:val="center"/>
                </w:tcPr>
                <w:p w14:paraId="65BA692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14C13DF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氯仿</w:t>
                  </w:r>
                </w:p>
              </w:tc>
              <w:tc>
                <w:tcPr>
                  <w:tcW w:w="364" w:type="pct"/>
                  <w:tcBorders>
                    <w:tl2br w:val="nil"/>
                    <w:tr2bl w:val="nil"/>
                  </w:tcBorders>
                  <w:noWrap w:val="0"/>
                  <w:vAlign w:val="center"/>
                </w:tcPr>
                <w:p w14:paraId="2EBB73F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noWrap w:val="0"/>
                  <w:vAlign w:val="center"/>
                </w:tcPr>
                <w:p w14:paraId="15F0142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-63.5</w:t>
                  </w:r>
                </w:p>
              </w:tc>
              <w:tc>
                <w:tcPr>
                  <w:tcW w:w="385" w:type="pct"/>
                  <w:tcBorders>
                    <w:tl2br w:val="nil"/>
                    <w:tr2bl w:val="nil"/>
                  </w:tcBorders>
                  <w:noWrap w:val="0"/>
                  <w:vAlign w:val="center"/>
                </w:tcPr>
                <w:p w14:paraId="447972B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61.3</w:t>
                  </w:r>
                </w:p>
              </w:tc>
              <w:tc>
                <w:tcPr>
                  <w:tcW w:w="330" w:type="pct"/>
                  <w:tcBorders>
                    <w:tl2br w:val="nil"/>
                    <w:tr2bl w:val="nil"/>
                  </w:tcBorders>
                  <w:noWrap w:val="0"/>
                  <w:vAlign w:val="center"/>
                </w:tcPr>
                <w:p w14:paraId="3218687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548FEFF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4C06EB6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281E94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4500490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BC27C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shd w:val="clear" w:color="auto" w:fill="auto"/>
                  <w:noWrap w:val="0"/>
                  <w:vAlign w:val="center"/>
                </w:tcPr>
                <w:p w14:paraId="789CDDED">
                  <w:pPr>
                    <w:spacing w:line="28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37</w:t>
                  </w:r>
                </w:p>
              </w:tc>
              <w:tc>
                <w:tcPr>
                  <w:tcW w:w="346" w:type="pct"/>
                  <w:vMerge w:val="continue"/>
                  <w:tcBorders>
                    <w:tl2br w:val="nil"/>
                    <w:tr2bl w:val="nil"/>
                  </w:tcBorders>
                  <w:noWrap w:val="0"/>
                  <w:vAlign w:val="center"/>
                </w:tcPr>
                <w:p w14:paraId="1FC9411A">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7C8DF9E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乙炔</w:t>
                  </w:r>
                </w:p>
              </w:tc>
              <w:tc>
                <w:tcPr>
                  <w:tcW w:w="364" w:type="pct"/>
                  <w:tcBorders>
                    <w:tl2br w:val="nil"/>
                    <w:tr2bl w:val="nil"/>
                  </w:tcBorders>
                  <w:noWrap w:val="0"/>
                  <w:vAlign w:val="center"/>
                </w:tcPr>
                <w:p w14:paraId="43ED64D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气体</w:t>
                  </w:r>
                </w:p>
              </w:tc>
              <w:tc>
                <w:tcPr>
                  <w:tcW w:w="395" w:type="pct"/>
                  <w:tcBorders>
                    <w:tl2br w:val="nil"/>
                    <w:tr2bl w:val="nil"/>
                  </w:tcBorders>
                  <w:noWrap w:val="0"/>
                  <w:vAlign w:val="center"/>
                </w:tcPr>
                <w:p w14:paraId="0A92D5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85" w:type="pct"/>
                  <w:tcBorders>
                    <w:tl2br w:val="nil"/>
                    <w:tr2bl w:val="nil"/>
                  </w:tcBorders>
                  <w:noWrap w:val="0"/>
                  <w:vAlign w:val="center"/>
                </w:tcPr>
                <w:p w14:paraId="5B63280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-84</w:t>
                  </w:r>
                </w:p>
              </w:tc>
              <w:tc>
                <w:tcPr>
                  <w:tcW w:w="330" w:type="pct"/>
                  <w:tcBorders>
                    <w:tl2br w:val="nil"/>
                    <w:tr2bl w:val="nil"/>
                  </w:tcBorders>
                  <w:noWrap w:val="0"/>
                  <w:vAlign w:val="center"/>
                </w:tcPr>
                <w:p w14:paraId="164F2F8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17.7</w:t>
                  </w:r>
                </w:p>
              </w:tc>
              <w:tc>
                <w:tcPr>
                  <w:tcW w:w="476" w:type="pct"/>
                  <w:tcBorders>
                    <w:tl2br w:val="nil"/>
                    <w:tr2bl w:val="nil"/>
                  </w:tcBorders>
                  <w:noWrap w:val="0"/>
                  <w:vAlign w:val="center"/>
                </w:tcPr>
                <w:p w14:paraId="39359C6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2.5-82</w:t>
                  </w:r>
                </w:p>
              </w:tc>
              <w:tc>
                <w:tcPr>
                  <w:tcW w:w="516" w:type="pct"/>
                  <w:tcBorders>
                    <w:tl2br w:val="nil"/>
                    <w:tr2bl w:val="nil"/>
                  </w:tcBorders>
                  <w:noWrap w:val="0"/>
                  <w:vAlign w:val="center"/>
                </w:tcPr>
                <w:p w14:paraId="16E02B2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有毒、易燃易爆</w:t>
                  </w:r>
                </w:p>
              </w:tc>
              <w:tc>
                <w:tcPr>
                  <w:tcW w:w="341" w:type="pct"/>
                  <w:tcBorders>
                    <w:tl2br w:val="nil"/>
                    <w:tr2bl w:val="nil"/>
                  </w:tcBorders>
                  <w:noWrap w:val="0"/>
                  <w:vAlign w:val="center"/>
                </w:tcPr>
                <w:p w14:paraId="33A7A17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31.8</w:t>
                  </w:r>
                </w:p>
              </w:tc>
              <w:tc>
                <w:tcPr>
                  <w:tcW w:w="563" w:type="pct"/>
                  <w:vMerge w:val="continue"/>
                  <w:tcBorders>
                    <w:tl2br w:val="nil"/>
                    <w:tr2bl w:val="nil"/>
                  </w:tcBorders>
                  <w:noWrap w:val="0"/>
                  <w:vAlign w:val="center"/>
                </w:tcPr>
                <w:p w14:paraId="07E4F1A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660474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53A34165">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38</w:t>
                  </w:r>
                </w:p>
              </w:tc>
              <w:tc>
                <w:tcPr>
                  <w:tcW w:w="346" w:type="pct"/>
                  <w:vMerge w:val="continue"/>
                  <w:tcBorders>
                    <w:tl2br w:val="nil"/>
                    <w:tr2bl w:val="nil"/>
                  </w:tcBorders>
                  <w:noWrap w:val="0"/>
                  <w:vAlign w:val="center"/>
                </w:tcPr>
                <w:p w14:paraId="3E1DFAF6">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58703D3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硝酸汞</w:t>
                  </w:r>
                </w:p>
              </w:tc>
              <w:tc>
                <w:tcPr>
                  <w:tcW w:w="364" w:type="pct"/>
                  <w:tcBorders>
                    <w:tl2br w:val="nil"/>
                    <w:tr2bl w:val="nil"/>
                  </w:tcBorders>
                  <w:noWrap w:val="0"/>
                  <w:vAlign w:val="center"/>
                </w:tcPr>
                <w:p w14:paraId="15C959D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7FA0FEC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79</w:t>
                  </w:r>
                </w:p>
              </w:tc>
              <w:tc>
                <w:tcPr>
                  <w:tcW w:w="385" w:type="pct"/>
                  <w:tcBorders>
                    <w:tl2br w:val="nil"/>
                    <w:tr2bl w:val="nil"/>
                  </w:tcBorders>
                  <w:noWrap w:val="0"/>
                  <w:vAlign w:val="center"/>
                </w:tcPr>
                <w:p w14:paraId="52831B6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180</w:t>
                  </w:r>
                </w:p>
              </w:tc>
              <w:tc>
                <w:tcPr>
                  <w:tcW w:w="330" w:type="pct"/>
                  <w:tcBorders>
                    <w:tl2br w:val="nil"/>
                    <w:tr2bl w:val="nil"/>
                  </w:tcBorders>
                  <w:noWrap w:val="0"/>
                  <w:vAlign w:val="center"/>
                </w:tcPr>
                <w:p w14:paraId="6B9AB1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3004C16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008DB8C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153A34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60CA77B7">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8B549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77218DE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39</w:t>
                  </w:r>
                </w:p>
              </w:tc>
              <w:tc>
                <w:tcPr>
                  <w:tcW w:w="346" w:type="pct"/>
                  <w:vMerge w:val="continue"/>
                  <w:tcBorders>
                    <w:tl2br w:val="nil"/>
                    <w:tr2bl w:val="nil"/>
                  </w:tcBorders>
                  <w:noWrap w:val="0"/>
                  <w:vAlign w:val="center"/>
                </w:tcPr>
                <w:p w14:paraId="238317A2">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4DB1FCD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硝酸镍</w:t>
                  </w:r>
                </w:p>
              </w:tc>
              <w:tc>
                <w:tcPr>
                  <w:tcW w:w="364" w:type="pct"/>
                  <w:tcBorders>
                    <w:tl2br w:val="nil"/>
                    <w:tr2bl w:val="nil"/>
                  </w:tcBorders>
                  <w:noWrap w:val="0"/>
                  <w:vAlign w:val="center"/>
                </w:tcPr>
                <w:p w14:paraId="0D68998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2E5D76A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56.7</w:t>
                  </w:r>
                </w:p>
              </w:tc>
              <w:tc>
                <w:tcPr>
                  <w:tcW w:w="385" w:type="pct"/>
                  <w:tcBorders>
                    <w:tl2br w:val="nil"/>
                    <w:tr2bl w:val="nil"/>
                  </w:tcBorders>
                  <w:noWrap w:val="0"/>
                  <w:vAlign w:val="center"/>
                </w:tcPr>
                <w:p w14:paraId="0378E8D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137</w:t>
                  </w:r>
                </w:p>
              </w:tc>
              <w:tc>
                <w:tcPr>
                  <w:tcW w:w="330" w:type="pct"/>
                  <w:tcBorders>
                    <w:tl2br w:val="nil"/>
                    <w:tr2bl w:val="nil"/>
                  </w:tcBorders>
                  <w:noWrap w:val="0"/>
                  <w:vAlign w:val="center"/>
                </w:tcPr>
                <w:p w14:paraId="1B1D814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01EE298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9ABE3F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4236767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3BA24A9">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548903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5933BB04">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40</w:t>
                  </w:r>
                </w:p>
              </w:tc>
              <w:tc>
                <w:tcPr>
                  <w:tcW w:w="346" w:type="pct"/>
                  <w:vMerge w:val="continue"/>
                  <w:tcBorders>
                    <w:tl2br w:val="nil"/>
                    <w:tr2bl w:val="nil"/>
                  </w:tcBorders>
                  <w:noWrap w:val="0"/>
                  <w:vAlign w:val="center"/>
                </w:tcPr>
                <w:p w14:paraId="74F4695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65AB542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硝酸铅</w:t>
                  </w:r>
                </w:p>
              </w:tc>
              <w:tc>
                <w:tcPr>
                  <w:tcW w:w="364" w:type="pct"/>
                  <w:tcBorders>
                    <w:tl2br w:val="nil"/>
                    <w:tr2bl w:val="nil"/>
                  </w:tcBorders>
                  <w:noWrap w:val="0"/>
                  <w:vAlign w:val="center"/>
                </w:tcPr>
                <w:p w14:paraId="0FA44DDF">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45FC57D4">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470</w:t>
                  </w:r>
                </w:p>
              </w:tc>
              <w:tc>
                <w:tcPr>
                  <w:tcW w:w="385" w:type="pct"/>
                  <w:tcBorders>
                    <w:tl2br w:val="nil"/>
                    <w:tr2bl w:val="nil"/>
                  </w:tcBorders>
                  <w:noWrap w:val="0"/>
                  <w:vAlign w:val="center"/>
                </w:tcPr>
                <w:p w14:paraId="4A134C1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330" w:type="pct"/>
                  <w:tcBorders>
                    <w:tl2br w:val="nil"/>
                    <w:tr2bl w:val="nil"/>
                  </w:tcBorders>
                  <w:noWrap w:val="0"/>
                  <w:vAlign w:val="center"/>
                </w:tcPr>
                <w:p w14:paraId="36BD0F0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476" w:type="pct"/>
                  <w:tcBorders>
                    <w:tl2br w:val="nil"/>
                    <w:tr2bl w:val="nil"/>
                  </w:tcBorders>
                  <w:noWrap w:val="0"/>
                  <w:vAlign w:val="center"/>
                </w:tcPr>
                <w:p w14:paraId="40E821EB">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noWrap w:val="0"/>
                  <w:vAlign w:val="center"/>
                </w:tcPr>
                <w:p w14:paraId="6D571B97">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noWrap w:val="0"/>
                  <w:vAlign w:val="center"/>
                </w:tcPr>
                <w:p w14:paraId="7F8987C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EDAE504">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262472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183DA0E8">
                  <w:pPr>
                    <w:spacing w:line="28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41</w:t>
                  </w:r>
                </w:p>
              </w:tc>
              <w:tc>
                <w:tcPr>
                  <w:tcW w:w="346" w:type="pct"/>
                  <w:vMerge w:val="continue"/>
                  <w:tcBorders>
                    <w:tl2br w:val="nil"/>
                    <w:tr2bl w:val="nil"/>
                  </w:tcBorders>
                  <w:noWrap w:val="0"/>
                  <w:vAlign w:val="center"/>
                </w:tcPr>
                <w:p w14:paraId="48FE077C">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noWrap w:val="0"/>
                  <w:vAlign w:val="center"/>
                </w:tcPr>
                <w:p w14:paraId="39097EC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邻菲罗啉</w:t>
                  </w:r>
                </w:p>
              </w:tc>
              <w:tc>
                <w:tcPr>
                  <w:tcW w:w="364" w:type="pct"/>
                  <w:tcBorders>
                    <w:tl2br w:val="nil"/>
                    <w:tr2bl w:val="nil"/>
                  </w:tcBorders>
                  <w:noWrap w:val="0"/>
                  <w:vAlign w:val="center"/>
                </w:tcPr>
                <w:p w14:paraId="0FAE5B7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固体</w:t>
                  </w:r>
                </w:p>
              </w:tc>
              <w:tc>
                <w:tcPr>
                  <w:tcW w:w="395" w:type="pct"/>
                  <w:tcBorders>
                    <w:tl2br w:val="nil"/>
                    <w:tr2bl w:val="nil"/>
                  </w:tcBorders>
                  <w:noWrap w:val="0"/>
                  <w:vAlign w:val="center"/>
                </w:tcPr>
                <w:p w14:paraId="07E69623">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114</w:t>
                  </w:r>
                </w:p>
              </w:tc>
              <w:tc>
                <w:tcPr>
                  <w:tcW w:w="385" w:type="pct"/>
                  <w:tcBorders>
                    <w:tl2br w:val="nil"/>
                    <w:tr2bl w:val="nil"/>
                  </w:tcBorders>
                  <w:noWrap w:val="0"/>
                  <w:vAlign w:val="center"/>
                </w:tcPr>
                <w:p w14:paraId="790D74EF">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365.1</w:t>
                  </w:r>
                </w:p>
              </w:tc>
              <w:tc>
                <w:tcPr>
                  <w:tcW w:w="330" w:type="pct"/>
                  <w:tcBorders>
                    <w:tl2br w:val="nil"/>
                    <w:tr2bl w:val="nil"/>
                  </w:tcBorders>
                  <w:noWrap w:val="0"/>
                  <w:vAlign w:val="center"/>
                </w:tcPr>
                <w:p w14:paraId="1A0FDEE3">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164.8</w:t>
                  </w:r>
                </w:p>
              </w:tc>
              <w:tc>
                <w:tcPr>
                  <w:tcW w:w="476" w:type="pct"/>
                  <w:tcBorders>
                    <w:tl2br w:val="nil"/>
                    <w:tr2bl w:val="nil"/>
                  </w:tcBorders>
                  <w:shd w:val="clear" w:color="auto" w:fill="auto"/>
                  <w:noWrap w:val="0"/>
                  <w:vAlign w:val="center"/>
                </w:tcPr>
                <w:p w14:paraId="407CE4D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D5BD35D">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有毒</w:t>
                  </w:r>
                </w:p>
              </w:tc>
              <w:tc>
                <w:tcPr>
                  <w:tcW w:w="341" w:type="pct"/>
                  <w:tcBorders>
                    <w:tl2br w:val="nil"/>
                    <w:tr2bl w:val="nil"/>
                  </w:tcBorders>
                  <w:shd w:val="clear" w:color="auto" w:fill="auto"/>
                  <w:noWrap w:val="0"/>
                  <w:vAlign w:val="center"/>
                </w:tcPr>
                <w:p w14:paraId="73A00BF8">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741410B5">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r w14:paraId="7F9B57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248" w:type="pct"/>
                  <w:tcBorders>
                    <w:tl2br w:val="nil"/>
                    <w:tr2bl w:val="nil"/>
                  </w:tcBorders>
                  <w:noWrap w:val="0"/>
                  <w:vAlign w:val="center"/>
                </w:tcPr>
                <w:p w14:paraId="64F0A17D">
                  <w:pPr>
                    <w:spacing w:line="28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42</w:t>
                  </w:r>
                </w:p>
              </w:tc>
              <w:tc>
                <w:tcPr>
                  <w:tcW w:w="346" w:type="pct"/>
                  <w:vMerge w:val="continue"/>
                  <w:tcBorders>
                    <w:tl2br w:val="nil"/>
                    <w:tr2bl w:val="nil"/>
                  </w:tcBorders>
                  <w:noWrap w:val="0"/>
                  <w:vAlign w:val="center"/>
                </w:tcPr>
                <w:p w14:paraId="53687F18">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c>
                <w:tcPr>
                  <w:tcW w:w="1031" w:type="pct"/>
                  <w:tcBorders>
                    <w:tl2br w:val="nil"/>
                    <w:tr2bl w:val="nil"/>
                  </w:tcBorders>
                  <w:shd w:val="clear" w:color="auto" w:fill="auto"/>
                  <w:noWrap w:val="0"/>
                  <w:vAlign w:val="center"/>
                </w:tcPr>
                <w:p w14:paraId="5C6B9419">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实验废液</w:t>
                  </w:r>
                </w:p>
              </w:tc>
              <w:tc>
                <w:tcPr>
                  <w:tcW w:w="364" w:type="pct"/>
                  <w:tcBorders>
                    <w:tl2br w:val="nil"/>
                    <w:tr2bl w:val="nil"/>
                  </w:tcBorders>
                  <w:shd w:val="clear" w:color="auto" w:fill="auto"/>
                  <w:noWrap w:val="0"/>
                  <w:vAlign w:val="center"/>
                </w:tcPr>
                <w:p w14:paraId="17524772">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液体</w:t>
                  </w:r>
                </w:p>
              </w:tc>
              <w:tc>
                <w:tcPr>
                  <w:tcW w:w="395" w:type="pct"/>
                  <w:tcBorders>
                    <w:tl2br w:val="nil"/>
                    <w:tr2bl w:val="nil"/>
                  </w:tcBorders>
                  <w:shd w:val="clear" w:color="auto" w:fill="auto"/>
                  <w:noWrap w:val="0"/>
                  <w:vAlign w:val="center"/>
                </w:tcPr>
                <w:p w14:paraId="7D2736C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85" w:type="pct"/>
                  <w:tcBorders>
                    <w:tl2br w:val="nil"/>
                    <w:tr2bl w:val="nil"/>
                  </w:tcBorders>
                  <w:shd w:val="clear" w:color="auto" w:fill="auto"/>
                  <w:noWrap w:val="0"/>
                  <w:vAlign w:val="center"/>
                </w:tcPr>
                <w:p w14:paraId="653A060A">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330" w:type="pct"/>
                  <w:tcBorders>
                    <w:tl2br w:val="nil"/>
                    <w:tr2bl w:val="nil"/>
                  </w:tcBorders>
                  <w:shd w:val="clear" w:color="auto" w:fill="auto"/>
                  <w:noWrap w:val="0"/>
                  <w:vAlign w:val="center"/>
                </w:tcPr>
                <w:p w14:paraId="7DB8D863">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476" w:type="pct"/>
                  <w:tcBorders>
                    <w:tl2br w:val="nil"/>
                    <w:tr2bl w:val="nil"/>
                  </w:tcBorders>
                  <w:shd w:val="clear" w:color="auto" w:fill="auto"/>
                  <w:noWrap w:val="0"/>
                  <w:vAlign w:val="center"/>
                </w:tcPr>
                <w:p w14:paraId="0E0B28EF">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16" w:type="pct"/>
                  <w:tcBorders>
                    <w:tl2br w:val="nil"/>
                    <w:tr2bl w:val="nil"/>
                  </w:tcBorders>
                  <w:shd w:val="clear" w:color="auto" w:fill="auto"/>
                  <w:noWrap w:val="0"/>
                  <w:vAlign w:val="center"/>
                </w:tcPr>
                <w:p w14:paraId="09ABC665">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20"/>
                      <w:sz w:val="18"/>
                      <w:szCs w:val="18"/>
                      <w:highlight w:val="none"/>
                      <w:lang w:val="en-US" w:eastAsia="zh-CN"/>
                    </w:rPr>
                    <w:t>有毒、易燃、感染性、腐蚀性</w:t>
                  </w:r>
                </w:p>
              </w:tc>
              <w:tc>
                <w:tcPr>
                  <w:tcW w:w="341" w:type="pct"/>
                  <w:tcBorders>
                    <w:tl2br w:val="nil"/>
                    <w:tr2bl w:val="nil"/>
                  </w:tcBorders>
                  <w:shd w:val="clear" w:color="auto" w:fill="auto"/>
                  <w:noWrap w:val="0"/>
                  <w:vAlign w:val="center"/>
                </w:tcPr>
                <w:p w14:paraId="76AC8C70">
                  <w:pPr>
                    <w:spacing w:line="28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w:t>
                  </w:r>
                </w:p>
              </w:tc>
              <w:tc>
                <w:tcPr>
                  <w:tcW w:w="563" w:type="pct"/>
                  <w:vMerge w:val="continue"/>
                  <w:tcBorders>
                    <w:tl2br w:val="nil"/>
                    <w:tr2bl w:val="nil"/>
                  </w:tcBorders>
                  <w:noWrap w:val="0"/>
                  <w:vAlign w:val="center"/>
                </w:tcPr>
                <w:p w14:paraId="08F83AEE">
                  <w:pPr>
                    <w:spacing w:line="280" w:lineRule="exact"/>
                    <w:jc w:val="center"/>
                    <w:rPr>
                      <w:rFonts w:hint="eastAsia" w:ascii="Times New Roman" w:hAnsi="Times New Roman" w:eastAsia="宋体" w:cs="Times New Roman"/>
                      <w:color w:val="auto"/>
                      <w:spacing w:val="-10"/>
                      <w:sz w:val="18"/>
                      <w:szCs w:val="18"/>
                      <w:highlight w:val="none"/>
                      <w:lang w:val="en-US" w:eastAsia="zh-CN"/>
                    </w:rPr>
                  </w:pPr>
                </w:p>
              </w:tc>
            </w:tr>
          </w:tbl>
          <w:p w14:paraId="427DD1CA">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燃烧爆炸危险度按以下公式计算：H=（R-L）/L</w:t>
            </w:r>
          </w:p>
          <w:p w14:paraId="10A28E23">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式中：H—危险度；R—燃烧（爆炸）上限；L—燃烧（爆炸）下限</w:t>
            </w:r>
          </w:p>
          <w:p w14:paraId="764374A4">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危险度H值越大，表示其危险性越大。</w:t>
            </w:r>
          </w:p>
          <w:p w14:paraId="167BD33E">
            <w:pPr>
              <w:tabs>
                <w:tab w:val="left" w:pos="4253"/>
              </w:tabs>
              <w:spacing w:line="440" w:lineRule="exact"/>
              <w:jc w:val="center"/>
              <w:rPr>
                <w:rFonts w:ascii="Times New Roman" w:hAnsi="Times New Roman" w:eastAsia="宋体" w:cs="Times New Roman"/>
                <w:b/>
                <w:color w:val="auto"/>
                <w:szCs w:val="21"/>
                <w:highlight w:val="none"/>
              </w:rPr>
            </w:pP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404"/>
              <w:gridCol w:w="1671"/>
            </w:tblGrid>
            <w:tr w14:paraId="75D4169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74386D6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18A98EF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162749E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167" w:type="pct"/>
                  <w:tcBorders>
                    <w:tl2br w:val="nil"/>
                    <w:tr2bl w:val="nil"/>
                  </w:tcBorders>
                  <w:noWrap w:val="0"/>
                  <w:vAlign w:val="center"/>
                </w:tcPr>
                <w:p w14:paraId="148EE1C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063" w:type="pct"/>
                  <w:tcBorders>
                    <w:tl2br w:val="nil"/>
                    <w:tr2bl w:val="nil"/>
                  </w:tcBorders>
                  <w:noWrap w:val="0"/>
                  <w:vAlign w:val="center"/>
                </w:tcPr>
                <w:p w14:paraId="2EC8CF8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3FBF54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D18B9F6">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w:t>
                  </w:r>
                </w:p>
              </w:tc>
              <w:tc>
                <w:tcPr>
                  <w:tcW w:w="778" w:type="pct"/>
                  <w:tcBorders>
                    <w:tl2br w:val="nil"/>
                    <w:tr2bl w:val="nil"/>
                  </w:tcBorders>
                  <w:noWrap w:val="0"/>
                  <w:vAlign w:val="center"/>
                </w:tcPr>
                <w:p w14:paraId="6D64C56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氢氧化钠</w:t>
                  </w:r>
                </w:p>
              </w:tc>
              <w:tc>
                <w:tcPr>
                  <w:tcW w:w="619" w:type="pct"/>
                  <w:tcBorders>
                    <w:tl2br w:val="nil"/>
                    <w:tr2bl w:val="nil"/>
                  </w:tcBorders>
                  <w:noWrap w:val="0"/>
                  <w:vAlign w:val="center"/>
                </w:tcPr>
                <w:p w14:paraId="7A60E19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4600F04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对皮肤有腐蚀作用</w:t>
                  </w:r>
                </w:p>
              </w:tc>
              <w:tc>
                <w:tcPr>
                  <w:tcW w:w="1063" w:type="pct"/>
                  <w:tcBorders>
                    <w:tl2br w:val="nil"/>
                    <w:tr2bl w:val="nil"/>
                  </w:tcBorders>
                  <w:noWrap w:val="0"/>
                  <w:vAlign w:val="center"/>
                </w:tcPr>
                <w:p w14:paraId="6A24A36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：40mg/kg</w:t>
                  </w:r>
                </w:p>
              </w:tc>
            </w:tr>
            <w:tr w14:paraId="436157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903CEB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w:t>
                  </w:r>
                </w:p>
              </w:tc>
              <w:tc>
                <w:tcPr>
                  <w:tcW w:w="778" w:type="pct"/>
                  <w:tcBorders>
                    <w:tl2br w:val="nil"/>
                    <w:tr2bl w:val="nil"/>
                  </w:tcBorders>
                  <w:noWrap w:val="0"/>
                  <w:vAlign w:val="center"/>
                </w:tcPr>
                <w:p w14:paraId="4EB5A63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氢氧化钾</w:t>
                  </w:r>
                </w:p>
              </w:tc>
              <w:tc>
                <w:tcPr>
                  <w:tcW w:w="619" w:type="pct"/>
                  <w:tcBorders>
                    <w:tl2br w:val="nil"/>
                    <w:tr2bl w:val="nil"/>
                  </w:tcBorders>
                  <w:noWrap w:val="0"/>
                  <w:vAlign w:val="center"/>
                </w:tcPr>
                <w:p w14:paraId="0090C42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16092BF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对皮肤有腐蚀作用</w:t>
                  </w:r>
                </w:p>
              </w:tc>
              <w:tc>
                <w:tcPr>
                  <w:tcW w:w="1063" w:type="pct"/>
                  <w:tcBorders>
                    <w:tl2br w:val="nil"/>
                    <w:tr2bl w:val="nil"/>
                  </w:tcBorders>
                  <w:noWrap w:val="0"/>
                  <w:vAlign w:val="center"/>
                </w:tcPr>
                <w:p w14:paraId="6077CE3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：273mg/kg</w:t>
                  </w:r>
                </w:p>
              </w:tc>
            </w:tr>
            <w:tr w14:paraId="6DD944C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74A0B009">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w:t>
                  </w:r>
                </w:p>
              </w:tc>
              <w:tc>
                <w:tcPr>
                  <w:tcW w:w="778" w:type="pct"/>
                  <w:tcBorders>
                    <w:tl2br w:val="nil"/>
                    <w:tr2bl w:val="nil"/>
                  </w:tcBorders>
                  <w:noWrap w:val="0"/>
                  <w:vAlign w:val="center"/>
                </w:tcPr>
                <w:p w14:paraId="3312589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氢氧化铝</w:t>
                  </w:r>
                </w:p>
              </w:tc>
              <w:tc>
                <w:tcPr>
                  <w:tcW w:w="619" w:type="pct"/>
                  <w:tcBorders>
                    <w:tl2br w:val="nil"/>
                    <w:tr2bl w:val="nil"/>
                  </w:tcBorders>
                  <w:noWrap w:val="0"/>
                  <w:vAlign w:val="center"/>
                </w:tcPr>
                <w:p w14:paraId="52C7393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4942E42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在粉尘含量高的场所工作应佩戴防毒面具、防护眼镜、穿防尘工作服，以保护皮肤、眼睛</w:t>
                  </w:r>
                </w:p>
              </w:tc>
              <w:tc>
                <w:tcPr>
                  <w:tcW w:w="1063" w:type="pct"/>
                  <w:tcBorders>
                    <w:tl2br w:val="nil"/>
                    <w:tr2bl w:val="nil"/>
                  </w:tcBorders>
                  <w:noWrap w:val="0"/>
                  <w:vAlign w:val="center"/>
                </w:tcPr>
                <w:p w14:paraId="255EEBF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腹内注射</w:t>
                  </w:r>
                </w:p>
                <w:p w14:paraId="75C3D6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：150 mg/kg</w:t>
                  </w:r>
                </w:p>
              </w:tc>
            </w:tr>
            <w:tr w14:paraId="427C9D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C2AD9A4">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4</w:t>
                  </w:r>
                </w:p>
              </w:tc>
              <w:tc>
                <w:tcPr>
                  <w:tcW w:w="778" w:type="pct"/>
                  <w:tcBorders>
                    <w:tl2br w:val="nil"/>
                    <w:tr2bl w:val="nil"/>
                  </w:tcBorders>
                  <w:noWrap w:val="0"/>
                  <w:vAlign w:val="center"/>
                </w:tcPr>
                <w:p w14:paraId="6439363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氢氧化铵</w:t>
                  </w:r>
                </w:p>
              </w:tc>
              <w:tc>
                <w:tcPr>
                  <w:tcW w:w="619" w:type="pct"/>
                  <w:tcBorders>
                    <w:tl2br w:val="nil"/>
                    <w:tr2bl w:val="nil"/>
                  </w:tcBorders>
                  <w:noWrap w:val="0"/>
                  <w:vAlign w:val="center"/>
                </w:tcPr>
                <w:p w14:paraId="1B96239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w:t>
                  </w:r>
                </w:p>
              </w:tc>
              <w:tc>
                <w:tcPr>
                  <w:tcW w:w="2167" w:type="pct"/>
                  <w:tcBorders>
                    <w:tl2br w:val="nil"/>
                    <w:tr2bl w:val="nil"/>
                  </w:tcBorders>
                  <w:noWrap w:val="0"/>
                  <w:vAlign w:val="center"/>
                </w:tcPr>
                <w:p w14:paraId="545D5BF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有腐蚀性。催泪性。</w:t>
                  </w:r>
                </w:p>
              </w:tc>
              <w:tc>
                <w:tcPr>
                  <w:tcW w:w="1063" w:type="pct"/>
                  <w:tcBorders>
                    <w:tl2br w:val="nil"/>
                    <w:tr2bl w:val="nil"/>
                  </w:tcBorders>
                  <w:noWrap w:val="0"/>
                  <w:vAlign w:val="center"/>
                </w:tcPr>
                <w:p w14:paraId="096FAB7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614DF8F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：60mg/kg</w:t>
                  </w:r>
                </w:p>
              </w:tc>
            </w:tr>
          </w:tbl>
          <w:p w14:paraId="7ADCB529">
            <w:pPr>
              <w:tabs>
                <w:tab w:val="left" w:pos="4253"/>
              </w:tabs>
              <w:spacing w:line="440" w:lineRule="exact"/>
              <w:jc w:val="center"/>
              <w:rPr>
                <w:rFonts w:hint="eastAsia" w:cs="Times New Roman"/>
                <w:b/>
                <w:color w:val="auto"/>
                <w:szCs w:val="21"/>
                <w:highlight w:val="none"/>
                <w:lang w:val="en-US" w:eastAsia="zh-CN"/>
              </w:rPr>
            </w:pPr>
          </w:p>
          <w:p w14:paraId="0250043A">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404"/>
              <w:gridCol w:w="1671"/>
            </w:tblGrid>
            <w:tr w14:paraId="18797D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214D78D1">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2290C345">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74F6895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167" w:type="pct"/>
                  <w:tcBorders>
                    <w:tl2br w:val="nil"/>
                    <w:tr2bl w:val="nil"/>
                  </w:tcBorders>
                  <w:noWrap w:val="0"/>
                  <w:vAlign w:val="center"/>
                </w:tcPr>
                <w:p w14:paraId="39032D7A">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063" w:type="pct"/>
                  <w:tcBorders>
                    <w:tl2br w:val="nil"/>
                    <w:tr2bl w:val="nil"/>
                  </w:tcBorders>
                  <w:noWrap w:val="0"/>
                  <w:vAlign w:val="center"/>
                </w:tcPr>
                <w:p w14:paraId="2924380C">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7B8D44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E82195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5</w:t>
                  </w:r>
                </w:p>
              </w:tc>
              <w:tc>
                <w:tcPr>
                  <w:tcW w:w="778" w:type="pct"/>
                  <w:tcBorders>
                    <w:tl2br w:val="nil"/>
                    <w:tr2bl w:val="nil"/>
                  </w:tcBorders>
                  <w:noWrap w:val="0"/>
                  <w:vAlign w:val="center"/>
                </w:tcPr>
                <w:p w14:paraId="6457E2E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0"/>
                      <w:sz w:val="18"/>
                      <w:szCs w:val="18"/>
                      <w:lang w:val="en-US" w:eastAsia="zh-CN"/>
                    </w:rPr>
                    <w:t>氢氧化钡</w:t>
                  </w:r>
                </w:p>
              </w:tc>
              <w:tc>
                <w:tcPr>
                  <w:tcW w:w="619" w:type="pct"/>
                  <w:tcBorders>
                    <w:tl2br w:val="nil"/>
                    <w:tr2bl w:val="nil"/>
                  </w:tcBorders>
                  <w:noWrap w:val="0"/>
                  <w:vAlign w:val="center"/>
                </w:tcPr>
                <w:p w14:paraId="501354C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6E1CCFA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color w:val="auto"/>
                      <w:spacing w:val="-11"/>
                      <w:sz w:val="18"/>
                      <w:szCs w:val="18"/>
                    </w:rPr>
                    <w:t>·经口摄入‌：可引起恶心、呕吐、腹痛、腹泻、进行性肌麻痹、心律失常、血钾显著降低，严重时因呼吸麻痹或心律失常致死。‌吸入暴露‌：呼吸道刺激为主，消化道症状不明显；高浓度吸入可导致全身性中毒</w:t>
                  </w:r>
                  <w:r>
                    <w:rPr>
                      <w:rFonts w:hint="eastAsia"/>
                      <w:color w:val="auto"/>
                      <w:spacing w:val="-11"/>
                      <w:sz w:val="18"/>
                      <w:szCs w:val="18"/>
                      <w:lang w:eastAsia="zh-CN"/>
                    </w:rPr>
                    <w:t>。</w:t>
                  </w:r>
                  <w:r>
                    <w:rPr>
                      <w:color w:val="auto"/>
                      <w:spacing w:val="-11"/>
                      <w:sz w:val="18"/>
                      <w:szCs w:val="18"/>
                    </w:rPr>
                    <w:t>‌皮肤/眼接触‌：强腐蚀性，可导致皮肤灼伤、眼严重损伤</w:t>
                  </w:r>
                </w:p>
              </w:tc>
              <w:tc>
                <w:tcPr>
                  <w:tcW w:w="1063" w:type="pct"/>
                  <w:tcBorders>
                    <w:tl2br w:val="nil"/>
                    <w:tr2bl w:val="nil"/>
                  </w:tcBorders>
                  <w:noWrap w:val="0"/>
                  <w:vAlign w:val="center"/>
                </w:tcPr>
                <w:p w14:paraId="752BDF2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208CC72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308</w:t>
                  </w:r>
                  <w:r>
                    <w:rPr>
                      <w:color w:val="auto"/>
                      <w:spacing w:val="-11"/>
                      <w:sz w:val="18"/>
                      <w:szCs w:val="18"/>
                    </w:rPr>
                    <w:t>mg/kg</w:t>
                  </w:r>
                </w:p>
              </w:tc>
            </w:tr>
            <w:tr w14:paraId="49AC9B4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B5C5BDE">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6</w:t>
                  </w:r>
                </w:p>
              </w:tc>
              <w:tc>
                <w:tcPr>
                  <w:tcW w:w="778" w:type="pct"/>
                  <w:tcBorders>
                    <w:tl2br w:val="nil"/>
                    <w:tr2bl w:val="nil"/>
                  </w:tcBorders>
                  <w:shd w:val="clear" w:color="auto" w:fill="auto"/>
                  <w:noWrap w:val="0"/>
                  <w:vAlign w:val="center"/>
                </w:tcPr>
                <w:p w14:paraId="1A691C3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硝酸银</w:t>
                  </w:r>
                </w:p>
              </w:tc>
              <w:tc>
                <w:tcPr>
                  <w:tcW w:w="619" w:type="pct"/>
                  <w:tcBorders>
                    <w:tl2br w:val="nil"/>
                    <w:tr2bl w:val="nil"/>
                  </w:tcBorders>
                  <w:shd w:val="clear" w:color="auto" w:fill="auto"/>
                  <w:noWrap w:val="0"/>
                  <w:vAlign w:val="center"/>
                </w:tcPr>
                <w:p w14:paraId="758CD20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皮肤侵入、食入、吸入</w:t>
                  </w:r>
                </w:p>
              </w:tc>
              <w:tc>
                <w:tcPr>
                  <w:tcW w:w="2167" w:type="pct"/>
                  <w:tcBorders>
                    <w:tl2br w:val="nil"/>
                    <w:tr2bl w:val="nil"/>
                  </w:tcBorders>
                  <w:shd w:val="clear" w:color="auto" w:fill="auto"/>
                  <w:noWrap w:val="0"/>
                  <w:vAlign w:val="center"/>
                </w:tcPr>
                <w:p w14:paraId="1613CBD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硝酸银具有腐蚀性。一旦皮肤沾上硝酸银溶液，就会出现黑色斑点</w:t>
                  </w:r>
                </w:p>
              </w:tc>
              <w:tc>
                <w:tcPr>
                  <w:tcW w:w="1063" w:type="pct"/>
                  <w:tcBorders>
                    <w:tl2br w:val="nil"/>
                    <w:tr2bl w:val="nil"/>
                  </w:tcBorders>
                  <w:shd w:val="clear" w:color="auto" w:fill="auto"/>
                  <w:noWrap w:val="0"/>
                  <w:vAlign w:val="center"/>
                </w:tcPr>
                <w:p w14:paraId="1DD12B5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50mg/kg</w:t>
                  </w:r>
                </w:p>
                <w:p w14:paraId="05A271C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LC</w:t>
                  </w:r>
                  <w:r>
                    <w:rPr>
                      <w:color w:val="auto"/>
                      <w:spacing w:val="-11"/>
                      <w:sz w:val="18"/>
                      <w:szCs w:val="18"/>
                      <w:vertAlign w:val="subscript"/>
                    </w:rPr>
                    <w:t xml:space="preserve">50 </w:t>
                  </w:r>
                  <w:r>
                    <w:rPr>
                      <w:color w:val="auto"/>
                      <w:spacing w:val="-11"/>
                      <w:sz w:val="18"/>
                      <w:szCs w:val="18"/>
                    </w:rPr>
                    <w:t>10g/L</w:t>
                  </w:r>
                </w:p>
              </w:tc>
            </w:tr>
            <w:tr w14:paraId="7BCD5B0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66403AD">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w:t>
                  </w:r>
                </w:p>
              </w:tc>
              <w:tc>
                <w:tcPr>
                  <w:tcW w:w="778" w:type="pct"/>
                  <w:tcBorders>
                    <w:tl2br w:val="nil"/>
                    <w:tr2bl w:val="nil"/>
                  </w:tcBorders>
                  <w:noWrap w:val="0"/>
                  <w:vAlign w:val="center"/>
                </w:tcPr>
                <w:p w14:paraId="3AD2A36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亚硝酸钠</w:t>
                  </w:r>
                </w:p>
              </w:tc>
              <w:tc>
                <w:tcPr>
                  <w:tcW w:w="619" w:type="pct"/>
                  <w:tcBorders>
                    <w:tl2br w:val="nil"/>
                    <w:tr2bl w:val="nil"/>
                  </w:tcBorders>
                  <w:noWrap w:val="0"/>
                  <w:vAlign w:val="center"/>
                </w:tcPr>
                <w:p w14:paraId="4AA1BCE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167" w:type="pct"/>
                  <w:tcBorders>
                    <w:tl2br w:val="nil"/>
                    <w:tr2bl w:val="nil"/>
                  </w:tcBorders>
                  <w:noWrap w:val="0"/>
                  <w:vAlign w:val="center"/>
                </w:tcPr>
                <w:p w14:paraId="60A1DF9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食品添加剂中急性毒性较强的物质之一，摄入大剂量的亚硝酸钠，可使血红蛋白变成高铁血红蛋白而失去输氧能力，造成身体组织缺氧，直至死亡</w:t>
                  </w:r>
                </w:p>
              </w:tc>
              <w:tc>
                <w:tcPr>
                  <w:tcW w:w="1063" w:type="pct"/>
                  <w:tcBorders>
                    <w:tl2br w:val="nil"/>
                    <w:tr2bl w:val="nil"/>
                  </w:tcBorders>
                  <w:noWrap w:val="0"/>
                  <w:vAlign w:val="center"/>
                </w:tcPr>
                <w:p w14:paraId="2280F11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：180mg/kg</w:t>
                  </w:r>
                </w:p>
                <w:p w14:paraId="30C40D9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64E18C2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vertAlign w:val="superscript"/>
                    </w:rPr>
                  </w:pPr>
                  <w:r>
                    <w:rPr>
                      <w:color w:val="auto"/>
                      <w:spacing w:val="-11"/>
                      <w:sz w:val="18"/>
                      <w:szCs w:val="18"/>
                    </w:rPr>
                    <w:t>LC</w:t>
                  </w:r>
                  <w:r>
                    <w:rPr>
                      <w:color w:val="auto"/>
                      <w:spacing w:val="-11"/>
                      <w:sz w:val="18"/>
                      <w:szCs w:val="18"/>
                      <w:vertAlign w:val="subscript"/>
                    </w:rPr>
                    <w:t>50</w:t>
                  </w:r>
                  <w:r>
                    <w:rPr>
                      <w:color w:val="auto"/>
                      <w:spacing w:val="-11"/>
                      <w:sz w:val="18"/>
                      <w:szCs w:val="18"/>
                    </w:rPr>
                    <w:t>：5.5mg/m</w:t>
                  </w:r>
                  <w:r>
                    <w:rPr>
                      <w:color w:val="auto"/>
                      <w:spacing w:val="-11"/>
                      <w:sz w:val="18"/>
                      <w:szCs w:val="18"/>
                      <w:vertAlign w:val="superscript"/>
                    </w:rPr>
                    <w:t>3</w:t>
                  </w:r>
                </w:p>
                <w:p w14:paraId="35E80EC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（大鼠吸入，4h）</w:t>
                  </w:r>
                </w:p>
              </w:tc>
            </w:tr>
            <w:tr w14:paraId="27BFC9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A795CD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8</w:t>
                  </w:r>
                </w:p>
              </w:tc>
              <w:tc>
                <w:tcPr>
                  <w:tcW w:w="778" w:type="pct"/>
                  <w:tcBorders>
                    <w:tl2br w:val="nil"/>
                    <w:tr2bl w:val="nil"/>
                  </w:tcBorders>
                  <w:noWrap w:val="0"/>
                  <w:vAlign w:val="center"/>
                </w:tcPr>
                <w:p w14:paraId="3F7D722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硫酸银</w:t>
                  </w:r>
                </w:p>
              </w:tc>
              <w:tc>
                <w:tcPr>
                  <w:tcW w:w="619" w:type="pct"/>
                  <w:tcBorders>
                    <w:tl2br w:val="nil"/>
                    <w:tr2bl w:val="nil"/>
                  </w:tcBorders>
                  <w:noWrap w:val="0"/>
                  <w:vAlign w:val="center"/>
                </w:tcPr>
                <w:p w14:paraId="5E121F1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7CF6205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2CDFDC3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p>
              </w:tc>
            </w:tr>
            <w:tr w14:paraId="79CF00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26A53B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9</w:t>
                  </w:r>
                </w:p>
              </w:tc>
              <w:tc>
                <w:tcPr>
                  <w:tcW w:w="778" w:type="pct"/>
                  <w:tcBorders>
                    <w:tl2br w:val="nil"/>
                    <w:tr2bl w:val="nil"/>
                  </w:tcBorders>
                  <w:noWrap w:val="0"/>
                  <w:vAlign w:val="center"/>
                </w:tcPr>
                <w:p w14:paraId="0876204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硫酸汞</w:t>
                  </w:r>
                </w:p>
              </w:tc>
              <w:tc>
                <w:tcPr>
                  <w:tcW w:w="619" w:type="pct"/>
                  <w:tcBorders>
                    <w:tl2br w:val="nil"/>
                    <w:tr2bl w:val="nil"/>
                  </w:tcBorders>
                  <w:noWrap w:val="0"/>
                  <w:vAlign w:val="center"/>
                </w:tcPr>
                <w:p w14:paraId="167E6AF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w:t>
                  </w:r>
                </w:p>
              </w:tc>
              <w:tc>
                <w:tcPr>
                  <w:tcW w:w="2167" w:type="pct"/>
                  <w:tcBorders>
                    <w:tl2br w:val="nil"/>
                    <w:tr2bl w:val="nil"/>
                  </w:tcBorders>
                  <w:noWrap w:val="0"/>
                  <w:vAlign w:val="center"/>
                </w:tcPr>
                <w:p w14:paraId="3218EC9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234F875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：57 mg/kg</w:t>
                  </w:r>
                </w:p>
                <w:p w14:paraId="2B8C143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609F44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 xml:space="preserve"> LD</w:t>
                  </w:r>
                  <w:r>
                    <w:rPr>
                      <w:color w:val="auto"/>
                      <w:spacing w:val="-11"/>
                      <w:sz w:val="18"/>
                      <w:szCs w:val="18"/>
                      <w:vertAlign w:val="subscript"/>
                    </w:rPr>
                    <w:t>50</w:t>
                  </w:r>
                  <w:r>
                    <w:rPr>
                      <w:color w:val="auto"/>
                      <w:spacing w:val="-11"/>
                      <w:sz w:val="18"/>
                      <w:szCs w:val="18"/>
                    </w:rPr>
                    <w:t>：40 mg/kg</w:t>
                  </w:r>
                </w:p>
                <w:p w14:paraId="5208ECD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(小鼠经口)</w:t>
                  </w:r>
                </w:p>
              </w:tc>
            </w:tr>
            <w:tr w14:paraId="090F9D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AF9F38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10</w:t>
                  </w:r>
                </w:p>
              </w:tc>
              <w:tc>
                <w:tcPr>
                  <w:tcW w:w="778" w:type="pct"/>
                  <w:tcBorders>
                    <w:tl2br w:val="nil"/>
                    <w:tr2bl w:val="nil"/>
                  </w:tcBorders>
                  <w:noWrap w:val="0"/>
                  <w:vAlign w:val="center"/>
                </w:tcPr>
                <w:p w14:paraId="22E2F79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硫酸锰（无水二价）（AR）</w:t>
                  </w:r>
                </w:p>
              </w:tc>
              <w:tc>
                <w:tcPr>
                  <w:tcW w:w="619" w:type="pct"/>
                  <w:tcBorders>
                    <w:tl2br w:val="nil"/>
                    <w:tr2bl w:val="nil"/>
                  </w:tcBorders>
                  <w:noWrap w:val="0"/>
                  <w:vAlign w:val="center"/>
                </w:tcPr>
                <w:p w14:paraId="325C317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289F308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吸入、摄入或经皮吸收有害，具刺激作用。长期吸入该品粉尘，可引起慢性锰中毒，早期以神经衰弱综合征和神经功能障碍为主，晚期出现震颤麻痹综合征</w:t>
                  </w:r>
                </w:p>
              </w:tc>
              <w:tc>
                <w:tcPr>
                  <w:tcW w:w="1063" w:type="pct"/>
                  <w:tcBorders>
                    <w:tl2br w:val="nil"/>
                    <w:tr2bl w:val="nil"/>
                  </w:tcBorders>
                  <w:noWrap w:val="0"/>
                  <w:vAlign w:val="center"/>
                </w:tcPr>
                <w:p w14:paraId="3E328F1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2150mg/kg</w:t>
                  </w:r>
                </w:p>
              </w:tc>
            </w:tr>
            <w:tr w14:paraId="003856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77D278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11</w:t>
                  </w:r>
                </w:p>
              </w:tc>
              <w:tc>
                <w:tcPr>
                  <w:tcW w:w="778" w:type="pct"/>
                  <w:tcBorders>
                    <w:tl2br w:val="nil"/>
                    <w:tr2bl w:val="nil"/>
                  </w:tcBorders>
                  <w:noWrap w:val="0"/>
                  <w:vAlign w:val="center"/>
                </w:tcPr>
                <w:p w14:paraId="65E8AF3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0"/>
                      <w:sz w:val="18"/>
                      <w:szCs w:val="18"/>
                      <w:lang w:val="en-US" w:eastAsia="zh-CN"/>
                    </w:rPr>
                    <w:t>乙酸铅</w:t>
                  </w:r>
                </w:p>
              </w:tc>
              <w:tc>
                <w:tcPr>
                  <w:tcW w:w="619" w:type="pct"/>
                  <w:tcBorders>
                    <w:tl2br w:val="nil"/>
                    <w:tr2bl w:val="nil"/>
                  </w:tcBorders>
                  <w:noWrap w:val="0"/>
                  <w:vAlign w:val="center"/>
                </w:tcPr>
                <w:p w14:paraId="568D2EE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0465208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经口摄入‌：引发剧烈腹痛、呕吐，严重时导致休克或肾功能衰竭。‌吸入粉尘‌：刺激呼吸道，长期接触可致鼻中隔穿孔</w:t>
                  </w:r>
                  <w:r>
                    <w:rPr>
                      <w:rFonts w:hint="eastAsia"/>
                      <w:color w:val="auto"/>
                      <w:spacing w:val="-11"/>
                      <w:sz w:val="18"/>
                      <w:szCs w:val="18"/>
                      <w:lang w:eastAsia="zh-CN"/>
                    </w:rPr>
                    <w:t>。</w:t>
                  </w:r>
                  <w:r>
                    <w:rPr>
                      <w:color w:val="auto"/>
                      <w:spacing w:val="-11"/>
                      <w:sz w:val="18"/>
                      <w:szCs w:val="18"/>
                    </w:rPr>
                    <w:t>‌皮肤/眼接触‌：引起化学灼伤，溶液长期接触可致湿疹或皮炎。</w:t>
                  </w:r>
                </w:p>
              </w:tc>
              <w:tc>
                <w:tcPr>
                  <w:tcW w:w="1063" w:type="pct"/>
                  <w:tcBorders>
                    <w:tl2br w:val="nil"/>
                    <w:tr2bl w:val="nil"/>
                  </w:tcBorders>
                  <w:noWrap w:val="0"/>
                  <w:vAlign w:val="center"/>
                </w:tcPr>
                <w:p w14:paraId="43A9D2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lang w:val="en-US" w:eastAsia="zh-CN"/>
                    </w:rPr>
                    <w:t>大鼠腹腔</w:t>
                  </w:r>
                  <w:r>
                    <w:rPr>
                      <w:color w:val="auto"/>
                      <w:spacing w:val="-11"/>
                      <w:sz w:val="18"/>
                      <w:szCs w:val="18"/>
                    </w:rPr>
                    <w:t>注射</w:t>
                  </w:r>
                </w:p>
                <w:p w14:paraId="6676782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286</w:t>
                  </w:r>
                  <w:r>
                    <w:rPr>
                      <w:color w:val="auto"/>
                      <w:spacing w:val="-11"/>
                      <w:sz w:val="18"/>
                      <w:szCs w:val="18"/>
                    </w:rPr>
                    <w:t xml:space="preserve"> mg/kg</w:t>
                  </w:r>
                </w:p>
              </w:tc>
            </w:tr>
            <w:tr w14:paraId="64BAF99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1B4E871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12</w:t>
                  </w:r>
                </w:p>
              </w:tc>
              <w:tc>
                <w:tcPr>
                  <w:tcW w:w="778" w:type="pct"/>
                  <w:tcBorders>
                    <w:tl2br w:val="nil"/>
                    <w:tr2bl w:val="nil"/>
                  </w:tcBorders>
                  <w:noWrap w:val="0"/>
                  <w:vAlign w:val="center"/>
                </w:tcPr>
                <w:p w14:paraId="02BF95A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0"/>
                      <w:sz w:val="18"/>
                      <w:szCs w:val="18"/>
                      <w:lang w:val="en-US" w:eastAsia="zh-CN"/>
                    </w:rPr>
                  </w:pPr>
                  <w:r>
                    <w:rPr>
                      <w:rFonts w:hint="eastAsia"/>
                      <w:color w:val="auto"/>
                      <w:spacing w:val="-10"/>
                      <w:sz w:val="18"/>
                      <w:szCs w:val="18"/>
                      <w:lang w:val="en-US" w:eastAsia="zh-CN"/>
                    </w:rPr>
                    <w:t>盐酸羟胺</w:t>
                  </w:r>
                </w:p>
              </w:tc>
              <w:tc>
                <w:tcPr>
                  <w:tcW w:w="619" w:type="pct"/>
                  <w:tcBorders>
                    <w:tl2br w:val="nil"/>
                    <w:tr2bl w:val="nil"/>
                  </w:tcBorders>
                  <w:noWrap w:val="0"/>
                  <w:vAlign w:val="center"/>
                </w:tcPr>
                <w:p w14:paraId="011E52B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7CBF1AC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经口摄入‌：损伤消化道黏膜，引发呕吐、腹痛，严重时导致休克</w:t>
                  </w:r>
                  <w:r>
                    <w:rPr>
                      <w:rFonts w:hint="eastAsia"/>
                      <w:color w:val="auto"/>
                      <w:spacing w:val="-11"/>
                      <w:sz w:val="18"/>
                      <w:szCs w:val="18"/>
                      <w:lang w:eastAsia="zh-CN"/>
                    </w:rPr>
                    <w:t>。</w:t>
                  </w:r>
                  <w:r>
                    <w:rPr>
                      <w:color w:val="auto"/>
                      <w:spacing w:val="-11"/>
                      <w:sz w:val="18"/>
                      <w:szCs w:val="18"/>
                    </w:rPr>
                    <w:t>‌皮肤接触‌：强刺激性及腐蚀性，可致化学灼伤或湿疹</w:t>
                  </w:r>
                  <w:r>
                    <w:rPr>
                      <w:rFonts w:hint="eastAsia"/>
                      <w:color w:val="auto"/>
                      <w:spacing w:val="-11"/>
                      <w:sz w:val="18"/>
                      <w:szCs w:val="18"/>
                      <w:lang w:eastAsia="zh-CN"/>
                    </w:rPr>
                    <w:t>。</w:t>
                  </w:r>
                  <w:r>
                    <w:rPr>
                      <w:color w:val="auto"/>
                      <w:spacing w:val="-11"/>
                      <w:sz w:val="18"/>
                      <w:szCs w:val="18"/>
                    </w:rPr>
                    <w:t>‌吸入粉尘‌：刺激呼吸道，高浓度致肺水肿</w:t>
                  </w:r>
                </w:p>
              </w:tc>
              <w:tc>
                <w:tcPr>
                  <w:tcW w:w="1063" w:type="pct"/>
                  <w:tcBorders>
                    <w:tl2br w:val="nil"/>
                    <w:tr2bl w:val="nil"/>
                  </w:tcBorders>
                  <w:noWrap w:val="0"/>
                  <w:vAlign w:val="center"/>
                </w:tcPr>
                <w:p w14:paraId="497E9A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408</w:t>
                  </w:r>
                  <w:r>
                    <w:rPr>
                      <w:color w:val="auto"/>
                      <w:spacing w:val="-11"/>
                      <w:sz w:val="18"/>
                      <w:szCs w:val="18"/>
                    </w:rPr>
                    <w:t>mg/kg</w:t>
                  </w:r>
                </w:p>
                <w:p w14:paraId="5A6A1DC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r>
                    <w:rPr>
                      <w:rFonts w:hint="eastAsia"/>
                      <w:color w:val="auto"/>
                      <w:spacing w:val="-11"/>
                      <w:sz w:val="18"/>
                      <w:szCs w:val="18"/>
                      <w:lang w:val="en-US" w:eastAsia="zh-CN"/>
                    </w:rPr>
                    <w:t>小</w:t>
                  </w:r>
                  <w:r>
                    <w:rPr>
                      <w:color w:val="auto"/>
                      <w:spacing w:val="-11"/>
                      <w:sz w:val="18"/>
                      <w:szCs w:val="18"/>
                    </w:rPr>
                    <w:t>鼠经口）</w:t>
                  </w:r>
                </w:p>
              </w:tc>
            </w:tr>
            <w:tr w14:paraId="074DB7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5797D5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13</w:t>
                  </w:r>
                </w:p>
              </w:tc>
              <w:tc>
                <w:tcPr>
                  <w:tcW w:w="778" w:type="pct"/>
                  <w:tcBorders>
                    <w:tl2br w:val="nil"/>
                    <w:tr2bl w:val="nil"/>
                  </w:tcBorders>
                  <w:noWrap w:val="0"/>
                  <w:vAlign w:val="center"/>
                </w:tcPr>
                <w:p w14:paraId="7A22D5A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硼氢化钾</w:t>
                  </w:r>
                </w:p>
              </w:tc>
              <w:tc>
                <w:tcPr>
                  <w:tcW w:w="619" w:type="pct"/>
                  <w:tcBorders>
                    <w:tl2br w:val="nil"/>
                    <w:tr2bl w:val="nil"/>
                  </w:tcBorders>
                  <w:noWrap w:val="0"/>
                  <w:vAlign w:val="center"/>
                </w:tcPr>
                <w:p w14:paraId="1A60E7B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7DC0E4C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46DD6F2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p w14:paraId="4735847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：16</w:t>
                  </w:r>
                  <w:r>
                    <w:rPr>
                      <w:rFonts w:hint="eastAsia"/>
                      <w:color w:val="auto"/>
                      <w:spacing w:val="-11"/>
                      <w:sz w:val="18"/>
                      <w:szCs w:val="18"/>
                      <w:lang w:val="en-US" w:eastAsia="zh-CN"/>
                    </w:rPr>
                    <w:t>7</w:t>
                  </w:r>
                  <w:r>
                    <w:rPr>
                      <w:color w:val="auto"/>
                      <w:spacing w:val="-11"/>
                      <w:sz w:val="18"/>
                      <w:szCs w:val="18"/>
                    </w:rPr>
                    <w:t xml:space="preserve"> mg/kg</w:t>
                  </w:r>
                </w:p>
              </w:tc>
            </w:tr>
            <w:tr w14:paraId="07ECB5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76A3A9A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14</w:t>
                  </w:r>
                </w:p>
              </w:tc>
              <w:tc>
                <w:tcPr>
                  <w:tcW w:w="778" w:type="pct"/>
                  <w:tcBorders>
                    <w:tl2br w:val="nil"/>
                    <w:tr2bl w:val="nil"/>
                  </w:tcBorders>
                  <w:noWrap w:val="0"/>
                  <w:vAlign w:val="center"/>
                </w:tcPr>
                <w:p w14:paraId="16406AF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硫脲</w:t>
                  </w:r>
                </w:p>
              </w:tc>
              <w:tc>
                <w:tcPr>
                  <w:tcW w:w="619" w:type="pct"/>
                  <w:tcBorders>
                    <w:tl2br w:val="nil"/>
                    <w:tr2bl w:val="nil"/>
                  </w:tcBorders>
                  <w:noWrap w:val="0"/>
                  <w:vAlign w:val="center"/>
                </w:tcPr>
                <w:p w14:paraId="06694EA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77A4FEE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在皮肤和粘膜上造成腐蚀影响，刺激皮肤和粘膜</w:t>
                  </w:r>
                </w:p>
              </w:tc>
              <w:tc>
                <w:tcPr>
                  <w:tcW w:w="1063" w:type="pct"/>
                  <w:tcBorders>
                    <w:tl2br w:val="nil"/>
                    <w:tr2bl w:val="nil"/>
                  </w:tcBorders>
                  <w:noWrap w:val="0"/>
                  <w:vAlign w:val="center"/>
                </w:tcPr>
                <w:p w14:paraId="2DA1751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：125mg/kg</w:t>
                  </w:r>
                </w:p>
                <w:p w14:paraId="5DEE405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6C7639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C47405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15</w:t>
                  </w:r>
                </w:p>
              </w:tc>
              <w:tc>
                <w:tcPr>
                  <w:tcW w:w="778" w:type="pct"/>
                  <w:tcBorders>
                    <w:tl2br w:val="nil"/>
                    <w:tr2bl w:val="nil"/>
                  </w:tcBorders>
                  <w:noWrap w:val="0"/>
                  <w:vAlign w:val="center"/>
                </w:tcPr>
                <w:p w14:paraId="171B1B3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高锰酸钾（AR）</w:t>
                  </w:r>
                </w:p>
              </w:tc>
              <w:tc>
                <w:tcPr>
                  <w:tcW w:w="619" w:type="pct"/>
                  <w:tcBorders>
                    <w:tl2br w:val="nil"/>
                    <w:tr2bl w:val="nil"/>
                  </w:tcBorders>
                  <w:noWrap w:val="0"/>
                  <w:vAlign w:val="center"/>
                </w:tcPr>
                <w:p w14:paraId="3C86DB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167" w:type="pct"/>
                  <w:tcBorders>
                    <w:tl2br w:val="nil"/>
                    <w:tr2bl w:val="nil"/>
                  </w:tcBorders>
                  <w:noWrap w:val="0"/>
                  <w:vAlign w:val="center"/>
                </w:tcPr>
                <w:p w14:paraId="764F5BE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吸入后可引起呼吸道损害。溅落眼睛内，刺激结膜，重者致灼伤。刺激皮肤后呈棕黑色。浓溶液或结晶对皮肤有腐蚀性，对组织有刺激性；口服后，会严重腐蚀口腔和消化道</w:t>
                  </w:r>
                </w:p>
              </w:tc>
              <w:tc>
                <w:tcPr>
                  <w:tcW w:w="1063" w:type="pct"/>
                  <w:tcBorders>
                    <w:tl2br w:val="nil"/>
                    <w:tr2bl w:val="nil"/>
                  </w:tcBorders>
                  <w:noWrap w:val="0"/>
                  <w:vAlign w:val="center"/>
                </w:tcPr>
                <w:p w14:paraId="5060FE0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750mg/kg</w:t>
                  </w:r>
                </w:p>
                <w:p w14:paraId="4A8BD77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LC</w:t>
                  </w:r>
                  <w:r>
                    <w:rPr>
                      <w:color w:val="auto"/>
                      <w:spacing w:val="-11"/>
                      <w:sz w:val="18"/>
                      <w:szCs w:val="18"/>
                      <w:vertAlign w:val="subscript"/>
                    </w:rPr>
                    <w:t xml:space="preserve">50 </w:t>
                  </w:r>
                  <w:r>
                    <w:rPr>
                      <w:color w:val="auto"/>
                      <w:spacing w:val="-11"/>
                      <w:sz w:val="18"/>
                      <w:szCs w:val="18"/>
                    </w:rPr>
                    <w:t>3.6mg/L</w:t>
                  </w:r>
                </w:p>
              </w:tc>
            </w:tr>
            <w:tr w14:paraId="362BCF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E286C8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16</w:t>
                  </w:r>
                </w:p>
              </w:tc>
              <w:tc>
                <w:tcPr>
                  <w:tcW w:w="778" w:type="pct"/>
                  <w:tcBorders>
                    <w:tl2br w:val="nil"/>
                    <w:tr2bl w:val="nil"/>
                  </w:tcBorders>
                  <w:noWrap w:val="0"/>
                  <w:vAlign w:val="center"/>
                </w:tcPr>
                <w:p w14:paraId="1F1922B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铬酸钾（AR）</w:t>
                  </w:r>
                </w:p>
              </w:tc>
              <w:tc>
                <w:tcPr>
                  <w:tcW w:w="619" w:type="pct"/>
                  <w:tcBorders>
                    <w:tl2br w:val="nil"/>
                    <w:tr2bl w:val="nil"/>
                  </w:tcBorders>
                  <w:noWrap w:val="0"/>
                  <w:vAlign w:val="center"/>
                </w:tcPr>
                <w:p w14:paraId="7383D42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w:t>
                  </w:r>
                </w:p>
              </w:tc>
              <w:tc>
                <w:tcPr>
                  <w:tcW w:w="2167" w:type="pct"/>
                  <w:tcBorders>
                    <w:tl2br w:val="nil"/>
                    <w:tr2bl w:val="nil"/>
                  </w:tcBorders>
                  <w:noWrap w:val="0"/>
                  <w:vAlign w:val="center"/>
                </w:tcPr>
                <w:p w14:paraId="39DC324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对皮肤黏膜有强腐蚀性，能引起皮炎和铬溃疡</w:t>
                  </w:r>
                </w:p>
              </w:tc>
              <w:tc>
                <w:tcPr>
                  <w:tcW w:w="1063" w:type="pct"/>
                  <w:tcBorders>
                    <w:tl2br w:val="nil"/>
                    <w:tr2bl w:val="nil"/>
                  </w:tcBorders>
                  <w:noWrap w:val="0"/>
                  <w:vAlign w:val="center"/>
                </w:tcPr>
                <w:p w14:paraId="033121F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兔肌肉注射</w:t>
                  </w:r>
                </w:p>
                <w:p w14:paraId="27F4E0B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：11mg/kg</w:t>
                  </w:r>
                </w:p>
              </w:tc>
            </w:tr>
            <w:tr w14:paraId="1E836A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52FFBD2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17</w:t>
                  </w:r>
                </w:p>
              </w:tc>
              <w:tc>
                <w:tcPr>
                  <w:tcW w:w="778" w:type="pct"/>
                  <w:tcBorders>
                    <w:tl2br w:val="nil"/>
                    <w:tr2bl w:val="nil"/>
                  </w:tcBorders>
                  <w:noWrap w:val="0"/>
                  <w:vAlign w:val="center"/>
                </w:tcPr>
                <w:p w14:paraId="212BB4E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重铬酸钾</w:t>
                  </w:r>
                </w:p>
              </w:tc>
              <w:tc>
                <w:tcPr>
                  <w:tcW w:w="619" w:type="pct"/>
                  <w:tcBorders>
                    <w:tl2br w:val="nil"/>
                    <w:tr2bl w:val="nil"/>
                  </w:tcBorders>
                  <w:noWrap w:val="0"/>
                  <w:vAlign w:val="center"/>
                </w:tcPr>
                <w:p w14:paraId="2D6729E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60DC935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摄入或经皮肤吸收后对身体有害，对眼睛、皮肤、粘膜有刺激作用</w:t>
                  </w:r>
                </w:p>
              </w:tc>
              <w:tc>
                <w:tcPr>
                  <w:tcW w:w="1063" w:type="pct"/>
                  <w:tcBorders>
                    <w:tl2br w:val="nil"/>
                    <w:tr2bl w:val="nil"/>
                  </w:tcBorders>
                  <w:noWrap w:val="0"/>
                  <w:vAlign w:val="center"/>
                </w:tcPr>
                <w:p w14:paraId="1FD3B5B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：25mg/kg</w:t>
                  </w:r>
                </w:p>
                <w:p w14:paraId="7BBED4E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3488CC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6011594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eastAsia="宋体"/>
                      <w:color w:val="auto"/>
                      <w:spacing w:val="-11"/>
                      <w:sz w:val="18"/>
                      <w:szCs w:val="18"/>
                      <w:lang w:val="en-US" w:eastAsia="zh-CN"/>
                    </w:rPr>
                  </w:pPr>
                  <w:r>
                    <w:rPr>
                      <w:rFonts w:hint="eastAsia"/>
                      <w:color w:val="auto"/>
                      <w:spacing w:val="-11"/>
                      <w:sz w:val="18"/>
                      <w:szCs w:val="18"/>
                      <w:lang w:val="en-US" w:eastAsia="zh-CN"/>
                    </w:rPr>
                    <w:t>18</w:t>
                  </w:r>
                </w:p>
              </w:tc>
              <w:tc>
                <w:tcPr>
                  <w:tcW w:w="778" w:type="pct"/>
                  <w:tcBorders>
                    <w:tl2br w:val="nil"/>
                    <w:tr2bl w:val="nil"/>
                  </w:tcBorders>
                  <w:noWrap w:val="0"/>
                  <w:vAlign w:val="center"/>
                </w:tcPr>
                <w:p w14:paraId="516A3E6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二氯化汞</w:t>
                  </w:r>
                </w:p>
              </w:tc>
              <w:tc>
                <w:tcPr>
                  <w:tcW w:w="619" w:type="pct"/>
                  <w:tcBorders>
                    <w:tl2br w:val="nil"/>
                    <w:tr2bl w:val="nil"/>
                  </w:tcBorders>
                  <w:noWrap w:val="0"/>
                  <w:vAlign w:val="center"/>
                </w:tcPr>
                <w:p w14:paraId="762DF16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167" w:type="pct"/>
                  <w:tcBorders>
                    <w:tl2br w:val="nil"/>
                    <w:tr2bl w:val="nil"/>
                  </w:tcBorders>
                  <w:noWrap w:val="0"/>
                  <w:vAlign w:val="center"/>
                </w:tcPr>
                <w:p w14:paraId="715D152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摄入或经皮肤吸收后对身体有害，对眼睛、皮肤、粘膜有刺激作用</w:t>
                  </w:r>
                </w:p>
              </w:tc>
              <w:tc>
                <w:tcPr>
                  <w:tcW w:w="1063" w:type="pct"/>
                  <w:tcBorders>
                    <w:tl2br w:val="nil"/>
                    <w:tr2bl w:val="nil"/>
                  </w:tcBorders>
                  <w:noWrap w:val="0"/>
                  <w:vAlign w:val="center"/>
                </w:tcPr>
                <w:p w14:paraId="300E5F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：1mg/kg</w:t>
                  </w:r>
                </w:p>
                <w:p w14:paraId="7CC5D3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bl>
          <w:p w14:paraId="4DA6085D">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264"/>
              <w:gridCol w:w="1811"/>
            </w:tblGrid>
            <w:tr w14:paraId="419A8B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566309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675175B2">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4D69D8C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077" w:type="pct"/>
                  <w:tcBorders>
                    <w:tl2br w:val="nil"/>
                    <w:tr2bl w:val="nil"/>
                  </w:tcBorders>
                  <w:noWrap w:val="0"/>
                  <w:vAlign w:val="center"/>
                </w:tcPr>
                <w:p w14:paraId="16718656">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152" w:type="pct"/>
                  <w:tcBorders>
                    <w:tl2br w:val="nil"/>
                    <w:tr2bl w:val="nil"/>
                  </w:tcBorders>
                  <w:noWrap w:val="0"/>
                  <w:vAlign w:val="center"/>
                </w:tcPr>
                <w:p w14:paraId="1279B1D0">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1ECF4F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EB1DC0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rFonts w:hint="eastAsia"/>
                      <w:color w:val="auto"/>
                      <w:spacing w:val="-11"/>
                      <w:sz w:val="18"/>
                      <w:szCs w:val="18"/>
                      <w:lang w:val="en-US" w:eastAsia="zh-CN"/>
                    </w:rPr>
                    <w:t>19</w:t>
                  </w:r>
                </w:p>
              </w:tc>
              <w:tc>
                <w:tcPr>
                  <w:tcW w:w="778" w:type="pct"/>
                  <w:tcBorders>
                    <w:tl2br w:val="nil"/>
                    <w:tr2bl w:val="nil"/>
                  </w:tcBorders>
                  <w:shd w:val="clear" w:color="auto" w:fill="auto"/>
                  <w:noWrap w:val="0"/>
                  <w:vAlign w:val="center"/>
                </w:tcPr>
                <w:p w14:paraId="124A0E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钼酸铵（AR）</w:t>
                  </w:r>
                </w:p>
              </w:tc>
              <w:tc>
                <w:tcPr>
                  <w:tcW w:w="619" w:type="pct"/>
                  <w:tcBorders>
                    <w:tl2br w:val="nil"/>
                    <w:tr2bl w:val="nil"/>
                  </w:tcBorders>
                  <w:shd w:val="clear" w:color="auto" w:fill="auto"/>
                  <w:noWrap w:val="0"/>
                  <w:vAlign w:val="center"/>
                </w:tcPr>
                <w:p w14:paraId="0597E41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皮肤侵入、食入、吸入</w:t>
                  </w:r>
                </w:p>
              </w:tc>
              <w:tc>
                <w:tcPr>
                  <w:tcW w:w="2077" w:type="pct"/>
                  <w:tcBorders>
                    <w:tl2br w:val="nil"/>
                    <w:tr2bl w:val="nil"/>
                  </w:tcBorders>
                  <w:shd w:val="clear" w:color="auto" w:fill="auto"/>
                  <w:noWrap w:val="0"/>
                  <w:vAlign w:val="center"/>
                </w:tcPr>
                <w:p w14:paraId="77D5781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吸入、摄入或经皮肤吸收后对身体有害，对眼睛、皮肤、粘膜和上呼吸道有刺激作用</w:t>
                  </w:r>
                </w:p>
              </w:tc>
              <w:tc>
                <w:tcPr>
                  <w:tcW w:w="1152" w:type="pct"/>
                  <w:tcBorders>
                    <w:tl2br w:val="nil"/>
                    <w:tr2bl w:val="nil"/>
                  </w:tcBorders>
                  <w:shd w:val="clear" w:color="auto" w:fill="auto"/>
                  <w:noWrap w:val="0"/>
                  <w:vAlign w:val="center"/>
                </w:tcPr>
                <w:p w14:paraId="2A65ED6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宋体" w:cs="Times New Roman"/>
                      <w:color w:val="auto"/>
                      <w:spacing w:val="-11"/>
                      <w:kern w:val="2"/>
                      <w:sz w:val="18"/>
                      <w:szCs w:val="18"/>
                      <w:lang w:val="en-US" w:eastAsia="zh-CN" w:bidi="ar-SA"/>
                    </w:rPr>
                  </w:pPr>
                  <w:r>
                    <w:rPr>
                      <w:color w:val="auto"/>
                      <w:spacing w:val="-11"/>
                      <w:sz w:val="18"/>
                      <w:szCs w:val="18"/>
                    </w:rPr>
                    <w:t>/</w:t>
                  </w:r>
                </w:p>
              </w:tc>
            </w:tr>
            <w:tr w14:paraId="2959129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55F950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20</w:t>
                  </w:r>
                </w:p>
              </w:tc>
              <w:tc>
                <w:tcPr>
                  <w:tcW w:w="778" w:type="pct"/>
                  <w:tcBorders>
                    <w:tl2br w:val="nil"/>
                    <w:tr2bl w:val="nil"/>
                  </w:tcBorders>
                  <w:noWrap w:val="0"/>
                  <w:vAlign w:val="center"/>
                </w:tcPr>
                <w:p w14:paraId="7E81AEC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酒石酸锑钾（CP)</w:t>
                  </w:r>
                </w:p>
              </w:tc>
              <w:tc>
                <w:tcPr>
                  <w:tcW w:w="619" w:type="pct"/>
                  <w:tcBorders>
                    <w:tl2br w:val="nil"/>
                    <w:tr2bl w:val="nil"/>
                  </w:tcBorders>
                  <w:noWrap w:val="0"/>
                  <w:vAlign w:val="center"/>
                </w:tcPr>
                <w:p w14:paraId="2B380A1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077" w:type="pct"/>
                  <w:tcBorders>
                    <w:tl2br w:val="nil"/>
                    <w:tr2bl w:val="nil"/>
                  </w:tcBorders>
                  <w:noWrap w:val="0"/>
                  <w:vAlign w:val="center"/>
                </w:tcPr>
                <w:p w14:paraId="1E3F3A0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口服后主要表现为恶心、呕吐、腹痛、腹泻等胃肠道刺激症状，严重者可出现血便</w:t>
                  </w:r>
                </w:p>
              </w:tc>
              <w:tc>
                <w:tcPr>
                  <w:tcW w:w="1152" w:type="pct"/>
                  <w:tcBorders>
                    <w:tl2br w:val="nil"/>
                    <w:tr2bl w:val="nil"/>
                  </w:tcBorders>
                  <w:noWrap w:val="0"/>
                  <w:vAlign w:val="center"/>
                </w:tcPr>
                <w:p w14:paraId="5F1BD33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p>
              </w:tc>
            </w:tr>
            <w:tr w14:paraId="7DBFF6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B15E683">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21</w:t>
                  </w:r>
                </w:p>
              </w:tc>
              <w:tc>
                <w:tcPr>
                  <w:tcW w:w="778" w:type="pct"/>
                  <w:tcBorders>
                    <w:tl2br w:val="nil"/>
                    <w:tr2bl w:val="nil"/>
                  </w:tcBorders>
                  <w:noWrap w:val="0"/>
                  <w:vAlign w:val="center"/>
                </w:tcPr>
                <w:p w14:paraId="15C2FD4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碘</w:t>
                  </w:r>
                </w:p>
              </w:tc>
              <w:tc>
                <w:tcPr>
                  <w:tcW w:w="619" w:type="pct"/>
                  <w:tcBorders>
                    <w:tl2br w:val="nil"/>
                    <w:tr2bl w:val="nil"/>
                  </w:tcBorders>
                  <w:noWrap w:val="0"/>
                  <w:vAlign w:val="center"/>
                </w:tcPr>
                <w:p w14:paraId="65F1D65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7398676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口服‌：成人致死量约 ‌2–3 g‌，儿童仅 ‌0.1 g/kg‌ 可致死</w:t>
                  </w:r>
                  <w:r>
                    <w:rPr>
                      <w:rFonts w:hint="eastAsia"/>
                      <w:color w:val="auto"/>
                      <w:spacing w:val="-11"/>
                      <w:sz w:val="18"/>
                      <w:szCs w:val="18"/>
                      <w:lang w:eastAsia="zh-CN"/>
                    </w:rPr>
                    <w:t>。</w:t>
                  </w:r>
                  <w:r>
                    <w:rPr>
                      <w:color w:val="auto"/>
                      <w:spacing w:val="-11"/>
                      <w:sz w:val="18"/>
                      <w:szCs w:val="18"/>
                    </w:rPr>
                    <w:t>‌吸入‌： 蒸气吸入可致 ‌急性肺水肿、窒息</w:t>
                  </w:r>
                  <w:r>
                    <w:rPr>
                      <w:rFonts w:hint="eastAsia"/>
                      <w:color w:val="auto"/>
                      <w:spacing w:val="-11"/>
                      <w:sz w:val="18"/>
                      <w:szCs w:val="18"/>
                      <w:lang w:eastAsia="zh-CN"/>
                    </w:rPr>
                    <w:t>。</w:t>
                  </w:r>
                  <w:r>
                    <w:rPr>
                      <w:color w:val="auto"/>
                      <w:spacing w:val="-11"/>
                      <w:sz w:val="18"/>
                      <w:szCs w:val="18"/>
                    </w:rPr>
                    <w:t>‌皮肤/眼刺激性‌：接触后致 ‌红斑、化学性灼伤</w:t>
                  </w:r>
                </w:p>
              </w:tc>
              <w:tc>
                <w:tcPr>
                  <w:tcW w:w="1152" w:type="pct"/>
                  <w:tcBorders>
                    <w:tl2br w:val="nil"/>
                    <w:tr2bl w:val="nil"/>
                  </w:tcBorders>
                  <w:noWrap w:val="0"/>
                  <w:vAlign w:val="center"/>
                </w:tcPr>
                <w:p w14:paraId="25F7DEB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lang w:val="en-US" w:eastAsia="zh-CN"/>
                    </w:rPr>
                    <w:t>小鼠腹腔</w:t>
                  </w:r>
                  <w:r>
                    <w:rPr>
                      <w:color w:val="auto"/>
                      <w:spacing w:val="-11"/>
                      <w:sz w:val="18"/>
                      <w:szCs w:val="18"/>
                    </w:rPr>
                    <w:t>注射</w:t>
                  </w:r>
                </w:p>
                <w:p w14:paraId="7357D4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136</w:t>
                  </w:r>
                  <w:r>
                    <w:rPr>
                      <w:color w:val="auto"/>
                      <w:spacing w:val="-11"/>
                      <w:sz w:val="18"/>
                      <w:szCs w:val="18"/>
                    </w:rPr>
                    <w:t xml:space="preserve"> mg/kg</w:t>
                  </w:r>
                </w:p>
              </w:tc>
            </w:tr>
            <w:tr w14:paraId="61BC88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371" w:type="pct"/>
                  <w:tcBorders>
                    <w:tl2br w:val="nil"/>
                    <w:tr2bl w:val="nil"/>
                  </w:tcBorders>
                  <w:shd w:val="clear" w:color="auto" w:fill="auto"/>
                  <w:noWrap w:val="0"/>
                  <w:vAlign w:val="center"/>
                </w:tcPr>
                <w:p w14:paraId="6C837D3E">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22</w:t>
                  </w:r>
                </w:p>
              </w:tc>
              <w:tc>
                <w:tcPr>
                  <w:tcW w:w="778" w:type="pct"/>
                  <w:tcBorders>
                    <w:tl2br w:val="nil"/>
                    <w:tr2bl w:val="nil"/>
                  </w:tcBorders>
                  <w:noWrap w:val="0"/>
                  <w:vAlign w:val="center"/>
                </w:tcPr>
                <w:p w14:paraId="61443A4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盐酸</w:t>
                  </w:r>
                </w:p>
              </w:tc>
              <w:tc>
                <w:tcPr>
                  <w:tcW w:w="619" w:type="pct"/>
                  <w:tcBorders>
                    <w:tl2br w:val="nil"/>
                    <w:tr2bl w:val="nil"/>
                  </w:tcBorders>
                  <w:noWrap w:val="0"/>
                  <w:vAlign w:val="center"/>
                </w:tcPr>
                <w:p w14:paraId="0A063BC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7866D3C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对皮肤有腐蚀作用；肺，胸部或呼吸-呼吸刺激</w:t>
                  </w:r>
                </w:p>
              </w:tc>
              <w:tc>
                <w:tcPr>
                  <w:tcW w:w="1152" w:type="pct"/>
                  <w:tcBorders>
                    <w:tl2br w:val="nil"/>
                    <w:tr2bl w:val="nil"/>
                  </w:tcBorders>
                  <w:noWrap w:val="0"/>
                  <w:vAlign w:val="center"/>
                </w:tcPr>
                <w:p w14:paraId="39B188D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 xml:space="preserve"> </w:t>
                  </w:r>
                  <w:r>
                    <w:rPr>
                      <w:rFonts w:hint="eastAsia"/>
                      <w:color w:val="auto"/>
                      <w:spacing w:val="-11"/>
                      <w:sz w:val="18"/>
                      <w:szCs w:val="18"/>
                      <w:lang w:eastAsia="zh-CN"/>
                    </w:rPr>
                    <w:t>：</w:t>
                  </w:r>
                  <w:r>
                    <w:rPr>
                      <w:color w:val="auto"/>
                      <w:spacing w:val="-11"/>
                      <w:sz w:val="18"/>
                      <w:szCs w:val="18"/>
                    </w:rPr>
                    <w:t>900mg/kg</w:t>
                  </w:r>
                </w:p>
                <w:p w14:paraId="510E6FE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vertAlign w:val="superscript"/>
                    </w:rPr>
                  </w:pPr>
                  <w:r>
                    <w:rPr>
                      <w:color w:val="auto"/>
                      <w:spacing w:val="-11"/>
                      <w:sz w:val="18"/>
                      <w:szCs w:val="18"/>
                    </w:rPr>
                    <w:t>LC</w:t>
                  </w:r>
                  <w:r>
                    <w:rPr>
                      <w:color w:val="auto"/>
                      <w:spacing w:val="-11"/>
                      <w:sz w:val="18"/>
                      <w:szCs w:val="18"/>
                      <w:vertAlign w:val="subscript"/>
                    </w:rPr>
                    <w:t>50</w:t>
                  </w:r>
                  <w:r>
                    <w:rPr>
                      <w:color w:val="auto"/>
                      <w:spacing w:val="-11"/>
                      <w:sz w:val="18"/>
                      <w:szCs w:val="18"/>
                    </w:rPr>
                    <w:t xml:space="preserve"> </w:t>
                  </w:r>
                  <w:r>
                    <w:rPr>
                      <w:rFonts w:hint="eastAsia"/>
                      <w:color w:val="auto"/>
                      <w:spacing w:val="-11"/>
                      <w:sz w:val="18"/>
                      <w:szCs w:val="18"/>
                      <w:lang w:eastAsia="zh-CN"/>
                    </w:rPr>
                    <w:t>：</w:t>
                  </w:r>
                  <w:r>
                    <w:rPr>
                      <w:color w:val="auto"/>
                      <w:spacing w:val="-11"/>
                      <w:sz w:val="18"/>
                      <w:szCs w:val="18"/>
                    </w:rPr>
                    <w:t>4600mg/m</w:t>
                  </w:r>
                  <w:r>
                    <w:rPr>
                      <w:color w:val="auto"/>
                      <w:spacing w:val="-11"/>
                      <w:sz w:val="18"/>
                      <w:szCs w:val="18"/>
                      <w:vertAlign w:val="superscript"/>
                    </w:rPr>
                    <w:t>3</w:t>
                  </w:r>
                </w:p>
              </w:tc>
            </w:tr>
            <w:tr w14:paraId="77AE93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E3F5EF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23</w:t>
                  </w:r>
                </w:p>
              </w:tc>
              <w:tc>
                <w:tcPr>
                  <w:tcW w:w="778" w:type="pct"/>
                  <w:tcBorders>
                    <w:tl2br w:val="nil"/>
                    <w:tr2bl w:val="nil"/>
                  </w:tcBorders>
                  <w:noWrap w:val="0"/>
                  <w:vAlign w:val="center"/>
                </w:tcPr>
                <w:p w14:paraId="6C98CD9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磷酸（AR）</w:t>
                  </w:r>
                </w:p>
              </w:tc>
              <w:tc>
                <w:tcPr>
                  <w:tcW w:w="619" w:type="pct"/>
                  <w:tcBorders>
                    <w:tl2br w:val="nil"/>
                    <w:tr2bl w:val="nil"/>
                  </w:tcBorders>
                  <w:noWrap w:val="0"/>
                  <w:vAlign w:val="center"/>
                </w:tcPr>
                <w:p w14:paraId="59815A6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342B187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动物长期吸入10.6mg/m</w:t>
                  </w:r>
                  <w:r>
                    <w:rPr>
                      <w:color w:val="auto"/>
                      <w:spacing w:val="-11"/>
                      <w:sz w:val="18"/>
                      <w:szCs w:val="18"/>
                      <w:vertAlign w:val="superscript"/>
                    </w:rPr>
                    <w:t>3</w:t>
                  </w:r>
                  <w:r>
                    <w:rPr>
                      <w:color w:val="auto"/>
                      <w:spacing w:val="-11"/>
                      <w:sz w:val="18"/>
                      <w:szCs w:val="18"/>
                    </w:rPr>
                    <w:t>，使血清蛋白含量增加及肝糖原降低；对皮肤和粘膜有强刺激和腐蚀作用</w:t>
                  </w:r>
                </w:p>
              </w:tc>
              <w:tc>
                <w:tcPr>
                  <w:tcW w:w="1152" w:type="pct"/>
                  <w:tcBorders>
                    <w:tl2br w:val="nil"/>
                    <w:tr2bl w:val="nil"/>
                  </w:tcBorders>
                  <w:noWrap w:val="0"/>
                  <w:vAlign w:val="center"/>
                </w:tcPr>
                <w:p w14:paraId="400CC0C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color w:val="auto"/>
                      <w:spacing w:val="-11"/>
                      <w:sz w:val="18"/>
                      <w:szCs w:val="18"/>
                    </w:rPr>
                    <w:t>1530mg/kg</w:t>
                  </w:r>
                </w:p>
              </w:tc>
            </w:tr>
            <w:tr w14:paraId="6516E9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C4006B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24</w:t>
                  </w:r>
                </w:p>
              </w:tc>
              <w:tc>
                <w:tcPr>
                  <w:tcW w:w="778" w:type="pct"/>
                  <w:tcBorders>
                    <w:tl2br w:val="nil"/>
                    <w:tr2bl w:val="nil"/>
                  </w:tcBorders>
                  <w:noWrap w:val="0"/>
                  <w:vAlign w:val="center"/>
                </w:tcPr>
                <w:p w14:paraId="700D7DD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硫酸（GR)</w:t>
                  </w:r>
                </w:p>
              </w:tc>
              <w:tc>
                <w:tcPr>
                  <w:tcW w:w="619" w:type="pct"/>
                  <w:tcBorders>
                    <w:tl2br w:val="nil"/>
                    <w:tr2bl w:val="nil"/>
                  </w:tcBorders>
                  <w:noWrap w:val="0"/>
                  <w:vAlign w:val="center"/>
                </w:tcPr>
                <w:p w14:paraId="37A8429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4DD7F91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皮肤接触浓硫酸引起严重灼伤。溅入眼内引起结膜炎、水肿，角膜浑浊以至穿孔。口服浓硫酸1mL即可致死。</w:t>
                  </w:r>
                </w:p>
              </w:tc>
              <w:tc>
                <w:tcPr>
                  <w:tcW w:w="1152" w:type="pct"/>
                  <w:tcBorders>
                    <w:tl2br w:val="nil"/>
                    <w:tr2bl w:val="nil"/>
                  </w:tcBorders>
                  <w:noWrap w:val="0"/>
                  <w:vAlign w:val="center"/>
                </w:tcPr>
                <w:p w14:paraId="3FCFA1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color w:val="auto"/>
                      <w:spacing w:val="-11"/>
                      <w:sz w:val="18"/>
                      <w:szCs w:val="18"/>
                    </w:rPr>
                    <w:t>2140mg/kg；</w:t>
                  </w:r>
                </w:p>
                <w:p w14:paraId="549B7FD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LC</w:t>
                  </w:r>
                  <w:r>
                    <w:rPr>
                      <w:color w:val="auto"/>
                      <w:spacing w:val="-11"/>
                      <w:sz w:val="18"/>
                      <w:szCs w:val="18"/>
                      <w:vertAlign w:val="subscript"/>
                    </w:rPr>
                    <w:t>50</w:t>
                  </w:r>
                  <w:r>
                    <w:rPr>
                      <w:color w:val="auto"/>
                      <w:spacing w:val="-11"/>
                      <w:sz w:val="18"/>
                      <w:szCs w:val="18"/>
                    </w:rPr>
                    <w:t xml:space="preserve"> </w:t>
                  </w:r>
                  <w:r>
                    <w:rPr>
                      <w:rFonts w:hint="eastAsia"/>
                      <w:color w:val="auto"/>
                      <w:spacing w:val="-11"/>
                      <w:sz w:val="18"/>
                      <w:szCs w:val="18"/>
                      <w:lang w:eastAsia="zh-CN"/>
                    </w:rPr>
                    <w:t>：</w:t>
                  </w:r>
                  <w:r>
                    <w:rPr>
                      <w:color w:val="auto"/>
                      <w:spacing w:val="-11"/>
                      <w:sz w:val="18"/>
                      <w:szCs w:val="18"/>
                    </w:rPr>
                    <w:t>510mg/m³</w:t>
                  </w:r>
                </w:p>
              </w:tc>
            </w:tr>
            <w:tr w14:paraId="696E3B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11D910C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25</w:t>
                  </w:r>
                </w:p>
              </w:tc>
              <w:tc>
                <w:tcPr>
                  <w:tcW w:w="778" w:type="pct"/>
                  <w:tcBorders>
                    <w:tl2br w:val="nil"/>
                    <w:tr2bl w:val="nil"/>
                  </w:tcBorders>
                  <w:noWrap w:val="0"/>
                  <w:vAlign w:val="center"/>
                </w:tcPr>
                <w:p w14:paraId="200FC34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汞</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619" w:type="pct"/>
                  <w:tcBorders>
                    <w:tl2br w:val="nil"/>
                    <w:tr2bl w:val="nil"/>
                  </w:tcBorders>
                  <w:shd w:val="clear" w:color="auto" w:fill="auto"/>
                  <w:noWrap w:val="0"/>
                  <w:vAlign w:val="center"/>
                </w:tcPr>
                <w:p w14:paraId="6706BD3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w:t>
                  </w:r>
                </w:p>
              </w:tc>
              <w:tc>
                <w:tcPr>
                  <w:tcW w:w="2077" w:type="pct"/>
                  <w:tcBorders>
                    <w:tl2br w:val="nil"/>
                    <w:tr2bl w:val="nil"/>
                  </w:tcBorders>
                  <w:shd w:val="clear" w:color="auto" w:fill="auto"/>
                  <w:noWrap w:val="0"/>
                  <w:vAlign w:val="center"/>
                </w:tcPr>
                <w:p w14:paraId="0BCCFD3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摄入或经皮肤吸收后对身体有害，对眼睛、皮肤、粘膜有刺激作用</w:t>
                  </w:r>
                </w:p>
              </w:tc>
              <w:tc>
                <w:tcPr>
                  <w:tcW w:w="1152" w:type="pct"/>
                  <w:tcBorders>
                    <w:tl2br w:val="nil"/>
                    <w:tr2bl w:val="nil"/>
                  </w:tcBorders>
                  <w:shd w:val="clear" w:color="auto" w:fill="auto"/>
                  <w:noWrap w:val="0"/>
                  <w:vAlign w:val="center"/>
                </w:tcPr>
                <w:p w14:paraId="041F48E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：1mg/kg</w:t>
                  </w:r>
                </w:p>
                <w:p w14:paraId="3809589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（大鼠经口）</w:t>
                  </w:r>
                </w:p>
              </w:tc>
            </w:tr>
            <w:tr w14:paraId="5A0B43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3AC0DC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26</w:t>
                  </w:r>
                </w:p>
              </w:tc>
              <w:tc>
                <w:tcPr>
                  <w:tcW w:w="778" w:type="pct"/>
                  <w:tcBorders>
                    <w:tl2br w:val="nil"/>
                    <w:tr2bl w:val="nil"/>
                  </w:tcBorders>
                  <w:shd w:val="clear" w:color="auto" w:fill="auto"/>
                  <w:noWrap w:val="0"/>
                  <w:vAlign w:val="center"/>
                </w:tcPr>
                <w:p w14:paraId="1584DACB">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铜（标准溶液）</w:t>
                  </w:r>
                </w:p>
              </w:tc>
              <w:tc>
                <w:tcPr>
                  <w:tcW w:w="619" w:type="pct"/>
                  <w:tcBorders>
                    <w:tl2br w:val="nil"/>
                    <w:tr2bl w:val="nil"/>
                  </w:tcBorders>
                  <w:noWrap w:val="0"/>
                  <w:vAlign w:val="center"/>
                </w:tcPr>
                <w:p w14:paraId="31CC3AC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27B8EB3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通过吸入铜尘或铜烟雾是铜标准溶液侵入的主要途径之一。职业接触者可能因吸入氧化铜或碳酸铜细粉尘或烟雾而引发金属烟热</w:t>
                  </w:r>
                  <w:r>
                    <w:rPr>
                      <w:rFonts w:hint="eastAsia"/>
                      <w:color w:val="auto"/>
                      <w:spacing w:val="-11"/>
                      <w:sz w:val="18"/>
                      <w:szCs w:val="18"/>
                      <w:lang w:eastAsia="zh-CN"/>
                    </w:rPr>
                    <w:t>；</w:t>
                  </w:r>
                  <w:r>
                    <w:rPr>
                      <w:color w:val="auto"/>
                      <w:spacing w:val="-11"/>
                      <w:sz w:val="18"/>
                      <w:szCs w:val="18"/>
                    </w:rPr>
                    <w:t>误食含有铜标准溶液的食物或被铜绿污染的食物也可能导致中毒。硫酸铜误用，如食用煮熟、储存或存放在含铜绿的铜器皿中的食物，会引起急性中毒</w:t>
                  </w:r>
                  <w:r>
                    <w:rPr>
                      <w:rFonts w:hint="eastAsia"/>
                      <w:color w:val="auto"/>
                      <w:spacing w:val="-11"/>
                      <w:sz w:val="18"/>
                      <w:szCs w:val="18"/>
                      <w:lang w:eastAsia="zh-CN"/>
                    </w:rPr>
                    <w:t>；</w:t>
                  </w:r>
                  <w:r>
                    <w:rPr>
                      <w:color w:val="auto"/>
                      <w:spacing w:val="-11"/>
                      <w:sz w:val="18"/>
                      <w:szCs w:val="18"/>
                    </w:rPr>
                    <w:t>皮肤接触高浓度的铜化合物溶液可能导致皮肤黏膜坏死，甚至引起皮炎和湿疹。</w:t>
                  </w:r>
                </w:p>
              </w:tc>
              <w:tc>
                <w:tcPr>
                  <w:tcW w:w="1152" w:type="pct"/>
                  <w:tcBorders>
                    <w:tl2br w:val="nil"/>
                    <w:tr2bl w:val="nil"/>
                  </w:tcBorders>
                  <w:noWrap w:val="0"/>
                  <w:vAlign w:val="center"/>
                </w:tcPr>
                <w:p w14:paraId="0498C6E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color w:val="auto"/>
                      <w:spacing w:val="-11"/>
                      <w:sz w:val="18"/>
                      <w:szCs w:val="18"/>
                    </w:rPr>
                    <w:t>3500ug/kg</w:t>
                  </w:r>
                </w:p>
              </w:tc>
            </w:tr>
            <w:tr w14:paraId="1B42604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F0D3118">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27</w:t>
                  </w:r>
                </w:p>
              </w:tc>
              <w:tc>
                <w:tcPr>
                  <w:tcW w:w="778" w:type="pct"/>
                  <w:tcBorders>
                    <w:tl2br w:val="nil"/>
                    <w:tr2bl w:val="nil"/>
                  </w:tcBorders>
                  <w:shd w:val="clear" w:color="auto" w:fill="auto"/>
                  <w:noWrap w:val="0"/>
                  <w:vAlign w:val="center"/>
                </w:tcPr>
                <w:p w14:paraId="72FDADE1">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铅</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619" w:type="pct"/>
                  <w:tcBorders>
                    <w:tl2br w:val="nil"/>
                    <w:tr2bl w:val="nil"/>
                  </w:tcBorders>
                  <w:noWrap w:val="0"/>
                  <w:vAlign w:val="center"/>
                </w:tcPr>
                <w:p w14:paraId="33EEA7B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53D88D0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color w:val="auto"/>
                      <w:spacing w:val="-11"/>
                      <w:sz w:val="18"/>
                      <w:szCs w:val="18"/>
                    </w:rPr>
                    <w:t>皮肤接触‌：可直接腐蚀皮肤，导致接触性皮炎。铅离子经皮肤吸收后，可引起全身性中毒。‌呼吸道吸入‌：气溶胶可经呼吸道进入肺部，迅速吸收进入血液循环，引发急性中毒。吸入高浓度铅尘可导致“金属烟雾热”，出现发热、寒战、咳嗽等症状。‌消化道摄入‌：误服可引起急性胃肠炎，严重时可导致中毒性肝病、肾衰竭和多器官功能衰竭。</w:t>
                  </w:r>
                  <w:r>
                    <w:rPr>
                      <w:rFonts w:hint="default"/>
                      <w:color w:val="auto"/>
                      <w:spacing w:val="-11"/>
                      <w:sz w:val="18"/>
                      <w:szCs w:val="18"/>
                    </w:rPr>
                    <w:t>·</w:t>
                  </w:r>
                  <w:r>
                    <w:rPr>
                      <w:rFonts w:hint="eastAsia"/>
                      <w:color w:val="auto"/>
                      <w:spacing w:val="-11"/>
                      <w:sz w:val="18"/>
                      <w:szCs w:val="18"/>
                    </w:rPr>
                    <w:t xml:space="preserve">  </w:t>
                  </w:r>
                </w:p>
              </w:tc>
              <w:tc>
                <w:tcPr>
                  <w:tcW w:w="1152" w:type="pct"/>
                  <w:tcBorders>
                    <w:tl2br w:val="nil"/>
                    <w:tr2bl w:val="nil"/>
                  </w:tcBorders>
                  <w:noWrap w:val="0"/>
                  <w:vAlign w:val="center"/>
                </w:tcPr>
                <w:p w14:paraId="3D3F10E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LD50</w:t>
                  </w:r>
                  <w:r>
                    <w:rPr>
                      <w:rFonts w:hint="eastAsia"/>
                      <w:color w:val="auto"/>
                      <w:spacing w:val="-11"/>
                      <w:sz w:val="18"/>
                      <w:szCs w:val="18"/>
                      <w:lang w:eastAsia="zh-CN"/>
                    </w:rPr>
                    <w:t>：</w:t>
                  </w:r>
                  <w:r>
                    <w:rPr>
                      <w:color w:val="auto"/>
                      <w:spacing w:val="-11"/>
                      <w:sz w:val="18"/>
                      <w:szCs w:val="18"/>
                    </w:rPr>
                    <w:t>3</w:t>
                  </w:r>
                  <w:r>
                    <w:rPr>
                      <w:rFonts w:hint="eastAsia"/>
                      <w:color w:val="auto"/>
                      <w:spacing w:val="-11"/>
                      <w:sz w:val="18"/>
                      <w:szCs w:val="18"/>
                      <w:lang w:val="en-US" w:eastAsia="zh-CN"/>
                    </w:rPr>
                    <w:t>616</w:t>
                  </w:r>
                  <w:r>
                    <w:rPr>
                      <w:color w:val="auto"/>
                      <w:spacing w:val="-11"/>
                      <w:sz w:val="18"/>
                      <w:szCs w:val="18"/>
                    </w:rPr>
                    <w:t>ug/kg</w:t>
                  </w:r>
                </w:p>
                <w:p w14:paraId="4B1D3EE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7FB49F4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26146E93">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28</w:t>
                  </w:r>
                </w:p>
              </w:tc>
              <w:tc>
                <w:tcPr>
                  <w:tcW w:w="778" w:type="pct"/>
                  <w:tcBorders>
                    <w:tl2br w:val="nil"/>
                    <w:tr2bl w:val="nil"/>
                  </w:tcBorders>
                  <w:shd w:val="clear" w:color="auto" w:fill="auto"/>
                  <w:noWrap w:val="0"/>
                  <w:vAlign w:val="center"/>
                </w:tcPr>
                <w:p w14:paraId="15ECCD8A">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镉（标准溶液）</w:t>
                  </w:r>
                </w:p>
              </w:tc>
              <w:tc>
                <w:tcPr>
                  <w:tcW w:w="619" w:type="pct"/>
                  <w:tcBorders>
                    <w:tl2br w:val="nil"/>
                    <w:tr2bl w:val="nil"/>
                  </w:tcBorders>
                  <w:noWrap w:val="0"/>
                  <w:vAlign w:val="center"/>
                </w:tcPr>
                <w:p w14:paraId="1BA8C64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023E84E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rPr>
                    <w:t>吸入可引起呼吸道刺激症状，可发生化学性肺炎、肺水肿;误食后可引起急剧的胃肠道刺激症状，有恶心、呕吐、腹痛、腹泻、里急后重、全身乏力、肌肉疼痛和虚脱等，重者危及生命</w:t>
                  </w:r>
                </w:p>
              </w:tc>
              <w:tc>
                <w:tcPr>
                  <w:tcW w:w="1152" w:type="pct"/>
                  <w:tcBorders>
                    <w:tl2br w:val="nil"/>
                    <w:tr2bl w:val="nil"/>
                  </w:tcBorders>
                  <w:noWrap w:val="0"/>
                  <w:vAlign w:val="center"/>
                </w:tcPr>
                <w:p w14:paraId="3DC818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rFonts w:hint="eastAsia"/>
                      <w:color w:val="auto"/>
                      <w:spacing w:val="-11"/>
                      <w:sz w:val="18"/>
                      <w:szCs w:val="18"/>
                      <w:lang w:eastAsia="zh-CN"/>
                    </w:rPr>
                    <w:t>：</w:t>
                  </w:r>
                  <w:r>
                    <w:rPr>
                      <w:rFonts w:hint="eastAsia"/>
                      <w:color w:val="auto"/>
                      <w:spacing w:val="-11"/>
                      <w:sz w:val="18"/>
                      <w:szCs w:val="18"/>
                      <w:lang w:val="en-US" w:eastAsia="zh-CN"/>
                    </w:rPr>
                    <w:t>88</w:t>
                  </w:r>
                  <w:r>
                    <w:rPr>
                      <w:color w:val="auto"/>
                      <w:spacing w:val="-11"/>
                      <w:sz w:val="18"/>
                      <w:szCs w:val="18"/>
                    </w:rPr>
                    <w:t>mg/kg</w:t>
                  </w:r>
                </w:p>
              </w:tc>
            </w:tr>
            <w:tr w14:paraId="01087E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1056D4A0">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29</w:t>
                  </w:r>
                </w:p>
              </w:tc>
              <w:tc>
                <w:tcPr>
                  <w:tcW w:w="778" w:type="pct"/>
                  <w:tcBorders>
                    <w:tl2br w:val="nil"/>
                    <w:tr2bl w:val="nil"/>
                  </w:tcBorders>
                  <w:shd w:val="clear" w:color="auto" w:fill="auto"/>
                  <w:noWrap w:val="0"/>
                  <w:vAlign w:val="center"/>
                </w:tcPr>
                <w:p w14:paraId="42B4DACE">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锰（标准溶液）</w:t>
                  </w:r>
                </w:p>
              </w:tc>
              <w:tc>
                <w:tcPr>
                  <w:tcW w:w="619" w:type="pct"/>
                  <w:tcBorders>
                    <w:tl2br w:val="nil"/>
                    <w:tr2bl w:val="nil"/>
                  </w:tcBorders>
                  <w:noWrap w:val="0"/>
                  <w:vAlign w:val="center"/>
                </w:tcPr>
                <w:p w14:paraId="4411045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2737E62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olor w:val="auto"/>
                      <w:spacing w:val="-11"/>
                      <w:sz w:val="18"/>
                      <w:szCs w:val="18"/>
                    </w:rPr>
                    <w:t>吸入、口服或经皮肤吸收后对身体有害。对眼睛、皮肤、粘膜和上呼吸道有刺激性。可引起呼吸道炎症和肺炎。</w:t>
                  </w:r>
                </w:p>
              </w:tc>
              <w:tc>
                <w:tcPr>
                  <w:tcW w:w="1152" w:type="pct"/>
                  <w:tcBorders>
                    <w:tl2br w:val="nil"/>
                    <w:tr2bl w:val="nil"/>
                  </w:tcBorders>
                  <w:noWrap w:val="0"/>
                  <w:vAlign w:val="center"/>
                </w:tcPr>
                <w:p w14:paraId="16A5727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w:t>
                  </w:r>
                </w:p>
              </w:tc>
            </w:tr>
          </w:tbl>
          <w:p w14:paraId="73488ABA">
            <w:pPr>
              <w:rPr>
                <w:color w:val="auto"/>
              </w:rPr>
            </w:pPr>
          </w:p>
          <w:p w14:paraId="54A1A7C7">
            <w:pPr>
              <w:tabs>
                <w:tab w:val="left" w:pos="4253"/>
              </w:tabs>
              <w:spacing w:line="440" w:lineRule="exact"/>
              <w:jc w:val="center"/>
              <w:rPr>
                <w:rFonts w:ascii="Times New Roman" w:hAnsi="Times New Roman" w:eastAsia="宋体" w:cs="Times New Roman"/>
                <w:b/>
                <w:color w:val="auto"/>
                <w:szCs w:val="21"/>
                <w:highlight w:val="none"/>
              </w:rPr>
            </w:pPr>
            <w:r>
              <w:rPr>
                <w:rFonts w:hint="eastAsia" w:cs="Times New Roman"/>
                <w:b/>
                <w:color w:val="auto"/>
                <w:szCs w:val="21"/>
                <w:highlight w:val="none"/>
                <w:lang w:val="en-US" w:eastAsia="zh-CN"/>
              </w:rPr>
              <w:t>续</w:t>
            </w:r>
            <w:r>
              <w:rPr>
                <w:rFonts w:ascii="Times New Roman" w:hAnsi="Times New Roman" w:eastAsia="宋体" w:cs="Times New Roman"/>
                <w:b/>
                <w:color w:val="auto"/>
                <w:szCs w:val="21"/>
                <w:highlight w:val="none"/>
              </w:rPr>
              <w:t>表</w:t>
            </w:r>
            <w:r>
              <w:rPr>
                <w:rFonts w:hint="eastAsia" w:cs="Times New Roman"/>
                <w:b/>
                <w:color w:val="auto"/>
                <w:szCs w:val="21"/>
                <w:highlight w:val="none"/>
                <w:lang w:val="en-US" w:eastAsia="zh-CN"/>
              </w:rPr>
              <w:t>41</w:t>
            </w:r>
            <w:r>
              <w:rPr>
                <w:rFonts w:hint="eastAsia" w:ascii="Times New Roman" w:hAnsi="Times New Roman" w:eastAsia="宋体" w:cs="Times New Roman"/>
                <w:b/>
                <w:color w:val="auto"/>
                <w:szCs w:val="21"/>
                <w:highlight w:val="none"/>
                <w:lang w:val="en-US" w:eastAsia="zh-CN"/>
              </w:rPr>
              <w:t xml:space="preserve"> </w:t>
            </w:r>
            <w:r>
              <w:rPr>
                <w:rFonts w:ascii="Times New Roman" w:hAnsi="Times New Roman" w:eastAsia="宋体" w:cs="Times New Roman"/>
                <w:b/>
                <w:color w:val="auto"/>
                <w:szCs w:val="21"/>
                <w:highlight w:val="none"/>
              </w:rPr>
              <w:t>毒性物质主要危害及毒性分级</w:t>
            </w:r>
          </w:p>
          <w:tbl>
            <w:tblPr>
              <w:tblStyle w:val="26"/>
              <w:tblW w:w="7854"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83"/>
              <w:gridCol w:w="1223"/>
              <w:gridCol w:w="973"/>
              <w:gridCol w:w="3264"/>
              <w:gridCol w:w="1811"/>
            </w:tblGrid>
            <w:tr w14:paraId="3F4F72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noWrap w:val="0"/>
                  <w:vAlign w:val="center"/>
                </w:tcPr>
                <w:p w14:paraId="66A7DE68">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序号</w:t>
                  </w:r>
                </w:p>
              </w:tc>
              <w:tc>
                <w:tcPr>
                  <w:tcW w:w="778" w:type="pct"/>
                  <w:tcBorders>
                    <w:tl2br w:val="nil"/>
                    <w:tr2bl w:val="nil"/>
                  </w:tcBorders>
                  <w:noWrap w:val="0"/>
                  <w:vAlign w:val="center"/>
                </w:tcPr>
                <w:p w14:paraId="37C256AE">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化学名称</w:t>
                  </w:r>
                </w:p>
              </w:tc>
              <w:tc>
                <w:tcPr>
                  <w:tcW w:w="619" w:type="pct"/>
                  <w:tcBorders>
                    <w:tl2br w:val="nil"/>
                    <w:tr2bl w:val="nil"/>
                  </w:tcBorders>
                  <w:noWrap w:val="0"/>
                  <w:vAlign w:val="center"/>
                </w:tcPr>
                <w:p w14:paraId="47C0B9F9">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侵入途径</w:t>
                  </w:r>
                </w:p>
              </w:tc>
              <w:tc>
                <w:tcPr>
                  <w:tcW w:w="2077" w:type="pct"/>
                  <w:tcBorders>
                    <w:tl2br w:val="nil"/>
                    <w:tr2bl w:val="nil"/>
                  </w:tcBorders>
                  <w:noWrap w:val="0"/>
                  <w:vAlign w:val="center"/>
                </w:tcPr>
                <w:p w14:paraId="58D907A3">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健康危害</w:t>
                  </w:r>
                </w:p>
              </w:tc>
              <w:tc>
                <w:tcPr>
                  <w:tcW w:w="1152" w:type="pct"/>
                  <w:tcBorders>
                    <w:tl2br w:val="nil"/>
                    <w:tr2bl w:val="nil"/>
                  </w:tcBorders>
                  <w:noWrap w:val="0"/>
                  <w:vAlign w:val="center"/>
                </w:tcPr>
                <w:p w14:paraId="3553AFFD">
                  <w:pPr>
                    <w:spacing w:line="28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毒性</w:t>
                  </w:r>
                </w:p>
              </w:tc>
            </w:tr>
            <w:tr w14:paraId="0C7BA0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47DE59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30</w:t>
                  </w:r>
                </w:p>
              </w:tc>
              <w:tc>
                <w:tcPr>
                  <w:tcW w:w="778" w:type="pct"/>
                  <w:tcBorders>
                    <w:tl2br w:val="nil"/>
                    <w:tr2bl w:val="nil"/>
                  </w:tcBorders>
                  <w:shd w:val="clear" w:color="auto" w:fill="auto"/>
                  <w:noWrap w:val="0"/>
                  <w:vAlign w:val="center"/>
                </w:tcPr>
                <w:p w14:paraId="55F15275">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镍（标准溶液）</w:t>
                  </w:r>
                </w:p>
              </w:tc>
              <w:tc>
                <w:tcPr>
                  <w:tcW w:w="619" w:type="pct"/>
                  <w:tcBorders>
                    <w:tl2br w:val="nil"/>
                    <w:tr2bl w:val="nil"/>
                  </w:tcBorders>
                  <w:noWrap w:val="0"/>
                  <w:vAlign w:val="center"/>
                </w:tcPr>
                <w:p w14:paraId="20B07BC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0B9696B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rPr>
                  </w:pPr>
                  <w:r>
                    <w:rPr>
                      <w:rFonts w:hint="eastAsia"/>
                      <w:color w:val="auto"/>
                      <w:spacing w:val="-11"/>
                      <w:sz w:val="18"/>
                      <w:szCs w:val="18"/>
                    </w:rPr>
                    <w:t>吸入该品粉尘对呼吸道有刺激性。个别敏感者可引起哮喘、支气管炎等。大量口服刺激胃肠道，引起呕吐、腹泻。粉尘对眼有刺激性，水溶液可引起灼伤。皮肤接触可引起皮炎</w:t>
                  </w:r>
                </w:p>
              </w:tc>
              <w:tc>
                <w:tcPr>
                  <w:tcW w:w="1152" w:type="pct"/>
                  <w:tcBorders>
                    <w:tl2br w:val="nil"/>
                    <w:tr2bl w:val="nil"/>
                  </w:tcBorders>
                  <w:noWrap w:val="0"/>
                  <w:vAlign w:val="center"/>
                </w:tcPr>
                <w:p w14:paraId="42CC1AC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rFonts w:hint="eastAsia"/>
                      <w:color w:val="auto"/>
                      <w:spacing w:val="-11"/>
                      <w:sz w:val="18"/>
                      <w:szCs w:val="18"/>
                      <w:vertAlign w:val="subscript"/>
                      <w:lang w:val="en-US" w:eastAsia="zh-CN"/>
                    </w:rPr>
                    <w:t>50</w:t>
                  </w:r>
                  <w:r>
                    <w:rPr>
                      <w:rFonts w:hint="eastAsia"/>
                      <w:color w:val="auto"/>
                      <w:spacing w:val="-11"/>
                      <w:sz w:val="18"/>
                      <w:szCs w:val="18"/>
                      <w:lang w:val="en-US" w:eastAsia="zh-CN"/>
                    </w:rPr>
                    <w:t>：1620</w:t>
                  </w:r>
                  <w:r>
                    <w:rPr>
                      <w:color w:val="auto"/>
                      <w:spacing w:val="-11"/>
                      <w:sz w:val="18"/>
                      <w:szCs w:val="18"/>
                    </w:rPr>
                    <w:t>mg/kg</w:t>
                  </w:r>
                </w:p>
                <w:p w14:paraId="1F8CDB1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4554AE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C720E6F">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31</w:t>
                  </w:r>
                </w:p>
              </w:tc>
              <w:tc>
                <w:tcPr>
                  <w:tcW w:w="778" w:type="pct"/>
                  <w:tcBorders>
                    <w:tl2br w:val="nil"/>
                    <w:tr2bl w:val="nil"/>
                  </w:tcBorders>
                  <w:shd w:val="clear" w:color="auto" w:fill="auto"/>
                  <w:noWrap w:val="0"/>
                  <w:vAlign w:val="center"/>
                </w:tcPr>
                <w:p w14:paraId="5709CE9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rFonts w:hint="eastAsia"/>
                      <w:color w:val="auto"/>
                      <w:spacing w:val="-11"/>
                      <w:sz w:val="18"/>
                      <w:szCs w:val="18"/>
                      <w:lang w:val="en-US" w:eastAsia="zh-CN"/>
                    </w:rPr>
                    <w:t>砷（标准溶液）</w:t>
                  </w:r>
                </w:p>
              </w:tc>
              <w:tc>
                <w:tcPr>
                  <w:tcW w:w="619" w:type="pct"/>
                  <w:tcBorders>
                    <w:tl2br w:val="nil"/>
                    <w:tr2bl w:val="nil"/>
                  </w:tcBorders>
                  <w:noWrap w:val="0"/>
                  <w:vAlign w:val="center"/>
                </w:tcPr>
                <w:p w14:paraId="5E746E4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6D4D1E8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rPr>
                  </w:pPr>
                  <w:r>
                    <w:rPr>
                      <w:rFonts w:hint="eastAsia"/>
                      <w:color w:val="auto"/>
                      <w:spacing w:val="-11"/>
                      <w:sz w:val="18"/>
                      <w:szCs w:val="18"/>
                    </w:rPr>
                    <w:t>摄入后迅速引发消化道症状（如恶心、呕吐、腹泻）和全身反应，严重时可导致脱水、休克、器官衰竭，甚至数分钟内死亡。</w:t>
                  </w:r>
                </w:p>
              </w:tc>
              <w:tc>
                <w:tcPr>
                  <w:tcW w:w="1152" w:type="pct"/>
                  <w:tcBorders>
                    <w:tl2br w:val="nil"/>
                    <w:tr2bl w:val="nil"/>
                  </w:tcBorders>
                  <w:noWrap w:val="0"/>
                  <w:vAlign w:val="center"/>
                </w:tcPr>
                <w:p w14:paraId="7F9A6CE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rFonts w:hint="eastAsia"/>
                      <w:color w:val="auto"/>
                      <w:spacing w:val="-11"/>
                      <w:sz w:val="18"/>
                      <w:szCs w:val="18"/>
                      <w:vertAlign w:val="subscript"/>
                      <w:lang w:val="en-US" w:eastAsia="zh-CN"/>
                    </w:rPr>
                    <w:t>50</w:t>
                  </w:r>
                  <w:r>
                    <w:rPr>
                      <w:rFonts w:hint="eastAsia"/>
                      <w:color w:val="auto"/>
                      <w:spacing w:val="-11"/>
                      <w:sz w:val="18"/>
                      <w:szCs w:val="18"/>
                      <w:lang w:val="en-US" w:eastAsia="zh-CN"/>
                    </w:rPr>
                    <w:t>：10</w:t>
                  </w:r>
                  <w:r>
                    <w:rPr>
                      <w:color w:val="auto"/>
                      <w:spacing w:val="-11"/>
                      <w:sz w:val="18"/>
                      <w:szCs w:val="18"/>
                    </w:rPr>
                    <w:t>mg/kg</w:t>
                  </w:r>
                </w:p>
                <w:p w14:paraId="70AF60F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6A5F39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C275D29">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32</w:t>
                  </w:r>
                </w:p>
              </w:tc>
              <w:tc>
                <w:tcPr>
                  <w:tcW w:w="778" w:type="pct"/>
                  <w:tcBorders>
                    <w:tl2br w:val="nil"/>
                    <w:tr2bl w:val="nil"/>
                  </w:tcBorders>
                  <w:shd w:val="clear" w:color="auto" w:fill="auto"/>
                  <w:noWrap w:val="0"/>
                  <w:vAlign w:val="center"/>
                </w:tcPr>
                <w:p w14:paraId="2C79FC6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lang w:val="en-US" w:eastAsia="zh-CN"/>
                    </w:rPr>
                  </w:pPr>
                  <w:r>
                    <w:rPr>
                      <w:rFonts w:hint="eastAsia"/>
                      <w:color w:val="auto"/>
                      <w:spacing w:val="-11"/>
                      <w:sz w:val="18"/>
                      <w:szCs w:val="18"/>
                      <w:lang w:val="en-US" w:eastAsia="zh-CN"/>
                    </w:rPr>
                    <w:t>氟化物（标准溶液）</w:t>
                  </w:r>
                </w:p>
              </w:tc>
              <w:tc>
                <w:tcPr>
                  <w:tcW w:w="619" w:type="pct"/>
                  <w:tcBorders>
                    <w:tl2br w:val="nil"/>
                    <w:tr2bl w:val="nil"/>
                  </w:tcBorders>
                  <w:noWrap w:val="0"/>
                  <w:vAlign w:val="center"/>
                </w:tcPr>
                <w:p w14:paraId="0CCAF5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077" w:type="pct"/>
                  <w:tcBorders>
                    <w:tl2br w:val="nil"/>
                    <w:tr2bl w:val="nil"/>
                  </w:tcBorders>
                  <w:noWrap w:val="0"/>
                  <w:vAlign w:val="center"/>
                </w:tcPr>
                <w:p w14:paraId="1984612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color w:val="auto"/>
                      <w:spacing w:val="-11"/>
                      <w:sz w:val="18"/>
                      <w:szCs w:val="18"/>
                    </w:rPr>
                  </w:pPr>
                  <w:r>
                    <w:rPr>
                      <w:rFonts w:hint="eastAsia"/>
                      <w:color w:val="auto"/>
                      <w:spacing w:val="-11"/>
                      <w:sz w:val="18"/>
                      <w:szCs w:val="18"/>
                    </w:rPr>
                    <w:t>氟化钠对胃肠道黏膜具有直接腐蚀作用，可破坏黏膜屏障并引发炎症反应。急性中毒时，患者常出现剧烈呕吐、腹泻等症状，长期接触可能导致溃疡形成及消化功能衰退。</w:t>
                  </w:r>
                </w:p>
              </w:tc>
              <w:tc>
                <w:tcPr>
                  <w:tcW w:w="1152" w:type="pct"/>
                  <w:tcBorders>
                    <w:tl2br w:val="nil"/>
                    <w:tr2bl w:val="nil"/>
                  </w:tcBorders>
                  <w:noWrap w:val="0"/>
                  <w:vAlign w:val="center"/>
                </w:tcPr>
                <w:p w14:paraId="0BB8B87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rFonts w:hint="eastAsia"/>
                      <w:color w:val="auto"/>
                      <w:spacing w:val="-11"/>
                      <w:sz w:val="18"/>
                      <w:szCs w:val="18"/>
                      <w:vertAlign w:val="subscript"/>
                      <w:lang w:val="en-US" w:eastAsia="zh-CN"/>
                    </w:rPr>
                    <w:t>50</w:t>
                  </w:r>
                  <w:r>
                    <w:rPr>
                      <w:rFonts w:hint="eastAsia"/>
                      <w:color w:val="auto"/>
                      <w:spacing w:val="-11"/>
                      <w:sz w:val="18"/>
                      <w:szCs w:val="18"/>
                      <w:lang w:val="en-US" w:eastAsia="zh-CN"/>
                    </w:rPr>
                    <w:t>：50</w:t>
                  </w:r>
                  <w:r>
                    <w:rPr>
                      <w:color w:val="auto"/>
                      <w:spacing w:val="-11"/>
                      <w:sz w:val="18"/>
                      <w:szCs w:val="18"/>
                    </w:rPr>
                    <w:t>mg/kg</w:t>
                  </w:r>
                </w:p>
                <w:p w14:paraId="20FA507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502766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4A05AC6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33</w:t>
                  </w:r>
                </w:p>
              </w:tc>
              <w:tc>
                <w:tcPr>
                  <w:tcW w:w="778" w:type="pct"/>
                  <w:tcBorders>
                    <w:tl2br w:val="nil"/>
                    <w:tr2bl w:val="nil"/>
                  </w:tcBorders>
                  <w:noWrap w:val="0"/>
                  <w:vAlign w:val="center"/>
                </w:tcPr>
                <w:p w14:paraId="7FF0ECC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氰化钾（标准溶液）</w:t>
                  </w:r>
                </w:p>
              </w:tc>
              <w:tc>
                <w:tcPr>
                  <w:tcW w:w="619" w:type="pct"/>
                  <w:tcBorders>
                    <w:tl2br w:val="nil"/>
                    <w:tr2bl w:val="nil"/>
                  </w:tcBorders>
                  <w:noWrap w:val="0"/>
                  <w:vAlign w:val="center"/>
                </w:tcPr>
                <w:p w14:paraId="1B2C606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6C6C4B3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吸入、口服或经皮吸收均可引起急性中毒</w:t>
                  </w:r>
                </w:p>
              </w:tc>
              <w:tc>
                <w:tcPr>
                  <w:tcW w:w="1152" w:type="pct"/>
                  <w:tcBorders>
                    <w:tl2br w:val="nil"/>
                    <w:tr2bl w:val="nil"/>
                  </w:tcBorders>
                  <w:noWrap w:val="0"/>
                  <w:vAlign w:val="center"/>
                </w:tcPr>
                <w:p w14:paraId="0FF702C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：5mg/kg</w:t>
                  </w:r>
                </w:p>
              </w:tc>
            </w:tr>
            <w:tr w14:paraId="6931ED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7A3705C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34</w:t>
                  </w:r>
                </w:p>
              </w:tc>
              <w:tc>
                <w:tcPr>
                  <w:tcW w:w="778" w:type="pct"/>
                  <w:tcBorders>
                    <w:tl2br w:val="nil"/>
                    <w:tr2bl w:val="nil"/>
                  </w:tcBorders>
                  <w:noWrap w:val="0"/>
                  <w:vAlign w:val="center"/>
                </w:tcPr>
                <w:p w14:paraId="06F4081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四氯化碳(环保专用）</w:t>
                  </w:r>
                </w:p>
              </w:tc>
              <w:tc>
                <w:tcPr>
                  <w:tcW w:w="619" w:type="pct"/>
                  <w:tcBorders>
                    <w:tl2br w:val="nil"/>
                    <w:tr2bl w:val="nil"/>
                  </w:tcBorders>
                  <w:noWrap w:val="0"/>
                  <w:vAlign w:val="center"/>
                </w:tcPr>
                <w:p w14:paraId="3F649F6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4F66D4E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吸入、口服或经皮吸收均可引起急性中毒</w:t>
                  </w:r>
                </w:p>
              </w:tc>
              <w:tc>
                <w:tcPr>
                  <w:tcW w:w="1152" w:type="pct"/>
                  <w:tcBorders>
                    <w:tl2br w:val="nil"/>
                    <w:tr2bl w:val="nil"/>
                  </w:tcBorders>
                  <w:noWrap w:val="0"/>
                  <w:vAlign w:val="center"/>
                </w:tcPr>
                <w:p w14:paraId="48291A9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：2350mg/kg；LC50：50400mg/m³</w:t>
                  </w:r>
                </w:p>
              </w:tc>
            </w:tr>
            <w:tr w14:paraId="1292E4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E392D89">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35</w:t>
                  </w:r>
                </w:p>
              </w:tc>
              <w:tc>
                <w:tcPr>
                  <w:tcW w:w="778" w:type="pct"/>
                  <w:tcBorders>
                    <w:tl2br w:val="nil"/>
                    <w:tr2bl w:val="nil"/>
                  </w:tcBorders>
                  <w:shd w:val="clear" w:color="auto" w:fill="auto"/>
                  <w:noWrap w:val="0"/>
                  <w:vAlign w:val="center"/>
                </w:tcPr>
                <w:p w14:paraId="05AA2D2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color w:val="auto"/>
                      <w:spacing w:val="-11"/>
                      <w:kern w:val="2"/>
                      <w:sz w:val="18"/>
                      <w:szCs w:val="18"/>
                      <w:lang w:val="en-US" w:eastAsia="zh-CN" w:bidi="ar-SA"/>
                    </w:rPr>
                  </w:pPr>
                  <w:r>
                    <w:rPr>
                      <w:rFonts w:hint="eastAsia"/>
                      <w:color w:val="auto"/>
                      <w:spacing w:val="-11"/>
                      <w:sz w:val="18"/>
                      <w:szCs w:val="18"/>
                      <w:lang w:val="en-US" w:eastAsia="zh-CN"/>
                    </w:rPr>
                    <w:t>冰醋酸</w:t>
                  </w:r>
                </w:p>
              </w:tc>
              <w:tc>
                <w:tcPr>
                  <w:tcW w:w="619" w:type="pct"/>
                  <w:tcBorders>
                    <w:tl2br w:val="nil"/>
                    <w:tr2bl w:val="nil"/>
                  </w:tcBorders>
                  <w:shd w:val="clear" w:color="auto" w:fill="auto"/>
                  <w:noWrap w:val="0"/>
                  <w:vAlign w:val="center"/>
                </w:tcPr>
                <w:p w14:paraId="6B34BF4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皮肤侵入、食入、吸入</w:t>
                  </w:r>
                </w:p>
              </w:tc>
              <w:tc>
                <w:tcPr>
                  <w:tcW w:w="2077" w:type="pct"/>
                  <w:tcBorders>
                    <w:tl2br w:val="nil"/>
                    <w:tr2bl w:val="nil"/>
                  </w:tcBorders>
                  <w:shd w:val="clear" w:color="auto" w:fill="auto"/>
                  <w:noWrap w:val="0"/>
                  <w:vAlign w:val="center"/>
                </w:tcPr>
                <w:p w14:paraId="233022F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rPr>
                    <w:t>吸入、口服或经皮吸收均可引起急性中毒</w:t>
                  </w:r>
                </w:p>
              </w:tc>
              <w:tc>
                <w:tcPr>
                  <w:tcW w:w="1152" w:type="pct"/>
                  <w:tcBorders>
                    <w:tl2br w:val="nil"/>
                    <w:tr2bl w:val="nil"/>
                  </w:tcBorders>
                  <w:shd w:val="clear" w:color="auto" w:fill="auto"/>
                  <w:noWrap w:val="0"/>
                  <w:vAlign w:val="center"/>
                </w:tcPr>
                <w:p w14:paraId="66AD4EA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lang w:val="en-US" w:eastAsia="zh-CN"/>
                    </w:rPr>
                    <w:t>：3530 mg/kg</w:t>
                  </w:r>
                </w:p>
                <w:p w14:paraId="676ADC7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eastAsia="宋体" w:cs="Times New Roman"/>
                      <w:color w:val="auto"/>
                      <w:spacing w:val="-11"/>
                      <w:kern w:val="2"/>
                      <w:sz w:val="18"/>
                      <w:szCs w:val="18"/>
                      <w:lang w:val="en-US" w:eastAsia="zh-CN" w:bidi="ar-SA"/>
                    </w:rPr>
                  </w:pPr>
                  <w:r>
                    <w:rPr>
                      <w:color w:val="auto"/>
                      <w:spacing w:val="-11"/>
                      <w:sz w:val="18"/>
                      <w:szCs w:val="18"/>
                      <w:lang w:val="en-US" w:eastAsia="zh-CN"/>
                    </w:rPr>
                    <w:fldChar w:fldCharType="begin"/>
                  </w:r>
                  <w:r>
                    <w:rPr>
                      <w:color w:val="auto"/>
                      <w:spacing w:val="-11"/>
                      <w:sz w:val="18"/>
                      <w:szCs w:val="18"/>
                      <w:lang w:val="en-US" w:eastAsia="zh-CN"/>
                    </w:rPr>
                    <w:instrText xml:space="preserve"> HYPERLINK "https://baike.baidu.com/item/LC50/4214115?fromModule=lemma_inlink" \t "https://baike.baidu.com/item/%E4%B9%99%E9%85%B8/_blank" </w:instrText>
                  </w:r>
                  <w:r>
                    <w:rPr>
                      <w:color w:val="auto"/>
                      <w:spacing w:val="-11"/>
                      <w:sz w:val="18"/>
                      <w:szCs w:val="18"/>
                      <w:lang w:val="en-US" w:eastAsia="zh-CN"/>
                    </w:rPr>
                    <w:fldChar w:fldCharType="separate"/>
                  </w:r>
                  <w:r>
                    <w:rPr>
                      <w:color w:val="auto"/>
                      <w:spacing w:val="-11"/>
                      <w:sz w:val="18"/>
                      <w:szCs w:val="18"/>
                    </w:rPr>
                    <w:t>LC50</w:t>
                  </w:r>
                  <w:r>
                    <w:rPr>
                      <w:color w:val="auto"/>
                      <w:spacing w:val="-11"/>
                      <w:sz w:val="18"/>
                      <w:szCs w:val="18"/>
                      <w:lang w:val="en-US" w:eastAsia="zh-CN"/>
                    </w:rPr>
                    <w:fldChar w:fldCharType="end"/>
                  </w:r>
                  <w:r>
                    <w:rPr>
                      <w:color w:val="auto"/>
                      <w:spacing w:val="-11"/>
                      <w:sz w:val="18"/>
                      <w:szCs w:val="18"/>
                      <w:lang w:val="en-US" w:eastAsia="zh-CN"/>
                    </w:rPr>
                    <w:t>：13791 mg/m</w:t>
                  </w:r>
                  <w:r>
                    <w:rPr>
                      <w:color w:val="auto"/>
                      <w:spacing w:val="-11"/>
                      <w:sz w:val="18"/>
                      <w:szCs w:val="18"/>
                      <w:vertAlign w:val="superscript"/>
                      <w:lang w:val="en-US" w:eastAsia="zh-CN"/>
                    </w:rPr>
                    <w:t>3</w:t>
                  </w:r>
                </w:p>
              </w:tc>
            </w:tr>
            <w:tr w14:paraId="14A455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0B491227">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36</w:t>
                  </w:r>
                </w:p>
              </w:tc>
              <w:tc>
                <w:tcPr>
                  <w:tcW w:w="778" w:type="pct"/>
                  <w:tcBorders>
                    <w:tl2br w:val="nil"/>
                    <w:tr2bl w:val="nil"/>
                  </w:tcBorders>
                  <w:noWrap w:val="0"/>
                  <w:vAlign w:val="center"/>
                </w:tcPr>
                <w:p w14:paraId="205DB9A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氯仿(AR)</w:t>
                  </w:r>
                </w:p>
              </w:tc>
              <w:tc>
                <w:tcPr>
                  <w:tcW w:w="619" w:type="pct"/>
                  <w:tcBorders>
                    <w:tl2br w:val="nil"/>
                    <w:tr2bl w:val="nil"/>
                  </w:tcBorders>
                  <w:noWrap w:val="0"/>
                  <w:vAlign w:val="center"/>
                </w:tcPr>
                <w:p w14:paraId="0E74969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皮肤侵入、食入、吸入</w:t>
                  </w:r>
                </w:p>
              </w:tc>
              <w:tc>
                <w:tcPr>
                  <w:tcW w:w="2077" w:type="pct"/>
                  <w:tcBorders>
                    <w:tl2br w:val="nil"/>
                    <w:tr2bl w:val="nil"/>
                  </w:tcBorders>
                  <w:noWrap w:val="0"/>
                  <w:vAlign w:val="center"/>
                </w:tcPr>
                <w:p w14:paraId="021500C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吸入或经皮肤吸收引起急性中毒，误服中毒时，胃有烧灼感，伴恶心、呕吐、腹痛、腹泻</w:t>
                  </w:r>
                </w:p>
              </w:tc>
              <w:tc>
                <w:tcPr>
                  <w:tcW w:w="1152" w:type="pct"/>
                  <w:tcBorders>
                    <w:tl2br w:val="nil"/>
                    <w:tr2bl w:val="nil"/>
                  </w:tcBorders>
                  <w:noWrap w:val="0"/>
                  <w:vAlign w:val="center"/>
                </w:tcPr>
                <w:p w14:paraId="3ACC511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：908mg/kg；</w:t>
                  </w:r>
                </w:p>
                <w:p w14:paraId="7579AA7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LC</w:t>
                  </w:r>
                  <w:r>
                    <w:rPr>
                      <w:color w:val="auto"/>
                      <w:spacing w:val="-11"/>
                      <w:sz w:val="18"/>
                      <w:szCs w:val="18"/>
                      <w:vertAlign w:val="subscript"/>
                    </w:rPr>
                    <w:t>50</w:t>
                  </w:r>
                  <w:r>
                    <w:rPr>
                      <w:color w:val="auto"/>
                      <w:spacing w:val="-11"/>
                      <w:sz w:val="18"/>
                      <w:szCs w:val="18"/>
                    </w:rPr>
                    <w:t>：47702mg/m</w:t>
                  </w:r>
                  <w:r>
                    <w:rPr>
                      <w:color w:val="auto"/>
                      <w:spacing w:val="-11"/>
                      <w:sz w:val="18"/>
                      <w:szCs w:val="18"/>
                      <w:vertAlign w:val="superscript"/>
                    </w:rPr>
                    <w:t>3</w:t>
                  </w:r>
                </w:p>
              </w:tc>
            </w:tr>
            <w:tr w14:paraId="34B446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672F1D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37</w:t>
                  </w:r>
                </w:p>
              </w:tc>
              <w:tc>
                <w:tcPr>
                  <w:tcW w:w="778" w:type="pct"/>
                  <w:tcBorders>
                    <w:tl2br w:val="nil"/>
                    <w:tr2bl w:val="nil"/>
                  </w:tcBorders>
                  <w:noWrap w:val="0"/>
                  <w:vAlign w:val="center"/>
                </w:tcPr>
                <w:p w14:paraId="7B8A36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乙炔</w:t>
                  </w:r>
                </w:p>
              </w:tc>
              <w:tc>
                <w:tcPr>
                  <w:tcW w:w="619" w:type="pct"/>
                  <w:tcBorders>
                    <w:tl2br w:val="nil"/>
                    <w:tr2bl w:val="nil"/>
                  </w:tcBorders>
                  <w:noWrap w:val="0"/>
                  <w:vAlign w:val="center"/>
                </w:tcPr>
                <w:p w14:paraId="68E5447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w:t>
                  </w:r>
                </w:p>
              </w:tc>
              <w:tc>
                <w:tcPr>
                  <w:tcW w:w="2077" w:type="pct"/>
                  <w:tcBorders>
                    <w:tl2br w:val="nil"/>
                    <w:tr2bl w:val="nil"/>
                  </w:tcBorders>
                  <w:noWrap w:val="0"/>
                  <w:vAlign w:val="center"/>
                </w:tcPr>
                <w:p w14:paraId="20E3705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动物长期吸入非致死性浓度本品，出现血红蛋白、网织细胞、淋巴细胞增加和中性粒细胞减少。</w:t>
                  </w:r>
                </w:p>
              </w:tc>
              <w:tc>
                <w:tcPr>
                  <w:tcW w:w="1152" w:type="pct"/>
                  <w:tcBorders>
                    <w:tl2br w:val="nil"/>
                    <w:tr2bl w:val="nil"/>
                  </w:tcBorders>
                  <w:noWrap w:val="0"/>
                  <w:vAlign w:val="center"/>
                </w:tcPr>
                <w:p w14:paraId="5CFD846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w:t>
                  </w:r>
                </w:p>
              </w:tc>
            </w:tr>
            <w:tr w14:paraId="43600F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016101F">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38</w:t>
                  </w:r>
                </w:p>
              </w:tc>
              <w:tc>
                <w:tcPr>
                  <w:tcW w:w="778" w:type="pct"/>
                  <w:tcBorders>
                    <w:tl2br w:val="nil"/>
                    <w:tr2bl w:val="nil"/>
                  </w:tcBorders>
                  <w:noWrap w:val="0"/>
                  <w:vAlign w:val="center"/>
                </w:tcPr>
                <w:p w14:paraId="78D1BAC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硝酸汞</w:t>
                  </w:r>
                </w:p>
              </w:tc>
              <w:tc>
                <w:tcPr>
                  <w:tcW w:w="619" w:type="pct"/>
                  <w:tcBorders>
                    <w:tl2br w:val="nil"/>
                    <w:tr2bl w:val="nil"/>
                  </w:tcBorders>
                  <w:noWrap w:val="0"/>
                  <w:vAlign w:val="center"/>
                </w:tcPr>
                <w:p w14:paraId="71E53B0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077" w:type="pct"/>
                  <w:tcBorders>
                    <w:tl2br w:val="nil"/>
                    <w:tr2bl w:val="nil"/>
                  </w:tcBorders>
                  <w:noWrap w:val="0"/>
                  <w:vAlign w:val="center"/>
                </w:tcPr>
                <w:p w14:paraId="67AD363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误服或吸入粉尘会中毒</w:t>
                  </w:r>
                </w:p>
              </w:tc>
              <w:tc>
                <w:tcPr>
                  <w:tcW w:w="1152" w:type="pct"/>
                  <w:tcBorders>
                    <w:tl2br w:val="nil"/>
                    <w:tr2bl w:val="nil"/>
                  </w:tcBorders>
                  <w:noWrap w:val="0"/>
                  <w:vAlign w:val="center"/>
                </w:tcPr>
                <w:p w14:paraId="7B554E9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w:t>
                  </w:r>
                  <w:r>
                    <w:rPr>
                      <w:rFonts w:hint="eastAsia"/>
                      <w:color w:val="auto"/>
                      <w:spacing w:val="-11"/>
                      <w:sz w:val="18"/>
                      <w:szCs w:val="18"/>
                      <w:lang w:val="en-US" w:eastAsia="zh-CN"/>
                    </w:rPr>
                    <w:t>26</w:t>
                  </w:r>
                  <w:r>
                    <w:rPr>
                      <w:color w:val="auto"/>
                      <w:spacing w:val="-11"/>
                      <w:sz w:val="18"/>
                      <w:szCs w:val="18"/>
                    </w:rPr>
                    <w:t>mg/kg</w:t>
                  </w:r>
                </w:p>
                <w:p w14:paraId="1FEA31B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（大鼠经口）</w:t>
                  </w:r>
                </w:p>
              </w:tc>
            </w:tr>
            <w:tr w14:paraId="4587AE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C8184F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39</w:t>
                  </w:r>
                </w:p>
              </w:tc>
              <w:tc>
                <w:tcPr>
                  <w:tcW w:w="778" w:type="pct"/>
                  <w:tcBorders>
                    <w:tl2br w:val="nil"/>
                    <w:tr2bl w:val="nil"/>
                  </w:tcBorders>
                  <w:noWrap w:val="0"/>
                  <w:vAlign w:val="center"/>
                </w:tcPr>
                <w:p w14:paraId="5C9AA08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硝酸镍</w:t>
                  </w:r>
                </w:p>
              </w:tc>
              <w:tc>
                <w:tcPr>
                  <w:tcW w:w="619" w:type="pct"/>
                  <w:tcBorders>
                    <w:tl2br w:val="nil"/>
                    <w:tr2bl w:val="nil"/>
                  </w:tcBorders>
                  <w:noWrap w:val="0"/>
                  <w:vAlign w:val="center"/>
                </w:tcPr>
                <w:p w14:paraId="0972630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食入、吸入</w:t>
                  </w:r>
                </w:p>
              </w:tc>
              <w:tc>
                <w:tcPr>
                  <w:tcW w:w="2077" w:type="pct"/>
                  <w:tcBorders>
                    <w:tl2br w:val="nil"/>
                    <w:tr2bl w:val="nil"/>
                  </w:tcBorders>
                  <w:noWrap w:val="0"/>
                  <w:vAlign w:val="center"/>
                </w:tcPr>
                <w:p w14:paraId="4DE1AED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吸入该品粉尘对呼吸道有刺激性。个别敏感者可引起哮喘、支气管炎等。大量口服刺激胃肠道，引起呕吐、腹泻。粉尘对眼有刺激性，水溶液可引起灼伤。皮肤接触可引起皮炎。</w:t>
                  </w:r>
                </w:p>
              </w:tc>
              <w:tc>
                <w:tcPr>
                  <w:tcW w:w="1152" w:type="pct"/>
                  <w:tcBorders>
                    <w:tl2br w:val="nil"/>
                    <w:tr2bl w:val="nil"/>
                  </w:tcBorders>
                  <w:noWrap w:val="0"/>
                  <w:vAlign w:val="center"/>
                </w:tcPr>
                <w:p w14:paraId="663408A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：1620mg/kg</w:t>
                  </w:r>
                </w:p>
              </w:tc>
            </w:tr>
            <w:tr w14:paraId="441F1C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62D15F3E">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40</w:t>
                  </w:r>
                </w:p>
              </w:tc>
              <w:tc>
                <w:tcPr>
                  <w:tcW w:w="778" w:type="pct"/>
                  <w:tcBorders>
                    <w:tl2br w:val="nil"/>
                    <w:tr2bl w:val="nil"/>
                  </w:tcBorders>
                  <w:noWrap w:val="0"/>
                  <w:vAlign w:val="center"/>
                </w:tcPr>
                <w:p w14:paraId="020C5A6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硝酸铅</w:t>
                  </w:r>
                </w:p>
              </w:tc>
              <w:tc>
                <w:tcPr>
                  <w:tcW w:w="619" w:type="pct"/>
                  <w:tcBorders>
                    <w:tl2br w:val="nil"/>
                    <w:tr2bl w:val="nil"/>
                  </w:tcBorders>
                  <w:noWrap w:val="0"/>
                  <w:vAlign w:val="center"/>
                </w:tcPr>
                <w:p w14:paraId="6DD14CA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食入</w:t>
                  </w:r>
                </w:p>
              </w:tc>
              <w:tc>
                <w:tcPr>
                  <w:tcW w:w="2077" w:type="pct"/>
                  <w:tcBorders>
                    <w:tl2br w:val="nil"/>
                    <w:tr2bl w:val="nil"/>
                  </w:tcBorders>
                  <w:noWrap w:val="0"/>
                  <w:vAlign w:val="center"/>
                </w:tcPr>
                <w:p w14:paraId="592FB16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雌性仓鼠孕后8d静脉内给药最低中毒剂量50mg/kg，导致心血管系统、中枢神经系统、泌尿生殖系统发育畸形</w:t>
                  </w:r>
                </w:p>
              </w:tc>
              <w:tc>
                <w:tcPr>
                  <w:tcW w:w="1152" w:type="pct"/>
                  <w:tcBorders>
                    <w:tl2br w:val="nil"/>
                    <w:tr2bl w:val="nil"/>
                  </w:tcBorders>
                  <w:noWrap w:val="0"/>
                  <w:vAlign w:val="center"/>
                </w:tcPr>
                <w:p w14:paraId="3269298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LD</w:t>
                  </w:r>
                  <w:r>
                    <w:rPr>
                      <w:color w:val="auto"/>
                      <w:spacing w:val="-11"/>
                      <w:sz w:val="18"/>
                      <w:szCs w:val="18"/>
                      <w:vertAlign w:val="subscript"/>
                    </w:rPr>
                    <w:t>50</w:t>
                  </w:r>
                  <w:r>
                    <w:rPr>
                      <w:color w:val="auto"/>
                      <w:spacing w:val="-11"/>
                      <w:sz w:val="18"/>
                      <w:szCs w:val="18"/>
                    </w:rPr>
                    <w:t>：93mg/kg</w:t>
                  </w:r>
                </w:p>
                <w:p w14:paraId="6615A79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（大鼠静脉）</w:t>
                  </w:r>
                </w:p>
              </w:tc>
            </w:tr>
            <w:tr w14:paraId="01DEDC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53D9068B">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41</w:t>
                  </w:r>
                </w:p>
              </w:tc>
              <w:tc>
                <w:tcPr>
                  <w:tcW w:w="778" w:type="pct"/>
                  <w:tcBorders>
                    <w:tl2br w:val="nil"/>
                    <w:tr2bl w:val="nil"/>
                  </w:tcBorders>
                  <w:noWrap w:val="0"/>
                  <w:vAlign w:val="center"/>
                </w:tcPr>
                <w:p w14:paraId="72FC281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rFonts w:hint="eastAsia" w:cs="Times New Roman"/>
                      <w:color w:val="auto"/>
                      <w:spacing w:val="-10"/>
                      <w:sz w:val="18"/>
                      <w:szCs w:val="18"/>
                      <w:highlight w:val="none"/>
                      <w:lang w:val="en-US" w:eastAsia="zh-CN"/>
                    </w:rPr>
                    <w:t>邻菲罗啉</w:t>
                  </w:r>
                </w:p>
              </w:tc>
              <w:tc>
                <w:tcPr>
                  <w:tcW w:w="619" w:type="pct"/>
                  <w:tcBorders>
                    <w:tl2br w:val="nil"/>
                    <w:tr2bl w:val="nil"/>
                  </w:tcBorders>
                  <w:noWrap w:val="0"/>
                  <w:vAlign w:val="center"/>
                </w:tcPr>
                <w:p w14:paraId="58A3C06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皮肤侵入、食入</w:t>
                  </w:r>
                </w:p>
              </w:tc>
              <w:tc>
                <w:tcPr>
                  <w:tcW w:w="2077" w:type="pct"/>
                  <w:tcBorders>
                    <w:tl2br w:val="nil"/>
                    <w:tr2bl w:val="nil"/>
                  </w:tcBorders>
                  <w:noWrap w:val="0"/>
                  <w:vAlign w:val="center"/>
                </w:tcPr>
                <w:p w14:paraId="4064F06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rPr>
                    <w:t>经口</w:t>
                  </w:r>
                  <w:r>
                    <w:rPr>
                      <w:rFonts w:hint="eastAsia"/>
                      <w:color w:val="auto"/>
                      <w:spacing w:val="-11"/>
                      <w:sz w:val="18"/>
                      <w:szCs w:val="18"/>
                      <w:lang w:val="en-US" w:eastAsia="zh-CN"/>
                    </w:rPr>
                    <w:t>吸入</w:t>
                  </w:r>
                  <w:r>
                    <w:rPr>
                      <w:color w:val="auto"/>
                      <w:spacing w:val="-11"/>
                      <w:sz w:val="18"/>
                      <w:szCs w:val="18"/>
                    </w:rPr>
                    <w:t>‌：误服可致消化道灼伤、恶心、呕吐，严重者出现中枢神经系统抑制。‌皮肤</w:t>
                  </w:r>
                  <w:r>
                    <w:rPr>
                      <w:rFonts w:hint="eastAsia"/>
                      <w:color w:val="auto"/>
                      <w:spacing w:val="-11"/>
                      <w:sz w:val="18"/>
                      <w:szCs w:val="18"/>
                      <w:lang w:val="en-US" w:eastAsia="zh-CN"/>
                    </w:rPr>
                    <w:t>接触</w:t>
                  </w:r>
                  <w:r>
                    <w:rPr>
                      <w:color w:val="auto"/>
                      <w:spacing w:val="-11"/>
                      <w:sz w:val="18"/>
                      <w:szCs w:val="18"/>
                    </w:rPr>
                    <w:t>‌：接触后需立即清洗（可能引发轻度红斑</w:t>
                  </w:r>
                  <w:r>
                    <w:rPr>
                      <w:rFonts w:hint="eastAsia"/>
                      <w:color w:val="auto"/>
                      <w:spacing w:val="-11"/>
                      <w:sz w:val="18"/>
                      <w:szCs w:val="18"/>
                      <w:lang w:eastAsia="zh-CN"/>
                    </w:rPr>
                    <w:t>）</w:t>
                  </w:r>
                </w:p>
              </w:tc>
              <w:tc>
                <w:tcPr>
                  <w:tcW w:w="1152" w:type="pct"/>
                  <w:tcBorders>
                    <w:tl2br w:val="nil"/>
                    <w:tr2bl w:val="nil"/>
                  </w:tcBorders>
                  <w:noWrap w:val="0"/>
                  <w:vAlign w:val="center"/>
                </w:tcPr>
                <w:p w14:paraId="7EEEBF4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lang w:val="en-US" w:eastAsia="zh-CN"/>
                    </w:rPr>
                  </w:pPr>
                  <w:r>
                    <w:rPr>
                      <w:color w:val="auto"/>
                      <w:spacing w:val="-11"/>
                      <w:sz w:val="18"/>
                      <w:szCs w:val="18"/>
                      <w:lang w:val="en-US" w:eastAsia="zh-CN"/>
                    </w:rPr>
                    <w:t>小鼠腹腔注射</w:t>
                  </w:r>
                </w:p>
                <w:p w14:paraId="6106B11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color w:val="auto"/>
                      <w:spacing w:val="-11"/>
                      <w:sz w:val="18"/>
                      <w:szCs w:val="18"/>
                    </w:rPr>
                  </w:pPr>
                  <w:r>
                    <w:rPr>
                      <w:color w:val="auto"/>
                      <w:spacing w:val="-11"/>
                      <w:sz w:val="18"/>
                      <w:szCs w:val="18"/>
                      <w:lang w:val="en-US" w:eastAsia="zh-CN"/>
                    </w:rPr>
                    <w:t xml:space="preserve"> LD₅₀‌：</w:t>
                  </w:r>
                  <w:r>
                    <w:rPr>
                      <w:color w:val="auto"/>
                      <w:spacing w:val="-11"/>
                      <w:sz w:val="18"/>
                      <w:szCs w:val="18"/>
                    </w:rPr>
                    <w:t>‌75 mg/kg</w:t>
                  </w:r>
                </w:p>
              </w:tc>
            </w:tr>
            <w:tr w14:paraId="79FA7C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71" w:type="pct"/>
                  <w:tcBorders>
                    <w:tl2br w:val="nil"/>
                    <w:tr2bl w:val="nil"/>
                  </w:tcBorders>
                  <w:shd w:val="clear" w:color="auto" w:fill="auto"/>
                  <w:noWrap w:val="0"/>
                  <w:vAlign w:val="center"/>
                </w:tcPr>
                <w:p w14:paraId="32774A2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color w:val="auto"/>
                      <w:spacing w:val="-11"/>
                      <w:sz w:val="18"/>
                      <w:szCs w:val="18"/>
                      <w:lang w:val="en-US" w:eastAsia="zh-CN"/>
                    </w:rPr>
                  </w:pPr>
                  <w:r>
                    <w:rPr>
                      <w:rFonts w:hint="eastAsia"/>
                      <w:color w:val="auto"/>
                      <w:spacing w:val="-11"/>
                      <w:sz w:val="18"/>
                      <w:szCs w:val="18"/>
                      <w:lang w:val="en-US" w:eastAsia="zh-CN"/>
                    </w:rPr>
                    <w:t>42</w:t>
                  </w:r>
                </w:p>
              </w:tc>
              <w:tc>
                <w:tcPr>
                  <w:tcW w:w="778" w:type="pct"/>
                  <w:tcBorders>
                    <w:tl2br w:val="nil"/>
                    <w:tr2bl w:val="nil"/>
                  </w:tcBorders>
                  <w:noWrap w:val="0"/>
                  <w:vAlign w:val="center"/>
                </w:tcPr>
                <w:p w14:paraId="5602927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color w:val="auto"/>
                      <w:spacing w:val="-11"/>
                      <w:sz w:val="18"/>
                      <w:szCs w:val="18"/>
                      <w:lang w:val="en-US" w:eastAsia="zh-CN"/>
                    </w:rPr>
                  </w:pPr>
                  <w:r>
                    <w:rPr>
                      <w:rFonts w:hint="eastAsia"/>
                      <w:color w:val="auto"/>
                      <w:spacing w:val="-11"/>
                      <w:sz w:val="18"/>
                      <w:szCs w:val="18"/>
                      <w:lang w:val="en-US" w:eastAsia="zh-CN"/>
                    </w:rPr>
                    <w:t>实验废液</w:t>
                  </w:r>
                </w:p>
              </w:tc>
              <w:tc>
                <w:tcPr>
                  <w:tcW w:w="619" w:type="pct"/>
                  <w:tcBorders>
                    <w:tl2br w:val="nil"/>
                    <w:tr2bl w:val="nil"/>
                  </w:tcBorders>
                  <w:noWrap w:val="0"/>
                  <w:vAlign w:val="center"/>
                </w:tcPr>
                <w:p w14:paraId="0446EC7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eastAsia="zh-CN"/>
                    </w:rPr>
                  </w:pPr>
                  <w:r>
                    <w:rPr>
                      <w:color w:val="auto"/>
                      <w:spacing w:val="-11"/>
                      <w:sz w:val="18"/>
                      <w:szCs w:val="18"/>
                    </w:rPr>
                    <w:t>皮肤侵入、食入、吸入</w:t>
                  </w:r>
                </w:p>
              </w:tc>
              <w:tc>
                <w:tcPr>
                  <w:tcW w:w="2077" w:type="pct"/>
                  <w:tcBorders>
                    <w:tl2br w:val="nil"/>
                    <w:tr2bl w:val="nil"/>
                  </w:tcBorders>
                  <w:noWrap w:val="0"/>
                  <w:vAlign w:val="center"/>
                </w:tcPr>
                <w:p w14:paraId="43D6D6A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w:t>
                  </w:r>
                </w:p>
              </w:tc>
              <w:tc>
                <w:tcPr>
                  <w:tcW w:w="1152" w:type="pct"/>
                  <w:tcBorders>
                    <w:tl2br w:val="nil"/>
                    <w:tr2bl w:val="nil"/>
                  </w:tcBorders>
                  <w:noWrap w:val="0"/>
                  <w:vAlign w:val="center"/>
                </w:tcPr>
                <w:p w14:paraId="0A4ACDE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eastAsia="宋体"/>
                      <w:color w:val="auto"/>
                      <w:spacing w:val="-11"/>
                      <w:sz w:val="18"/>
                      <w:szCs w:val="18"/>
                      <w:lang w:val="en-US" w:eastAsia="zh-CN"/>
                    </w:rPr>
                  </w:pPr>
                  <w:r>
                    <w:rPr>
                      <w:rFonts w:hint="eastAsia"/>
                      <w:color w:val="auto"/>
                      <w:spacing w:val="-11"/>
                      <w:sz w:val="18"/>
                      <w:szCs w:val="18"/>
                      <w:lang w:val="en-US" w:eastAsia="zh-CN"/>
                    </w:rPr>
                    <w:t>/</w:t>
                  </w:r>
                </w:p>
              </w:tc>
            </w:tr>
          </w:tbl>
          <w:p w14:paraId="3CEB0740">
            <w:pPr>
              <w:spacing w:line="440" w:lineRule="exact"/>
              <w:ind w:firstLine="422" w:firstLineChars="200"/>
              <w:rPr>
                <w:rFonts w:hint="eastAsia" w:ascii="Times New Roman" w:hAnsi="Times New Roman" w:eastAsia="宋体" w:cs="Times New Roman"/>
                <w:b/>
                <w:bCs/>
                <w:color w:val="auto"/>
                <w:highlight w:val="none"/>
                <w:lang w:val="en-US" w:eastAsia="zh-CN"/>
              </w:rPr>
            </w:pPr>
            <w:r>
              <w:rPr>
                <w:rFonts w:hint="eastAsia"/>
                <w:b/>
                <w:bCs/>
                <w:color w:val="auto"/>
                <w:highlight w:val="none"/>
              </w:rPr>
              <w:t>7.</w:t>
            </w:r>
            <w:r>
              <w:rPr>
                <w:rFonts w:hint="eastAsia"/>
                <w:b/>
                <w:bCs/>
                <w:color w:val="auto"/>
                <w:highlight w:val="none"/>
                <w:lang w:val="en-US" w:eastAsia="zh-CN"/>
              </w:rPr>
              <w:t>2</w:t>
            </w:r>
            <w:r>
              <w:rPr>
                <w:rFonts w:hint="eastAsia" w:ascii="Times New Roman" w:hAnsi="Times New Roman" w:eastAsia="宋体" w:cs="Times New Roman"/>
                <w:b/>
                <w:bCs/>
                <w:color w:val="auto"/>
                <w:highlight w:val="none"/>
                <w:lang w:val="en-US" w:eastAsia="zh-CN"/>
              </w:rPr>
              <w:t>危险物质数量与临界量比值(Q)</w:t>
            </w:r>
          </w:p>
          <w:p w14:paraId="7CD32820">
            <w:pPr>
              <w:spacing w:line="440" w:lineRule="exact"/>
              <w:ind w:firstLine="420" w:firstLineChars="200"/>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rPr>
              <w:t>根据《建设项目环境风险评价技术导则》（HJ169-2018）附录B，本项目涉及的危险物质概况见下表。</w:t>
            </w:r>
          </w:p>
          <w:p w14:paraId="1689B70F">
            <w:pPr>
              <w:spacing w:line="460" w:lineRule="exact"/>
              <w:jc w:val="center"/>
              <w:rPr>
                <w:b/>
                <w:bCs/>
                <w:color w:val="auto"/>
              </w:rPr>
            </w:pPr>
            <w:r>
              <w:rPr>
                <w:rFonts w:hint="eastAsia"/>
                <w:b/>
                <w:bCs/>
                <w:color w:val="auto"/>
              </w:rPr>
              <w:t>表</w:t>
            </w:r>
            <w:r>
              <w:rPr>
                <w:rFonts w:hint="eastAsia"/>
                <w:b/>
                <w:bCs/>
                <w:color w:val="auto"/>
                <w:lang w:val="en-US" w:eastAsia="zh-CN"/>
              </w:rPr>
              <w:t>42</w:t>
            </w:r>
            <w:r>
              <w:rPr>
                <w:rFonts w:hint="eastAsia"/>
                <w:b/>
                <w:bCs/>
                <w:color w:val="auto"/>
              </w:rPr>
              <w:t xml:space="preserve"> 危险物质储存量及临界量</w:t>
            </w:r>
          </w:p>
          <w:tbl>
            <w:tblPr>
              <w:tblStyle w:val="26"/>
              <w:tblW w:w="4994" w:type="pct"/>
              <w:tblInd w:w="17"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03"/>
              <w:gridCol w:w="1656"/>
              <w:gridCol w:w="2270"/>
              <w:gridCol w:w="795"/>
              <w:gridCol w:w="1208"/>
              <w:gridCol w:w="1313"/>
            </w:tblGrid>
            <w:tr w14:paraId="39F5E0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945CAC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序号</w:t>
                  </w:r>
                </w:p>
              </w:tc>
              <w:tc>
                <w:tcPr>
                  <w:tcW w:w="1055" w:type="pct"/>
                  <w:vAlign w:val="center"/>
                </w:tcPr>
                <w:p w14:paraId="48D2345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物质名称</w:t>
                  </w:r>
                </w:p>
              </w:tc>
              <w:tc>
                <w:tcPr>
                  <w:tcW w:w="1446" w:type="pct"/>
                  <w:vAlign w:val="center"/>
                </w:tcPr>
                <w:p w14:paraId="6E050DA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最大储存量kg</w:t>
                  </w:r>
                </w:p>
              </w:tc>
              <w:tc>
                <w:tcPr>
                  <w:tcW w:w="506" w:type="pct"/>
                  <w:vAlign w:val="center"/>
                </w:tcPr>
                <w:p w14:paraId="5AA0BDF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临界量t</w:t>
                  </w:r>
                </w:p>
              </w:tc>
              <w:tc>
                <w:tcPr>
                  <w:tcW w:w="769" w:type="pct"/>
                  <w:vAlign w:val="center"/>
                </w:tcPr>
                <w:p w14:paraId="4DD6C42F">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CAS号</w:t>
                  </w:r>
                </w:p>
              </w:tc>
              <w:tc>
                <w:tcPr>
                  <w:tcW w:w="836" w:type="pct"/>
                  <w:vAlign w:val="center"/>
                </w:tcPr>
                <w:p w14:paraId="35AC75E9">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q/Q值</w:t>
                  </w:r>
                </w:p>
              </w:tc>
            </w:tr>
            <w:tr w14:paraId="056137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6A267326">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w:t>
                  </w:r>
                </w:p>
              </w:tc>
              <w:tc>
                <w:tcPr>
                  <w:tcW w:w="1055" w:type="pct"/>
                  <w:vAlign w:val="center"/>
                </w:tcPr>
                <w:p w14:paraId="01B821CD">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氢氧化钠</w:t>
                  </w:r>
                </w:p>
              </w:tc>
              <w:tc>
                <w:tcPr>
                  <w:tcW w:w="1446" w:type="pct"/>
                  <w:vAlign w:val="center"/>
                </w:tcPr>
                <w:p w14:paraId="7C21713D">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26</w:t>
                  </w:r>
                </w:p>
              </w:tc>
              <w:tc>
                <w:tcPr>
                  <w:tcW w:w="506" w:type="pct"/>
                  <w:vAlign w:val="center"/>
                </w:tcPr>
                <w:p w14:paraId="41FCB1B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52ABFA0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1310-73-2</w:t>
                  </w:r>
                </w:p>
              </w:tc>
              <w:tc>
                <w:tcPr>
                  <w:tcW w:w="836" w:type="pct"/>
                  <w:vAlign w:val="center"/>
                </w:tcPr>
                <w:p w14:paraId="4E87E47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0.00052</w:t>
                  </w:r>
                </w:p>
              </w:tc>
            </w:tr>
            <w:tr w14:paraId="27A784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4781D71">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w:t>
                  </w:r>
                </w:p>
              </w:tc>
              <w:tc>
                <w:tcPr>
                  <w:tcW w:w="1055" w:type="pct"/>
                  <w:shd w:val="clear" w:color="auto" w:fill="auto"/>
                  <w:vAlign w:val="center"/>
                </w:tcPr>
                <w:p w14:paraId="6A80B24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氢氧化钾</w:t>
                  </w:r>
                </w:p>
              </w:tc>
              <w:tc>
                <w:tcPr>
                  <w:tcW w:w="1446" w:type="pct"/>
                  <w:vAlign w:val="center"/>
                </w:tcPr>
                <w:p w14:paraId="32E874B3">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w:t>
                  </w:r>
                </w:p>
              </w:tc>
              <w:tc>
                <w:tcPr>
                  <w:tcW w:w="506" w:type="pct"/>
                  <w:vAlign w:val="center"/>
                </w:tcPr>
                <w:p w14:paraId="5BA083B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18ED13D3">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1310-58-3</w:t>
                  </w:r>
                </w:p>
              </w:tc>
              <w:tc>
                <w:tcPr>
                  <w:tcW w:w="836" w:type="pct"/>
                  <w:vAlign w:val="center"/>
                </w:tcPr>
                <w:p w14:paraId="7BCB9CC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0.0001</w:t>
                  </w:r>
                </w:p>
              </w:tc>
            </w:tr>
            <w:tr w14:paraId="35507C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D3AFEA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3</w:t>
                  </w:r>
                </w:p>
              </w:tc>
              <w:tc>
                <w:tcPr>
                  <w:tcW w:w="1055" w:type="pct"/>
                  <w:shd w:val="clear" w:color="auto" w:fill="auto"/>
                  <w:vAlign w:val="center"/>
                </w:tcPr>
                <w:p w14:paraId="5969D67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氢氧化铝</w:t>
                  </w:r>
                </w:p>
              </w:tc>
              <w:tc>
                <w:tcPr>
                  <w:tcW w:w="1446" w:type="pct"/>
                  <w:vAlign w:val="center"/>
                </w:tcPr>
                <w:p w14:paraId="4D0BDDE0">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w:t>
                  </w:r>
                </w:p>
              </w:tc>
              <w:tc>
                <w:tcPr>
                  <w:tcW w:w="506" w:type="pct"/>
                  <w:vAlign w:val="center"/>
                </w:tcPr>
                <w:p w14:paraId="22DAA71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7580C1C4">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21645-51-2</w:t>
                  </w:r>
                </w:p>
              </w:tc>
              <w:tc>
                <w:tcPr>
                  <w:tcW w:w="836" w:type="pct"/>
                  <w:vAlign w:val="center"/>
                </w:tcPr>
                <w:p w14:paraId="33832CE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0.0001</w:t>
                  </w:r>
                </w:p>
              </w:tc>
            </w:tr>
            <w:tr w14:paraId="215F2A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0990F489">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4</w:t>
                  </w:r>
                </w:p>
              </w:tc>
              <w:tc>
                <w:tcPr>
                  <w:tcW w:w="1055" w:type="pct"/>
                  <w:vAlign w:val="center"/>
                </w:tcPr>
                <w:p w14:paraId="2BB0107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氢氧化铵</w:t>
                  </w:r>
                </w:p>
              </w:tc>
              <w:tc>
                <w:tcPr>
                  <w:tcW w:w="1446" w:type="pct"/>
                  <w:vAlign w:val="center"/>
                </w:tcPr>
                <w:p w14:paraId="5055F19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2.5</w:t>
                  </w:r>
                </w:p>
              </w:tc>
              <w:tc>
                <w:tcPr>
                  <w:tcW w:w="506" w:type="pct"/>
                  <w:vAlign w:val="center"/>
                </w:tcPr>
                <w:p w14:paraId="4E3E060A">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10</w:t>
                  </w:r>
                </w:p>
              </w:tc>
              <w:tc>
                <w:tcPr>
                  <w:tcW w:w="769" w:type="pct"/>
                  <w:vAlign w:val="center"/>
                </w:tcPr>
                <w:p w14:paraId="654B50BF">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1336-21-6</w:t>
                  </w:r>
                </w:p>
              </w:tc>
              <w:tc>
                <w:tcPr>
                  <w:tcW w:w="836" w:type="pct"/>
                  <w:vAlign w:val="center"/>
                </w:tcPr>
                <w:p w14:paraId="3538104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0.00025</w:t>
                  </w:r>
                </w:p>
              </w:tc>
            </w:tr>
            <w:tr w14:paraId="5B70C7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32EB5C4B">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5</w:t>
                  </w:r>
                </w:p>
              </w:tc>
              <w:tc>
                <w:tcPr>
                  <w:tcW w:w="1055" w:type="pct"/>
                  <w:vAlign w:val="center"/>
                </w:tcPr>
                <w:p w14:paraId="3A5B3166">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氢氧化钡</w:t>
                  </w:r>
                </w:p>
              </w:tc>
              <w:tc>
                <w:tcPr>
                  <w:tcW w:w="1446" w:type="pct"/>
                  <w:vAlign w:val="center"/>
                </w:tcPr>
                <w:p w14:paraId="1F4D96F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1.5</w:t>
                  </w:r>
                </w:p>
              </w:tc>
              <w:tc>
                <w:tcPr>
                  <w:tcW w:w="506" w:type="pct"/>
                  <w:vAlign w:val="center"/>
                </w:tcPr>
                <w:p w14:paraId="726ECB24">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100</w:t>
                  </w:r>
                </w:p>
              </w:tc>
              <w:tc>
                <w:tcPr>
                  <w:tcW w:w="769" w:type="pct"/>
                  <w:vAlign w:val="center"/>
                </w:tcPr>
                <w:p w14:paraId="47373775">
                  <w:pPr>
                    <w:spacing w:line="320" w:lineRule="exact"/>
                    <w:jc w:val="center"/>
                    <w:rPr>
                      <w:rFonts w:hint="default"/>
                      <w:color w:val="auto"/>
                      <w:spacing w:val="-10"/>
                      <w:sz w:val="18"/>
                      <w:szCs w:val="18"/>
                      <w:lang w:val="en-US" w:eastAsia="zh-CN"/>
                    </w:rPr>
                  </w:pPr>
                  <w:r>
                    <w:rPr>
                      <w:rFonts w:hint="default"/>
                      <w:color w:val="auto"/>
                      <w:spacing w:val="-10"/>
                      <w:sz w:val="18"/>
                      <w:szCs w:val="18"/>
                      <w:lang w:val="en-US" w:eastAsia="zh-CN"/>
                    </w:rPr>
                    <w:t>17194-00-2</w:t>
                  </w:r>
                </w:p>
              </w:tc>
              <w:tc>
                <w:tcPr>
                  <w:tcW w:w="836" w:type="pct"/>
                  <w:vAlign w:val="center"/>
                </w:tcPr>
                <w:p w14:paraId="1F9C732F">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0.000015</w:t>
                  </w:r>
                </w:p>
              </w:tc>
            </w:tr>
            <w:tr w14:paraId="2FE813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060009F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6</w:t>
                  </w:r>
                </w:p>
              </w:tc>
              <w:tc>
                <w:tcPr>
                  <w:tcW w:w="1055" w:type="pct"/>
                  <w:shd w:val="clear" w:color="auto" w:fill="auto"/>
                  <w:vAlign w:val="center"/>
                </w:tcPr>
                <w:p w14:paraId="3A960871">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硝酸银</w:t>
                  </w:r>
                </w:p>
              </w:tc>
              <w:tc>
                <w:tcPr>
                  <w:tcW w:w="1446" w:type="pct"/>
                  <w:shd w:val="clear" w:color="auto" w:fill="auto"/>
                  <w:vAlign w:val="center"/>
                </w:tcPr>
                <w:p w14:paraId="410C9085">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1.91（折算成银）</w:t>
                  </w:r>
                </w:p>
              </w:tc>
              <w:tc>
                <w:tcPr>
                  <w:tcW w:w="506" w:type="pct"/>
                  <w:shd w:val="clear" w:color="auto" w:fill="auto"/>
                  <w:vAlign w:val="center"/>
                </w:tcPr>
                <w:p w14:paraId="751F82AE">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196A469E">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default"/>
                      <w:color w:val="auto"/>
                      <w:spacing w:val="-10"/>
                      <w:sz w:val="18"/>
                      <w:szCs w:val="18"/>
                      <w:lang w:val="en-US" w:eastAsia="zh-CN"/>
                    </w:rPr>
                    <w:t>7761-88-8</w:t>
                  </w:r>
                </w:p>
              </w:tc>
              <w:tc>
                <w:tcPr>
                  <w:tcW w:w="836" w:type="pct"/>
                  <w:shd w:val="clear" w:color="auto" w:fill="auto"/>
                  <w:vAlign w:val="center"/>
                </w:tcPr>
                <w:p w14:paraId="4368F22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0.00764</w:t>
                  </w:r>
                </w:p>
              </w:tc>
            </w:tr>
            <w:tr w14:paraId="3D011E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5E87D5AF">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w:t>
                  </w:r>
                </w:p>
              </w:tc>
              <w:tc>
                <w:tcPr>
                  <w:tcW w:w="1055" w:type="pct"/>
                  <w:shd w:val="clear" w:color="auto" w:fill="auto"/>
                  <w:vAlign w:val="center"/>
                </w:tcPr>
                <w:p w14:paraId="51855496">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亚硝酸钠</w:t>
                  </w:r>
                </w:p>
              </w:tc>
              <w:tc>
                <w:tcPr>
                  <w:tcW w:w="1446" w:type="pct"/>
                  <w:shd w:val="clear" w:color="auto" w:fill="auto"/>
                  <w:vAlign w:val="center"/>
                </w:tcPr>
                <w:p w14:paraId="7F6FAE1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1.5</w:t>
                  </w:r>
                </w:p>
              </w:tc>
              <w:tc>
                <w:tcPr>
                  <w:tcW w:w="506" w:type="pct"/>
                  <w:shd w:val="clear" w:color="auto" w:fill="auto"/>
                  <w:vAlign w:val="center"/>
                </w:tcPr>
                <w:p w14:paraId="224741D4">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50</w:t>
                  </w:r>
                </w:p>
              </w:tc>
              <w:tc>
                <w:tcPr>
                  <w:tcW w:w="769" w:type="pct"/>
                  <w:shd w:val="clear" w:color="auto" w:fill="auto"/>
                  <w:vAlign w:val="center"/>
                </w:tcPr>
                <w:p w14:paraId="50AB6794">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default"/>
                      <w:color w:val="auto"/>
                      <w:spacing w:val="-10"/>
                      <w:sz w:val="18"/>
                      <w:szCs w:val="18"/>
                      <w:lang w:val="en-US" w:eastAsia="zh-CN"/>
                    </w:rPr>
                    <w:t>7632-00-0</w:t>
                  </w:r>
                </w:p>
              </w:tc>
              <w:tc>
                <w:tcPr>
                  <w:tcW w:w="836" w:type="pct"/>
                  <w:shd w:val="clear" w:color="auto" w:fill="auto"/>
                  <w:vAlign w:val="center"/>
                </w:tcPr>
                <w:p w14:paraId="155491FE">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0.00003</w:t>
                  </w:r>
                </w:p>
              </w:tc>
            </w:tr>
            <w:tr w14:paraId="114322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1695B62">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8</w:t>
                  </w:r>
                </w:p>
              </w:tc>
              <w:tc>
                <w:tcPr>
                  <w:tcW w:w="1055" w:type="pct"/>
                  <w:shd w:val="clear" w:color="auto" w:fill="auto"/>
                  <w:vAlign w:val="center"/>
                </w:tcPr>
                <w:p w14:paraId="1BDAF3E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硫酸银</w:t>
                  </w:r>
                </w:p>
              </w:tc>
              <w:tc>
                <w:tcPr>
                  <w:tcW w:w="1446" w:type="pct"/>
                  <w:shd w:val="clear" w:color="auto" w:fill="auto"/>
                  <w:vAlign w:val="center"/>
                </w:tcPr>
                <w:p w14:paraId="61C5065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0.24（折算成银）</w:t>
                  </w:r>
                </w:p>
              </w:tc>
              <w:tc>
                <w:tcPr>
                  <w:tcW w:w="506" w:type="pct"/>
                  <w:shd w:val="clear" w:color="auto" w:fill="auto"/>
                  <w:vAlign w:val="center"/>
                </w:tcPr>
                <w:p w14:paraId="231D80D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33CD2B8C">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default"/>
                      <w:color w:val="auto"/>
                      <w:spacing w:val="-10"/>
                      <w:sz w:val="18"/>
                      <w:szCs w:val="18"/>
                      <w:lang w:val="en-US" w:eastAsia="zh-CN"/>
                    </w:rPr>
                    <w:t>10294-26-5</w:t>
                  </w:r>
                </w:p>
              </w:tc>
              <w:tc>
                <w:tcPr>
                  <w:tcW w:w="836" w:type="pct"/>
                  <w:vAlign w:val="center"/>
                </w:tcPr>
                <w:p w14:paraId="4089024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0.00096</w:t>
                  </w:r>
                </w:p>
              </w:tc>
            </w:tr>
            <w:tr w14:paraId="793BD2B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1D86AC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9</w:t>
                  </w:r>
                </w:p>
              </w:tc>
              <w:tc>
                <w:tcPr>
                  <w:tcW w:w="1055" w:type="pct"/>
                  <w:vAlign w:val="center"/>
                </w:tcPr>
                <w:p w14:paraId="49DCD22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硫酸汞</w:t>
                  </w:r>
                </w:p>
              </w:tc>
              <w:tc>
                <w:tcPr>
                  <w:tcW w:w="1446" w:type="pct"/>
                  <w:vAlign w:val="center"/>
                </w:tcPr>
                <w:p w14:paraId="15C08ED5">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3.5</w:t>
                  </w:r>
                </w:p>
              </w:tc>
              <w:tc>
                <w:tcPr>
                  <w:tcW w:w="506" w:type="pct"/>
                  <w:vAlign w:val="center"/>
                </w:tcPr>
                <w:p w14:paraId="7955F3A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7F72EDF6">
                  <w:pPr>
                    <w:spacing w:line="320" w:lineRule="exact"/>
                    <w:jc w:val="center"/>
                    <w:rPr>
                      <w:rFonts w:hint="eastAsia"/>
                      <w:color w:val="auto"/>
                      <w:spacing w:val="-10"/>
                      <w:sz w:val="18"/>
                      <w:szCs w:val="18"/>
                      <w:lang w:val="en-US" w:eastAsia="zh-CN"/>
                    </w:rPr>
                  </w:pPr>
                  <w:r>
                    <w:rPr>
                      <w:rFonts w:hint="default"/>
                      <w:color w:val="auto"/>
                      <w:spacing w:val="-10"/>
                      <w:sz w:val="18"/>
                      <w:szCs w:val="18"/>
                      <w:lang w:val="en-US" w:eastAsia="zh-CN"/>
                    </w:rPr>
                    <w:t>7783-35-9</w:t>
                  </w:r>
                </w:p>
              </w:tc>
              <w:tc>
                <w:tcPr>
                  <w:tcW w:w="836" w:type="pct"/>
                  <w:vAlign w:val="center"/>
                </w:tcPr>
                <w:p w14:paraId="055C0B4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0.00007</w:t>
                  </w:r>
                </w:p>
              </w:tc>
            </w:tr>
            <w:tr w14:paraId="1E1630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27E82F4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10</w:t>
                  </w:r>
                </w:p>
              </w:tc>
              <w:tc>
                <w:tcPr>
                  <w:tcW w:w="1055" w:type="pct"/>
                  <w:shd w:val="clear" w:color="auto" w:fill="auto"/>
                  <w:vAlign w:val="center"/>
                </w:tcPr>
                <w:p w14:paraId="4D851A47">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硫酸锰（无水二价）</w:t>
                  </w:r>
                </w:p>
              </w:tc>
              <w:tc>
                <w:tcPr>
                  <w:tcW w:w="1446" w:type="pct"/>
                  <w:shd w:val="clear" w:color="auto" w:fill="auto"/>
                  <w:vAlign w:val="center"/>
                </w:tcPr>
                <w:p w14:paraId="0F1148D1">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0.11（折算成锰）</w:t>
                  </w:r>
                </w:p>
              </w:tc>
              <w:tc>
                <w:tcPr>
                  <w:tcW w:w="506" w:type="pct"/>
                  <w:shd w:val="clear" w:color="auto" w:fill="auto"/>
                  <w:vAlign w:val="center"/>
                </w:tcPr>
                <w:p w14:paraId="4D09E1D2">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2B9F389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7785-87-7</w:t>
                  </w:r>
                </w:p>
              </w:tc>
              <w:tc>
                <w:tcPr>
                  <w:tcW w:w="836" w:type="pct"/>
                  <w:vAlign w:val="center"/>
                </w:tcPr>
                <w:p w14:paraId="63FB771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0.00044</w:t>
                  </w:r>
                </w:p>
              </w:tc>
            </w:tr>
            <w:tr w14:paraId="6C3DEF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3A7CA4F2">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11</w:t>
                  </w:r>
                </w:p>
              </w:tc>
              <w:tc>
                <w:tcPr>
                  <w:tcW w:w="1055" w:type="pct"/>
                  <w:shd w:val="clear" w:color="auto" w:fill="auto"/>
                  <w:vAlign w:val="center"/>
                </w:tcPr>
                <w:p w14:paraId="54B504C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乙酸铅</w:t>
                  </w:r>
                </w:p>
              </w:tc>
              <w:tc>
                <w:tcPr>
                  <w:tcW w:w="1446" w:type="pct"/>
                  <w:shd w:val="clear" w:color="auto" w:fill="auto"/>
                  <w:vAlign w:val="center"/>
                </w:tcPr>
                <w:p w14:paraId="1572E378">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w:t>
                  </w:r>
                </w:p>
              </w:tc>
              <w:tc>
                <w:tcPr>
                  <w:tcW w:w="506" w:type="pct"/>
                  <w:shd w:val="clear" w:color="auto" w:fill="auto"/>
                  <w:vAlign w:val="center"/>
                </w:tcPr>
                <w:p w14:paraId="13C10FD0">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shd w:val="clear" w:color="auto" w:fill="auto"/>
                  <w:vAlign w:val="center"/>
                </w:tcPr>
                <w:p w14:paraId="66C03F4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301-04-2</w:t>
                  </w:r>
                </w:p>
              </w:tc>
              <w:tc>
                <w:tcPr>
                  <w:tcW w:w="836" w:type="pct"/>
                  <w:vAlign w:val="center"/>
                </w:tcPr>
                <w:p w14:paraId="63F2F538">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0.00002</w:t>
                  </w:r>
                </w:p>
              </w:tc>
            </w:tr>
            <w:tr w14:paraId="40016F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5F452F0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12</w:t>
                  </w:r>
                </w:p>
              </w:tc>
              <w:tc>
                <w:tcPr>
                  <w:tcW w:w="1055" w:type="pct"/>
                  <w:shd w:val="clear" w:color="auto" w:fill="auto"/>
                  <w:vAlign w:val="center"/>
                </w:tcPr>
                <w:p w14:paraId="3268249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盐酸羟胺</w:t>
                  </w:r>
                </w:p>
              </w:tc>
              <w:tc>
                <w:tcPr>
                  <w:tcW w:w="1446" w:type="pct"/>
                  <w:shd w:val="clear" w:color="auto" w:fill="auto"/>
                  <w:vAlign w:val="center"/>
                </w:tcPr>
                <w:p w14:paraId="36EEF887">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0.4</w:t>
                  </w:r>
                </w:p>
              </w:tc>
              <w:tc>
                <w:tcPr>
                  <w:tcW w:w="506" w:type="pct"/>
                  <w:shd w:val="clear" w:color="auto" w:fill="auto"/>
                  <w:vAlign w:val="center"/>
                </w:tcPr>
                <w:p w14:paraId="58CEFC7F">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100</w:t>
                  </w:r>
                </w:p>
              </w:tc>
              <w:tc>
                <w:tcPr>
                  <w:tcW w:w="769" w:type="pct"/>
                  <w:shd w:val="clear" w:color="auto" w:fill="auto"/>
                  <w:vAlign w:val="center"/>
                </w:tcPr>
                <w:p w14:paraId="739E9A5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5470-11-1</w:t>
                  </w:r>
                </w:p>
              </w:tc>
              <w:tc>
                <w:tcPr>
                  <w:tcW w:w="836" w:type="pct"/>
                  <w:vAlign w:val="center"/>
                </w:tcPr>
                <w:p w14:paraId="1A5D236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0.000004</w:t>
                  </w:r>
                </w:p>
              </w:tc>
            </w:tr>
            <w:tr w14:paraId="42D586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C3790B2">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13</w:t>
                  </w:r>
                </w:p>
              </w:tc>
              <w:tc>
                <w:tcPr>
                  <w:tcW w:w="1055" w:type="pct"/>
                  <w:shd w:val="clear" w:color="auto" w:fill="auto"/>
                  <w:vAlign w:val="center"/>
                </w:tcPr>
                <w:p w14:paraId="553F6B2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硼氢化钾</w:t>
                  </w:r>
                </w:p>
              </w:tc>
              <w:tc>
                <w:tcPr>
                  <w:tcW w:w="1446" w:type="pct"/>
                  <w:vAlign w:val="center"/>
                </w:tcPr>
                <w:p w14:paraId="37AB555C">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1.5</w:t>
                  </w:r>
                </w:p>
              </w:tc>
              <w:tc>
                <w:tcPr>
                  <w:tcW w:w="506" w:type="pct"/>
                  <w:vAlign w:val="center"/>
                </w:tcPr>
                <w:p w14:paraId="682B246F">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57FDF1B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13762-51-1</w:t>
                  </w:r>
                </w:p>
              </w:tc>
              <w:tc>
                <w:tcPr>
                  <w:tcW w:w="836" w:type="pct"/>
                  <w:vAlign w:val="center"/>
                </w:tcPr>
                <w:p w14:paraId="49C3F02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0.00003</w:t>
                  </w:r>
                </w:p>
              </w:tc>
            </w:tr>
            <w:tr w14:paraId="7D5E5D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09069F58">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14</w:t>
                  </w:r>
                </w:p>
              </w:tc>
              <w:tc>
                <w:tcPr>
                  <w:tcW w:w="1055" w:type="pct"/>
                  <w:shd w:val="clear" w:color="auto" w:fill="auto"/>
                  <w:vAlign w:val="center"/>
                </w:tcPr>
                <w:p w14:paraId="4860FE81">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硫脲</w:t>
                  </w:r>
                </w:p>
              </w:tc>
              <w:tc>
                <w:tcPr>
                  <w:tcW w:w="1446" w:type="pct"/>
                  <w:vAlign w:val="center"/>
                </w:tcPr>
                <w:p w14:paraId="0A77D8E3">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9</w:t>
                  </w:r>
                </w:p>
              </w:tc>
              <w:tc>
                <w:tcPr>
                  <w:tcW w:w="506" w:type="pct"/>
                  <w:vAlign w:val="center"/>
                </w:tcPr>
                <w:p w14:paraId="6500AC0E">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50</w:t>
                  </w:r>
                </w:p>
              </w:tc>
              <w:tc>
                <w:tcPr>
                  <w:tcW w:w="769" w:type="pct"/>
                  <w:vAlign w:val="center"/>
                </w:tcPr>
                <w:p w14:paraId="1812CEE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62-56-6</w:t>
                  </w:r>
                </w:p>
              </w:tc>
              <w:tc>
                <w:tcPr>
                  <w:tcW w:w="836" w:type="pct"/>
                  <w:vAlign w:val="center"/>
                </w:tcPr>
                <w:p w14:paraId="3E5932B9">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0.00018</w:t>
                  </w:r>
                </w:p>
              </w:tc>
            </w:tr>
            <w:tr w14:paraId="6DAB56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5E0CBAC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15</w:t>
                  </w:r>
                </w:p>
              </w:tc>
              <w:tc>
                <w:tcPr>
                  <w:tcW w:w="1055" w:type="pct"/>
                  <w:shd w:val="clear" w:color="auto" w:fill="auto"/>
                  <w:vAlign w:val="center"/>
                </w:tcPr>
                <w:p w14:paraId="325464F5">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高锰酸钾</w:t>
                  </w:r>
                </w:p>
              </w:tc>
              <w:tc>
                <w:tcPr>
                  <w:tcW w:w="1446" w:type="pct"/>
                  <w:shd w:val="clear" w:color="auto" w:fill="auto"/>
                  <w:vAlign w:val="center"/>
                </w:tcPr>
                <w:p w14:paraId="03258C2F">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3.48（折算成锰）</w:t>
                  </w:r>
                </w:p>
              </w:tc>
              <w:tc>
                <w:tcPr>
                  <w:tcW w:w="506" w:type="pct"/>
                  <w:shd w:val="clear" w:color="auto" w:fill="auto"/>
                  <w:vAlign w:val="center"/>
                </w:tcPr>
                <w:p w14:paraId="19628DA9">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0.25</w:t>
                  </w:r>
                </w:p>
              </w:tc>
              <w:tc>
                <w:tcPr>
                  <w:tcW w:w="769" w:type="pct"/>
                  <w:shd w:val="clear" w:color="auto" w:fill="auto"/>
                  <w:vAlign w:val="center"/>
                </w:tcPr>
                <w:p w14:paraId="2F9381FF">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7722-64-7</w:t>
                  </w:r>
                </w:p>
              </w:tc>
              <w:tc>
                <w:tcPr>
                  <w:tcW w:w="836" w:type="pct"/>
                  <w:vAlign w:val="center"/>
                </w:tcPr>
                <w:p w14:paraId="006045CF">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0.01392</w:t>
                  </w:r>
                </w:p>
              </w:tc>
            </w:tr>
            <w:tr w14:paraId="5D0473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B2E1A10">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16</w:t>
                  </w:r>
                </w:p>
              </w:tc>
              <w:tc>
                <w:tcPr>
                  <w:tcW w:w="1055" w:type="pct"/>
                  <w:shd w:val="clear" w:color="auto" w:fill="auto"/>
                  <w:vAlign w:val="center"/>
                </w:tcPr>
                <w:p w14:paraId="0229AA48">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default" w:ascii="Times New Roman" w:hAnsi="Times New Roman" w:eastAsia="宋体" w:cs="Times New Roman"/>
                      <w:color w:val="auto"/>
                      <w:spacing w:val="-10"/>
                      <w:sz w:val="18"/>
                      <w:szCs w:val="18"/>
                      <w:highlight w:val="none"/>
                      <w:lang w:val="en-US" w:eastAsia="zh-CN"/>
                    </w:rPr>
                    <w:t>铬酸钾</w:t>
                  </w:r>
                </w:p>
              </w:tc>
              <w:tc>
                <w:tcPr>
                  <w:tcW w:w="1446" w:type="pct"/>
                  <w:shd w:val="clear" w:color="auto" w:fill="auto"/>
                  <w:vAlign w:val="center"/>
                </w:tcPr>
                <w:p w14:paraId="2F739626">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1.5</w:t>
                  </w:r>
                </w:p>
              </w:tc>
              <w:tc>
                <w:tcPr>
                  <w:tcW w:w="506" w:type="pct"/>
                  <w:shd w:val="clear" w:color="auto" w:fill="auto"/>
                  <w:vAlign w:val="center"/>
                </w:tcPr>
                <w:p w14:paraId="39EB1A54">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271FF60D">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7789-00-6</w:t>
                  </w:r>
                </w:p>
              </w:tc>
              <w:tc>
                <w:tcPr>
                  <w:tcW w:w="836" w:type="pct"/>
                  <w:vAlign w:val="center"/>
                </w:tcPr>
                <w:p w14:paraId="2DEC6E39">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0.006</w:t>
                  </w:r>
                </w:p>
              </w:tc>
            </w:tr>
            <w:tr w14:paraId="10BEBE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0A4911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17</w:t>
                  </w:r>
                </w:p>
              </w:tc>
              <w:tc>
                <w:tcPr>
                  <w:tcW w:w="1055" w:type="pct"/>
                  <w:shd w:val="clear" w:color="auto" w:fill="auto"/>
                  <w:vAlign w:val="center"/>
                </w:tcPr>
                <w:p w14:paraId="27A2B76E">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重铬酸钾</w:t>
                  </w:r>
                </w:p>
              </w:tc>
              <w:tc>
                <w:tcPr>
                  <w:tcW w:w="1446" w:type="pct"/>
                  <w:shd w:val="clear" w:color="auto" w:fill="auto"/>
                  <w:vAlign w:val="center"/>
                </w:tcPr>
                <w:p w14:paraId="07A4D10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5.3</w:t>
                  </w:r>
                  <w:r>
                    <w:rPr>
                      <w:rFonts w:hint="eastAsia"/>
                      <w:color w:val="auto"/>
                      <w:spacing w:val="-10"/>
                      <w:sz w:val="18"/>
                      <w:szCs w:val="18"/>
                      <w:lang w:val="en-US" w:eastAsia="zh-CN"/>
                    </w:rPr>
                    <w:t>（折算成</w:t>
                  </w:r>
                  <w:r>
                    <w:rPr>
                      <w:rFonts w:hint="eastAsia" w:ascii="Times New Roman" w:hAnsi="Times New Roman" w:eastAsia="宋体" w:cs="Times New Roman"/>
                      <w:color w:val="auto"/>
                      <w:spacing w:val="-10"/>
                      <w:sz w:val="18"/>
                      <w:szCs w:val="18"/>
                      <w:highlight w:val="none"/>
                      <w:lang w:val="en-US" w:eastAsia="zh-CN"/>
                    </w:rPr>
                    <w:t>铬</w:t>
                  </w:r>
                  <w:r>
                    <w:rPr>
                      <w:rFonts w:hint="eastAsia"/>
                      <w:color w:val="auto"/>
                      <w:spacing w:val="-10"/>
                      <w:sz w:val="18"/>
                      <w:szCs w:val="18"/>
                      <w:lang w:val="en-US" w:eastAsia="zh-CN"/>
                    </w:rPr>
                    <w:t>）</w:t>
                  </w:r>
                </w:p>
              </w:tc>
              <w:tc>
                <w:tcPr>
                  <w:tcW w:w="506" w:type="pct"/>
                  <w:shd w:val="clear" w:color="auto" w:fill="auto"/>
                  <w:vAlign w:val="center"/>
                </w:tcPr>
                <w:p w14:paraId="3E914B9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5BF38E96">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7778-50-9</w:t>
                  </w:r>
                </w:p>
              </w:tc>
              <w:tc>
                <w:tcPr>
                  <w:tcW w:w="836" w:type="pct"/>
                  <w:vAlign w:val="center"/>
                </w:tcPr>
                <w:p w14:paraId="34B3E0F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0.0212</w:t>
                  </w:r>
                </w:p>
              </w:tc>
            </w:tr>
            <w:tr w14:paraId="164C47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9CF4D5A">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18</w:t>
                  </w:r>
                </w:p>
              </w:tc>
              <w:tc>
                <w:tcPr>
                  <w:tcW w:w="1055" w:type="pct"/>
                  <w:shd w:val="clear" w:color="auto" w:fill="auto"/>
                  <w:vAlign w:val="center"/>
                </w:tcPr>
                <w:p w14:paraId="54D425E1">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二氯化汞</w:t>
                  </w:r>
                </w:p>
              </w:tc>
              <w:tc>
                <w:tcPr>
                  <w:tcW w:w="1446" w:type="pct"/>
                  <w:shd w:val="clear" w:color="auto" w:fill="auto"/>
                  <w:vAlign w:val="center"/>
                </w:tcPr>
                <w:p w14:paraId="06096394">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0.3</w:t>
                  </w:r>
                </w:p>
              </w:tc>
              <w:tc>
                <w:tcPr>
                  <w:tcW w:w="506" w:type="pct"/>
                  <w:shd w:val="clear" w:color="auto" w:fill="auto"/>
                  <w:vAlign w:val="center"/>
                </w:tcPr>
                <w:p w14:paraId="0C3CB281">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w:t>
                  </w:r>
                </w:p>
              </w:tc>
              <w:tc>
                <w:tcPr>
                  <w:tcW w:w="769" w:type="pct"/>
                  <w:shd w:val="clear" w:color="auto" w:fill="auto"/>
                  <w:vAlign w:val="center"/>
                </w:tcPr>
                <w:p w14:paraId="0AF8E63D">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7487-94-7</w:t>
                  </w:r>
                </w:p>
              </w:tc>
              <w:tc>
                <w:tcPr>
                  <w:tcW w:w="836" w:type="pct"/>
                  <w:vAlign w:val="center"/>
                </w:tcPr>
                <w:p w14:paraId="57AF2292">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0.00006</w:t>
                  </w:r>
                </w:p>
              </w:tc>
            </w:tr>
            <w:tr w14:paraId="2FDD12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FBC9C8B">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19</w:t>
                  </w:r>
                </w:p>
              </w:tc>
              <w:tc>
                <w:tcPr>
                  <w:tcW w:w="1055" w:type="pct"/>
                  <w:shd w:val="clear" w:color="auto" w:fill="auto"/>
                  <w:vAlign w:val="center"/>
                </w:tcPr>
                <w:p w14:paraId="6BDC109F">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钼酸铵</w:t>
                  </w:r>
                </w:p>
              </w:tc>
              <w:tc>
                <w:tcPr>
                  <w:tcW w:w="1446" w:type="pct"/>
                  <w:shd w:val="clear" w:color="auto" w:fill="auto"/>
                  <w:vAlign w:val="center"/>
                </w:tcPr>
                <w:p w14:paraId="6148C41F">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1.22（折算成钼）</w:t>
                  </w:r>
                </w:p>
              </w:tc>
              <w:tc>
                <w:tcPr>
                  <w:tcW w:w="506" w:type="pct"/>
                  <w:shd w:val="clear" w:color="auto" w:fill="auto"/>
                  <w:vAlign w:val="center"/>
                </w:tcPr>
                <w:p w14:paraId="22BEDA18">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4F3C8C1E">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13106-76-8</w:t>
                  </w:r>
                </w:p>
              </w:tc>
              <w:tc>
                <w:tcPr>
                  <w:tcW w:w="836" w:type="pct"/>
                  <w:vAlign w:val="center"/>
                </w:tcPr>
                <w:p w14:paraId="378F653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0.00488</w:t>
                  </w:r>
                </w:p>
              </w:tc>
            </w:tr>
            <w:tr w14:paraId="1E8B29F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4F743ED6">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20</w:t>
                  </w:r>
                </w:p>
              </w:tc>
              <w:tc>
                <w:tcPr>
                  <w:tcW w:w="1055" w:type="pct"/>
                  <w:shd w:val="clear" w:color="auto" w:fill="auto"/>
                  <w:vAlign w:val="center"/>
                </w:tcPr>
                <w:p w14:paraId="09A1DE94">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酒石酸锑钾</w:t>
                  </w:r>
                </w:p>
              </w:tc>
              <w:tc>
                <w:tcPr>
                  <w:tcW w:w="1446" w:type="pct"/>
                  <w:shd w:val="clear" w:color="auto" w:fill="auto"/>
                  <w:vAlign w:val="center"/>
                </w:tcPr>
                <w:p w14:paraId="14686E58">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0.99（折算成锑）</w:t>
                  </w:r>
                </w:p>
              </w:tc>
              <w:tc>
                <w:tcPr>
                  <w:tcW w:w="506" w:type="pct"/>
                  <w:shd w:val="clear" w:color="auto" w:fill="auto"/>
                  <w:vAlign w:val="center"/>
                </w:tcPr>
                <w:p w14:paraId="54294E80">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0.25</w:t>
                  </w:r>
                </w:p>
              </w:tc>
              <w:tc>
                <w:tcPr>
                  <w:tcW w:w="769" w:type="pct"/>
                  <w:shd w:val="clear" w:color="auto" w:fill="auto"/>
                  <w:vAlign w:val="center"/>
                </w:tcPr>
                <w:p w14:paraId="16DF866A">
                  <w:pPr>
                    <w:spacing w:line="320" w:lineRule="exact"/>
                    <w:jc w:val="center"/>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28300-74-5</w:t>
                  </w:r>
                </w:p>
              </w:tc>
              <w:tc>
                <w:tcPr>
                  <w:tcW w:w="836" w:type="pct"/>
                  <w:vAlign w:val="center"/>
                </w:tcPr>
                <w:p w14:paraId="4AB907F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0.00396</w:t>
                  </w:r>
                </w:p>
              </w:tc>
            </w:tr>
            <w:tr w14:paraId="4D8875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4915D46">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21</w:t>
                  </w:r>
                </w:p>
              </w:tc>
              <w:tc>
                <w:tcPr>
                  <w:tcW w:w="1055" w:type="pct"/>
                  <w:shd w:val="clear" w:color="auto" w:fill="auto"/>
                  <w:vAlign w:val="center"/>
                </w:tcPr>
                <w:p w14:paraId="5ABD9A25">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碘</w:t>
                  </w:r>
                </w:p>
              </w:tc>
              <w:tc>
                <w:tcPr>
                  <w:tcW w:w="1446" w:type="pct"/>
                  <w:shd w:val="clear" w:color="auto" w:fill="auto"/>
                  <w:vAlign w:val="center"/>
                </w:tcPr>
                <w:p w14:paraId="13B4C0D6">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0.75</w:t>
                  </w:r>
                </w:p>
              </w:tc>
              <w:tc>
                <w:tcPr>
                  <w:tcW w:w="506" w:type="pct"/>
                  <w:shd w:val="clear" w:color="auto" w:fill="auto"/>
                  <w:vAlign w:val="center"/>
                </w:tcPr>
                <w:p w14:paraId="5DCD322C">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shd w:val="clear" w:color="auto" w:fill="auto"/>
                  <w:vAlign w:val="center"/>
                </w:tcPr>
                <w:p w14:paraId="5BF1B1E7">
                  <w:pPr>
                    <w:spacing w:line="320" w:lineRule="exact"/>
                    <w:jc w:val="center"/>
                    <w:rPr>
                      <w:rFonts w:hint="default"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7553-56-2</w:t>
                  </w:r>
                </w:p>
              </w:tc>
              <w:tc>
                <w:tcPr>
                  <w:tcW w:w="836" w:type="pct"/>
                  <w:vAlign w:val="center"/>
                </w:tcPr>
                <w:p w14:paraId="171E82CC">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0.000015</w:t>
                  </w:r>
                </w:p>
              </w:tc>
            </w:tr>
            <w:tr w14:paraId="51C161D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F3BD912">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22</w:t>
                  </w:r>
                </w:p>
              </w:tc>
              <w:tc>
                <w:tcPr>
                  <w:tcW w:w="1055" w:type="pct"/>
                  <w:vAlign w:val="center"/>
                </w:tcPr>
                <w:p w14:paraId="7A1C0C90">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盐酸</w:t>
                  </w:r>
                </w:p>
              </w:tc>
              <w:tc>
                <w:tcPr>
                  <w:tcW w:w="1446" w:type="pct"/>
                  <w:vAlign w:val="center"/>
                </w:tcPr>
                <w:p w14:paraId="45A2AED5">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59</w:t>
                  </w:r>
                </w:p>
              </w:tc>
              <w:tc>
                <w:tcPr>
                  <w:tcW w:w="506" w:type="pct"/>
                  <w:shd w:val="clear" w:color="auto" w:fill="auto"/>
                  <w:vAlign w:val="center"/>
                </w:tcPr>
                <w:p w14:paraId="6C39AB3B">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7.5</w:t>
                  </w:r>
                </w:p>
              </w:tc>
              <w:tc>
                <w:tcPr>
                  <w:tcW w:w="769" w:type="pct"/>
                  <w:shd w:val="clear" w:color="auto" w:fill="auto"/>
                  <w:vAlign w:val="center"/>
                </w:tcPr>
                <w:p w14:paraId="73DB415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7647-01-0</w:t>
                  </w:r>
                </w:p>
              </w:tc>
              <w:tc>
                <w:tcPr>
                  <w:tcW w:w="836" w:type="pct"/>
                  <w:vAlign w:val="center"/>
                </w:tcPr>
                <w:p w14:paraId="3B21C306">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0.007866667</w:t>
                  </w:r>
                </w:p>
              </w:tc>
            </w:tr>
            <w:tr w14:paraId="56053C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B86AA56">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23</w:t>
                  </w:r>
                </w:p>
              </w:tc>
              <w:tc>
                <w:tcPr>
                  <w:tcW w:w="1055" w:type="pct"/>
                  <w:vAlign w:val="center"/>
                </w:tcPr>
                <w:p w14:paraId="6A93BC24">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磷酸</w:t>
                  </w:r>
                </w:p>
              </w:tc>
              <w:tc>
                <w:tcPr>
                  <w:tcW w:w="1446" w:type="pct"/>
                  <w:vAlign w:val="center"/>
                </w:tcPr>
                <w:p w14:paraId="70D1AD40">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9.37</w:t>
                  </w:r>
                </w:p>
              </w:tc>
              <w:tc>
                <w:tcPr>
                  <w:tcW w:w="506" w:type="pct"/>
                  <w:vAlign w:val="center"/>
                </w:tcPr>
                <w:p w14:paraId="37FF6960">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w:t>
                  </w:r>
                </w:p>
              </w:tc>
              <w:tc>
                <w:tcPr>
                  <w:tcW w:w="769" w:type="pct"/>
                  <w:vAlign w:val="center"/>
                </w:tcPr>
                <w:p w14:paraId="7E9B3E7E">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7664-38-2</w:t>
                  </w:r>
                </w:p>
              </w:tc>
              <w:tc>
                <w:tcPr>
                  <w:tcW w:w="836" w:type="pct"/>
                  <w:vAlign w:val="center"/>
                </w:tcPr>
                <w:p w14:paraId="4619953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0.000937</w:t>
                  </w:r>
                </w:p>
              </w:tc>
            </w:tr>
            <w:tr w14:paraId="79F249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38" w:hRule="atLeast"/>
              </w:trPr>
              <w:tc>
                <w:tcPr>
                  <w:tcW w:w="384" w:type="pct"/>
                  <w:shd w:val="clear" w:color="auto" w:fill="auto"/>
                  <w:vAlign w:val="center"/>
                </w:tcPr>
                <w:p w14:paraId="3F17416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24</w:t>
                  </w:r>
                </w:p>
              </w:tc>
              <w:tc>
                <w:tcPr>
                  <w:tcW w:w="1055" w:type="pct"/>
                  <w:vAlign w:val="center"/>
                </w:tcPr>
                <w:p w14:paraId="3519ACBE">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硫酸</w:t>
                  </w:r>
                </w:p>
              </w:tc>
              <w:tc>
                <w:tcPr>
                  <w:tcW w:w="1446" w:type="pct"/>
                  <w:vAlign w:val="center"/>
                </w:tcPr>
                <w:p w14:paraId="73A61E12">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46</w:t>
                  </w:r>
                </w:p>
              </w:tc>
              <w:tc>
                <w:tcPr>
                  <w:tcW w:w="506" w:type="pct"/>
                  <w:vAlign w:val="center"/>
                </w:tcPr>
                <w:p w14:paraId="6D0B1EFC">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w:t>
                  </w:r>
                </w:p>
              </w:tc>
              <w:tc>
                <w:tcPr>
                  <w:tcW w:w="769" w:type="pct"/>
                  <w:vAlign w:val="center"/>
                </w:tcPr>
                <w:p w14:paraId="55915160">
                  <w:pPr>
                    <w:spacing w:line="320" w:lineRule="exact"/>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7664-93-9</w:t>
                  </w:r>
                </w:p>
              </w:tc>
              <w:tc>
                <w:tcPr>
                  <w:tcW w:w="836" w:type="pct"/>
                  <w:vAlign w:val="center"/>
                </w:tcPr>
                <w:p w14:paraId="1462FF8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0.0046</w:t>
                  </w:r>
                </w:p>
              </w:tc>
            </w:tr>
            <w:tr w14:paraId="09A645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8" w:hRule="atLeast"/>
              </w:trPr>
              <w:tc>
                <w:tcPr>
                  <w:tcW w:w="384" w:type="pct"/>
                  <w:shd w:val="clear" w:color="auto" w:fill="auto"/>
                  <w:vAlign w:val="center"/>
                </w:tcPr>
                <w:p w14:paraId="07164BD3">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25</w:t>
                  </w:r>
                </w:p>
              </w:tc>
              <w:tc>
                <w:tcPr>
                  <w:tcW w:w="1055" w:type="pct"/>
                  <w:vAlign w:val="center"/>
                </w:tcPr>
                <w:p w14:paraId="4BC550D2">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汞</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1446" w:type="pct"/>
                  <w:vAlign w:val="center"/>
                </w:tcPr>
                <w:p w14:paraId="58139821">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0.00027</w:t>
                  </w:r>
                  <w:r>
                    <w:rPr>
                      <w:rFonts w:hint="eastAsia" w:cs="Times New Roman"/>
                      <w:color w:val="auto"/>
                      <w:spacing w:val="-10"/>
                      <w:kern w:val="2"/>
                      <w:sz w:val="18"/>
                      <w:szCs w:val="18"/>
                      <w:highlight w:val="none"/>
                      <w:lang w:val="en-US" w:eastAsia="zh-CN" w:bidi="ar-SA"/>
                    </w:rPr>
                    <w:t>（</w:t>
                  </w:r>
                  <w:r>
                    <w:rPr>
                      <w:rFonts w:hint="eastAsia"/>
                      <w:color w:val="auto"/>
                      <w:spacing w:val="-10"/>
                      <w:sz w:val="18"/>
                      <w:szCs w:val="18"/>
                      <w:lang w:val="en-US" w:eastAsia="zh-CN"/>
                    </w:rPr>
                    <w:t>折算成二氯化汞</w:t>
                  </w:r>
                  <w:r>
                    <w:rPr>
                      <w:rFonts w:hint="eastAsia" w:cs="Times New Roman"/>
                      <w:color w:val="auto"/>
                      <w:spacing w:val="-10"/>
                      <w:kern w:val="2"/>
                      <w:sz w:val="18"/>
                      <w:szCs w:val="18"/>
                      <w:highlight w:val="none"/>
                      <w:lang w:val="en-US" w:eastAsia="zh-CN" w:bidi="ar-SA"/>
                    </w:rPr>
                    <w:t>）</w:t>
                  </w:r>
                </w:p>
              </w:tc>
              <w:tc>
                <w:tcPr>
                  <w:tcW w:w="506" w:type="pct"/>
                  <w:shd w:val="clear" w:color="auto" w:fill="auto"/>
                  <w:vAlign w:val="center"/>
                </w:tcPr>
                <w:p w14:paraId="54607C3F">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5</w:t>
                  </w:r>
                </w:p>
              </w:tc>
              <w:tc>
                <w:tcPr>
                  <w:tcW w:w="769" w:type="pct"/>
                  <w:shd w:val="clear" w:color="auto" w:fill="auto"/>
                  <w:vAlign w:val="center"/>
                </w:tcPr>
                <w:p w14:paraId="4DFC6D65">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sz w:val="18"/>
                      <w:szCs w:val="18"/>
                      <w:highlight w:val="none"/>
                      <w:lang w:val="en-US" w:eastAsia="zh-CN"/>
                    </w:rPr>
                    <w:t>7487-94-7</w:t>
                  </w:r>
                </w:p>
              </w:tc>
              <w:tc>
                <w:tcPr>
                  <w:tcW w:w="836" w:type="pct"/>
                  <w:vAlign w:val="center"/>
                </w:tcPr>
                <w:p w14:paraId="28605A01">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0.000000054</w:t>
                  </w:r>
                </w:p>
              </w:tc>
            </w:tr>
            <w:tr w14:paraId="4FCE936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224FBBDC">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26</w:t>
                  </w:r>
                </w:p>
              </w:tc>
              <w:tc>
                <w:tcPr>
                  <w:tcW w:w="1055" w:type="pct"/>
                  <w:vAlign w:val="center"/>
                </w:tcPr>
                <w:p w14:paraId="3FF35D05">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ascii="Times New Roman" w:hAnsi="Times New Roman" w:eastAsia="宋体" w:cs="Times New Roman"/>
                      <w:color w:val="auto"/>
                      <w:spacing w:val="-10"/>
                      <w:kern w:val="2"/>
                      <w:sz w:val="18"/>
                      <w:szCs w:val="18"/>
                      <w:highlight w:val="none"/>
                      <w:lang w:val="en-US" w:eastAsia="zh-CN" w:bidi="ar-SA"/>
                    </w:rPr>
                    <w:t>铜（标准溶液）</w:t>
                  </w:r>
                </w:p>
              </w:tc>
              <w:tc>
                <w:tcPr>
                  <w:tcW w:w="1446" w:type="pct"/>
                  <w:vAlign w:val="center"/>
                </w:tcPr>
                <w:p w14:paraId="28A2877B">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0.002（</w:t>
                  </w:r>
                  <w:r>
                    <w:rPr>
                      <w:rFonts w:hint="eastAsia"/>
                      <w:color w:val="auto"/>
                      <w:spacing w:val="-10"/>
                      <w:sz w:val="18"/>
                      <w:szCs w:val="18"/>
                      <w:lang w:val="en-US" w:eastAsia="zh-CN"/>
                    </w:rPr>
                    <w:t>折算成铜</w:t>
                  </w:r>
                  <w:r>
                    <w:rPr>
                      <w:rFonts w:hint="eastAsia" w:cs="Times New Roman"/>
                      <w:color w:val="auto"/>
                      <w:spacing w:val="-10"/>
                      <w:kern w:val="2"/>
                      <w:sz w:val="18"/>
                      <w:szCs w:val="18"/>
                      <w:highlight w:val="none"/>
                      <w:lang w:val="en-US" w:eastAsia="zh-CN" w:bidi="ar-SA"/>
                    </w:rPr>
                    <w:t>）</w:t>
                  </w:r>
                </w:p>
              </w:tc>
              <w:tc>
                <w:tcPr>
                  <w:tcW w:w="506" w:type="pct"/>
                  <w:vAlign w:val="center"/>
                </w:tcPr>
                <w:p w14:paraId="5DD5153A">
                  <w:pPr>
                    <w:spacing w:line="320" w:lineRule="exact"/>
                    <w:jc w:val="center"/>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0.25</w:t>
                  </w:r>
                </w:p>
              </w:tc>
              <w:tc>
                <w:tcPr>
                  <w:tcW w:w="769" w:type="pct"/>
                  <w:vAlign w:val="center"/>
                </w:tcPr>
                <w:p w14:paraId="207BB4FF">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7440-50-8</w:t>
                  </w:r>
                </w:p>
              </w:tc>
              <w:tc>
                <w:tcPr>
                  <w:tcW w:w="836" w:type="pct"/>
                  <w:vAlign w:val="center"/>
                </w:tcPr>
                <w:p w14:paraId="0BCD190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38EA9D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4BCE3DD9">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27</w:t>
                  </w:r>
                </w:p>
              </w:tc>
              <w:tc>
                <w:tcPr>
                  <w:tcW w:w="1055" w:type="pct"/>
                  <w:vAlign w:val="center"/>
                </w:tcPr>
                <w:p w14:paraId="17AA55A8">
                  <w:pPr>
                    <w:spacing w:line="320" w:lineRule="exact"/>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铅</w:t>
                  </w:r>
                  <w:r>
                    <w:rPr>
                      <w:rFonts w:hint="eastAsia" w:ascii="Times New Roman" w:hAnsi="Times New Roman" w:eastAsia="宋体" w:cs="Times New Roman"/>
                      <w:color w:val="auto"/>
                      <w:spacing w:val="-10"/>
                      <w:kern w:val="2"/>
                      <w:sz w:val="18"/>
                      <w:szCs w:val="18"/>
                      <w:highlight w:val="none"/>
                      <w:lang w:val="en-US" w:eastAsia="zh-CN" w:bidi="ar-SA"/>
                    </w:rPr>
                    <w:t>（标准溶液）</w:t>
                  </w:r>
                </w:p>
              </w:tc>
              <w:tc>
                <w:tcPr>
                  <w:tcW w:w="1446" w:type="pct"/>
                  <w:vAlign w:val="center"/>
                </w:tcPr>
                <w:p w14:paraId="5B3F577B">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0.00032（</w:t>
                  </w:r>
                  <w:r>
                    <w:rPr>
                      <w:rFonts w:hint="eastAsia"/>
                      <w:color w:val="auto"/>
                      <w:spacing w:val="-10"/>
                      <w:sz w:val="18"/>
                      <w:szCs w:val="18"/>
                      <w:lang w:val="en-US" w:eastAsia="zh-CN"/>
                    </w:rPr>
                    <w:t>折算成硝酸铅</w:t>
                  </w:r>
                  <w:r>
                    <w:rPr>
                      <w:rFonts w:hint="eastAsia" w:cs="Times New Roman"/>
                      <w:color w:val="auto"/>
                      <w:spacing w:val="-10"/>
                      <w:kern w:val="2"/>
                      <w:sz w:val="18"/>
                      <w:szCs w:val="18"/>
                      <w:highlight w:val="none"/>
                      <w:lang w:val="en-US" w:eastAsia="zh-CN" w:bidi="ar-SA"/>
                    </w:rPr>
                    <w:t>）</w:t>
                  </w:r>
                </w:p>
              </w:tc>
              <w:tc>
                <w:tcPr>
                  <w:tcW w:w="506" w:type="pct"/>
                  <w:vAlign w:val="center"/>
                </w:tcPr>
                <w:p w14:paraId="14AAD115">
                  <w:pPr>
                    <w:spacing w:line="320" w:lineRule="exact"/>
                    <w:jc w:val="center"/>
                    <w:rPr>
                      <w:rFonts w:hint="default"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100</w:t>
                  </w:r>
                </w:p>
              </w:tc>
              <w:tc>
                <w:tcPr>
                  <w:tcW w:w="769" w:type="pct"/>
                  <w:vAlign w:val="center"/>
                </w:tcPr>
                <w:p w14:paraId="329D1654">
                  <w:pPr>
                    <w:spacing w:line="320" w:lineRule="exact"/>
                    <w:jc w:val="center"/>
                    <w:rPr>
                      <w:rFonts w:hint="eastAsia" w:cs="Times New Roman"/>
                      <w:color w:val="auto"/>
                      <w:spacing w:val="-1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10099-74-8</w:t>
                  </w:r>
                </w:p>
              </w:tc>
              <w:tc>
                <w:tcPr>
                  <w:tcW w:w="836" w:type="pct"/>
                  <w:vAlign w:val="center"/>
                </w:tcPr>
                <w:p w14:paraId="13BA080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3.2×10</w:t>
                  </w:r>
                  <w:r>
                    <w:rPr>
                      <w:rFonts w:hint="eastAsia"/>
                      <w:color w:val="auto"/>
                      <w:spacing w:val="-10"/>
                      <w:sz w:val="18"/>
                      <w:szCs w:val="18"/>
                      <w:vertAlign w:val="superscript"/>
                      <w:lang w:val="en-US" w:eastAsia="zh-CN"/>
                    </w:rPr>
                    <w:t>-9</w:t>
                  </w:r>
                </w:p>
              </w:tc>
            </w:tr>
            <w:tr w14:paraId="35D106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3850D21">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28</w:t>
                  </w:r>
                </w:p>
              </w:tc>
              <w:tc>
                <w:tcPr>
                  <w:tcW w:w="1055" w:type="pct"/>
                  <w:vAlign w:val="center"/>
                </w:tcPr>
                <w:p w14:paraId="7061A06C">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镉（标准溶液）</w:t>
                  </w:r>
                </w:p>
              </w:tc>
              <w:tc>
                <w:tcPr>
                  <w:tcW w:w="1446" w:type="pct"/>
                  <w:vAlign w:val="center"/>
                </w:tcPr>
                <w:p w14:paraId="7447299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0.004</w:t>
                  </w:r>
                  <w:r>
                    <w:rPr>
                      <w:rFonts w:hint="eastAsia" w:cs="Times New Roman"/>
                      <w:color w:val="auto"/>
                      <w:spacing w:val="-10"/>
                      <w:kern w:val="2"/>
                      <w:sz w:val="18"/>
                      <w:szCs w:val="18"/>
                      <w:highlight w:val="none"/>
                      <w:lang w:val="en-US" w:eastAsia="zh-CN" w:bidi="ar-SA"/>
                    </w:rPr>
                    <w:t>（</w:t>
                  </w:r>
                  <w:r>
                    <w:rPr>
                      <w:rFonts w:hint="eastAsia"/>
                      <w:color w:val="auto"/>
                      <w:spacing w:val="-10"/>
                      <w:sz w:val="18"/>
                      <w:szCs w:val="18"/>
                      <w:lang w:val="en-US" w:eastAsia="zh-CN"/>
                    </w:rPr>
                    <w:t>折算成氯化镉</w:t>
                  </w:r>
                  <w:r>
                    <w:rPr>
                      <w:rFonts w:hint="eastAsia" w:cs="Times New Roman"/>
                      <w:color w:val="auto"/>
                      <w:spacing w:val="-10"/>
                      <w:kern w:val="2"/>
                      <w:sz w:val="18"/>
                      <w:szCs w:val="18"/>
                      <w:highlight w:val="none"/>
                      <w:lang w:val="en-US" w:eastAsia="zh-CN" w:bidi="ar-SA"/>
                    </w:rPr>
                    <w:t>）</w:t>
                  </w:r>
                </w:p>
              </w:tc>
              <w:tc>
                <w:tcPr>
                  <w:tcW w:w="506" w:type="pct"/>
                  <w:vAlign w:val="center"/>
                </w:tcPr>
                <w:p w14:paraId="2329CC3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37CCC132">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10108-64-2</w:t>
                  </w:r>
                </w:p>
              </w:tc>
              <w:tc>
                <w:tcPr>
                  <w:tcW w:w="836" w:type="pct"/>
                  <w:vAlign w:val="center"/>
                </w:tcPr>
                <w:p w14:paraId="6398EF0D">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0.000016</w:t>
                  </w:r>
                </w:p>
              </w:tc>
            </w:tr>
            <w:tr w14:paraId="73CA45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3CBD6AA">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29</w:t>
                  </w:r>
                </w:p>
              </w:tc>
              <w:tc>
                <w:tcPr>
                  <w:tcW w:w="1055" w:type="pct"/>
                  <w:shd w:val="clear" w:color="auto" w:fill="auto"/>
                  <w:vAlign w:val="center"/>
                </w:tcPr>
                <w:p w14:paraId="0D1C781B">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锰（标准溶液）</w:t>
                  </w:r>
                </w:p>
              </w:tc>
              <w:tc>
                <w:tcPr>
                  <w:tcW w:w="1446" w:type="pct"/>
                  <w:vAlign w:val="center"/>
                </w:tcPr>
                <w:p w14:paraId="697C644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kern w:val="2"/>
                      <w:sz w:val="18"/>
                      <w:szCs w:val="18"/>
                      <w:highlight w:val="none"/>
                      <w:lang w:val="en-US" w:eastAsia="zh-CN" w:bidi="ar-SA"/>
                    </w:rPr>
                    <w:t>0.002</w:t>
                  </w:r>
                  <w:r>
                    <w:rPr>
                      <w:rFonts w:hint="eastAsia" w:cs="Times New Roman"/>
                      <w:color w:val="auto"/>
                      <w:spacing w:val="-10"/>
                      <w:sz w:val="18"/>
                      <w:szCs w:val="18"/>
                      <w:highlight w:val="none"/>
                      <w:lang w:val="en-US" w:eastAsia="zh-CN"/>
                    </w:rPr>
                    <w:t>（折算成锰）</w:t>
                  </w:r>
                </w:p>
              </w:tc>
              <w:tc>
                <w:tcPr>
                  <w:tcW w:w="506" w:type="pct"/>
                  <w:vAlign w:val="center"/>
                </w:tcPr>
                <w:p w14:paraId="132E87C0">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04A2781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836" w:type="pct"/>
                  <w:vAlign w:val="center"/>
                </w:tcPr>
                <w:p w14:paraId="3D5F286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219413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6790A370">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30</w:t>
                  </w:r>
                </w:p>
              </w:tc>
              <w:tc>
                <w:tcPr>
                  <w:tcW w:w="1055" w:type="pct"/>
                  <w:shd w:val="clear" w:color="auto" w:fill="auto"/>
                  <w:vAlign w:val="center"/>
                </w:tcPr>
                <w:p w14:paraId="04431771">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镍（标准溶液）</w:t>
                  </w:r>
                </w:p>
              </w:tc>
              <w:tc>
                <w:tcPr>
                  <w:tcW w:w="1446" w:type="pct"/>
                  <w:vAlign w:val="center"/>
                </w:tcPr>
                <w:p w14:paraId="131A078B">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kern w:val="2"/>
                      <w:sz w:val="18"/>
                      <w:szCs w:val="18"/>
                      <w:highlight w:val="none"/>
                      <w:lang w:val="en-US" w:eastAsia="zh-CN" w:bidi="ar-SA"/>
                    </w:rPr>
                    <w:t>0.002</w:t>
                  </w:r>
                  <w:r>
                    <w:rPr>
                      <w:rFonts w:hint="eastAsia" w:cs="Times New Roman"/>
                      <w:color w:val="auto"/>
                      <w:spacing w:val="-10"/>
                      <w:sz w:val="18"/>
                      <w:szCs w:val="18"/>
                      <w:highlight w:val="none"/>
                      <w:lang w:val="en-US" w:eastAsia="zh-CN"/>
                    </w:rPr>
                    <w:t>（折算成镍）</w:t>
                  </w:r>
                </w:p>
              </w:tc>
              <w:tc>
                <w:tcPr>
                  <w:tcW w:w="506" w:type="pct"/>
                  <w:vAlign w:val="center"/>
                </w:tcPr>
                <w:p w14:paraId="678327FE">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5EBDF276">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836" w:type="pct"/>
                  <w:vAlign w:val="center"/>
                </w:tcPr>
                <w:p w14:paraId="6B1D5AC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52D092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112F6DF4">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31</w:t>
                  </w:r>
                </w:p>
              </w:tc>
              <w:tc>
                <w:tcPr>
                  <w:tcW w:w="1055" w:type="pct"/>
                  <w:shd w:val="clear" w:color="auto" w:fill="auto"/>
                  <w:vAlign w:val="center"/>
                </w:tcPr>
                <w:p w14:paraId="21DBF171">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砷（标准溶液）</w:t>
                  </w:r>
                </w:p>
              </w:tc>
              <w:tc>
                <w:tcPr>
                  <w:tcW w:w="1446" w:type="pct"/>
                  <w:vAlign w:val="center"/>
                </w:tcPr>
                <w:p w14:paraId="7E1A14C1">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0.00026（折算成三氧化二砷）</w:t>
                  </w:r>
                </w:p>
              </w:tc>
              <w:tc>
                <w:tcPr>
                  <w:tcW w:w="506" w:type="pct"/>
                  <w:vAlign w:val="center"/>
                </w:tcPr>
                <w:p w14:paraId="2BFCC89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45F4371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1327-53-3</w:t>
                  </w:r>
                </w:p>
              </w:tc>
              <w:tc>
                <w:tcPr>
                  <w:tcW w:w="836" w:type="pct"/>
                  <w:vAlign w:val="center"/>
                </w:tcPr>
                <w:p w14:paraId="735C5F20">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0.00000104</w:t>
                  </w:r>
                </w:p>
              </w:tc>
            </w:tr>
            <w:tr w14:paraId="089C50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71BE4300">
                  <w:pPr>
                    <w:spacing w:line="320" w:lineRule="exact"/>
                    <w:jc w:val="center"/>
                    <w:rPr>
                      <w:rFonts w:hint="eastAsia"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32</w:t>
                  </w:r>
                </w:p>
              </w:tc>
              <w:tc>
                <w:tcPr>
                  <w:tcW w:w="1055" w:type="pct"/>
                  <w:shd w:val="clear" w:color="auto" w:fill="auto"/>
                  <w:vAlign w:val="center"/>
                </w:tcPr>
                <w:p w14:paraId="7214A170">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氟化物（标准溶液）</w:t>
                  </w:r>
                </w:p>
              </w:tc>
              <w:tc>
                <w:tcPr>
                  <w:tcW w:w="1446" w:type="pct"/>
                  <w:vAlign w:val="center"/>
                </w:tcPr>
                <w:p w14:paraId="1753686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0.0002（折算成氟化钠）</w:t>
                  </w:r>
                </w:p>
              </w:tc>
              <w:tc>
                <w:tcPr>
                  <w:tcW w:w="506" w:type="pct"/>
                  <w:vAlign w:val="center"/>
                </w:tcPr>
                <w:p w14:paraId="1DCFB27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4CC2818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7681-49-4</w:t>
                  </w:r>
                </w:p>
              </w:tc>
              <w:tc>
                <w:tcPr>
                  <w:tcW w:w="836" w:type="pct"/>
                  <w:vAlign w:val="center"/>
                </w:tcPr>
                <w:p w14:paraId="1D7EFEF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0.000000004</w:t>
                  </w:r>
                </w:p>
              </w:tc>
            </w:tr>
            <w:tr w14:paraId="5723C2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shd w:val="clear" w:color="auto" w:fill="auto"/>
                  <w:vAlign w:val="center"/>
                </w:tcPr>
                <w:p w14:paraId="3FBE16E5">
                  <w:pPr>
                    <w:spacing w:line="320" w:lineRule="exact"/>
                    <w:jc w:val="center"/>
                    <w:rPr>
                      <w:rFonts w:hint="default" w:ascii="Times New Roman" w:hAnsi="Times New Roman" w:eastAsia="宋体" w:cs="Times New Roman"/>
                      <w:color w:val="auto"/>
                      <w:spacing w:val="-10"/>
                      <w:kern w:val="2"/>
                      <w:sz w:val="18"/>
                      <w:szCs w:val="18"/>
                      <w:lang w:val="en-US" w:eastAsia="zh-CN" w:bidi="ar-SA"/>
                    </w:rPr>
                  </w:pPr>
                  <w:r>
                    <w:rPr>
                      <w:rFonts w:hint="eastAsia"/>
                      <w:color w:val="auto"/>
                      <w:spacing w:val="-10"/>
                      <w:sz w:val="18"/>
                      <w:szCs w:val="18"/>
                      <w:lang w:val="en-US" w:eastAsia="zh-CN"/>
                    </w:rPr>
                    <w:t>33</w:t>
                  </w:r>
                </w:p>
              </w:tc>
              <w:tc>
                <w:tcPr>
                  <w:tcW w:w="1055" w:type="pct"/>
                  <w:shd w:val="clear" w:color="auto" w:fill="auto"/>
                  <w:vAlign w:val="center"/>
                </w:tcPr>
                <w:p w14:paraId="4A1C527E">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氰化钾（标准溶液）</w:t>
                  </w:r>
                </w:p>
              </w:tc>
              <w:tc>
                <w:tcPr>
                  <w:tcW w:w="1446" w:type="pct"/>
                  <w:vAlign w:val="center"/>
                </w:tcPr>
                <w:p w14:paraId="0A0119A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3.71</w:t>
                  </w:r>
                </w:p>
              </w:tc>
              <w:tc>
                <w:tcPr>
                  <w:tcW w:w="506" w:type="pct"/>
                  <w:vAlign w:val="center"/>
                </w:tcPr>
                <w:p w14:paraId="648CDA1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2A6B1D1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151-50-8</w:t>
                  </w:r>
                </w:p>
              </w:tc>
              <w:tc>
                <w:tcPr>
                  <w:tcW w:w="836" w:type="pct"/>
                  <w:vAlign w:val="center"/>
                </w:tcPr>
                <w:p w14:paraId="7FF21968">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0.01484</w:t>
                  </w:r>
                </w:p>
              </w:tc>
            </w:tr>
            <w:tr w14:paraId="778EC1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2BA6B47">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34</w:t>
                  </w:r>
                </w:p>
              </w:tc>
              <w:tc>
                <w:tcPr>
                  <w:tcW w:w="1055" w:type="pct"/>
                  <w:shd w:val="clear" w:color="auto" w:fill="auto"/>
                  <w:vAlign w:val="center"/>
                </w:tcPr>
                <w:p w14:paraId="4042768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四氯化碳（环保专用）</w:t>
                  </w:r>
                </w:p>
              </w:tc>
              <w:tc>
                <w:tcPr>
                  <w:tcW w:w="1446" w:type="pct"/>
                  <w:vAlign w:val="center"/>
                </w:tcPr>
                <w:p w14:paraId="27BF96C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19.94</w:t>
                  </w:r>
                </w:p>
              </w:tc>
              <w:tc>
                <w:tcPr>
                  <w:tcW w:w="506" w:type="pct"/>
                  <w:vAlign w:val="center"/>
                </w:tcPr>
                <w:p w14:paraId="0257320C">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7.5</w:t>
                  </w:r>
                </w:p>
              </w:tc>
              <w:tc>
                <w:tcPr>
                  <w:tcW w:w="769" w:type="pct"/>
                  <w:vAlign w:val="center"/>
                </w:tcPr>
                <w:p w14:paraId="61BC4E56">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56-23-5</w:t>
                  </w:r>
                </w:p>
              </w:tc>
              <w:tc>
                <w:tcPr>
                  <w:tcW w:w="836" w:type="pct"/>
                  <w:vAlign w:val="center"/>
                </w:tcPr>
                <w:p w14:paraId="4F0D3C35">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0.002658667</w:t>
                  </w:r>
                </w:p>
              </w:tc>
            </w:tr>
            <w:tr w14:paraId="04D6D7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0336D033">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35</w:t>
                  </w:r>
                </w:p>
              </w:tc>
              <w:tc>
                <w:tcPr>
                  <w:tcW w:w="1055" w:type="pct"/>
                  <w:shd w:val="clear" w:color="auto" w:fill="auto"/>
                  <w:vAlign w:val="center"/>
                </w:tcPr>
                <w:p w14:paraId="1CBAFA7B">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冰醋酸</w:t>
                  </w:r>
                </w:p>
              </w:tc>
              <w:tc>
                <w:tcPr>
                  <w:tcW w:w="1446" w:type="pct"/>
                  <w:vAlign w:val="center"/>
                </w:tcPr>
                <w:p w14:paraId="2F6041C2">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13.13</w:t>
                  </w:r>
                </w:p>
              </w:tc>
              <w:tc>
                <w:tcPr>
                  <w:tcW w:w="506" w:type="pct"/>
                  <w:vAlign w:val="center"/>
                </w:tcPr>
                <w:p w14:paraId="23BBEF00">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w:t>
                  </w:r>
                </w:p>
              </w:tc>
              <w:tc>
                <w:tcPr>
                  <w:tcW w:w="769" w:type="pct"/>
                  <w:vAlign w:val="center"/>
                </w:tcPr>
                <w:p w14:paraId="610ACA63">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64-19-7</w:t>
                  </w:r>
                </w:p>
              </w:tc>
              <w:tc>
                <w:tcPr>
                  <w:tcW w:w="836" w:type="pct"/>
                  <w:vAlign w:val="center"/>
                </w:tcPr>
                <w:p w14:paraId="0C24195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0.001313</w:t>
                  </w:r>
                </w:p>
              </w:tc>
            </w:tr>
          </w:tbl>
          <w:p w14:paraId="4923E4BB">
            <w:pPr>
              <w:rPr>
                <w:color w:val="auto"/>
              </w:rPr>
            </w:pPr>
          </w:p>
          <w:p w14:paraId="1139BFF9">
            <w:pPr>
              <w:spacing w:line="460" w:lineRule="exact"/>
              <w:jc w:val="center"/>
              <w:rPr>
                <w:b/>
                <w:bCs/>
                <w:color w:val="auto"/>
              </w:rPr>
            </w:pPr>
            <w:r>
              <w:rPr>
                <w:rFonts w:hint="eastAsia"/>
                <w:b/>
                <w:bCs/>
                <w:color w:val="auto"/>
                <w:lang w:val="en-US" w:eastAsia="zh-CN"/>
              </w:rPr>
              <w:t>续</w:t>
            </w:r>
            <w:r>
              <w:rPr>
                <w:rFonts w:hint="eastAsia"/>
                <w:b/>
                <w:bCs/>
                <w:color w:val="auto"/>
              </w:rPr>
              <w:t>表</w:t>
            </w:r>
            <w:r>
              <w:rPr>
                <w:rFonts w:hint="eastAsia"/>
                <w:b/>
                <w:bCs/>
                <w:color w:val="auto"/>
                <w:lang w:val="en-US" w:eastAsia="zh-CN"/>
              </w:rPr>
              <w:t>42</w:t>
            </w:r>
            <w:r>
              <w:rPr>
                <w:rFonts w:hint="eastAsia"/>
                <w:b/>
                <w:bCs/>
                <w:color w:val="auto"/>
              </w:rPr>
              <w:t xml:space="preserve"> 危险物质储存量及临界量</w:t>
            </w:r>
          </w:p>
          <w:tbl>
            <w:tblPr>
              <w:tblStyle w:val="26"/>
              <w:tblW w:w="7845" w:type="dxa"/>
              <w:tblInd w:w="17"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03"/>
              <w:gridCol w:w="1656"/>
              <w:gridCol w:w="2270"/>
              <w:gridCol w:w="795"/>
              <w:gridCol w:w="1208"/>
              <w:gridCol w:w="1313"/>
            </w:tblGrid>
            <w:tr w14:paraId="3087A53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ADA69C3">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序号</w:t>
                  </w:r>
                </w:p>
              </w:tc>
              <w:tc>
                <w:tcPr>
                  <w:tcW w:w="1055" w:type="pct"/>
                  <w:vAlign w:val="center"/>
                </w:tcPr>
                <w:p w14:paraId="57B2017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物质名称</w:t>
                  </w:r>
                </w:p>
              </w:tc>
              <w:tc>
                <w:tcPr>
                  <w:tcW w:w="1446" w:type="pct"/>
                  <w:vAlign w:val="center"/>
                </w:tcPr>
                <w:p w14:paraId="67B41CEA">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最大储存量kg</w:t>
                  </w:r>
                </w:p>
              </w:tc>
              <w:tc>
                <w:tcPr>
                  <w:tcW w:w="506" w:type="pct"/>
                  <w:vAlign w:val="center"/>
                </w:tcPr>
                <w:p w14:paraId="35FAF69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临界量t</w:t>
                  </w:r>
                </w:p>
              </w:tc>
              <w:tc>
                <w:tcPr>
                  <w:tcW w:w="769" w:type="pct"/>
                  <w:vAlign w:val="center"/>
                </w:tcPr>
                <w:p w14:paraId="130E1D67">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CAS号</w:t>
                  </w:r>
                </w:p>
              </w:tc>
              <w:tc>
                <w:tcPr>
                  <w:tcW w:w="836" w:type="pct"/>
                  <w:vAlign w:val="center"/>
                </w:tcPr>
                <w:p w14:paraId="498B513B">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q/Q值</w:t>
                  </w:r>
                </w:p>
              </w:tc>
            </w:tr>
            <w:tr w14:paraId="2FB3407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42DFAF63">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36</w:t>
                  </w:r>
                </w:p>
              </w:tc>
              <w:tc>
                <w:tcPr>
                  <w:tcW w:w="1055" w:type="pct"/>
                  <w:shd w:val="clear" w:color="auto" w:fill="auto"/>
                  <w:vAlign w:val="center"/>
                </w:tcPr>
                <w:p w14:paraId="3C3E59D3">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氯仿</w:t>
                  </w:r>
                </w:p>
              </w:tc>
              <w:tc>
                <w:tcPr>
                  <w:tcW w:w="1446" w:type="pct"/>
                  <w:vAlign w:val="center"/>
                </w:tcPr>
                <w:p w14:paraId="29E1DD0E">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37.3</w:t>
                  </w:r>
                </w:p>
              </w:tc>
              <w:tc>
                <w:tcPr>
                  <w:tcW w:w="506" w:type="pct"/>
                  <w:vAlign w:val="center"/>
                </w:tcPr>
                <w:p w14:paraId="601C403C">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w:t>
                  </w:r>
                </w:p>
              </w:tc>
              <w:tc>
                <w:tcPr>
                  <w:tcW w:w="769" w:type="pct"/>
                  <w:vAlign w:val="center"/>
                </w:tcPr>
                <w:p w14:paraId="4EBD8F3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67-66-3</w:t>
                  </w:r>
                </w:p>
              </w:tc>
              <w:tc>
                <w:tcPr>
                  <w:tcW w:w="836" w:type="pct"/>
                  <w:vAlign w:val="center"/>
                </w:tcPr>
                <w:p w14:paraId="3897040C">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0.00373</w:t>
                  </w:r>
                </w:p>
              </w:tc>
            </w:tr>
            <w:tr w14:paraId="50894D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7833E02">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37</w:t>
                  </w:r>
                </w:p>
              </w:tc>
              <w:tc>
                <w:tcPr>
                  <w:tcW w:w="1055" w:type="pct"/>
                  <w:shd w:val="clear" w:color="auto" w:fill="auto"/>
                  <w:vAlign w:val="center"/>
                </w:tcPr>
                <w:p w14:paraId="1A04F63D">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乙炔</w:t>
                  </w:r>
                </w:p>
              </w:tc>
              <w:tc>
                <w:tcPr>
                  <w:tcW w:w="1446" w:type="pct"/>
                  <w:vAlign w:val="center"/>
                </w:tcPr>
                <w:p w14:paraId="72B7BCF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286.68</w:t>
                  </w:r>
                </w:p>
              </w:tc>
              <w:tc>
                <w:tcPr>
                  <w:tcW w:w="506" w:type="pct"/>
                  <w:vAlign w:val="center"/>
                </w:tcPr>
                <w:p w14:paraId="60F8D46A">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w:t>
                  </w:r>
                </w:p>
              </w:tc>
              <w:tc>
                <w:tcPr>
                  <w:tcW w:w="769" w:type="pct"/>
                  <w:vAlign w:val="center"/>
                </w:tcPr>
                <w:p w14:paraId="4D71022B">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74-86-2</w:t>
                  </w:r>
                </w:p>
              </w:tc>
              <w:tc>
                <w:tcPr>
                  <w:tcW w:w="836" w:type="pct"/>
                  <w:vAlign w:val="center"/>
                </w:tcPr>
                <w:p w14:paraId="26DC4A69">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0.028668</w:t>
                  </w:r>
                </w:p>
              </w:tc>
            </w:tr>
            <w:tr w14:paraId="55D62F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15C6D991">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38</w:t>
                  </w:r>
                </w:p>
              </w:tc>
              <w:tc>
                <w:tcPr>
                  <w:tcW w:w="1055" w:type="pct"/>
                  <w:shd w:val="clear" w:color="auto" w:fill="auto"/>
                  <w:vAlign w:val="center"/>
                </w:tcPr>
                <w:p w14:paraId="01C07EAE">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硝酸汞</w:t>
                  </w:r>
                </w:p>
              </w:tc>
              <w:tc>
                <w:tcPr>
                  <w:tcW w:w="1446" w:type="pct"/>
                  <w:vAlign w:val="center"/>
                </w:tcPr>
                <w:p w14:paraId="4E47F154">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2.5</w:t>
                  </w:r>
                </w:p>
              </w:tc>
              <w:tc>
                <w:tcPr>
                  <w:tcW w:w="506" w:type="pct"/>
                  <w:vAlign w:val="center"/>
                </w:tcPr>
                <w:p w14:paraId="5F57BDD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77C2F2E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10045-94-0</w:t>
                  </w:r>
                </w:p>
              </w:tc>
              <w:tc>
                <w:tcPr>
                  <w:tcW w:w="836" w:type="pct"/>
                  <w:vAlign w:val="center"/>
                </w:tcPr>
                <w:p w14:paraId="476DDD34">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0.00005</w:t>
                  </w:r>
                </w:p>
              </w:tc>
            </w:tr>
            <w:tr w14:paraId="37C54F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78C22F99">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39</w:t>
                  </w:r>
                </w:p>
              </w:tc>
              <w:tc>
                <w:tcPr>
                  <w:tcW w:w="1055" w:type="pct"/>
                  <w:shd w:val="clear" w:color="auto" w:fill="auto"/>
                  <w:vAlign w:val="center"/>
                </w:tcPr>
                <w:p w14:paraId="64779F7D">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硝酸镍</w:t>
                  </w:r>
                </w:p>
              </w:tc>
              <w:tc>
                <w:tcPr>
                  <w:tcW w:w="1446" w:type="pct"/>
                  <w:vAlign w:val="center"/>
                </w:tcPr>
                <w:p w14:paraId="5855BBEE">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0.16（折算成镍）</w:t>
                  </w:r>
                </w:p>
              </w:tc>
              <w:tc>
                <w:tcPr>
                  <w:tcW w:w="506" w:type="pct"/>
                  <w:vAlign w:val="center"/>
                </w:tcPr>
                <w:p w14:paraId="7D5A5A1D">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0.25</w:t>
                  </w:r>
                </w:p>
              </w:tc>
              <w:tc>
                <w:tcPr>
                  <w:tcW w:w="769" w:type="pct"/>
                  <w:vAlign w:val="center"/>
                </w:tcPr>
                <w:p w14:paraId="08529D69">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13138-45-9</w:t>
                  </w:r>
                </w:p>
              </w:tc>
              <w:tc>
                <w:tcPr>
                  <w:tcW w:w="836" w:type="pct"/>
                  <w:vAlign w:val="center"/>
                </w:tcPr>
                <w:p w14:paraId="2AB0C36B">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0.00064</w:t>
                  </w:r>
                </w:p>
              </w:tc>
            </w:tr>
            <w:tr w14:paraId="28FB95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0FB4C62E">
                  <w:pPr>
                    <w:spacing w:line="320" w:lineRule="exact"/>
                    <w:jc w:val="center"/>
                    <w:rPr>
                      <w:rFonts w:hint="default" w:eastAsia="宋体"/>
                      <w:color w:val="auto"/>
                      <w:spacing w:val="-10"/>
                      <w:sz w:val="18"/>
                      <w:szCs w:val="18"/>
                      <w:lang w:val="en-US" w:eastAsia="zh-CN"/>
                    </w:rPr>
                  </w:pPr>
                  <w:r>
                    <w:rPr>
                      <w:rFonts w:hint="eastAsia"/>
                      <w:color w:val="auto"/>
                      <w:spacing w:val="-10"/>
                      <w:sz w:val="18"/>
                      <w:szCs w:val="18"/>
                      <w:lang w:val="en-US" w:eastAsia="zh-CN"/>
                    </w:rPr>
                    <w:t>40</w:t>
                  </w:r>
                </w:p>
              </w:tc>
              <w:tc>
                <w:tcPr>
                  <w:tcW w:w="1055" w:type="pct"/>
                  <w:shd w:val="clear" w:color="auto" w:fill="auto"/>
                  <w:vAlign w:val="center"/>
                </w:tcPr>
                <w:p w14:paraId="4400242C">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硝酸铅</w:t>
                  </w:r>
                </w:p>
              </w:tc>
              <w:tc>
                <w:tcPr>
                  <w:tcW w:w="1446" w:type="pct"/>
                  <w:vAlign w:val="center"/>
                </w:tcPr>
                <w:p w14:paraId="6094B848">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0.4</w:t>
                  </w:r>
                </w:p>
              </w:tc>
              <w:tc>
                <w:tcPr>
                  <w:tcW w:w="506" w:type="pct"/>
                  <w:vAlign w:val="center"/>
                </w:tcPr>
                <w:p w14:paraId="2CF97135">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4266A98F">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10099-74-8</w:t>
                  </w:r>
                </w:p>
              </w:tc>
              <w:tc>
                <w:tcPr>
                  <w:tcW w:w="836" w:type="pct"/>
                  <w:vAlign w:val="center"/>
                </w:tcPr>
                <w:p w14:paraId="49CB1408">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0.000008</w:t>
                  </w:r>
                </w:p>
              </w:tc>
            </w:tr>
            <w:tr w14:paraId="37D5C1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695CB82">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41</w:t>
                  </w:r>
                </w:p>
              </w:tc>
              <w:tc>
                <w:tcPr>
                  <w:tcW w:w="1055" w:type="pct"/>
                  <w:shd w:val="clear" w:color="auto" w:fill="auto"/>
                  <w:vAlign w:val="center"/>
                </w:tcPr>
                <w:p w14:paraId="4C3422C6">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邻菲罗啉</w:t>
                  </w:r>
                </w:p>
              </w:tc>
              <w:tc>
                <w:tcPr>
                  <w:tcW w:w="1446" w:type="pct"/>
                  <w:vAlign w:val="center"/>
                </w:tcPr>
                <w:p w14:paraId="11F6D2F6">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0.015</w:t>
                  </w:r>
                </w:p>
              </w:tc>
              <w:tc>
                <w:tcPr>
                  <w:tcW w:w="506" w:type="pct"/>
                  <w:vAlign w:val="center"/>
                </w:tcPr>
                <w:p w14:paraId="111CFD10">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4332A622">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66-71-7</w:t>
                  </w:r>
                </w:p>
              </w:tc>
              <w:tc>
                <w:tcPr>
                  <w:tcW w:w="836" w:type="pct"/>
                  <w:vAlign w:val="center"/>
                </w:tcPr>
                <w:p w14:paraId="0D3BC78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0.0000003</w:t>
                  </w:r>
                </w:p>
              </w:tc>
            </w:tr>
            <w:tr w14:paraId="13779A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84" w:type="pct"/>
                  <w:vAlign w:val="center"/>
                </w:tcPr>
                <w:p w14:paraId="588F9BC1">
                  <w:pPr>
                    <w:spacing w:line="320" w:lineRule="exact"/>
                    <w:jc w:val="center"/>
                    <w:rPr>
                      <w:rFonts w:hint="default"/>
                      <w:color w:val="auto"/>
                      <w:spacing w:val="-10"/>
                      <w:sz w:val="18"/>
                      <w:szCs w:val="18"/>
                      <w:lang w:val="en-US" w:eastAsia="zh-CN"/>
                    </w:rPr>
                  </w:pPr>
                  <w:r>
                    <w:rPr>
                      <w:rFonts w:hint="eastAsia"/>
                      <w:color w:val="auto"/>
                      <w:spacing w:val="-10"/>
                      <w:sz w:val="18"/>
                      <w:szCs w:val="18"/>
                      <w:lang w:val="en-US" w:eastAsia="zh-CN"/>
                    </w:rPr>
                    <w:t>42</w:t>
                  </w:r>
                </w:p>
              </w:tc>
              <w:tc>
                <w:tcPr>
                  <w:tcW w:w="1055" w:type="pct"/>
                  <w:shd w:val="clear" w:color="auto" w:fill="auto"/>
                  <w:vAlign w:val="center"/>
                </w:tcPr>
                <w:p w14:paraId="67A5E857">
                  <w:pPr>
                    <w:spacing w:line="320" w:lineRule="exact"/>
                    <w:jc w:val="center"/>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实验废液</w:t>
                  </w:r>
                </w:p>
              </w:tc>
              <w:tc>
                <w:tcPr>
                  <w:tcW w:w="1446" w:type="pct"/>
                  <w:vAlign w:val="center"/>
                </w:tcPr>
                <w:p w14:paraId="213EAE87">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6.4075t</w:t>
                  </w:r>
                </w:p>
              </w:tc>
              <w:tc>
                <w:tcPr>
                  <w:tcW w:w="506" w:type="pct"/>
                  <w:vAlign w:val="center"/>
                </w:tcPr>
                <w:p w14:paraId="2B37D5B4">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50</w:t>
                  </w:r>
                </w:p>
              </w:tc>
              <w:tc>
                <w:tcPr>
                  <w:tcW w:w="769" w:type="pct"/>
                  <w:vAlign w:val="center"/>
                </w:tcPr>
                <w:p w14:paraId="2D3D6002">
                  <w:pPr>
                    <w:spacing w:line="320" w:lineRule="exact"/>
                    <w:jc w:val="center"/>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w:t>
                  </w:r>
                </w:p>
              </w:tc>
              <w:tc>
                <w:tcPr>
                  <w:tcW w:w="836" w:type="pct"/>
                  <w:vAlign w:val="center"/>
                </w:tcPr>
                <w:p w14:paraId="1595DCBA">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0.12815</w:t>
                  </w:r>
                </w:p>
              </w:tc>
            </w:tr>
            <w:tr w14:paraId="0F9F3D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40" w:hRule="atLeast"/>
              </w:trPr>
              <w:tc>
                <w:tcPr>
                  <w:tcW w:w="384" w:type="pct"/>
                  <w:vAlign w:val="center"/>
                </w:tcPr>
                <w:p w14:paraId="4486CDC8">
                  <w:pPr>
                    <w:spacing w:line="320" w:lineRule="exact"/>
                    <w:jc w:val="center"/>
                    <w:rPr>
                      <w:color w:val="auto"/>
                      <w:spacing w:val="-10"/>
                      <w:sz w:val="18"/>
                      <w:szCs w:val="18"/>
                      <w:highlight w:val="none"/>
                    </w:rPr>
                  </w:pPr>
                  <w:r>
                    <w:rPr>
                      <w:rFonts w:hint="eastAsia"/>
                      <w:color w:val="auto"/>
                      <w:spacing w:val="-10"/>
                      <w:sz w:val="18"/>
                      <w:szCs w:val="18"/>
                      <w:highlight w:val="none"/>
                    </w:rPr>
                    <w:t>合计</w:t>
                  </w:r>
                </w:p>
              </w:tc>
              <w:tc>
                <w:tcPr>
                  <w:tcW w:w="1055" w:type="pct"/>
                  <w:vAlign w:val="center"/>
                </w:tcPr>
                <w:p w14:paraId="0EA52C0E">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1446" w:type="pct"/>
                  <w:vAlign w:val="center"/>
                </w:tcPr>
                <w:p w14:paraId="5174C1E5">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506" w:type="pct"/>
                  <w:vAlign w:val="center"/>
                </w:tcPr>
                <w:p w14:paraId="12AF13A2">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769" w:type="pct"/>
                  <w:vAlign w:val="center"/>
                </w:tcPr>
                <w:p w14:paraId="7B7B2BC2">
                  <w:pPr>
                    <w:spacing w:line="320" w:lineRule="exact"/>
                    <w:jc w:val="center"/>
                    <w:rPr>
                      <w:rFonts w:hint="eastAsia" w:eastAsia="宋体"/>
                      <w:color w:val="auto"/>
                      <w:spacing w:val="-10"/>
                      <w:sz w:val="18"/>
                      <w:szCs w:val="18"/>
                      <w:highlight w:val="none"/>
                      <w:lang w:eastAsia="zh-CN"/>
                    </w:rPr>
                  </w:pPr>
                  <w:r>
                    <w:rPr>
                      <w:rFonts w:hint="eastAsia"/>
                      <w:color w:val="auto"/>
                      <w:spacing w:val="-10"/>
                      <w:sz w:val="18"/>
                      <w:szCs w:val="18"/>
                      <w:highlight w:val="none"/>
                      <w:lang w:val="en-US" w:eastAsia="zh-CN"/>
                    </w:rPr>
                    <w:t>/</w:t>
                  </w:r>
                </w:p>
              </w:tc>
              <w:tc>
                <w:tcPr>
                  <w:tcW w:w="836" w:type="pct"/>
                  <w:vAlign w:val="center"/>
                </w:tcPr>
                <w:p w14:paraId="6FB96C5C">
                  <w:pPr>
                    <w:spacing w:line="320" w:lineRule="exact"/>
                    <w:jc w:val="center"/>
                    <w:rPr>
                      <w:rFonts w:hint="eastAsia"/>
                      <w:color w:val="auto"/>
                      <w:spacing w:val="-10"/>
                      <w:sz w:val="18"/>
                      <w:szCs w:val="18"/>
                      <w:lang w:val="en-US" w:eastAsia="zh-CN"/>
                    </w:rPr>
                  </w:pPr>
                  <w:r>
                    <w:rPr>
                      <w:rFonts w:hint="eastAsia"/>
                      <w:color w:val="auto"/>
                      <w:spacing w:val="-10"/>
                      <w:sz w:val="18"/>
                      <w:szCs w:val="18"/>
                      <w:lang w:val="en-US" w:eastAsia="zh-CN"/>
                    </w:rPr>
                    <w:t>0.253896735</w:t>
                  </w:r>
                </w:p>
              </w:tc>
            </w:tr>
          </w:tbl>
          <w:p w14:paraId="3591D17B">
            <w:pPr>
              <w:spacing w:line="440" w:lineRule="exact"/>
              <w:ind w:firstLine="422" w:firstLineChars="200"/>
              <w:rPr>
                <w:b/>
                <w:bCs/>
                <w:color w:val="auto"/>
              </w:rPr>
            </w:pPr>
            <w:r>
              <w:rPr>
                <w:rFonts w:hint="eastAsia"/>
                <w:b/>
                <w:bCs/>
                <w:color w:val="auto"/>
              </w:rPr>
              <w:t>7.</w:t>
            </w:r>
            <w:r>
              <w:rPr>
                <w:rFonts w:hint="eastAsia"/>
                <w:b/>
                <w:bCs/>
                <w:color w:val="auto"/>
                <w:lang w:val="en-US" w:eastAsia="zh-CN"/>
              </w:rPr>
              <w:t>3</w:t>
            </w:r>
            <w:r>
              <w:rPr>
                <w:rFonts w:hint="eastAsia"/>
                <w:b/>
                <w:bCs/>
                <w:color w:val="auto"/>
              </w:rPr>
              <w:t>环境风险识别</w:t>
            </w:r>
          </w:p>
          <w:p w14:paraId="365AEED9">
            <w:pPr>
              <w:spacing w:line="440" w:lineRule="exact"/>
              <w:ind w:firstLine="420" w:firstLineChars="200"/>
              <w:rPr>
                <w:color w:val="auto"/>
              </w:rPr>
            </w:pPr>
            <w:r>
              <w:rPr>
                <w:color w:val="auto"/>
              </w:rPr>
              <w:t>按照《建设项目环境风险评价技术导则》（HJ 169-2018）附录B识别本项目危险物质，</w:t>
            </w:r>
            <w:r>
              <w:rPr>
                <w:rFonts w:hint="eastAsia"/>
                <w:color w:val="auto"/>
              </w:rPr>
              <w:t>系统风险性识别及影响途径见</w:t>
            </w:r>
            <w:r>
              <w:rPr>
                <w:color w:val="auto"/>
              </w:rPr>
              <w:t>表</w:t>
            </w:r>
            <w:r>
              <w:rPr>
                <w:rFonts w:hint="eastAsia"/>
                <w:color w:val="auto"/>
                <w:lang w:val="en-US" w:eastAsia="zh-CN"/>
              </w:rPr>
              <w:t>43</w:t>
            </w:r>
            <w:r>
              <w:rPr>
                <w:color w:val="auto"/>
              </w:rPr>
              <w:t>。</w:t>
            </w:r>
          </w:p>
          <w:p w14:paraId="04B704C6">
            <w:pPr>
              <w:spacing w:line="460" w:lineRule="exact"/>
              <w:jc w:val="center"/>
              <w:rPr>
                <w:rFonts w:hint="eastAsia" w:ascii="Times New Roman" w:hAnsi="Times New Roman" w:eastAsia="宋体" w:cs="Times New Roman"/>
                <w:b/>
                <w:bCs/>
                <w:color w:val="auto"/>
              </w:rPr>
            </w:pPr>
            <w:r>
              <w:rPr>
                <w:rFonts w:hint="eastAsia" w:ascii="Times New Roman" w:hAnsi="Times New Roman" w:eastAsia="宋体" w:cs="Times New Roman"/>
                <w:b/>
                <w:bCs/>
                <w:color w:val="auto"/>
              </w:rPr>
              <w:t>表</w:t>
            </w:r>
            <w:r>
              <w:rPr>
                <w:rFonts w:hint="eastAsia" w:ascii="Times New Roman" w:hAnsi="Times New Roman" w:eastAsia="宋体" w:cs="Times New Roman"/>
                <w:b/>
                <w:bCs/>
                <w:color w:val="auto"/>
                <w:lang w:val="en-US" w:eastAsia="zh-CN"/>
              </w:rPr>
              <w:t>4</w:t>
            </w:r>
            <w:r>
              <w:rPr>
                <w:rFonts w:hint="eastAsia" w:cs="Times New Roman"/>
                <w:b/>
                <w:bCs/>
                <w:color w:val="auto"/>
                <w:lang w:val="en-US" w:eastAsia="zh-CN"/>
              </w:rPr>
              <w:t>3</w:t>
            </w:r>
            <w:r>
              <w:rPr>
                <w:rFonts w:hint="eastAsia" w:ascii="Times New Roman" w:hAnsi="Times New Roman" w:eastAsia="宋体" w:cs="Times New Roman"/>
                <w:b/>
                <w:bCs/>
                <w:color w:val="auto"/>
                <w:lang w:val="en-US" w:eastAsia="zh-CN"/>
              </w:rPr>
              <w:t xml:space="preserve"> </w:t>
            </w:r>
            <w:r>
              <w:rPr>
                <w:rFonts w:hint="eastAsia" w:ascii="Times New Roman" w:hAnsi="Times New Roman" w:eastAsia="宋体" w:cs="Times New Roman"/>
                <w:b/>
                <w:bCs/>
                <w:color w:val="auto"/>
              </w:rPr>
              <w:t>本项目环境风险识别表</w:t>
            </w:r>
          </w:p>
          <w:tbl>
            <w:tblPr>
              <w:tblStyle w:val="26"/>
              <w:tblW w:w="792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415"/>
              <w:gridCol w:w="822"/>
              <w:gridCol w:w="1150"/>
              <w:gridCol w:w="2090"/>
              <w:gridCol w:w="1210"/>
              <w:gridCol w:w="2240"/>
            </w:tblGrid>
            <w:tr w14:paraId="0C182B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261" w:type="pct"/>
                  <w:noWrap w:val="0"/>
                  <w:vAlign w:val="center"/>
                </w:tcPr>
                <w:p w14:paraId="6CB3ACA4">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序号</w:t>
                  </w:r>
                </w:p>
              </w:tc>
              <w:tc>
                <w:tcPr>
                  <w:tcW w:w="518" w:type="pct"/>
                  <w:noWrap w:val="0"/>
                  <w:vAlign w:val="center"/>
                </w:tcPr>
                <w:p w14:paraId="5C7F72B0">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危险单元</w:t>
                  </w:r>
                </w:p>
              </w:tc>
              <w:tc>
                <w:tcPr>
                  <w:tcW w:w="725" w:type="pct"/>
                  <w:noWrap w:val="0"/>
                  <w:vAlign w:val="center"/>
                </w:tcPr>
                <w:p w14:paraId="52352A64">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风险源</w:t>
                  </w:r>
                </w:p>
              </w:tc>
              <w:tc>
                <w:tcPr>
                  <w:tcW w:w="1318" w:type="pct"/>
                  <w:noWrap w:val="0"/>
                  <w:vAlign w:val="center"/>
                </w:tcPr>
                <w:p w14:paraId="324B9C75">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主要危险物质</w:t>
                  </w:r>
                </w:p>
              </w:tc>
              <w:tc>
                <w:tcPr>
                  <w:tcW w:w="763" w:type="pct"/>
                  <w:noWrap w:val="0"/>
                  <w:vAlign w:val="center"/>
                </w:tcPr>
                <w:p w14:paraId="5A573D6A">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环境风险类型</w:t>
                  </w:r>
                </w:p>
              </w:tc>
              <w:tc>
                <w:tcPr>
                  <w:tcW w:w="1412" w:type="pct"/>
                  <w:noWrap w:val="0"/>
                  <w:vAlign w:val="center"/>
                </w:tcPr>
                <w:p w14:paraId="421DC5DB">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环境影响途径</w:t>
                  </w:r>
                </w:p>
              </w:tc>
            </w:tr>
            <w:tr w14:paraId="2EB858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04449869">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1</w:t>
                  </w:r>
                </w:p>
              </w:tc>
              <w:tc>
                <w:tcPr>
                  <w:tcW w:w="518" w:type="pct"/>
                  <w:noWrap w:val="0"/>
                  <w:vAlign w:val="center"/>
                </w:tcPr>
                <w:p w14:paraId="18F271C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kern w:val="0"/>
                      <w:sz w:val="18"/>
                      <w:szCs w:val="18"/>
                      <w:lang w:val="en-US" w:eastAsia="zh-CN" w:bidi="ar-SA"/>
                    </w:rPr>
                  </w:pPr>
                  <w:r>
                    <w:rPr>
                      <w:rFonts w:hint="eastAsia" w:ascii="Times New Roman" w:hAnsi="Times New Roman" w:eastAsia="宋体" w:cs="Times New Roman"/>
                      <w:color w:val="auto"/>
                      <w:spacing w:val="-11"/>
                      <w:sz w:val="18"/>
                      <w:szCs w:val="18"/>
                      <w:lang w:val="en-US" w:eastAsia="zh-CN"/>
                    </w:rPr>
                    <w:t>理化试验区</w:t>
                  </w:r>
                </w:p>
              </w:tc>
              <w:tc>
                <w:tcPr>
                  <w:tcW w:w="725" w:type="pct"/>
                  <w:noWrap w:val="0"/>
                  <w:vAlign w:val="center"/>
                </w:tcPr>
                <w:p w14:paraId="0660BD5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理化试验区</w:t>
                  </w:r>
                </w:p>
              </w:tc>
              <w:tc>
                <w:tcPr>
                  <w:tcW w:w="1318" w:type="pct"/>
                  <w:noWrap w:val="0"/>
                  <w:vAlign w:val="center"/>
                </w:tcPr>
                <w:p w14:paraId="0EC3697C">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highlight w:val="none"/>
                      <w:lang w:val="en-US" w:eastAsia="zh-CN"/>
                    </w:rPr>
                  </w:pPr>
                  <w:r>
                    <w:rPr>
                      <w:rFonts w:hint="eastAsia" w:eastAsia="宋体" w:cs="Times New Roman"/>
                      <w:color w:val="auto"/>
                      <w:spacing w:val="-11"/>
                      <w:sz w:val="18"/>
                      <w:szCs w:val="18"/>
                      <w:highlight w:val="none"/>
                      <w:lang w:val="en-US" w:eastAsia="zh-CN"/>
                    </w:rPr>
                    <w:t>盐酸、硫酸等试验药剂</w:t>
                  </w:r>
                </w:p>
              </w:tc>
              <w:tc>
                <w:tcPr>
                  <w:tcW w:w="763" w:type="pct"/>
                  <w:noWrap w:val="0"/>
                  <w:vAlign w:val="center"/>
                </w:tcPr>
                <w:p w14:paraId="556AC687">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restart"/>
                  <w:noWrap w:val="0"/>
                  <w:vAlign w:val="center"/>
                </w:tcPr>
                <w:p w14:paraId="2255C28C">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粉末状药品会因泄露经空气飘散对人体造成伤害；液体药品泄露会通过地表下渗进而污染地下水，从而对地下水产生不良影响；气瓶室内的易燃易爆气体发生爆炸或者火灾产生有毒有害物质向大气中扩散，容易对无任何防护的人员造成重度伤害</w:t>
                  </w:r>
                </w:p>
              </w:tc>
            </w:tr>
            <w:tr w14:paraId="37AA8C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7ED72AB6">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2</w:t>
                  </w:r>
                </w:p>
              </w:tc>
              <w:tc>
                <w:tcPr>
                  <w:tcW w:w="518" w:type="pct"/>
                  <w:noWrap w:val="0"/>
                  <w:vAlign w:val="center"/>
                </w:tcPr>
                <w:p w14:paraId="69B88E8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kern w:val="0"/>
                      <w:sz w:val="18"/>
                      <w:szCs w:val="18"/>
                      <w:lang w:val="en-US" w:eastAsia="zh-CN" w:bidi="ar-SA"/>
                    </w:rPr>
                  </w:pPr>
                  <w:r>
                    <w:rPr>
                      <w:rFonts w:hint="eastAsia" w:ascii="Times New Roman" w:hAnsi="Times New Roman" w:eastAsia="宋体" w:cs="Times New Roman"/>
                      <w:color w:val="auto"/>
                      <w:spacing w:val="-11"/>
                      <w:sz w:val="18"/>
                      <w:szCs w:val="18"/>
                      <w:lang w:val="en-US" w:eastAsia="zh-CN"/>
                    </w:rPr>
                    <w:t>药品室</w:t>
                  </w:r>
                </w:p>
              </w:tc>
              <w:tc>
                <w:tcPr>
                  <w:tcW w:w="725" w:type="pct"/>
                  <w:noWrap w:val="0"/>
                  <w:vAlign w:val="center"/>
                </w:tcPr>
                <w:p w14:paraId="0717A2E1">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药品室</w:t>
                  </w:r>
                </w:p>
              </w:tc>
              <w:tc>
                <w:tcPr>
                  <w:tcW w:w="1318" w:type="pct"/>
                  <w:noWrap w:val="0"/>
                  <w:vAlign w:val="center"/>
                </w:tcPr>
                <w:p w14:paraId="2E3BEA59">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highlight w:val="none"/>
                      <w:lang w:val="en-US" w:eastAsia="zh-CN"/>
                    </w:rPr>
                  </w:pPr>
                  <w:r>
                    <w:rPr>
                      <w:rFonts w:hint="eastAsia" w:eastAsia="宋体" w:cs="Times New Roman"/>
                      <w:color w:val="auto"/>
                      <w:spacing w:val="-11"/>
                      <w:sz w:val="18"/>
                      <w:szCs w:val="18"/>
                      <w:highlight w:val="none"/>
                      <w:lang w:val="en-US" w:eastAsia="zh-CN"/>
                    </w:rPr>
                    <w:t>盐酸、硫酸等试验药剂</w:t>
                  </w:r>
                </w:p>
              </w:tc>
              <w:tc>
                <w:tcPr>
                  <w:tcW w:w="763" w:type="pct"/>
                  <w:noWrap w:val="0"/>
                  <w:vAlign w:val="center"/>
                </w:tcPr>
                <w:p w14:paraId="0F630600">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continue"/>
                  <w:noWrap w:val="0"/>
                  <w:vAlign w:val="center"/>
                </w:tcPr>
                <w:p w14:paraId="7C424130">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p>
              </w:tc>
            </w:tr>
            <w:tr w14:paraId="648541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214DF40B">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3</w:t>
                  </w:r>
                </w:p>
              </w:tc>
              <w:tc>
                <w:tcPr>
                  <w:tcW w:w="518" w:type="pct"/>
                  <w:noWrap w:val="0"/>
                  <w:vAlign w:val="center"/>
                </w:tcPr>
                <w:p w14:paraId="54C77A32">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kern w:val="0"/>
                      <w:sz w:val="18"/>
                      <w:szCs w:val="18"/>
                      <w:lang w:val="en-US" w:eastAsia="zh-CN" w:bidi="ar-SA"/>
                    </w:rPr>
                  </w:pPr>
                  <w:r>
                    <w:rPr>
                      <w:rFonts w:hint="eastAsia" w:ascii="Times New Roman" w:hAnsi="Times New Roman" w:eastAsia="宋体" w:cs="Times New Roman"/>
                      <w:color w:val="auto"/>
                      <w:spacing w:val="-11"/>
                      <w:sz w:val="18"/>
                      <w:szCs w:val="18"/>
                      <w:lang w:val="en-US" w:eastAsia="zh-CN"/>
                    </w:rPr>
                    <w:t>气瓶室</w:t>
                  </w:r>
                </w:p>
              </w:tc>
              <w:tc>
                <w:tcPr>
                  <w:tcW w:w="725" w:type="pct"/>
                  <w:noWrap w:val="0"/>
                  <w:vAlign w:val="center"/>
                </w:tcPr>
                <w:p w14:paraId="6E62AA79">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气瓶室</w:t>
                  </w:r>
                </w:p>
              </w:tc>
              <w:tc>
                <w:tcPr>
                  <w:tcW w:w="1318" w:type="pct"/>
                  <w:noWrap w:val="0"/>
                  <w:vAlign w:val="center"/>
                </w:tcPr>
                <w:p w14:paraId="3EA64A6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乙炔</w:t>
                  </w:r>
                </w:p>
              </w:tc>
              <w:tc>
                <w:tcPr>
                  <w:tcW w:w="763" w:type="pct"/>
                  <w:noWrap w:val="0"/>
                  <w:vAlign w:val="center"/>
                </w:tcPr>
                <w:p w14:paraId="1133B94E">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continue"/>
                  <w:noWrap w:val="0"/>
                  <w:vAlign w:val="center"/>
                </w:tcPr>
                <w:p w14:paraId="13C7B1CA">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p>
              </w:tc>
            </w:tr>
            <w:tr w14:paraId="742E9E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510" w:hRule="exact"/>
                <w:jc w:val="center"/>
              </w:trPr>
              <w:tc>
                <w:tcPr>
                  <w:tcW w:w="261" w:type="pct"/>
                  <w:noWrap w:val="0"/>
                  <w:vAlign w:val="center"/>
                </w:tcPr>
                <w:p w14:paraId="62D9694D">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4</w:t>
                  </w:r>
                </w:p>
              </w:tc>
              <w:tc>
                <w:tcPr>
                  <w:tcW w:w="518" w:type="pct"/>
                  <w:noWrap w:val="0"/>
                  <w:vAlign w:val="center"/>
                </w:tcPr>
                <w:p w14:paraId="5AB5D8B4">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危废暂存间</w:t>
                  </w:r>
                </w:p>
              </w:tc>
              <w:tc>
                <w:tcPr>
                  <w:tcW w:w="725" w:type="pct"/>
                  <w:noWrap w:val="0"/>
                  <w:vAlign w:val="center"/>
                </w:tcPr>
                <w:p w14:paraId="0DF4321F">
                  <w:pPr>
                    <w:pStyle w:val="25"/>
                    <w:spacing w:after="0" w:line="240" w:lineRule="exact"/>
                    <w:ind w:left="-42" w:leftChars="-20" w:right="-42" w:rightChars="-20" w:firstLine="0" w:firstLineChars="0"/>
                    <w:jc w:val="center"/>
                    <w:rPr>
                      <w:rFonts w:hint="eastAsia" w:ascii="Times New Roman" w:hAnsi="Times New Roman" w:eastAsia="宋体" w:cs="Times New Roman"/>
                      <w:color w:val="auto"/>
                      <w:spacing w:val="-11"/>
                      <w:sz w:val="18"/>
                      <w:szCs w:val="18"/>
                      <w:lang w:val="en-US" w:eastAsia="zh-CN"/>
                    </w:rPr>
                  </w:pPr>
                  <w:r>
                    <w:rPr>
                      <w:rFonts w:hint="eastAsia" w:ascii="Times New Roman" w:hAnsi="Times New Roman" w:eastAsia="宋体" w:cs="Times New Roman"/>
                      <w:color w:val="auto"/>
                      <w:spacing w:val="-11"/>
                      <w:sz w:val="18"/>
                      <w:szCs w:val="18"/>
                      <w:lang w:val="en-US" w:eastAsia="zh-CN"/>
                    </w:rPr>
                    <w:t>危废暂存间</w:t>
                  </w:r>
                </w:p>
              </w:tc>
              <w:tc>
                <w:tcPr>
                  <w:tcW w:w="1318" w:type="pct"/>
                  <w:noWrap w:val="0"/>
                  <w:vAlign w:val="center"/>
                </w:tcPr>
                <w:p w14:paraId="7B231402">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eastAsia" w:eastAsia="宋体" w:cs="Times New Roman"/>
                      <w:color w:val="auto"/>
                      <w:spacing w:val="-11"/>
                      <w:sz w:val="18"/>
                      <w:szCs w:val="18"/>
                      <w:lang w:val="en-US" w:eastAsia="zh-CN"/>
                    </w:rPr>
                    <w:t>实验废液</w:t>
                  </w:r>
                </w:p>
              </w:tc>
              <w:tc>
                <w:tcPr>
                  <w:tcW w:w="763" w:type="pct"/>
                  <w:noWrap w:val="0"/>
                  <w:vAlign w:val="center"/>
                </w:tcPr>
                <w:p w14:paraId="573050E3">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r>
                    <w:rPr>
                      <w:rFonts w:hint="default" w:ascii="Times New Roman" w:hAnsi="Times New Roman" w:eastAsia="宋体" w:cs="Times New Roman"/>
                      <w:color w:val="auto"/>
                      <w:spacing w:val="-11"/>
                      <w:sz w:val="18"/>
                      <w:szCs w:val="18"/>
                      <w:lang w:val="en-US" w:eastAsia="zh-CN"/>
                    </w:rPr>
                    <w:t>泄漏、火灾</w:t>
                  </w:r>
                </w:p>
              </w:tc>
              <w:tc>
                <w:tcPr>
                  <w:tcW w:w="1412" w:type="pct"/>
                  <w:vMerge w:val="continue"/>
                  <w:noWrap w:val="0"/>
                  <w:vAlign w:val="center"/>
                </w:tcPr>
                <w:p w14:paraId="3BA97FDA">
                  <w:pPr>
                    <w:pStyle w:val="25"/>
                    <w:spacing w:after="0" w:line="240" w:lineRule="exact"/>
                    <w:ind w:left="-42" w:leftChars="-20" w:right="-42" w:rightChars="-20" w:firstLine="0" w:firstLineChars="0"/>
                    <w:jc w:val="center"/>
                    <w:rPr>
                      <w:rFonts w:hint="default" w:ascii="Times New Roman" w:hAnsi="Times New Roman" w:eastAsia="宋体" w:cs="Times New Roman"/>
                      <w:color w:val="auto"/>
                      <w:spacing w:val="-11"/>
                      <w:sz w:val="18"/>
                      <w:szCs w:val="18"/>
                      <w:lang w:val="en-US" w:eastAsia="zh-CN"/>
                    </w:rPr>
                  </w:pPr>
                </w:p>
              </w:tc>
            </w:tr>
          </w:tbl>
          <w:p w14:paraId="3A0CF905">
            <w:pPr>
              <w:keepNext w:val="0"/>
              <w:keepLines w:val="0"/>
              <w:pageBreakBefore w:val="0"/>
              <w:widowControl w:val="0"/>
              <w:kinsoku/>
              <w:wordWrap/>
              <w:overflowPunct/>
              <w:topLinePunct w:val="0"/>
              <w:autoSpaceDE/>
              <w:autoSpaceDN/>
              <w:bidi w:val="0"/>
              <w:adjustRightInd/>
              <w:snapToGrid/>
              <w:spacing w:line="440" w:lineRule="exact"/>
              <w:ind w:firstLine="422" w:firstLineChars="200"/>
              <w:textAlignment w:val="auto"/>
              <w:rPr>
                <w:b/>
                <w:bCs/>
                <w:color w:val="auto"/>
                <w:szCs w:val="21"/>
              </w:rPr>
            </w:pPr>
            <w:r>
              <w:rPr>
                <w:rFonts w:hint="eastAsia"/>
                <w:b/>
                <w:bCs/>
                <w:color w:val="auto"/>
                <w:szCs w:val="21"/>
              </w:rPr>
              <w:t>7.</w:t>
            </w:r>
            <w:r>
              <w:rPr>
                <w:rFonts w:hint="eastAsia"/>
                <w:b/>
                <w:bCs/>
                <w:color w:val="auto"/>
                <w:szCs w:val="21"/>
                <w:lang w:val="en-US" w:eastAsia="zh-CN"/>
              </w:rPr>
              <w:t>4</w:t>
            </w:r>
            <w:r>
              <w:rPr>
                <w:rFonts w:hint="eastAsia"/>
                <w:b/>
                <w:bCs/>
                <w:color w:val="auto"/>
                <w:szCs w:val="21"/>
              </w:rPr>
              <w:t>风险防范措施</w:t>
            </w:r>
          </w:p>
          <w:p w14:paraId="72A10906">
            <w:pPr>
              <w:spacing w:line="440" w:lineRule="exact"/>
              <w:ind w:firstLine="420" w:firstLineChars="200"/>
              <w:rPr>
                <w:rFonts w:ascii="Times New Roman" w:hAnsi="Times New Roman" w:eastAsia="宋体" w:cs="Times New Roman"/>
                <w:color w:val="auto"/>
              </w:rPr>
            </w:pPr>
            <w:r>
              <w:rPr>
                <w:rFonts w:hint="eastAsia" w:ascii="Times New Roman" w:hAnsi="Times New Roman" w:eastAsia="宋体" w:cs="Times New Roman"/>
                <w:color w:val="auto"/>
              </w:rPr>
              <w:t>（1）环境风险防范措施</w:t>
            </w:r>
          </w:p>
          <w:p w14:paraId="66608275">
            <w:pPr>
              <w:spacing w:line="440" w:lineRule="exact"/>
              <w:ind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建设单位应按照相关的要求，做好风险防范和减缓措施，建立事故应急预案，杜绝环境风险事故的发生，主要措施如下： </w:t>
            </w:r>
          </w:p>
          <w:p w14:paraId="7F867757">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1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①</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实验室区域内严禁抽烟。</w:t>
            </w:r>
          </w:p>
          <w:p w14:paraId="762C07BF">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2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②</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合理划分实验室内各区。</w:t>
            </w:r>
          </w:p>
          <w:p w14:paraId="65FFCA2B">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3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③</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实验室内设泡沫式灭火器。</w:t>
            </w:r>
          </w:p>
          <w:p w14:paraId="17FE68B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fldChar w:fldCharType="begin"/>
            </w:r>
            <w:r>
              <w:rPr>
                <w:rFonts w:hint="eastAsia" w:ascii="Times New Roman" w:hAnsi="Times New Roman" w:eastAsia="宋体" w:cs="Times New Roman"/>
                <w:color w:val="auto"/>
                <w:lang w:val="en-US" w:eastAsia="zh-CN"/>
              </w:rPr>
              <w:instrText xml:space="preserve"> = 4 \* GB3 </w:instrText>
            </w:r>
            <w:r>
              <w:rPr>
                <w:rFonts w:hint="eastAsia" w:ascii="Times New Roman" w:hAnsi="Times New Roman" w:eastAsia="宋体" w:cs="Times New Roman"/>
                <w:color w:val="auto"/>
                <w:lang w:val="en-US" w:eastAsia="zh-CN"/>
              </w:rPr>
              <w:fldChar w:fldCharType="separate"/>
            </w:r>
            <w:r>
              <w:rPr>
                <w:rFonts w:hint="eastAsia" w:ascii="Times New Roman" w:hAnsi="Times New Roman" w:eastAsia="宋体" w:cs="Times New Roman"/>
                <w:color w:val="auto"/>
                <w:lang w:val="en-US" w:eastAsia="zh-CN"/>
              </w:rPr>
              <w:t>④</w:t>
            </w:r>
            <w:r>
              <w:rPr>
                <w:rFonts w:hint="eastAsia" w:ascii="Times New Roman" w:hAnsi="Times New Roman" w:eastAsia="宋体" w:cs="Times New Roman"/>
                <w:color w:val="auto"/>
                <w:lang w:val="en-US" w:eastAsia="zh-CN"/>
              </w:rPr>
              <w:fldChar w:fldCharType="end"/>
            </w:r>
            <w:r>
              <w:rPr>
                <w:rFonts w:hint="eastAsia" w:ascii="Times New Roman" w:hAnsi="Times New Roman" w:eastAsia="宋体" w:cs="Times New Roman"/>
                <w:color w:val="auto"/>
                <w:lang w:val="en-US" w:eastAsia="zh-CN"/>
              </w:rPr>
              <w:t>对实验室内人员定期进行培训，经常性对危险化学品作业场所进行安全检查</w:t>
            </w:r>
            <w:r>
              <w:rPr>
                <w:rFonts w:hint="eastAsia" w:cs="Times New Roman"/>
                <w:color w:val="auto"/>
                <w:lang w:val="en-US" w:eastAsia="zh-CN"/>
              </w:rPr>
              <w:t>，</w:t>
            </w:r>
            <w:r>
              <w:rPr>
                <w:rFonts w:hint="eastAsia" w:ascii="Times New Roman" w:hAnsi="Times New Roman" w:eastAsia="宋体" w:cs="Times New Roman"/>
                <w:color w:val="auto"/>
                <w:lang w:val="en-US" w:eastAsia="zh-CN"/>
              </w:rPr>
              <w:t>对可能诱发事故的隐患和危险源进行调查、研究、分析，做好预防治理和事故预警工作。</w:t>
            </w:r>
          </w:p>
          <w:p w14:paraId="228A5FD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⑤企业必须严格执行《化学危险物品安全管理条例》及其实施细则等法规、制度和标准，加强对危险化学品的管理，并建立化学危险物品管理制度</w:t>
            </w:r>
            <w:r>
              <w:rPr>
                <w:rFonts w:hint="eastAsia" w:cs="Times New Roman"/>
                <w:color w:val="auto"/>
                <w:lang w:val="en-US" w:eastAsia="zh-CN"/>
              </w:rPr>
              <w:t>，</w:t>
            </w:r>
            <w:r>
              <w:rPr>
                <w:rFonts w:hint="eastAsia" w:ascii="Times New Roman" w:hAnsi="Times New Roman" w:eastAsia="宋体" w:cs="Times New Roman"/>
                <w:color w:val="auto"/>
                <w:lang w:val="en-US" w:eastAsia="zh-CN"/>
              </w:rPr>
              <w:t>制定危险化学品安全操作规程，要求操作人员严格按操作规程作业。</w:t>
            </w:r>
          </w:p>
          <w:p w14:paraId="325F4C41">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⑥采购危险化学品时，到已获得危险化学品经营许可证的企业进行采购，并要求供应商提供技术说明书及相关技术资料；采购人员须进行专业培训并取证；危险化学品的包装物、容器必须有专业检测机构检验合格才能使用；项目危险化学品的运输由供应商负责，从事危险化学品押运人员，应经有关培训并取证后才能从事危险化学品运输、押运工作；危险化学品的运输、押运人员，应配置合格的防护器材</w:t>
            </w:r>
            <w:r>
              <w:rPr>
                <w:rFonts w:hint="eastAsia" w:cs="Times New Roman"/>
                <w:color w:val="auto"/>
                <w:lang w:val="en-US" w:eastAsia="zh-CN"/>
              </w:rPr>
              <w:t>；</w:t>
            </w:r>
            <w:r>
              <w:rPr>
                <w:rFonts w:hint="eastAsia" w:ascii="Times New Roman" w:hAnsi="Times New Roman" w:eastAsia="宋体" w:cs="Times New Roman"/>
                <w:color w:val="auto"/>
                <w:lang w:val="en-US" w:eastAsia="zh-CN"/>
              </w:rPr>
              <w:t>危险物品的运输必须严格执行《危险货物运输规则》和《汽车危险货物运输规则》中的有关规定。</w:t>
            </w:r>
          </w:p>
          <w:p w14:paraId="04FE51A0">
            <w:pPr>
              <w:spacing w:line="440" w:lineRule="exact"/>
              <w:ind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⑦药品试剂瓶发生泄漏时用砂土或其它不燃材料吸附或吸收，或用大量水冲洗，冲洗水稀释后放入排水系统</w:t>
            </w:r>
            <w:r>
              <w:rPr>
                <w:rFonts w:hint="eastAsia" w:cs="Times New Roman"/>
                <w:color w:val="auto"/>
                <w:lang w:val="en-US" w:eastAsia="zh-CN"/>
              </w:rPr>
              <w:t>。</w:t>
            </w:r>
          </w:p>
          <w:p w14:paraId="4EA144C8">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⑧加强可燃气体安全贮存管理：装卸时必须轻拿轻放，严禁碰撞抛投或地上滚动。搬运时不可把气瓶阀对准人身，注意防止气瓶安全帽跌落；气瓶贮存时要保持直立，并有放倒措施，气瓶不得靠近热源和电气设备，气瓶与明火距离不得小于</w:t>
            </w:r>
            <w:r>
              <w:rPr>
                <w:rFonts w:hint="default" w:ascii="Times New Roman" w:hAnsi="Times New Roman" w:eastAsia="宋体" w:cs="Times New Roman"/>
                <w:color w:val="auto"/>
                <w:lang w:val="en-US" w:eastAsia="zh-CN"/>
              </w:rPr>
              <w:t>10</w:t>
            </w:r>
            <w:r>
              <w:rPr>
                <w:rFonts w:hint="eastAsia" w:ascii="Times New Roman" w:hAnsi="Times New Roman" w:eastAsia="宋体" w:cs="Times New Roman"/>
                <w:color w:val="auto"/>
                <w:lang w:val="en-US" w:eastAsia="zh-CN"/>
              </w:rPr>
              <w:t>米；乙炔气瓶应设置防火和防静电装置，一旦发生火灾可立即启动消防措施。</w:t>
            </w:r>
          </w:p>
          <w:p w14:paraId="70B54BD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⑨有毒易挥发试剂取用过程中应在打开的通风橱内进行，并且做好相应的防范措施，戴手套以及防毒面具。</w:t>
            </w:r>
          </w:p>
          <w:p w14:paraId="39FE6483">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⑩储存安全防范措施</w:t>
            </w:r>
          </w:p>
          <w:p w14:paraId="2D35C9A6">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应按照普通、易制毒、易制爆以及剧毒药品分类，将普通实验室药品存入药品室，并严格按照《危险化学品管理条例》进行监管，实行“五双”管理，做好台账，以备当地公安部门检查。</w:t>
            </w:r>
          </w:p>
          <w:p w14:paraId="61C83E29">
            <w:pPr>
              <w:spacing w:line="440" w:lineRule="exact"/>
              <w:ind w:firstLine="42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⑪</w:t>
            </w:r>
            <w:r>
              <w:rPr>
                <w:rFonts w:hint="eastAsia" w:cs="Times New Roman"/>
                <w:color w:val="auto"/>
                <w:lang w:val="en-US" w:eastAsia="zh-CN"/>
              </w:rPr>
              <w:t>消防及火灾报警系统</w:t>
            </w:r>
          </w:p>
          <w:p w14:paraId="0C7E37AE">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根据火灾危险性等级和防火、防爆要求，建筑物的防火等级均采用国家现行规范要求按一、二级耐火等级设计，满足建筑防火要求。凡禁火区均设置明显标志牌。各种易燃易爆物料均储存在阴凉、通风处，远离火源;安放易发生爆炸设备的房间，不允许任何人员随便入内，操作全部在控制室进行。安全出口及安全疏散距离应符合《建筑设计防火规范》</w:t>
            </w:r>
            <w:r>
              <w:rPr>
                <w:rFonts w:hint="eastAsia" w:cs="Times New Roman"/>
                <w:color w:val="auto"/>
                <w:lang w:val="en-US" w:eastAsia="zh-CN"/>
              </w:rPr>
              <w:t>（</w:t>
            </w:r>
            <w:r>
              <w:rPr>
                <w:rFonts w:hint="eastAsia" w:ascii="Times New Roman" w:hAnsi="Times New Roman" w:eastAsia="宋体" w:cs="Times New Roman"/>
                <w:color w:val="auto"/>
                <w:lang w:val="en-US" w:eastAsia="zh-CN"/>
              </w:rPr>
              <w:t>GB50016-2014</w:t>
            </w:r>
            <w:r>
              <w:rPr>
                <w:rFonts w:hint="eastAsia" w:cs="Times New Roman"/>
                <w:color w:val="auto"/>
                <w:lang w:val="en-US" w:eastAsia="zh-CN"/>
              </w:rPr>
              <w:t>）</w:t>
            </w:r>
            <w:r>
              <w:rPr>
                <w:rFonts w:hint="eastAsia" w:ascii="Times New Roman" w:hAnsi="Times New Roman" w:eastAsia="宋体" w:cs="Times New Roman"/>
                <w:color w:val="auto"/>
                <w:lang w:val="en-US" w:eastAsia="zh-CN"/>
              </w:rPr>
              <w:t>的要求。</w:t>
            </w:r>
          </w:p>
          <w:p w14:paraId="4CC990A1">
            <w:pPr>
              <w:spacing w:line="440" w:lineRule="exact"/>
              <w:ind w:firstLine="420" w:firstLineChars="200"/>
              <w:rPr>
                <w:rFonts w:hint="eastAsia" w:ascii="Times New Roman" w:hAnsi="Times New Roman" w:eastAsia="宋体" w:cs="Times New Roman"/>
                <w:color w:val="auto"/>
                <w:lang w:val="en-US" w:eastAsia="zh-CN"/>
              </w:rPr>
            </w:pPr>
            <w:r>
              <w:rPr>
                <w:rFonts w:hint="eastAsia" w:ascii="微软雅黑" w:hAnsi="微软雅黑" w:eastAsia="微软雅黑" w:cs="微软雅黑"/>
                <w:color w:val="auto"/>
                <w:lang w:val="en-US" w:eastAsia="zh-CN"/>
              </w:rPr>
              <w:t>⑫</w:t>
            </w:r>
            <w:r>
              <w:rPr>
                <w:rFonts w:hint="eastAsia" w:ascii="Times New Roman" w:hAnsi="Times New Roman" w:eastAsia="宋体" w:cs="Times New Roman"/>
                <w:color w:val="auto"/>
                <w:lang w:val="en-US" w:eastAsia="zh-CN"/>
              </w:rPr>
              <w:t>防腐防渗措施</w:t>
            </w:r>
          </w:p>
          <w:p w14:paraId="6256A522">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为了防止生产中跑、冒、滴、漏以及各种构筑物渗漏对区域地下水造成污染，本项目采取</w:t>
            </w:r>
            <w:r>
              <w:rPr>
                <w:rFonts w:hint="eastAsia" w:eastAsia="宋体" w:cs="Times New Roman"/>
                <w:color w:val="auto"/>
                <w:lang w:val="en-US" w:eastAsia="zh-CN"/>
              </w:rPr>
              <w:t>严格的分区防渗措施，重点防渗区（危险废物暂存间、药品室、理化一室、理化二室、测油室）</w:t>
            </w:r>
            <w:r>
              <w:rPr>
                <w:rFonts w:hint="eastAsia" w:ascii="Times New Roman" w:hAnsi="Times New Roman" w:eastAsia="宋体" w:cs="Times New Roman"/>
                <w:color w:val="auto"/>
                <w:lang w:val="en-US" w:eastAsia="zh-CN"/>
              </w:rPr>
              <w:t>渗透系数≤1.0×10</w:t>
            </w:r>
            <w:r>
              <w:rPr>
                <w:rFonts w:hint="eastAsia" w:ascii="Times New Roman" w:hAnsi="Times New Roman" w:eastAsia="宋体" w:cs="Times New Roman"/>
                <w:color w:val="auto"/>
                <w:vertAlign w:val="superscript"/>
                <w:lang w:val="en-US" w:eastAsia="zh-CN"/>
              </w:rPr>
              <w:t>-10</w:t>
            </w:r>
            <w:r>
              <w:rPr>
                <w:rFonts w:hint="eastAsia" w:ascii="Times New Roman" w:hAnsi="Times New Roman" w:eastAsia="宋体" w:cs="Times New Roman"/>
                <w:color w:val="auto"/>
                <w:lang w:val="en-US" w:eastAsia="zh-CN"/>
              </w:rPr>
              <w:t>cm/s</w:t>
            </w:r>
            <w:r>
              <w:rPr>
                <w:rFonts w:hint="eastAsia" w:eastAsia="宋体" w:cs="Times New Roman"/>
                <w:color w:val="auto"/>
                <w:lang w:val="en-US" w:eastAsia="zh-CN"/>
              </w:rPr>
              <w:t>；一般防渗区</w:t>
            </w:r>
            <w:r>
              <w:rPr>
                <w:rFonts w:hint="eastAsia" w:ascii="Times New Roman" w:hAnsi="Times New Roman" w:eastAsia="宋体" w:cs="Times New Roman"/>
                <w:color w:val="auto"/>
                <w:lang w:val="en-US" w:eastAsia="zh-CN"/>
              </w:rPr>
              <w:t>渗透系数≤1.0×10</w:t>
            </w:r>
            <w:r>
              <w:rPr>
                <w:rFonts w:hint="eastAsia" w:ascii="Times New Roman" w:hAnsi="Times New Roman" w:eastAsia="宋体" w:cs="Times New Roman"/>
                <w:color w:val="auto"/>
                <w:vertAlign w:val="superscript"/>
                <w:lang w:val="en-US" w:eastAsia="zh-CN"/>
              </w:rPr>
              <w:t>-</w:t>
            </w:r>
            <w:r>
              <w:rPr>
                <w:rFonts w:hint="eastAsia" w:eastAsia="宋体" w:cs="Times New Roman"/>
                <w:color w:val="auto"/>
                <w:vertAlign w:val="superscript"/>
                <w:lang w:val="en-US" w:eastAsia="zh-CN"/>
              </w:rPr>
              <w:t>7</w:t>
            </w:r>
            <w:r>
              <w:rPr>
                <w:rFonts w:hint="eastAsia" w:ascii="Times New Roman" w:hAnsi="Times New Roman" w:eastAsia="宋体" w:cs="Times New Roman"/>
                <w:color w:val="auto"/>
                <w:lang w:val="en-US" w:eastAsia="zh-CN"/>
              </w:rPr>
              <w:t>cm/s</w:t>
            </w:r>
            <w:r>
              <w:rPr>
                <w:rFonts w:hint="eastAsia" w:eastAsia="宋体" w:cs="Times New Roman"/>
                <w:color w:val="auto"/>
                <w:lang w:val="en-US" w:eastAsia="zh-CN"/>
              </w:rPr>
              <w:t>；简单防渗区一般地面硬化</w:t>
            </w:r>
            <w:r>
              <w:rPr>
                <w:rFonts w:hint="eastAsia" w:ascii="Times New Roman" w:hAnsi="Times New Roman" w:eastAsia="宋体" w:cs="Times New Roman"/>
                <w:color w:val="auto"/>
                <w:lang w:val="en-US" w:eastAsia="zh-CN"/>
              </w:rPr>
              <w:t>。</w:t>
            </w:r>
          </w:p>
          <w:p w14:paraId="0A38228C">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为了确保防渗措施的防渗效果，施工过程中建设单位应加强施工期的管理，严格按防渗设计要求进行施工，并加强防渗措施的日常维护，使防渗措施达到应有的防渗效果。采取以上措施后，防渗层满足要求，可有效阻止污染物下渗。</w:t>
            </w:r>
          </w:p>
          <w:p w14:paraId="2A30F827">
            <w:pPr>
              <w:spacing w:line="440" w:lineRule="exact"/>
              <w:ind w:firstLine="420" w:firstLineChars="200"/>
              <w:rPr>
                <w:rFonts w:hint="default" w:ascii="Times New Roman" w:hAnsi="Times New Roman" w:cs="Times New Roman"/>
                <w:color w:val="auto"/>
              </w:rPr>
            </w:pPr>
            <w:r>
              <w:rPr>
                <w:rFonts w:hint="eastAsia" w:ascii="Times New Roman" w:hAnsi="Times New Roman" w:cs="Times New Roman"/>
                <w:color w:val="auto"/>
              </w:rPr>
              <w:t>（2）应急预案</w:t>
            </w:r>
          </w:p>
          <w:p w14:paraId="4D5347E5">
            <w:pPr>
              <w:spacing w:line="440" w:lineRule="exact"/>
              <w:ind w:firstLine="420" w:firstLineChars="200"/>
              <w:rPr>
                <w:rFonts w:hint="default" w:ascii="Times New Roman" w:hAnsi="Times New Roman" w:cs="Times New Roman"/>
                <w:color w:val="auto"/>
              </w:rPr>
            </w:pPr>
            <w:r>
              <w:rPr>
                <w:rFonts w:hint="eastAsia" w:ascii="Times New Roman" w:hAnsi="Times New Roman" w:cs="Times New Roman"/>
                <w:color w:val="auto"/>
              </w:rPr>
              <w:t>为保证企业及人民生命财产的安全，防止突发性危险物质重大事故发生，并在发生事故时，能迅速有序地开展救援工作，尽最大努力减少事故的危害和损失，</w:t>
            </w:r>
            <w:r>
              <w:rPr>
                <w:rFonts w:hint="eastAsia" w:cs="Times New Roman"/>
                <w:color w:val="auto"/>
                <w:sz w:val="21"/>
                <w:szCs w:val="21"/>
                <w:highlight w:val="none"/>
                <w:lang w:val="en-US" w:eastAsia="zh-CN"/>
              </w:rPr>
              <w:t>河北兆惠恒美检测技术有限公司</w:t>
            </w:r>
            <w:r>
              <w:rPr>
                <w:rFonts w:hint="eastAsia" w:ascii="Times New Roman" w:hAnsi="Times New Roman" w:cs="Times New Roman"/>
                <w:color w:val="auto"/>
              </w:rPr>
              <w:t>应尽快完成应急预案修编工作。</w:t>
            </w:r>
          </w:p>
          <w:p w14:paraId="46A08F18">
            <w:pPr>
              <w:keepNext w:val="0"/>
              <w:keepLines w:val="0"/>
              <w:pageBreakBefore w:val="0"/>
              <w:widowControl w:val="0"/>
              <w:kinsoku/>
              <w:wordWrap/>
              <w:overflowPunct/>
              <w:topLinePunct w:val="0"/>
              <w:autoSpaceDE/>
              <w:autoSpaceDN/>
              <w:bidi w:val="0"/>
              <w:adjustRightInd/>
              <w:snapToGrid/>
              <w:spacing w:line="440" w:lineRule="exact"/>
              <w:ind w:firstLine="422" w:firstLineChars="200"/>
              <w:textAlignment w:val="auto"/>
              <w:rPr>
                <w:rFonts w:hint="eastAsia"/>
                <w:b/>
                <w:bCs/>
                <w:color w:val="auto"/>
                <w:szCs w:val="21"/>
              </w:rPr>
            </w:pPr>
            <w:r>
              <w:rPr>
                <w:rFonts w:hint="eastAsia"/>
                <w:b/>
                <w:bCs/>
                <w:color w:val="auto"/>
                <w:szCs w:val="21"/>
              </w:rPr>
              <w:t>7.</w:t>
            </w:r>
            <w:r>
              <w:rPr>
                <w:rFonts w:hint="eastAsia"/>
                <w:b/>
                <w:bCs/>
                <w:color w:val="auto"/>
                <w:szCs w:val="21"/>
                <w:lang w:val="en-US" w:eastAsia="zh-CN"/>
              </w:rPr>
              <w:t>4</w:t>
            </w:r>
            <w:r>
              <w:rPr>
                <w:rFonts w:hint="eastAsia"/>
                <w:b/>
                <w:bCs/>
                <w:color w:val="auto"/>
                <w:szCs w:val="21"/>
              </w:rPr>
              <w:t>评价结论与建议</w:t>
            </w:r>
          </w:p>
          <w:p w14:paraId="09418DA4">
            <w:pPr>
              <w:spacing w:line="440" w:lineRule="exact"/>
              <w:ind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项目在严格落实环评提出各项措施和要求的前提下，该建设单位必须严格执行上述环境风险管理制度、认真落实各项风险防范措施，将对环境的风险降到最低；在上述前提下，本项目对环境的风险是可控的。</w:t>
            </w:r>
          </w:p>
          <w:p w14:paraId="3A34BA5D">
            <w:pPr>
              <w:pStyle w:val="22"/>
              <w:adjustRightInd w:val="0"/>
              <w:snapToGrid w:val="0"/>
              <w:spacing w:before="0" w:beforeAutospacing="0" w:after="0" w:afterAutospacing="0" w:line="440" w:lineRule="exact"/>
              <w:ind w:firstLine="422" w:firstLineChars="200"/>
              <w:rPr>
                <w:rFonts w:ascii="Times New Roman" w:hAnsi="Times New Roman"/>
                <w:b/>
                <w:color w:val="auto"/>
                <w:sz w:val="21"/>
                <w:szCs w:val="21"/>
                <w:highlight w:val="none"/>
              </w:rPr>
            </w:pPr>
            <w:r>
              <w:rPr>
                <w:rFonts w:hint="eastAsia" w:ascii="Times New Roman" w:hAnsi="Times New Roman"/>
                <w:b/>
                <w:color w:val="auto"/>
                <w:sz w:val="21"/>
                <w:szCs w:val="21"/>
                <w:highlight w:val="none"/>
              </w:rPr>
              <w:t>8.电磁辐射</w:t>
            </w:r>
          </w:p>
          <w:p w14:paraId="03A9BB1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Times New Roman" w:hAnsi="Times New Roman" w:eastAsia="宋体" w:cs="Times New Roman"/>
                <w:color w:val="auto"/>
                <w:szCs w:val="21"/>
              </w:rPr>
            </w:pPr>
            <w:r>
              <w:rPr>
                <w:rFonts w:hint="eastAsia" w:ascii="Times New Roman" w:hAnsi="Times New Roman" w:eastAsia="宋体" w:cs="Times New Roman"/>
                <w:color w:val="auto"/>
                <w:szCs w:val="21"/>
                <w:lang w:val="en-US" w:eastAsia="zh-CN"/>
              </w:rPr>
              <w:t>拟建</w:t>
            </w:r>
            <w:r>
              <w:rPr>
                <w:rFonts w:hint="eastAsia" w:ascii="Times New Roman" w:hAnsi="Times New Roman" w:eastAsia="宋体" w:cs="Times New Roman"/>
                <w:color w:val="auto"/>
                <w:szCs w:val="21"/>
              </w:rPr>
              <w:t>项目不涉及电磁辐射，无需开展电磁辐射评价。</w:t>
            </w:r>
          </w:p>
          <w:p w14:paraId="7389ECE3">
            <w:pPr>
              <w:pStyle w:val="6"/>
              <w:rPr>
                <w:rFonts w:hint="eastAsia"/>
                <w:color w:val="auto"/>
              </w:rPr>
            </w:pPr>
          </w:p>
          <w:p w14:paraId="4C2E46BA">
            <w:pPr>
              <w:spacing w:line="440" w:lineRule="exact"/>
              <w:ind w:firstLine="420" w:firstLineChars="200"/>
              <w:rPr>
                <w:color w:val="auto"/>
                <w:highlight w:val="none"/>
              </w:rPr>
            </w:pPr>
          </w:p>
          <w:p w14:paraId="4CABDAE1">
            <w:pPr>
              <w:pStyle w:val="6"/>
              <w:rPr>
                <w:color w:val="auto"/>
                <w:highlight w:val="none"/>
              </w:rPr>
            </w:pPr>
          </w:p>
          <w:p w14:paraId="22B19C1B">
            <w:pPr>
              <w:rPr>
                <w:color w:val="auto"/>
                <w:highlight w:val="none"/>
              </w:rPr>
            </w:pPr>
          </w:p>
          <w:p w14:paraId="53F20778">
            <w:pPr>
              <w:rPr>
                <w:color w:val="auto"/>
                <w:highlight w:val="none"/>
              </w:rPr>
            </w:pPr>
          </w:p>
          <w:p w14:paraId="6BD5B7FF">
            <w:pPr>
              <w:rPr>
                <w:color w:val="auto"/>
                <w:highlight w:val="none"/>
              </w:rPr>
            </w:pPr>
          </w:p>
          <w:p w14:paraId="231B6670">
            <w:pPr>
              <w:rPr>
                <w:color w:val="auto"/>
                <w:highlight w:val="none"/>
              </w:rPr>
            </w:pPr>
          </w:p>
          <w:p w14:paraId="54FA5F7B">
            <w:pPr>
              <w:rPr>
                <w:color w:val="auto"/>
                <w:highlight w:val="none"/>
              </w:rPr>
            </w:pPr>
          </w:p>
          <w:p w14:paraId="2AF767A1">
            <w:pPr>
              <w:rPr>
                <w:color w:val="auto"/>
                <w:highlight w:val="none"/>
              </w:rPr>
            </w:pPr>
          </w:p>
          <w:p w14:paraId="4F06BC1D">
            <w:pPr>
              <w:rPr>
                <w:color w:val="auto"/>
                <w:highlight w:val="none"/>
              </w:rPr>
            </w:pPr>
          </w:p>
          <w:p w14:paraId="08A244A5">
            <w:pPr>
              <w:rPr>
                <w:color w:val="auto"/>
                <w:highlight w:val="none"/>
              </w:rPr>
            </w:pPr>
          </w:p>
          <w:p w14:paraId="4A36E866">
            <w:pPr>
              <w:rPr>
                <w:color w:val="auto"/>
                <w:highlight w:val="none"/>
              </w:rPr>
            </w:pPr>
          </w:p>
          <w:p w14:paraId="38A8F041">
            <w:pPr>
              <w:rPr>
                <w:color w:val="auto"/>
                <w:highlight w:val="none"/>
              </w:rPr>
            </w:pPr>
          </w:p>
          <w:p w14:paraId="0C1B3C75">
            <w:pPr>
              <w:rPr>
                <w:color w:val="auto"/>
                <w:highlight w:val="none"/>
              </w:rPr>
            </w:pPr>
          </w:p>
          <w:p w14:paraId="11EEFB48">
            <w:pPr>
              <w:rPr>
                <w:color w:val="auto"/>
                <w:highlight w:val="none"/>
              </w:rPr>
            </w:pPr>
          </w:p>
          <w:p w14:paraId="3375AF76">
            <w:pPr>
              <w:rPr>
                <w:color w:val="auto"/>
                <w:highlight w:val="none"/>
              </w:rPr>
            </w:pPr>
          </w:p>
          <w:p w14:paraId="137C7F94">
            <w:pPr>
              <w:rPr>
                <w:color w:val="auto"/>
                <w:highlight w:val="none"/>
              </w:rPr>
            </w:pPr>
          </w:p>
          <w:p w14:paraId="1FEF9525">
            <w:pPr>
              <w:rPr>
                <w:color w:val="auto"/>
                <w:highlight w:val="none"/>
              </w:rPr>
            </w:pPr>
          </w:p>
          <w:p w14:paraId="2145F920">
            <w:pPr>
              <w:rPr>
                <w:color w:val="auto"/>
                <w:highlight w:val="none"/>
              </w:rPr>
            </w:pPr>
          </w:p>
          <w:p w14:paraId="77D0EC95">
            <w:pPr>
              <w:rPr>
                <w:color w:val="auto"/>
                <w:highlight w:val="none"/>
              </w:rPr>
            </w:pPr>
          </w:p>
          <w:p w14:paraId="3D4B4AFF">
            <w:pPr>
              <w:rPr>
                <w:color w:val="auto"/>
                <w:highlight w:val="none"/>
              </w:rPr>
            </w:pPr>
          </w:p>
          <w:p w14:paraId="6B8E62B4">
            <w:pPr>
              <w:rPr>
                <w:color w:val="auto"/>
                <w:highlight w:val="none"/>
              </w:rPr>
            </w:pPr>
          </w:p>
          <w:p w14:paraId="52E112A8">
            <w:pPr>
              <w:rPr>
                <w:color w:val="auto"/>
                <w:highlight w:val="none"/>
              </w:rPr>
            </w:pPr>
          </w:p>
          <w:p w14:paraId="64A27CF0">
            <w:pPr>
              <w:rPr>
                <w:color w:val="auto"/>
                <w:highlight w:val="none"/>
              </w:rPr>
            </w:pPr>
          </w:p>
          <w:p w14:paraId="1F8075D1">
            <w:pPr>
              <w:rPr>
                <w:color w:val="auto"/>
                <w:highlight w:val="none"/>
              </w:rPr>
            </w:pPr>
          </w:p>
          <w:p w14:paraId="48ABC1AA">
            <w:pPr>
              <w:rPr>
                <w:color w:val="auto"/>
                <w:highlight w:val="none"/>
              </w:rPr>
            </w:pPr>
          </w:p>
          <w:p w14:paraId="28609992">
            <w:pPr>
              <w:pStyle w:val="6"/>
              <w:rPr>
                <w:color w:val="auto"/>
                <w:highlight w:val="none"/>
              </w:rPr>
            </w:pPr>
          </w:p>
          <w:p w14:paraId="1C00FC23">
            <w:pPr>
              <w:spacing w:line="440" w:lineRule="exact"/>
              <w:ind w:firstLine="420" w:firstLineChars="200"/>
              <w:rPr>
                <w:color w:val="auto"/>
                <w:highlight w:val="none"/>
              </w:rPr>
            </w:pPr>
          </w:p>
        </w:tc>
      </w:tr>
    </w:tbl>
    <w:p w14:paraId="3720DB9A">
      <w:pPr>
        <w:adjustRightInd w:val="0"/>
        <w:snapToGrid w:val="0"/>
        <w:spacing w:line="360" w:lineRule="auto"/>
        <w:rPr>
          <w:rFonts w:ascii="宋体" w:cs="宋体"/>
          <w:b/>
          <w:color w:val="auto"/>
          <w:kern w:val="0"/>
          <w:sz w:val="28"/>
          <w:szCs w:val="28"/>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4CA941B8">
      <w:pPr>
        <w:pStyle w:val="22"/>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五、</w:t>
      </w:r>
      <w:bookmarkStart w:id="4" w:name="_Hlk54167917"/>
      <w:r>
        <w:rPr>
          <w:rFonts w:hint="eastAsia" w:ascii="黑体" w:hAnsi="黑体" w:eastAsia="黑体"/>
          <w:snapToGrid w:val="0"/>
          <w:color w:val="auto"/>
          <w:sz w:val="30"/>
          <w:szCs w:val="30"/>
          <w:highlight w:val="none"/>
        </w:rPr>
        <w:t>环境保护措施监督检查清单</w:t>
      </w:r>
      <w:bookmarkEnd w:id="4"/>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94"/>
        <w:gridCol w:w="669"/>
        <w:gridCol w:w="1368"/>
        <w:gridCol w:w="1248"/>
        <w:gridCol w:w="2014"/>
        <w:gridCol w:w="2207"/>
      </w:tblGrid>
      <w:tr w14:paraId="41C800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tcBorders>
              <w:tl2br w:val="single" w:color="auto" w:sz="4" w:space="0"/>
            </w:tcBorders>
          </w:tcPr>
          <w:p w14:paraId="4A17EC21">
            <w:pPr>
              <w:adjustRightInd w:val="0"/>
              <w:snapToGrid w:val="0"/>
              <w:ind w:firstLine="630" w:firstLineChars="300"/>
              <w:rPr>
                <w:color w:val="auto"/>
                <w:szCs w:val="21"/>
                <w:highlight w:val="none"/>
              </w:rPr>
            </w:pPr>
            <w:r>
              <w:rPr>
                <w:color w:val="auto"/>
                <w:szCs w:val="21"/>
                <w:highlight w:val="none"/>
              </w:rPr>
              <w:t>内容</w:t>
            </w:r>
          </w:p>
          <w:p w14:paraId="1D9D30A1">
            <w:pPr>
              <w:adjustRightInd w:val="0"/>
              <w:snapToGrid w:val="0"/>
              <w:rPr>
                <w:color w:val="auto"/>
                <w:szCs w:val="21"/>
                <w:highlight w:val="none"/>
              </w:rPr>
            </w:pPr>
            <w:r>
              <w:rPr>
                <w:color w:val="auto"/>
                <w:szCs w:val="21"/>
                <w:highlight w:val="none"/>
              </w:rPr>
              <w:t>要素</w:t>
            </w:r>
          </w:p>
        </w:tc>
        <w:tc>
          <w:tcPr>
            <w:tcW w:w="2037" w:type="dxa"/>
            <w:gridSpan w:val="2"/>
            <w:vAlign w:val="center"/>
          </w:tcPr>
          <w:p w14:paraId="2BFAF3F2">
            <w:pPr>
              <w:adjustRightInd w:val="0"/>
              <w:snapToGrid w:val="0"/>
              <w:jc w:val="center"/>
              <w:rPr>
                <w:color w:val="auto"/>
                <w:szCs w:val="21"/>
                <w:highlight w:val="none"/>
              </w:rPr>
            </w:pPr>
            <w:r>
              <w:rPr>
                <w:color w:val="auto"/>
                <w:szCs w:val="21"/>
                <w:highlight w:val="none"/>
              </w:rPr>
              <w:t>排放口(编号、名称)/污染源</w:t>
            </w:r>
          </w:p>
        </w:tc>
        <w:tc>
          <w:tcPr>
            <w:tcW w:w="1248" w:type="dxa"/>
            <w:vAlign w:val="center"/>
          </w:tcPr>
          <w:p w14:paraId="0B44D782">
            <w:pPr>
              <w:adjustRightInd w:val="0"/>
              <w:snapToGrid w:val="0"/>
              <w:jc w:val="center"/>
              <w:rPr>
                <w:color w:val="auto"/>
                <w:szCs w:val="21"/>
                <w:highlight w:val="none"/>
              </w:rPr>
            </w:pPr>
            <w:r>
              <w:rPr>
                <w:color w:val="auto"/>
                <w:szCs w:val="21"/>
                <w:highlight w:val="none"/>
              </w:rPr>
              <w:t>污染物项目</w:t>
            </w:r>
          </w:p>
        </w:tc>
        <w:tc>
          <w:tcPr>
            <w:tcW w:w="2014" w:type="dxa"/>
            <w:vAlign w:val="center"/>
          </w:tcPr>
          <w:p w14:paraId="0BE50CCF">
            <w:pPr>
              <w:adjustRightInd w:val="0"/>
              <w:snapToGrid w:val="0"/>
              <w:jc w:val="center"/>
              <w:rPr>
                <w:color w:val="auto"/>
                <w:szCs w:val="21"/>
                <w:highlight w:val="none"/>
              </w:rPr>
            </w:pPr>
            <w:r>
              <w:rPr>
                <w:color w:val="auto"/>
                <w:szCs w:val="21"/>
                <w:highlight w:val="none"/>
              </w:rPr>
              <w:t>环境保护措施</w:t>
            </w:r>
          </w:p>
        </w:tc>
        <w:tc>
          <w:tcPr>
            <w:tcW w:w="2207" w:type="dxa"/>
            <w:vAlign w:val="center"/>
          </w:tcPr>
          <w:p w14:paraId="10D21728">
            <w:pPr>
              <w:adjustRightInd w:val="0"/>
              <w:snapToGrid w:val="0"/>
              <w:jc w:val="center"/>
              <w:rPr>
                <w:color w:val="auto"/>
                <w:szCs w:val="21"/>
                <w:highlight w:val="none"/>
              </w:rPr>
            </w:pPr>
            <w:r>
              <w:rPr>
                <w:color w:val="auto"/>
                <w:szCs w:val="21"/>
                <w:highlight w:val="none"/>
              </w:rPr>
              <w:t>执行标准</w:t>
            </w:r>
          </w:p>
        </w:tc>
      </w:tr>
      <w:tr w14:paraId="1452F1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3" w:hRule="atLeast"/>
          <w:jc w:val="center"/>
        </w:trPr>
        <w:tc>
          <w:tcPr>
            <w:tcW w:w="1294" w:type="dxa"/>
            <w:vMerge w:val="restart"/>
            <w:vAlign w:val="center"/>
          </w:tcPr>
          <w:p w14:paraId="71A97DE0">
            <w:pPr>
              <w:adjustRightInd w:val="0"/>
              <w:snapToGrid w:val="0"/>
              <w:jc w:val="center"/>
              <w:rPr>
                <w:color w:val="auto"/>
                <w:szCs w:val="21"/>
                <w:highlight w:val="none"/>
              </w:rPr>
            </w:pPr>
            <w:r>
              <w:rPr>
                <w:color w:val="auto"/>
                <w:szCs w:val="21"/>
                <w:highlight w:val="none"/>
              </w:rPr>
              <w:t>大气环境</w:t>
            </w:r>
          </w:p>
        </w:tc>
        <w:tc>
          <w:tcPr>
            <w:tcW w:w="669" w:type="dxa"/>
            <w:vAlign w:val="center"/>
          </w:tcPr>
          <w:p w14:paraId="049DB42D">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有组织</w:t>
            </w:r>
          </w:p>
        </w:tc>
        <w:tc>
          <w:tcPr>
            <w:tcW w:w="1368" w:type="dxa"/>
            <w:vAlign w:val="center"/>
          </w:tcPr>
          <w:p w14:paraId="050300DA">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无机处理、有机处理及实验过程（理化一室、理化二室、测油室、离子色谱室、气质一室、气质二室、色谱室、半挥发前处理室）</w:t>
            </w:r>
          </w:p>
        </w:tc>
        <w:tc>
          <w:tcPr>
            <w:tcW w:w="1248" w:type="dxa"/>
            <w:vAlign w:val="center"/>
          </w:tcPr>
          <w:p w14:paraId="2A9CE839">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p w14:paraId="51159C85">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p w14:paraId="4D41D627">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2014" w:type="dxa"/>
            <w:vAlign w:val="center"/>
          </w:tcPr>
          <w:p w14:paraId="61427F20">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废气经通风橱与万向罩收集后经1套两级活性炭吸附装置（10000m</w:t>
            </w:r>
            <w:r>
              <w:rPr>
                <w:rFonts w:hint="eastAsia" w:cs="Times New Roman"/>
                <w:color w:val="auto"/>
                <w:spacing w:val="-20"/>
                <w:kern w:val="2"/>
                <w:sz w:val="18"/>
                <w:szCs w:val="18"/>
                <w:highlight w:val="none"/>
                <w:vertAlign w:val="superscript"/>
                <w:lang w:val="en-US" w:eastAsia="zh-CN" w:bidi="ar-SA"/>
              </w:rPr>
              <w:t>3</w:t>
            </w:r>
            <w:r>
              <w:rPr>
                <w:rFonts w:hint="eastAsia" w:cs="Times New Roman"/>
                <w:color w:val="auto"/>
                <w:spacing w:val="-20"/>
                <w:kern w:val="2"/>
                <w:sz w:val="18"/>
                <w:szCs w:val="18"/>
                <w:highlight w:val="none"/>
                <w:lang w:val="en-US" w:eastAsia="zh-CN" w:bidi="ar-SA"/>
              </w:rPr>
              <w:t>/h）净化后，通过20m高排放气筒（DA001）排放</w:t>
            </w:r>
          </w:p>
        </w:tc>
        <w:tc>
          <w:tcPr>
            <w:tcW w:w="2207" w:type="dxa"/>
            <w:vAlign w:val="center"/>
          </w:tcPr>
          <w:p w14:paraId="480E75A5">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 xml:space="preserve"> 《大气污染物综合排放标准》（GB16297-1996）、《工业企业挥发性有机物排放控制标准》（DB13/2322-2016）</w:t>
            </w:r>
          </w:p>
        </w:tc>
      </w:tr>
      <w:tr w14:paraId="2FBDB3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1294" w:type="dxa"/>
            <w:vMerge w:val="continue"/>
            <w:vAlign w:val="center"/>
          </w:tcPr>
          <w:p w14:paraId="03C12327">
            <w:pPr>
              <w:adjustRightInd w:val="0"/>
              <w:snapToGrid w:val="0"/>
              <w:jc w:val="center"/>
              <w:rPr>
                <w:color w:val="auto"/>
                <w:szCs w:val="21"/>
                <w:highlight w:val="none"/>
              </w:rPr>
            </w:pPr>
          </w:p>
        </w:tc>
        <w:tc>
          <w:tcPr>
            <w:tcW w:w="669" w:type="dxa"/>
            <w:vMerge w:val="restart"/>
            <w:vAlign w:val="center"/>
          </w:tcPr>
          <w:p w14:paraId="61BD7704">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无组织</w:t>
            </w:r>
          </w:p>
        </w:tc>
        <w:tc>
          <w:tcPr>
            <w:tcW w:w="1368" w:type="dxa"/>
            <w:vAlign w:val="center"/>
          </w:tcPr>
          <w:p w14:paraId="7AA3E8F6">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土壤破碎、研磨</w:t>
            </w:r>
          </w:p>
        </w:tc>
        <w:tc>
          <w:tcPr>
            <w:tcW w:w="1248" w:type="dxa"/>
            <w:vAlign w:val="center"/>
          </w:tcPr>
          <w:p w14:paraId="0F2FD408">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颗粒物</w:t>
            </w:r>
          </w:p>
        </w:tc>
        <w:tc>
          <w:tcPr>
            <w:tcW w:w="2014" w:type="dxa"/>
            <w:vAlign w:val="center"/>
          </w:tcPr>
          <w:p w14:paraId="254652B0">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规范操作，颗粒物经破碎间沉降后无组织排放</w:t>
            </w:r>
          </w:p>
        </w:tc>
        <w:tc>
          <w:tcPr>
            <w:tcW w:w="2207" w:type="dxa"/>
            <w:vMerge w:val="restart"/>
            <w:vAlign w:val="center"/>
          </w:tcPr>
          <w:p w14:paraId="4342FAD5">
            <w:pPr>
              <w:snapToGrid w:val="0"/>
              <w:spacing w:line="220" w:lineRule="exact"/>
              <w:jc w:val="center"/>
              <w:rPr>
                <w:rFonts w:hint="default" w:ascii="Times New Roman" w:hAnsi="Times New Roman" w:eastAsia="宋体" w:cs="Times New Roman"/>
                <w:color w:val="auto"/>
                <w:spacing w:val="-20"/>
                <w:kern w:val="2"/>
                <w:sz w:val="18"/>
                <w:szCs w:val="18"/>
                <w:highlight w:val="none"/>
                <w:lang w:val="en-US" w:eastAsia="zh-CN" w:bidi="ar-SA"/>
              </w:rPr>
            </w:pPr>
            <w:r>
              <w:rPr>
                <w:rFonts w:hint="eastAsia" w:ascii="Times New Roman" w:hAnsi="Times New Roman" w:eastAsia="宋体" w:cs="Times New Roman"/>
                <w:color w:val="auto"/>
                <w:spacing w:val="-20"/>
                <w:kern w:val="2"/>
                <w:sz w:val="18"/>
                <w:szCs w:val="18"/>
                <w:highlight w:val="none"/>
                <w:lang w:val="en-US" w:eastAsia="zh-CN" w:bidi="ar-SA"/>
              </w:rPr>
              <w:t>《工业企业挥发性有机物排放控制标准》（DB13/2322-2016）、《大气污染物综合排放标准》（GB16297-1996）、《挥发性有机物无组织排放控制标准》（GB37822-2019）</w:t>
            </w:r>
          </w:p>
        </w:tc>
      </w:tr>
      <w:tr w14:paraId="3E1D0F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294" w:type="dxa"/>
            <w:vMerge w:val="continue"/>
            <w:vAlign w:val="center"/>
          </w:tcPr>
          <w:p w14:paraId="49BD664D">
            <w:pPr>
              <w:adjustRightInd w:val="0"/>
              <w:snapToGrid w:val="0"/>
              <w:jc w:val="center"/>
              <w:rPr>
                <w:color w:val="auto"/>
                <w:szCs w:val="21"/>
                <w:highlight w:val="none"/>
              </w:rPr>
            </w:pPr>
          </w:p>
        </w:tc>
        <w:tc>
          <w:tcPr>
            <w:tcW w:w="669" w:type="dxa"/>
            <w:vMerge w:val="continue"/>
            <w:vAlign w:val="center"/>
          </w:tcPr>
          <w:p w14:paraId="3EE4282E">
            <w:pPr>
              <w:snapToGrid w:val="0"/>
              <w:spacing w:line="220" w:lineRule="exact"/>
              <w:jc w:val="center"/>
              <w:rPr>
                <w:rFonts w:hint="eastAsia" w:cs="Times New Roman"/>
                <w:color w:val="auto"/>
                <w:spacing w:val="-20"/>
                <w:kern w:val="2"/>
                <w:sz w:val="18"/>
                <w:szCs w:val="18"/>
                <w:highlight w:val="none"/>
                <w:lang w:val="en-US" w:eastAsia="zh-CN" w:bidi="ar-SA"/>
              </w:rPr>
            </w:pPr>
          </w:p>
        </w:tc>
        <w:tc>
          <w:tcPr>
            <w:tcW w:w="1368" w:type="dxa"/>
            <w:vAlign w:val="center"/>
          </w:tcPr>
          <w:p w14:paraId="35D06DA4">
            <w:pPr>
              <w:jc w:val="center"/>
              <w:rPr>
                <w:rFonts w:hint="default" w:cs="Times New Roman"/>
                <w:color w:val="auto"/>
                <w:spacing w:val="-20"/>
                <w:kern w:val="2"/>
                <w:sz w:val="18"/>
                <w:szCs w:val="18"/>
                <w:highlight w:val="none"/>
                <w:lang w:val="en-US" w:eastAsia="zh-CN" w:bidi="ar-SA"/>
              </w:rPr>
            </w:pPr>
            <w:r>
              <w:rPr>
                <w:rFonts w:hint="eastAsia" w:cs="Times New Roman"/>
                <w:color w:val="auto"/>
                <w:spacing w:val="-10"/>
                <w:sz w:val="18"/>
                <w:szCs w:val="18"/>
                <w:highlight w:val="none"/>
                <w:lang w:val="en-US" w:eastAsia="zh-CN"/>
              </w:rPr>
              <w:t>受捕集效率影响未被收集的废气</w:t>
            </w:r>
          </w:p>
        </w:tc>
        <w:tc>
          <w:tcPr>
            <w:tcW w:w="1248" w:type="dxa"/>
            <w:vAlign w:val="center"/>
          </w:tcPr>
          <w:p w14:paraId="6B674F6E">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HCl</w:t>
            </w:r>
          </w:p>
          <w:p w14:paraId="4B502C92">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硫酸雾</w:t>
            </w:r>
          </w:p>
          <w:p w14:paraId="3763A170">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2014" w:type="dxa"/>
            <w:vAlign w:val="center"/>
          </w:tcPr>
          <w:p w14:paraId="73D1539A">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规范操作，加强有组织收集</w:t>
            </w:r>
          </w:p>
        </w:tc>
        <w:tc>
          <w:tcPr>
            <w:tcW w:w="2207" w:type="dxa"/>
            <w:vMerge w:val="continue"/>
            <w:vAlign w:val="center"/>
          </w:tcPr>
          <w:p w14:paraId="38911FA8">
            <w:pPr>
              <w:snapToGrid w:val="0"/>
              <w:spacing w:line="220" w:lineRule="exact"/>
              <w:jc w:val="center"/>
              <w:rPr>
                <w:rFonts w:hint="eastAsia" w:ascii="Times New Roman" w:hAnsi="Times New Roman" w:eastAsia="宋体" w:cs="Times New Roman"/>
                <w:color w:val="auto"/>
                <w:spacing w:val="-20"/>
                <w:kern w:val="2"/>
                <w:sz w:val="18"/>
                <w:szCs w:val="18"/>
                <w:highlight w:val="none"/>
                <w:lang w:val="en-US" w:eastAsia="zh-CN" w:bidi="ar-SA"/>
              </w:rPr>
            </w:pPr>
          </w:p>
        </w:tc>
      </w:tr>
      <w:tr w14:paraId="18CA3A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restart"/>
            <w:vAlign w:val="center"/>
          </w:tcPr>
          <w:p w14:paraId="4A34E36A">
            <w:pPr>
              <w:adjustRightInd w:val="0"/>
              <w:snapToGrid w:val="0"/>
              <w:jc w:val="center"/>
              <w:rPr>
                <w:color w:val="auto"/>
                <w:szCs w:val="21"/>
                <w:highlight w:val="none"/>
              </w:rPr>
            </w:pPr>
            <w:r>
              <w:rPr>
                <w:color w:val="auto"/>
                <w:szCs w:val="21"/>
                <w:highlight w:val="none"/>
              </w:rPr>
              <w:t>地表水环境</w:t>
            </w:r>
          </w:p>
        </w:tc>
        <w:tc>
          <w:tcPr>
            <w:tcW w:w="2037" w:type="dxa"/>
            <w:gridSpan w:val="2"/>
            <w:shd w:val="clear" w:color="auto" w:fill="auto"/>
            <w:vAlign w:val="center"/>
          </w:tcPr>
          <w:p w14:paraId="3431D140">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器皿后续清洗废水</w:t>
            </w:r>
          </w:p>
        </w:tc>
        <w:tc>
          <w:tcPr>
            <w:tcW w:w="1248" w:type="dxa"/>
            <w:vMerge w:val="restart"/>
            <w:vAlign w:val="center"/>
          </w:tcPr>
          <w:p w14:paraId="23F1A6CE">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r>
              <w:rPr>
                <w:rFonts w:hint="default" w:cs="Times New Roman"/>
                <w:color w:val="auto"/>
                <w:spacing w:val="-20"/>
                <w:kern w:val="2"/>
                <w:sz w:val="18"/>
                <w:szCs w:val="18"/>
                <w:highlight w:val="none"/>
                <w:lang w:val="en-US" w:eastAsia="zh-CN" w:bidi="ar-SA"/>
              </w:rPr>
              <w:t>COD、BOD</w:t>
            </w:r>
            <w:r>
              <w:rPr>
                <w:rFonts w:hint="default" w:cs="Times New Roman"/>
                <w:color w:val="auto"/>
                <w:spacing w:val="-20"/>
                <w:kern w:val="2"/>
                <w:sz w:val="18"/>
                <w:szCs w:val="18"/>
                <w:highlight w:val="none"/>
                <w:vertAlign w:val="subscript"/>
                <w:lang w:val="en-US" w:eastAsia="zh-CN" w:bidi="ar-SA"/>
              </w:rPr>
              <w:t>5</w:t>
            </w:r>
            <w:r>
              <w:rPr>
                <w:rFonts w:hint="default" w:cs="Times New Roman"/>
                <w:color w:val="auto"/>
                <w:spacing w:val="-20"/>
                <w:kern w:val="2"/>
                <w:sz w:val="18"/>
                <w:szCs w:val="18"/>
                <w:highlight w:val="none"/>
                <w:lang w:val="en-US" w:eastAsia="zh-CN" w:bidi="ar-SA"/>
              </w:rPr>
              <w:t>、氨氮、SS</w:t>
            </w:r>
            <w:r>
              <w:rPr>
                <w:rFonts w:hint="eastAsia" w:cs="Times New Roman"/>
                <w:color w:val="auto"/>
                <w:spacing w:val="-20"/>
                <w:kern w:val="2"/>
                <w:sz w:val="18"/>
                <w:szCs w:val="18"/>
                <w:highlight w:val="none"/>
                <w:lang w:val="en-US" w:eastAsia="zh-CN" w:bidi="ar-SA"/>
              </w:rPr>
              <w:t>、总磷</w:t>
            </w:r>
          </w:p>
        </w:tc>
        <w:tc>
          <w:tcPr>
            <w:tcW w:w="2014" w:type="dxa"/>
            <w:vMerge w:val="restart"/>
            <w:vAlign w:val="center"/>
          </w:tcPr>
          <w:p w14:paraId="3891EC71">
            <w:pPr>
              <w:snapToGrid w:val="0"/>
              <w:spacing w:line="220" w:lineRule="exact"/>
              <w:jc w:val="center"/>
              <w:rPr>
                <w:rFonts w:hint="default"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后续清洗废水、器皿纯水清洗废水及未用于加药检测的不含有第一类污染物及重金属的外来企业样品废水经酸碱中和后与纯水制备废水、水浴锅排污水、压力蒸汽灭菌器排污水、恒温恒湿室废水、地面清洗废水、职工生活污水一并经化粪池处理后排入迁安市污水处理厂进行处理</w:t>
            </w:r>
          </w:p>
        </w:tc>
        <w:tc>
          <w:tcPr>
            <w:tcW w:w="2207" w:type="dxa"/>
            <w:vMerge w:val="restart"/>
            <w:vAlign w:val="center"/>
          </w:tcPr>
          <w:p w14:paraId="24B46BA0">
            <w:pPr>
              <w:snapToGrid w:val="0"/>
              <w:spacing w:line="220" w:lineRule="exact"/>
              <w:jc w:val="center"/>
              <w:rPr>
                <w:rFonts w:hint="eastAsia" w:cs="Times New Roman"/>
                <w:color w:val="auto"/>
                <w:spacing w:val="-20"/>
                <w:kern w:val="2"/>
                <w:sz w:val="18"/>
                <w:szCs w:val="18"/>
                <w:highlight w:val="none"/>
                <w:lang w:val="en-US" w:eastAsia="zh-CN" w:bidi="ar-SA"/>
              </w:rPr>
            </w:pPr>
            <w:r>
              <w:rPr>
                <w:rFonts w:hint="default" w:cs="Times New Roman"/>
                <w:color w:val="auto"/>
                <w:spacing w:val="-20"/>
                <w:kern w:val="2"/>
                <w:sz w:val="18"/>
                <w:szCs w:val="18"/>
                <w:highlight w:val="none"/>
                <w:lang w:val="en-US" w:eastAsia="zh-CN" w:bidi="ar-SA"/>
              </w:rPr>
              <w:t>《污水综合排放标准》（GB8978-1996）</w:t>
            </w:r>
            <w:r>
              <w:rPr>
                <w:rFonts w:hint="eastAsia" w:cs="Times New Roman"/>
                <w:color w:val="auto"/>
                <w:spacing w:val="-20"/>
                <w:kern w:val="2"/>
                <w:sz w:val="18"/>
                <w:szCs w:val="18"/>
                <w:highlight w:val="none"/>
                <w:lang w:val="en-US" w:eastAsia="zh-CN" w:bidi="ar-SA"/>
              </w:rPr>
              <w:t>、</w:t>
            </w:r>
            <w:r>
              <w:rPr>
                <w:rFonts w:hint="default" w:cs="Times New Roman"/>
                <w:color w:val="auto"/>
                <w:spacing w:val="-20"/>
                <w:kern w:val="2"/>
                <w:sz w:val="18"/>
                <w:szCs w:val="18"/>
                <w:highlight w:val="none"/>
                <w:lang w:val="en-US" w:eastAsia="zh-CN" w:bidi="ar-SA"/>
              </w:rPr>
              <w:t>《污水排入城镇下水道水质标准》（GB/T 31962-2015）</w:t>
            </w:r>
            <w:r>
              <w:rPr>
                <w:rFonts w:hint="eastAsia" w:cs="Times New Roman"/>
                <w:color w:val="auto"/>
                <w:spacing w:val="-20"/>
                <w:kern w:val="2"/>
                <w:sz w:val="18"/>
                <w:szCs w:val="18"/>
                <w:highlight w:val="none"/>
                <w:lang w:val="en-US" w:eastAsia="zh-CN" w:bidi="ar-SA"/>
              </w:rPr>
              <w:t>及</w:t>
            </w:r>
            <w:r>
              <w:rPr>
                <w:rFonts w:hint="default" w:ascii="Times New Roman" w:hAnsi="Times New Roman" w:cs="Times New Roman" w:eastAsiaTheme="minorEastAsia"/>
                <w:color w:val="auto"/>
                <w:spacing w:val="-20"/>
                <w:sz w:val="18"/>
                <w:szCs w:val="18"/>
              </w:rPr>
              <w:t>迁安</w:t>
            </w:r>
            <w:r>
              <w:rPr>
                <w:rFonts w:hint="eastAsia" w:cs="Times New Roman" w:eastAsiaTheme="minorEastAsia"/>
                <w:color w:val="auto"/>
                <w:spacing w:val="-20"/>
                <w:sz w:val="18"/>
                <w:szCs w:val="18"/>
                <w:lang w:val="en-US" w:eastAsia="zh-CN"/>
              </w:rPr>
              <w:t>市</w:t>
            </w:r>
            <w:r>
              <w:rPr>
                <w:rFonts w:hint="default" w:ascii="Times New Roman" w:hAnsi="Times New Roman" w:cs="Times New Roman" w:eastAsiaTheme="minorEastAsia"/>
                <w:color w:val="auto"/>
                <w:spacing w:val="-20"/>
                <w:sz w:val="18"/>
                <w:szCs w:val="18"/>
              </w:rPr>
              <w:t>污水处理厂</w:t>
            </w:r>
            <w:r>
              <w:rPr>
                <w:rFonts w:hint="default" w:cs="Times New Roman"/>
                <w:color w:val="auto"/>
                <w:spacing w:val="-20"/>
                <w:kern w:val="2"/>
                <w:sz w:val="18"/>
                <w:szCs w:val="18"/>
                <w:highlight w:val="none"/>
                <w:lang w:val="en-US" w:eastAsia="zh-CN" w:bidi="ar-SA"/>
              </w:rPr>
              <w:t>的收水水质标准</w:t>
            </w:r>
          </w:p>
        </w:tc>
      </w:tr>
      <w:tr w14:paraId="6D4DBB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7F9588EA">
            <w:pPr>
              <w:adjustRightInd w:val="0"/>
              <w:snapToGrid w:val="0"/>
              <w:jc w:val="center"/>
              <w:rPr>
                <w:color w:val="auto"/>
                <w:szCs w:val="21"/>
                <w:highlight w:val="none"/>
              </w:rPr>
            </w:pPr>
          </w:p>
        </w:tc>
        <w:tc>
          <w:tcPr>
            <w:tcW w:w="2037" w:type="dxa"/>
            <w:gridSpan w:val="2"/>
            <w:shd w:val="clear" w:color="auto" w:fill="auto"/>
            <w:vAlign w:val="center"/>
          </w:tcPr>
          <w:p w14:paraId="4E8F0653">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器皿纯水清洗废水</w:t>
            </w:r>
          </w:p>
        </w:tc>
        <w:tc>
          <w:tcPr>
            <w:tcW w:w="1248" w:type="dxa"/>
            <w:vMerge w:val="continue"/>
            <w:vAlign w:val="center"/>
          </w:tcPr>
          <w:p w14:paraId="0552E4D1">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19C2F74A">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58B8600D">
            <w:pPr>
              <w:snapToGrid w:val="0"/>
              <w:spacing w:line="220" w:lineRule="exact"/>
              <w:jc w:val="center"/>
              <w:rPr>
                <w:rFonts w:hint="default" w:ascii="Times New Roman" w:hAnsi="Times New Roman" w:cs="Times New Roman"/>
                <w:color w:val="auto"/>
                <w:spacing w:val="0"/>
                <w:sz w:val="18"/>
                <w:szCs w:val="18"/>
              </w:rPr>
            </w:pPr>
          </w:p>
        </w:tc>
      </w:tr>
      <w:tr w14:paraId="1BE522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continue"/>
            <w:vAlign w:val="center"/>
          </w:tcPr>
          <w:p w14:paraId="252D9A79">
            <w:pPr>
              <w:adjustRightInd w:val="0"/>
              <w:snapToGrid w:val="0"/>
              <w:jc w:val="center"/>
              <w:rPr>
                <w:color w:val="auto"/>
                <w:szCs w:val="21"/>
                <w:highlight w:val="none"/>
              </w:rPr>
            </w:pPr>
          </w:p>
        </w:tc>
        <w:tc>
          <w:tcPr>
            <w:tcW w:w="2037" w:type="dxa"/>
            <w:gridSpan w:val="2"/>
            <w:shd w:val="clear" w:color="auto" w:fill="auto"/>
            <w:vAlign w:val="center"/>
          </w:tcPr>
          <w:p w14:paraId="4F22067B">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未用于加药检测的不含有第一类污染物及重金属的外来企业样品废水</w:t>
            </w:r>
          </w:p>
        </w:tc>
        <w:tc>
          <w:tcPr>
            <w:tcW w:w="1248" w:type="dxa"/>
            <w:vMerge w:val="continue"/>
            <w:vAlign w:val="center"/>
          </w:tcPr>
          <w:p w14:paraId="49307DB9">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0876E7A1">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6424162B">
            <w:pPr>
              <w:snapToGrid w:val="0"/>
              <w:spacing w:line="220" w:lineRule="exact"/>
              <w:jc w:val="center"/>
              <w:rPr>
                <w:rFonts w:hint="default" w:ascii="Times New Roman" w:hAnsi="Times New Roman" w:cs="Times New Roman"/>
                <w:color w:val="auto"/>
                <w:spacing w:val="0"/>
                <w:sz w:val="18"/>
                <w:szCs w:val="18"/>
              </w:rPr>
            </w:pPr>
          </w:p>
        </w:tc>
      </w:tr>
      <w:tr w14:paraId="70777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6A1C08F3">
            <w:pPr>
              <w:adjustRightInd w:val="0"/>
              <w:snapToGrid w:val="0"/>
              <w:jc w:val="center"/>
              <w:rPr>
                <w:color w:val="auto"/>
                <w:szCs w:val="21"/>
                <w:highlight w:val="none"/>
              </w:rPr>
            </w:pPr>
          </w:p>
        </w:tc>
        <w:tc>
          <w:tcPr>
            <w:tcW w:w="2037" w:type="dxa"/>
            <w:gridSpan w:val="2"/>
            <w:shd w:val="clear" w:color="auto" w:fill="auto"/>
            <w:vAlign w:val="center"/>
          </w:tcPr>
          <w:p w14:paraId="2DC84888">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纯水制备废水</w:t>
            </w:r>
          </w:p>
        </w:tc>
        <w:tc>
          <w:tcPr>
            <w:tcW w:w="1248" w:type="dxa"/>
            <w:vMerge w:val="restart"/>
            <w:vAlign w:val="center"/>
          </w:tcPr>
          <w:p w14:paraId="2777AA5F">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7685B2A6">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2FFF48B5">
            <w:pPr>
              <w:snapToGrid w:val="0"/>
              <w:spacing w:line="220" w:lineRule="exact"/>
              <w:jc w:val="center"/>
              <w:rPr>
                <w:rFonts w:hint="default" w:ascii="Times New Roman" w:hAnsi="Times New Roman" w:cs="Times New Roman"/>
                <w:color w:val="auto"/>
                <w:spacing w:val="0"/>
                <w:sz w:val="18"/>
                <w:szCs w:val="18"/>
              </w:rPr>
            </w:pPr>
          </w:p>
        </w:tc>
      </w:tr>
      <w:tr w14:paraId="268352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313B5D62">
            <w:pPr>
              <w:adjustRightInd w:val="0"/>
              <w:snapToGrid w:val="0"/>
              <w:jc w:val="center"/>
              <w:rPr>
                <w:color w:val="auto"/>
                <w:szCs w:val="21"/>
                <w:highlight w:val="none"/>
              </w:rPr>
            </w:pPr>
          </w:p>
        </w:tc>
        <w:tc>
          <w:tcPr>
            <w:tcW w:w="2037" w:type="dxa"/>
            <w:gridSpan w:val="2"/>
            <w:shd w:val="clear" w:color="auto" w:fill="auto"/>
            <w:vAlign w:val="center"/>
          </w:tcPr>
          <w:p w14:paraId="76FB24E6">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水浴锅排污水</w:t>
            </w:r>
          </w:p>
        </w:tc>
        <w:tc>
          <w:tcPr>
            <w:tcW w:w="1248" w:type="dxa"/>
            <w:vMerge w:val="continue"/>
            <w:vAlign w:val="center"/>
          </w:tcPr>
          <w:p w14:paraId="5B5D8A1F">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17261016">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287DD806">
            <w:pPr>
              <w:snapToGrid w:val="0"/>
              <w:spacing w:line="220" w:lineRule="exact"/>
              <w:jc w:val="center"/>
              <w:rPr>
                <w:rFonts w:hint="default" w:ascii="Times New Roman" w:hAnsi="Times New Roman" w:cs="Times New Roman"/>
                <w:color w:val="auto"/>
                <w:spacing w:val="0"/>
                <w:sz w:val="18"/>
                <w:szCs w:val="18"/>
              </w:rPr>
            </w:pPr>
          </w:p>
        </w:tc>
      </w:tr>
      <w:tr w14:paraId="4F9E4F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00C83354">
            <w:pPr>
              <w:adjustRightInd w:val="0"/>
              <w:snapToGrid w:val="0"/>
              <w:jc w:val="center"/>
              <w:rPr>
                <w:color w:val="auto"/>
                <w:szCs w:val="21"/>
                <w:highlight w:val="none"/>
              </w:rPr>
            </w:pPr>
          </w:p>
        </w:tc>
        <w:tc>
          <w:tcPr>
            <w:tcW w:w="2037" w:type="dxa"/>
            <w:gridSpan w:val="2"/>
            <w:shd w:val="clear" w:color="auto" w:fill="auto"/>
            <w:vAlign w:val="center"/>
          </w:tcPr>
          <w:p w14:paraId="7E094BE7">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压力蒸汽灭菌器排污水</w:t>
            </w:r>
          </w:p>
        </w:tc>
        <w:tc>
          <w:tcPr>
            <w:tcW w:w="1248" w:type="dxa"/>
            <w:vMerge w:val="continue"/>
            <w:vAlign w:val="center"/>
          </w:tcPr>
          <w:p w14:paraId="0A2F55EF">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3B31C347">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68A89175">
            <w:pPr>
              <w:snapToGrid w:val="0"/>
              <w:spacing w:line="220" w:lineRule="exact"/>
              <w:jc w:val="center"/>
              <w:rPr>
                <w:rFonts w:hint="default" w:ascii="Times New Roman" w:hAnsi="Times New Roman" w:cs="Times New Roman"/>
                <w:color w:val="auto"/>
                <w:spacing w:val="0"/>
                <w:sz w:val="18"/>
                <w:szCs w:val="18"/>
              </w:rPr>
            </w:pPr>
          </w:p>
        </w:tc>
      </w:tr>
      <w:tr w14:paraId="03BE51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294" w:type="dxa"/>
            <w:vMerge w:val="continue"/>
            <w:vAlign w:val="center"/>
          </w:tcPr>
          <w:p w14:paraId="6CFE3D33">
            <w:pPr>
              <w:adjustRightInd w:val="0"/>
              <w:snapToGrid w:val="0"/>
              <w:jc w:val="center"/>
              <w:rPr>
                <w:color w:val="auto"/>
                <w:szCs w:val="21"/>
                <w:highlight w:val="none"/>
              </w:rPr>
            </w:pPr>
          </w:p>
        </w:tc>
        <w:tc>
          <w:tcPr>
            <w:tcW w:w="2037" w:type="dxa"/>
            <w:gridSpan w:val="2"/>
            <w:shd w:val="clear" w:color="auto" w:fill="auto"/>
            <w:vAlign w:val="center"/>
          </w:tcPr>
          <w:p w14:paraId="319D3E40">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恒温恒湿室废水</w:t>
            </w:r>
          </w:p>
        </w:tc>
        <w:tc>
          <w:tcPr>
            <w:tcW w:w="1248" w:type="dxa"/>
            <w:vMerge w:val="continue"/>
            <w:vAlign w:val="center"/>
          </w:tcPr>
          <w:p w14:paraId="21970E81">
            <w:pPr>
              <w:snapToGrid w:val="0"/>
              <w:spacing w:line="220" w:lineRule="exact"/>
              <w:jc w:val="center"/>
              <w:rPr>
                <w:rFonts w:hint="eastAsia" w:cs="Times New Roman"/>
                <w:color w:val="auto"/>
                <w:spacing w:val="-20"/>
                <w:kern w:val="2"/>
                <w:sz w:val="18"/>
                <w:szCs w:val="18"/>
                <w:highlight w:val="none"/>
                <w:lang w:val="en-US" w:eastAsia="zh-CN" w:bidi="ar-SA"/>
              </w:rPr>
            </w:pPr>
          </w:p>
        </w:tc>
        <w:tc>
          <w:tcPr>
            <w:tcW w:w="2014" w:type="dxa"/>
            <w:vMerge w:val="continue"/>
            <w:vAlign w:val="center"/>
          </w:tcPr>
          <w:p w14:paraId="1DBC63D4">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6D747812">
            <w:pPr>
              <w:snapToGrid w:val="0"/>
              <w:spacing w:line="220" w:lineRule="exact"/>
              <w:jc w:val="center"/>
              <w:rPr>
                <w:rFonts w:hint="default" w:ascii="Times New Roman" w:hAnsi="Times New Roman" w:cs="Times New Roman"/>
                <w:color w:val="auto"/>
                <w:spacing w:val="0"/>
                <w:sz w:val="18"/>
                <w:szCs w:val="18"/>
              </w:rPr>
            </w:pPr>
          </w:p>
        </w:tc>
      </w:tr>
      <w:tr w14:paraId="32C96B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continue"/>
            <w:vAlign w:val="center"/>
          </w:tcPr>
          <w:p w14:paraId="17EA8D6B">
            <w:pPr>
              <w:adjustRightInd w:val="0"/>
              <w:snapToGrid w:val="0"/>
              <w:jc w:val="center"/>
              <w:rPr>
                <w:color w:val="auto"/>
                <w:szCs w:val="21"/>
                <w:highlight w:val="none"/>
              </w:rPr>
            </w:pPr>
          </w:p>
        </w:tc>
        <w:tc>
          <w:tcPr>
            <w:tcW w:w="2037" w:type="dxa"/>
            <w:gridSpan w:val="2"/>
            <w:shd w:val="clear" w:color="auto" w:fill="auto"/>
            <w:vAlign w:val="center"/>
          </w:tcPr>
          <w:p w14:paraId="59249CBC">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地面清洗废水</w:t>
            </w:r>
          </w:p>
        </w:tc>
        <w:tc>
          <w:tcPr>
            <w:tcW w:w="1248" w:type="dxa"/>
            <w:vAlign w:val="center"/>
          </w:tcPr>
          <w:p w14:paraId="3C980EF0">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r>
              <w:rPr>
                <w:rFonts w:hint="default" w:cs="Times New Roman"/>
                <w:color w:val="auto"/>
                <w:spacing w:val="-20"/>
                <w:kern w:val="2"/>
                <w:sz w:val="18"/>
                <w:szCs w:val="18"/>
                <w:highlight w:val="none"/>
                <w:lang w:val="en-US" w:eastAsia="zh-CN" w:bidi="ar-SA"/>
              </w:rPr>
              <w:t>COD、BOD</w:t>
            </w:r>
            <w:r>
              <w:rPr>
                <w:rFonts w:hint="default" w:cs="Times New Roman"/>
                <w:color w:val="auto"/>
                <w:spacing w:val="-20"/>
                <w:kern w:val="2"/>
                <w:sz w:val="18"/>
                <w:szCs w:val="18"/>
                <w:highlight w:val="none"/>
                <w:vertAlign w:val="subscript"/>
                <w:lang w:val="en-US" w:eastAsia="zh-CN" w:bidi="ar-SA"/>
              </w:rPr>
              <w:t>5</w:t>
            </w:r>
            <w:r>
              <w:rPr>
                <w:rFonts w:hint="default" w:cs="Times New Roman"/>
                <w:color w:val="auto"/>
                <w:spacing w:val="-20"/>
                <w:kern w:val="2"/>
                <w:sz w:val="18"/>
                <w:szCs w:val="18"/>
                <w:highlight w:val="none"/>
                <w:lang w:val="en-US" w:eastAsia="zh-CN" w:bidi="ar-SA"/>
              </w:rPr>
              <w:t>、氨氮、SS</w:t>
            </w:r>
          </w:p>
        </w:tc>
        <w:tc>
          <w:tcPr>
            <w:tcW w:w="2014" w:type="dxa"/>
            <w:vMerge w:val="continue"/>
            <w:vAlign w:val="center"/>
          </w:tcPr>
          <w:p w14:paraId="26EC1F5A">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213851FE">
            <w:pPr>
              <w:snapToGrid w:val="0"/>
              <w:spacing w:line="220" w:lineRule="exact"/>
              <w:jc w:val="center"/>
              <w:rPr>
                <w:rFonts w:hint="default" w:ascii="Times New Roman" w:hAnsi="Times New Roman" w:cs="Times New Roman"/>
                <w:color w:val="auto"/>
                <w:spacing w:val="0"/>
                <w:sz w:val="18"/>
                <w:szCs w:val="18"/>
              </w:rPr>
            </w:pPr>
          </w:p>
        </w:tc>
      </w:tr>
      <w:tr w14:paraId="6F6FFC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Merge w:val="continue"/>
            <w:vAlign w:val="center"/>
          </w:tcPr>
          <w:p w14:paraId="43CFF348">
            <w:pPr>
              <w:adjustRightInd w:val="0"/>
              <w:snapToGrid w:val="0"/>
              <w:jc w:val="center"/>
              <w:rPr>
                <w:color w:val="auto"/>
                <w:szCs w:val="21"/>
                <w:highlight w:val="none"/>
              </w:rPr>
            </w:pPr>
          </w:p>
        </w:tc>
        <w:tc>
          <w:tcPr>
            <w:tcW w:w="2037" w:type="dxa"/>
            <w:gridSpan w:val="2"/>
            <w:shd w:val="clear" w:color="auto" w:fill="auto"/>
            <w:vAlign w:val="center"/>
          </w:tcPr>
          <w:p w14:paraId="1C5C6193">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职工生活污水</w:t>
            </w:r>
          </w:p>
        </w:tc>
        <w:tc>
          <w:tcPr>
            <w:tcW w:w="1248" w:type="dxa"/>
            <w:vAlign w:val="center"/>
          </w:tcPr>
          <w:p w14:paraId="4ACAD3B7">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PH、</w:t>
            </w:r>
            <w:r>
              <w:rPr>
                <w:rFonts w:hint="default" w:cs="Times New Roman"/>
                <w:color w:val="auto"/>
                <w:spacing w:val="-20"/>
                <w:kern w:val="2"/>
                <w:sz w:val="18"/>
                <w:szCs w:val="18"/>
                <w:highlight w:val="none"/>
                <w:lang w:val="en-US" w:eastAsia="zh-CN" w:bidi="ar-SA"/>
              </w:rPr>
              <w:t>COD、BOD</w:t>
            </w:r>
            <w:r>
              <w:rPr>
                <w:rFonts w:hint="default" w:cs="Times New Roman"/>
                <w:color w:val="auto"/>
                <w:spacing w:val="-20"/>
                <w:kern w:val="2"/>
                <w:sz w:val="18"/>
                <w:szCs w:val="18"/>
                <w:highlight w:val="none"/>
                <w:vertAlign w:val="subscript"/>
                <w:lang w:val="en-US" w:eastAsia="zh-CN" w:bidi="ar-SA"/>
              </w:rPr>
              <w:t>5</w:t>
            </w:r>
            <w:r>
              <w:rPr>
                <w:rFonts w:hint="default" w:cs="Times New Roman"/>
                <w:color w:val="auto"/>
                <w:spacing w:val="-20"/>
                <w:kern w:val="2"/>
                <w:sz w:val="18"/>
                <w:szCs w:val="18"/>
                <w:highlight w:val="none"/>
                <w:lang w:val="en-US" w:eastAsia="zh-CN" w:bidi="ar-SA"/>
              </w:rPr>
              <w:t>、氨氮、SS</w:t>
            </w:r>
            <w:r>
              <w:rPr>
                <w:rFonts w:hint="eastAsia" w:cs="Times New Roman"/>
                <w:color w:val="auto"/>
                <w:spacing w:val="-20"/>
                <w:kern w:val="2"/>
                <w:sz w:val="18"/>
                <w:szCs w:val="18"/>
                <w:highlight w:val="none"/>
                <w:lang w:val="en-US" w:eastAsia="zh-CN" w:bidi="ar-SA"/>
              </w:rPr>
              <w:t>、总磷</w:t>
            </w:r>
          </w:p>
        </w:tc>
        <w:tc>
          <w:tcPr>
            <w:tcW w:w="2014" w:type="dxa"/>
            <w:vMerge w:val="continue"/>
            <w:vAlign w:val="center"/>
          </w:tcPr>
          <w:p w14:paraId="7D60BAD6">
            <w:pPr>
              <w:snapToGrid w:val="0"/>
              <w:spacing w:line="220" w:lineRule="exact"/>
              <w:jc w:val="center"/>
              <w:rPr>
                <w:rFonts w:hint="eastAsia" w:ascii="Times New Roman" w:hAnsi="Times New Roman" w:cs="Times New Roman"/>
                <w:color w:val="auto"/>
                <w:sz w:val="18"/>
                <w:szCs w:val="18"/>
                <w:highlight w:val="none"/>
                <w:lang w:val="en-US" w:eastAsia="zh-CN"/>
              </w:rPr>
            </w:pPr>
          </w:p>
        </w:tc>
        <w:tc>
          <w:tcPr>
            <w:tcW w:w="2207" w:type="dxa"/>
            <w:vMerge w:val="continue"/>
            <w:vAlign w:val="center"/>
          </w:tcPr>
          <w:p w14:paraId="58A75636">
            <w:pPr>
              <w:snapToGrid w:val="0"/>
              <w:spacing w:line="220" w:lineRule="exact"/>
              <w:jc w:val="center"/>
              <w:rPr>
                <w:rFonts w:hint="default" w:ascii="Times New Roman" w:hAnsi="Times New Roman" w:cs="Times New Roman"/>
                <w:color w:val="auto"/>
                <w:spacing w:val="0"/>
                <w:sz w:val="18"/>
                <w:szCs w:val="18"/>
              </w:rPr>
            </w:pPr>
          </w:p>
        </w:tc>
      </w:tr>
      <w:tr w14:paraId="4724AF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Align w:val="center"/>
          </w:tcPr>
          <w:p w14:paraId="0D136459">
            <w:pPr>
              <w:adjustRightInd w:val="0"/>
              <w:snapToGrid w:val="0"/>
              <w:jc w:val="center"/>
              <w:rPr>
                <w:color w:val="auto"/>
                <w:szCs w:val="21"/>
                <w:highlight w:val="none"/>
              </w:rPr>
            </w:pPr>
            <w:r>
              <w:rPr>
                <w:color w:val="auto"/>
                <w:szCs w:val="21"/>
                <w:highlight w:val="none"/>
              </w:rPr>
              <w:t>声环境</w:t>
            </w:r>
          </w:p>
        </w:tc>
        <w:tc>
          <w:tcPr>
            <w:tcW w:w="2037" w:type="dxa"/>
            <w:gridSpan w:val="2"/>
            <w:vAlign w:val="center"/>
          </w:tcPr>
          <w:p w14:paraId="2FD6D765">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实验仪器、风机等等设备运行时产生的噪声</w:t>
            </w:r>
          </w:p>
        </w:tc>
        <w:tc>
          <w:tcPr>
            <w:tcW w:w="1248" w:type="dxa"/>
            <w:vAlign w:val="center"/>
          </w:tcPr>
          <w:p w14:paraId="3F447651">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w:t>
            </w:r>
          </w:p>
        </w:tc>
        <w:tc>
          <w:tcPr>
            <w:tcW w:w="2014" w:type="dxa"/>
            <w:vAlign w:val="center"/>
          </w:tcPr>
          <w:p w14:paraId="5A3F12F6">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选用低噪声设备，实验仪器置于封闭实验室内，设备合理布局，风机设置消声装置</w:t>
            </w:r>
          </w:p>
        </w:tc>
        <w:tc>
          <w:tcPr>
            <w:tcW w:w="2207" w:type="dxa"/>
            <w:vAlign w:val="center"/>
          </w:tcPr>
          <w:p w14:paraId="6FF9FB24">
            <w:pPr>
              <w:snapToGrid w:val="0"/>
              <w:spacing w:line="220" w:lineRule="exact"/>
              <w:jc w:val="center"/>
              <w:rPr>
                <w:rFonts w:hint="eastAsia"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《工业企业厂界环境噪声排放标准》（GB12348-2008）2类标准要求</w:t>
            </w:r>
          </w:p>
        </w:tc>
      </w:tr>
      <w:tr w14:paraId="6F3363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94" w:type="dxa"/>
            <w:vAlign w:val="center"/>
          </w:tcPr>
          <w:p w14:paraId="4CB506CB">
            <w:pPr>
              <w:adjustRightInd w:val="0"/>
              <w:snapToGrid w:val="0"/>
              <w:jc w:val="center"/>
              <w:rPr>
                <w:color w:val="auto"/>
                <w:szCs w:val="21"/>
                <w:highlight w:val="none"/>
              </w:rPr>
            </w:pPr>
            <w:r>
              <w:rPr>
                <w:color w:val="auto"/>
                <w:szCs w:val="21"/>
                <w:highlight w:val="none"/>
              </w:rPr>
              <w:t>电磁辐射</w:t>
            </w:r>
          </w:p>
        </w:tc>
        <w:tc>
          <w:tcPr>
            <w:tcW w:w="2037" w:type="dxa"/>
            <w:gridSpan w:val="2"/>
            <w:vAlign w:val="center"/>
          </w:tcPr>
          <w:p w14:paraId="317767ED">
            <w:pPr>
              <w:adjustRightInd w:val="0"/>
              <w:snapToGrid w:val="0"/>
              <w:jc w:val="center"/>
              <w:rPr>
                <w:color w:val="auto"/>
                <w:szCs w:val="21"/>
                <w:highlight w:val="none"/>
              </w:rPr>
            </w:pPr>
            <w:r>
              <w:rPr>
                <w:color w:val="auto"/>
                <w:szCs w:val="21"/>
                <w:highlight w:val="none"/>
              </w:rPr>
              <w:t>--</w:t>
            </w:r>
          </w:p>
        </w:tc>
        <w:tc>
          <w:tcPr>
            <w:tcW w:w="1248" w:type="dxa"/>
            <w:vAlign w:val="center"/>
          </w:tcPr>
          <w:p w14:paraId="47DB16FA">
            <w:pPr>
              <w:adjustRightInd w:val="0"/>
              <w:snapToGrid w:val="0"/>
              <w:jc w:val="center"/>
              <w:rPr>
                <w:color w:val="auto"/>
                <w:szCs w:val="21"/>
                <w:highlight w:val="none"/>
              </w:rPr>
            </w:pPr>
            <w:r>
              <w:rPr>
                <w:color w:val="auto"/>
                <w:szCs w:val="21"/>
                <w:highlight w:val="none"/>
              </w:rPr>
              <w:t>--</w:t>
            </w:r>
          </w:p>
        </w:tc>
        <w:tc>
          <w:tcPr>
            <w:tcW w:w="2014" w:type="dxa"/>
            <w:vAlign w:val="center"/>
          </w:tcPr>
          <w:p w14:paraId="2AE1CAC5">
            <w:pPr>
              <w:adjustRightInd w:val="0"/>
              <w:snapToGrid w:val="0"/>
              <w:jc w:val="center"/>
              <w:rPr>
                <w:color w:val="auto"/>
                <w:szCs w:val="21"/>
                <w:highlight w:val="none"/>
              </w:rPr>
            </w:pPr>
            <w:r>
              <w:rPr>
                <w:color w:val="auto"/>
                <w:szCs w:val="21"/>
                <w:highlight w:val="none"/>
              </w:rPr>
              <w:t>--</w:t>
            </w:r>
          </w:p>
        </w:tc>
        <w:tc>
          <w:tcPr>
            <w:tcW w:w="2207" w:type="dxa"/>
            <w:vAlign w:val="center"/>
          </w:tcPr>
          <w:p w14:paraId="35C41D24">
            <w:pPr>
              <w:adjustRightInd w:val="0"/>
              <w:snapToGrid w:val="0"/>
              <w:jc w:val="center"/>
              <w:rPr>
                <w:color w:val="auto"/>
                <w:szCs w:val="21"/>
                <w:highlight w:val="none"/>
              </w:rPr>
            </w:pPr>
            <w:r>
              <w:rPr>
                <w:color w:val="auto"/>
                <w:szCs w:val="21"/>
                <w:highlight w:val="none"/>
              </w:rPr>
              <w:t>--</w:t>
            </w:r>
          </w:p>
        </w:tc>
      </w:tr>
      <w:tr w14:paraId="473D5B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94" w:type="dxa"/>
            <w:vAlign w:val="center"/>
          </w:tcPr>
          <w:p w14:paraId="1384D87E">
            <w:pPr>
              <w:adjustRightInd w:val="0"/>
              <w:snapToGrid w:val="0"/>
              <w:jc w:val="center"/>
              <w:rPr>
                <w:color w:val="auto"/>
                <w:szCs w:val="21"/>
                <w:highlight w:val="none"/>
              </w:rPr>
            </w:pPr>
            <w:r>
              <w:rPr>
                <w:color w:val="auto"/>
                <w:szCs w:val="21"/>
                <w:highlight w:val="none"/>
              </w:rPr>
              <w:t>固体废物</w:t>
            </w:r>
          </w:p>
        </w:tc>
        <w:tc>
          <w:tcPr>
            <w:tcW w:w="7506" w:type="dxa"/>
            <w:gridSpan w:val="5"/>
            <w:vAlign w:val="center"/>
          </w:tcPr>
          <w:p w14:paraId="7CE3240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color w:val="auto"/>
                <w:highlight w:val="none"/>
              </w:rPr>
            </w:pPr>
            <w:r>
              <w:rPr>
                <w:rFonts w:hint="eastAsia" w:cs="Times New Roman"/>
                <w:color w:val="auto"/>
                <w:spacing w:val="-10"/>
                <w:sz w:val="18"/>
                <w:szCs w:val="18"/>
                <w:highlight w:val="none"/>
                <w:lang w:val="en-US" w:eastAsia="zh-CN"/>
              </w:rPr>
              <w:t>废反渗透膜更换后直接由厂家回收；未参与实验过程的剩余土样</w:t>
            </w:r>
            <w:r>
              <w:rPr>
                <w:rFonts w:hint="eastAsia" w:eastAsia="宋体" w:cs="Times New Roman"/>
                <w:color w:val="auto"/>
                <w:spacing w:val="-10"/>
                <w:sz w:val="18"/>
                <w:szCs w:val="18"/>
                <w:highlight w:val="none"/>
                <w:lang w:val="en-US" w:eastAsia="zh-CN"/>
              </w:rPr>
              <w:t>暂存于一般固废暂存间，之后</w:t>
            </w:r>
            <w:r>
              <w:rPr>
                <w:rFonts w:hint="eastAsia" w:ascii="Times New Roman" w:hAnsi="Times New Roman" w:eastAsia="宋体" w:cs="Times New Roman"/>
                <w:color w:val="auto"/>
                <w:spacing w:val="-10"/>
                <w:sz w:val="18"/>
                <w:szCs w:val="18"/>
                <w:highlight w:val="none"/>
                <w:lang w:val="en-US" w:eastAsia="zh-CN"/>
              </w:rPr>
              <w:t>由环卫部门处理</w:t>
            </w:r>
            <w:r>
              <w:rPr>
                <w:rFonts w:hint="eastAsia" w:eastAsia="宋体" w:cs="Times New Roman"/>
                <w:color w:val="auto"/>
                <w:spacing w:val="-10"/>
                <w:sz w:val="18"/>
                <w:szCs w:val="18"/>
                <w:highlight w:val="none"/>
                <w:lang w:val="en-US" w:eastAsia="zh-CN"/>
              </w:rPr>
              <w:t>；</w:t>
            </w:r>
            <w:r>
              <w:rPr>
                <w:rFonts w:hint="eastAsia" w:cs="Times New Roman"/>
                <w:color w:val="auto"/>
                <w:spacing w:val="-10"/>
                <w:sz w:val="18"/>
                <w:szCs w:val="18"/>
                <w:highlight w:val="none"/>
                <w:lang w:val="en-US" w:eastAsia="zh-CN"/>
              </w:rPr>
              <w:t>不含有毒有害物质的破损的玻璃器、废一般包装物</w:t>
            </w:r>
            <w:r>
              <w:rPr>
                <w:rFonts w:hint="eastAsia" w:eastAsia="宋体" w:cs="Times New Roman"/>
                <w:color w:val="auto"/>
                <w:spacing w:val="-10"/>
                <w:sz w:val="18"/>
                <w:szCs w:val="18"/>
                <w:highlight w:val="none"/>
                <w:lang w:val="en-US" w:eastAsia="zh-CN"/>
              </w:rPr>
              <w:t>暂存于一般固废暂存间，之后</w:t>
            </w:r>
            <w:r>
              <w:rPr>
                <w:rFonts w:hint="eastAsia" w:cs="Times New Roman"/>
                <w:color w:val="auto"/>
                <w:spacing w:val="-10"/>
                <w:sz w:val="18"/>
                <w:szCs w:val="18"/>
                <w:highlight w:val="none"/>
                <w:lang w:val="en-US" w:eastAsia="zh-CN"/>
              </w:rPr>
              <w:t>外售资源回收单位综合利用；生活垃圾集中收集后由环卫部门统一处理；实验废液、实验残渣及残留样品、废实验药品包装物、废弃一次性实验用品、含有毒有害物质的废玻璃器皿及玻璃试剂瓶、过期试剂药品、废活性炭暂存于危险废物暂存间，定期委托资质单位进行处置</w:t>
            </w:r>
            <w:r>
              <w:rPr>
                <w:rFonts w:hint="eastAsia" w:ascii="Times New Roman" w:hAnsi="Times New Roman" w:cs="Times New Roman"/>
                <w:color w:val="auto"/>
                <w:spacing w:val="-10"/>
                <w:sz w:val="18"/>
                <w:szCs w:val="18"/>
                <w:highlight w:val="none"/>
                <w:lang w:val="en-US" w:eastAsia="zh-CN"/>
              </w:rPr>
              <w:t>。</w:t>
            </w:r>
          </w:p>
        </w:tc>
      </w:tr>
      <w:tr w14:paraId="0EE48B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294" w:type="dxa"/>
            <w:vAlign w:val="center"/>
          </w:tcPr>
          <w:p w14:paraId="24F08302">
            <w:pPr>
              <w:adjustRightInd w:val="0"/>
              <w:snapToGrid w:val="0"/>
              <w:jc w:val="center"/>
              <w:rPr>
                <w:color w:val="auto"/>
                <w:szCs w:val="21"/>
                <w:highlight w:val="none"/>
              </w:rPr>
            </w:pPr>
            <w:r>
              <w:rPr>
                <w:color w:val="auto"/>
                <w:szCs w:val="21"/>
                <w:highlight w:val="none"/>
              </w:rPr>
              <w:t>土壤及地下水污染防治措施</w:t>
            </w:r>
          </w:p>
        </w:tc>
        <w:tc>
          <w:tcPr>
            <w:tcW w:w="7506" w:type="dxa"/>
            <w:gridSpan w:val="5"/>
            <w:vAlign w:val="center"/>
          </w:tcPr>
          <w:p w14:paraId="547070BF">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w:t>
            </w:r>
            <w:r>
              <w:rPr>
                <w:rFonts w:hint="eastAsia" w:ascii="Times New Roman" w:hAnsi="Times New Roman" w:eastAsia="宋体" w:cs="Times New Roman"/>
                <w:color w:val="auto"/>
                <w:spacing w:val="-10"/>
                <w:sz w:val="18"/>
                <w:szCs w:val="18"/>
                <w:highlight w:val="none"/>
                <w:lang w:val="en-US" w:eastAsia="zh-CN"/>
              </w:rPr>
              <w:t>分区防渗：①重点防渗区：危险废物暂存间、药品室、理化一室、理化二室、测油室按照《环境影响评价技术导则 地下水环境》（HJ610-2016）、《危险废物贮存污染控制标准》（GB18597-2023）要求进行防渗，渗透系数不大于10</w:t>
            </w:r>
            <w:r>
              <w:rPr>
                <w:rFonts w:hint="eastAsia" w:ascii="Times New Roman" w:hAnsi="Times New Roman" w:eastAsia="宋体" w:cs="Times New Roman"/>
                <w:color w:val="auto"/>
                <w:spacing w:val="-10"/>
                <w:sz w:val="18"/>
                <w:szCs w:val="18"/>
                <w:highlight w:val="none"/>
                <w:vertAlign w:val="superscript"/>
                <w:lang w:val="en-US" w:eastAsia="zh-CN"/>
              </w:rPr>
              <w:t>-10</w:t>
            </w:r>
            <w:r>
              <w:rPr>
                <w:rFonts w:hint="eastAsia" w:ascii="Times New Roman" w:hAnsi="Times New Roman" w:eastAsia="宋体" w:cs="Times New Roman"/>
                <w:color w:val="auto"/>
                <w:spacing w:val="-10"/>
                <w:sz w:val="18"/>
                <w:szCs w:val="18"/>
                <w:highlight w:val="none"/>
                <w:lang w:val="en-US" w:eastAsia="zh-CN"/>
              </w:rPr>
              <w:t>cm/s；②一般防渗区：除重点防渗区及一般防渗区以外其他区域按照《环境影响评价技术导则 地下水环境》（HJ610-2016）要求进行防渗，渗透系数不大于10</w:t>
            </w:r>
            <w:r>
              <w:rPr>
                <w:rFonts w:hint="eastAsia" w:ascii="Times New Roman" w:hAnsi="Times New Roman" w:eastAsia="宋体" w:cs="Times New Roman"/>
                <w:color w:val="auto"/>
                <w:spacing w:val="-10"/>
                <w:sz w:val="18"/>
                <w:szCs w:val="18"/>
                <w:highlight w:val="none"/>
                <w:vertAlign w:val="superscript"/>
                <w:lang w:val="en-US" w:eastAsia="zh-CN"/>
              </w:rPr>
              <w:t>-7</w:t>
            </w:r>
            <w:r>
              <w:rPr>
                <w:rFonts w:hint="eastAsia" w:ascii="Times New Roman" w:hAnsi="Times New Roman" w:eastAsia="宋体" w:cs="Times New Roman"/>
                <w:color w:val="auto"/>
                <w:spacing w:val="-10"/>
                <w:sz w:val="18"/>
                <w:szCs w:val="18"/>
                <w:highlight w:val="none"/>
                <w:lang w:val="en-US" w:eastAsia="zh-CN"/>
              </w:rPr>
              <w:t>cm/s；</w:t>
            </w:r>
            <w:r>
              <w:rPr>
                <w:rFonts w:hint="default" w:ascii="Times New Roman" w:hAnsi="Times New Roman" w:eastAsia="宋体" w:cs="Times New Roman"/>
                <w:color w:val="auto"/>
                <w:spacing w:val="-10"/>
                <w:sz w:val="18"/>
                <w:szCs w:val="18"/>
                <w:highlight w:val="none"/>
                <w:lang w:val="en-US" w:eastAsia="zh-CN"/>
              </w:rPr>
              <w:t>③</w:t>
            </w:r>
            <w:r>
              <w:rPr>
                <w:rFonts w:hint="eastAsia" w:ascii="Times New Roman" w:hAnsi="Times New Roman" w:eastAsia="宋体" w:cs="Times New Roman"/>
                <w:color w:val="auto"/>
                <w:spacing w:val="-10"/>
                <w:sz w:val="18"/>
                <w:szCs w:val="18"/>
                <w:highlight w:val="none"/>
                <w:lang w:val="en-US" w:eastAsia="zh-CN"/>
              </w:rPr>
              <w:t>简单防渗区：敞开式办公区、打印室、茶水间、办公室、财务室、会议室、洽谈室采用一般地面硬化。采取分区防渗措施后，阻断了地下水、土壤污染途径，正常工况下，不会对地下水环境产生影响。</w:t>
            </w:r>
          </w:p>
          <w:p w14:paraId="655B4B05">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（2）污染监控措施：安排专人定期进行检查，发生地面破裂、泄漏易于及时发现。</w:t>
            </w:r>
          </w:p>
          <w:p w14:paraId="49893B07">
            <w:pPr>
              <w:adjustRightInd w:val="0"/>
              <w:snapToGrid w:val="0"/>
              <w:ind w:firstLine="320" w:firstLineChars="200"/>
              <w:jc w:val="left"/>
              <w:rPr>
                <w:rFonts w:hint="default"/>
                <w:color w:val="auto"/>
                <w:szCs w:val="21"/>
                <w:highlight w:val="none"/>
                <w:lang w:val="en-US"/>
              </w:rPr>
            </w:pPr>
            <w:r>
              <w:rPr>
                <w:rFonts w:hint="eastAsia" w:ascii="Times New Roman" w:hAnsi="Times New Roman" w:eastAsia="宋体" w:cs="Times New Roman"/>
                <w:color w:val="auto"/>
                <w:spacing w:val="-10"/>
                <w:sz w:val="18"/>
                <w:szCs w:val="18"/>
                <w:highlight w:val="none"/>
                <w:lang w:val="en-US" w:eastAsia="zh-CN"/>
              </w:rPr>
              <w:t>（3）应急响应措施：建设单位通过严格管理，专人巡检等方式进行监管，非正常情况渗漏一经发现，启动应急预案，立即采取封堵、吸收、吸附等措施，防止大量泄漏。</w:t>
            </w:r>
          </w:p>
        </w:tc>
      </w:tr>
      <w:tr w14:paraId="673E07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294" w:type="dxa"/>
            <w:vAlign w:val="center"/>
          </w:tcPr>
          <w:p w14:paraId="236C8354">
            <w:pPr>
              <w:adjustRightInd w:val="0"/>
              <w:snapToGrid w:val="0"/>
              <w:jc w:val="center"/>
              <w:rPr>
                <w:color w:val="auto"/>
                <w:szCs w:val="21"/>
                <w:highlight w:val="none"/>
              </w:rPr>
            </w:pPr>
            <w:r>
              <w:rPr>
                <w:color w:val="auto"/>
                <w:szCs w:val="21"/>
                <w:highlight w:val="none"/>
              </w:rPr>
              <w:t>生态保护措施</w:t>
            </w:r>
          </w:p>
        </w:tc>
        <w:tc>
          <w:tcPr>
            <w:tcW w:w="7506" w:type="dxa"/>
            <w:gridSpan w:val="5"/>
            <w:vAlign w:val="center"/>
          </w:tcPr>
          <w:p w14:paraId="633A4928">
            <w:pPr>
              <w:adjustRightInd w:val="0"/>
              <w:snapToGrid w:val="0"/>
              <w:jc w:val="center"/>
              <w:rPr>
                <w:color w:val="auto"/>
                <w:szCs w:val="21"/>
                <w:highlight w:val="none"/>
              </w:rPr>
            </w:pPr>
            <w:r>
              <w:rPr>
                <w:color w:val="auto"/>
                <w:szCs w:val="21"/>
                <w:highlight w:val="none"/>
              </w:rPr>
              <w:t>--</w:t>
            </w:r>
          </w:p>
        </w:tc>
      </w:tr>
      <w:tr w14:paraId="7C8873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1294" w:type="dxa"/>
            <w:vAlign w:val="center"/>
          </w:tcPr>
          <w:p w14:paraId="398420F8">
            <w:pPr>
              <w:adjustRightInd w:val="0"/>
              <w:snapToGrid w:val="0"/>
              <w:jc w:val="center"/>
              <w:rPr>
                <w:color w:val="auto"/>
                <w:spacing w:val="-8"/>
                <w:szCs w:val="21"/>
                <w:highlight w:val="none"/>
              </w:rPr>
            </w:pPr>
            <w:r>
              <w:rPr>
                <w:color w:val="auto"/>
                <w:spacing w:val="-8"/>
                <w:szCs w:val="21"/>
                <w:highlight w:val="none"/>
              </w:rPr>
              <w:t>环境风险</w:t>
            </w:r>
          </w:p>
          <w:p w14:paraId="02D79767">
            <w:pPr>
              <w:adjustRightInd w:val="0"/>
              <w:snapToGrid w:val="0"/>
              <w:jc w:val="center"/>
              <w:rPr>
                <w:color w:val="auto"/>
                <w:spacing w:val="-8"/>
                <w:szCs w:val="21"/>
                <w:highlight w:val="none"/>
              </w:rPr>
            </w:pPr>
            <w:r>
              <w:rPr>
                <w:color w:val="auto"/>
                <w:spacing w:val="-8"/>
                <w:szCs w:val="21"/>
                <w:highlight w:val="none"/>
              </w:rPr>
              <w:t>防范措施</w:t>
            </w:r>
          </w:p>
        </w:tc>
        <w:tc>
          <w:tcPr>
            <w:tcW w:w="7506" w:type="dxa"/>
            <w:gridSpan w:val="5"/>
            <w:vAlign w:val="center"/>
          </w:tcPr>
          <w:p w14:paraId="71005AA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（1）环境风险防范措施</w:t>
            </w:r>
          </w:p>
          <w:p w14:paraId="29BD9AE0">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1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①</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实验室区域内严禁抽烟</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2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②</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合理划分实验室内各区</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3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③</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实验室内设泡沫式灭火器</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fldChar w:fldCharType="begin"/>
            </w:r>
            <w:r>
              <w:rPr>
                <w:rFonts w:hint="eastAsia" w:ascii="Times New Roman" w:hAnsi="Times New Roman" w:eastAsia="宋体" w:cs="Times New Roman"/>
                <w:color w:val="auto"/>
                <w:spacing w:val="-10"/>
                <w:sz w:val="18"/>
                <w:szCs w:val="18"/>
                <w:highlight w:val="none"/>
                <w:lang w:val="en-US" w:eastAsia="zh-CN"/>
              </w:rPr>
              <w:instrText xml:space="preserve"> = 4 \* GB3 </w:instrText>
            </w:r>
            <w:r>
              <w:rPr>
                <w:rFonts w:hint="eastAsia" w:ascii="Times New Roman" w:hAnsi="Times New Roman" w:eastAsia="宋体" w:cs="Times New Roman"/>
                <w:color w:val="auto"/>
                <w:spacing w:val="-10"/>
                <w:sz w:val="18"/>
                <w:szCs w:val="18"/>
                <w:highlight w:val="none"/>
                <w:lang w:val="en-US" w:eastAsia="zh-CN"/>
              </w:rPr>
              <w:fldChar w:fldCharType="separate"/>
            </w:r>
            <w:r>
              <w:rPr>
                <w:rFonts w:hint="eastAsia" w:ascii="Times New Roman" w:hAnsi="Times New Roman" w:eastAsia="宋体" w:cs="Times New Roman"/>
                <w:color w:val="auto"/>
                <w:spacing w:val="-10"/>
                <w:sz w:val="18"/>
                <w:szCs w:val="18"/>
                <w:highlight w:val="none"/>
                <w:lang w:val="en-US" w:eastAsia="zh-CN"/>
              </w:rPr>
              <w:t>④</w:t>
            </w:r>
            <w:r>
              <w:rPr>
                <w:rFonts w:hint="eastAsia" w:ascii="Times New Roman" w:hAnsi="Times New Roman" w:eastAsia="宋体" w:cs="Times New Roman"/>
                <w:color w:val="auto"/>
                <w:spacing w:val="-10"/>
                <w:sz w:val="18"/>
                <w:szCs w:val="18"/>
                <w:highlight w:val="none"/>
                <w:lang w:val="en-US" w:eastAsia="zh-CN"/>
              </w:rPr>
              <w:fldChar w:fldCharType="end"/>
            </w:r>
            <w:r>
              <w:rPr>
                <w:rFonts w:hint="eastAsia" w:ascii="Times New Roman" w:hAnsi="Times New Roman" w:eastAsia="宋体" w:cs="Times New Roman"/>
                <w:color w:val="auto"/>
                <w:spacing w:val="-10"/>
                <w:sz w:val="18"/>
                <w:szCs w:val="18"/>
                <w:highlight w:val="none"/>
                <w:lang w:val="en-US" w:eastAsia="zh-CN"/>
              </w:rPr>
              <w:t>对实验室内人员定期进行培训，经常性对危险化学品作业场所进行安全检查，对可能诱发事故的隐患和危险源进行调查、研究、分析，做好预防治理和事故预警工作。⑤企业必须严格执行《化学危险物品安全管理条例》及其实施细则等法规、制度和标准，加强对危险化学品的管理，并建立化学危险物品管理制度，制定危险化学品安全操作规程，要求操作人员严格按操作规程作业。⑥采购危险化学品时，到已获得危险化学品经营许可证的企业进行采购，并要求供应商提供技术说明书及相关技术资料；采购人员须进行专业培训并取证；危险化学品的包装物、容器必须有专业检测机构检验合格才能使用；项目危险化学品的运输由供应商负责，从事危险化学品押运人员，应经有关培训并取证后才能从事危险化学品运输、押运工作；危险化学品的运输、押运人员，应配置合格的防护器材；危险物品的运输必须严格执行《危险货物运输规则》和《汽车危险货物运输规则》中的有关规定</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⑦药品试剂瓶发生泄漏时用砂土或其它不燃材料吸附或吸收，或用大量水冲洗，冲洗水稀释后放入排水系统</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⑧加强可燃气体安全贮存管理：装卸时必须轻拿轻放，严禁碰撞抛投或地上滚动。搬运时不可把气瓶阀对准人身，注意防止气瓶安全帽跌落；气瓶贮存时要保持直立，并有放倒措施，气瓶不得靠近热源和电气设备，气瓶与明火距离不得小于</w:t>
            </w:r>
            <w:r>
              <w:rPr>
                <w:rFonts w:hint="default" w:ascii="Times New Roman" w:hAnsi="Times New Roman" w:eastAsia="宋体" w:cs="Times New Roman"/>
                <w:color w:val="auto"/>
                <w:spacing w:val="-10"/>
                <w:sz w:val="18"/>
                <w:szCs w:val="18"/>
                <w:highlight w:val="none"/>
                <w:lang w:val="en-US" w:eastAsia="zh-CN"/>
              </w:rPr>
              <w:t>10</w:t>
            </w:r>
            <w:r>
              <w:rPr>
                <w:rFonts w:hint="eastAsia" w:ascii="Times New Roman" w:hAnsi="Times New Roman" w:eastAsia="宋体" w:cs="Times New Roman"/>
                <w:color w:val="auto"/>
                <w:spacing w:val="-10"/>
                <w:sz w:val="18"/>
                <w:szCs w:val="18"/>
                <w:highlight w:val="none"/>
                <w:lang w:val="en-US" w:eastAsia="zh-CN"/>
              </w:rPr>
              <w:t>米；乙炔气瓶应设置防火和防静电装置，一旦发生火灾可立即启动消防措施</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⑨有毒易挥发试剂取用过程中应在打开的通风橱内进行，并且做好相应的防范措施，戴手套以及防毒面具</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⑩储存安全防范措施</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应按照普通、易制毒、易制爆以及剧毒药品分类，将普通实验室药品存入药品室，并严格按照《危险化学品管理条例》进行监管，实行“五双”管理，做好台账，以备当地公安部门检查；⑪消防及火灾报警系统</w:t>
            </w:r>
            <w:r>
              <w:rPr>
                <w:rFonts w:hint="eastAsia"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根据火灾危险性等级和防火、防爆要求，建筑物的防火等级均采用国家现行规范要求按一、二级耐火等级设计，满足建筑防火要求。凡禁火区均设置明显标志牌。各种易燃易爆物料均储存在阴凉、通风处，远离火源;安放易发生爆炸设备的房间，不允许任何人员随便入内，操作全部在控制室进行。安全出口及安全疏散距离应符合《建筑设计防火规范》（GB50016-2014）的要求</w:t>
            </w:r>
            <w:r>
              <w:rPr>
                <w:rFonts w:hint="eastAsia" w:cs="Times New Roman"/>
                <w:color w:val="auto"/>
                <w:spacing w:val="-10"/>
                <w:sz w:val="18"/>
                <w:szCs w:val="18"/>
                <w:highlight w:val="none"/>
                <w:lang w:val="en-US" w:eastAsia="zh-CN"/>
              </w:rPr>
              <w:t>；</w:t>
            </w:r>
            <w:r>
              <w:rPr>
                <w:rFonts w:hint="eastAsia" w:ascii="微软雅黑" w:hAnsi="微软雅黑" w:eastAsia="微软雅黑" w:cs="微软雅黑"/>
                <w:color w:val="auto"/>
                <w:spacing w:val="-10"/>
                <w:sz w:val="18"/>
                <w:szCs w:val="18"/>
                <w:highlight w:val="none"/>
                <w:lang w:val="en-US" w:eastAsia="zh-CN"/>
              </w:rPr>
              <w:t>⑫</w:t>
            </w:r>
            <w:r>
              <w:rPr>
                <w:rFonts w:hint="eastAsia" w:ascii="Times New Roman" w:hAnsi="Times New Roman" w:eastAsia="宋体" w:cs="Times New Roman"/>
                <w:color w:val="auto"/>
                <w:spacing w:val="-10"/>
                <w:sz w:val="18"/>
                <w:szCs w:val="18"/>
                <w:highlight w:val="none"/>
                <w:lang w:val="en-US" w:eastAsia="zh-CN"/>
              </w:rPr>
              <w:t>防腐防渗措施</w:t>
            </w:r>
            <w:r>
              <w:rPr>
                <w:rFonts w:hint="eastAsia"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为了防止生产中跑、冒、滴、漏以及各种构筑物渗漏对区域地下水造成污染，本项目采取严格的分区防渗措施，重点防渗区（危险废物暂存间、药品室、理化一室、理化二室、测油室）渗透系数≤1.0×10</w:t>
            </w:r>
            <w:r>
              <w:rPr>
                <w:rFonts w:hint="eastAsia" w:ascii="Times New Roman" w:hAnsi="Times New Roman" w:eastAsia="宋体" w:cs="Times New Roman"/>
                <w:color w:val="auto"/>
                <w:spacing w:val="-10"/>
                <w:sz w:val="18"/>
                <w:szCs w:val="18"/>
                <w:highlight w:val="none"/>
                <w:vertAlign w:val="superscript"/>
                <w:lang w:val="en-US" w:eastAsia="zh-CN"/>
              </w:rPr>
              <w:t>-10</w:t>
            </w:r>
            <w:r>
              <w:rPr>
                <w:rFonts w:hint="eastAsia" w:ascii="Times New Roman" w:hAnsi="Times New Roman" w:eastAsia="宋体" w:cs="Times New Roman"/>
                <w:color w:val="auto"/>
                <w:spacing w:val="-10"/>
                <w:sz w:val="18"/>
                <w:szCs w:val="18"/>
                <w:highlight w:val="none"/>
                <w:lang w:val="en-US" w:eastAsia="zh-CN"/>
              </w:rPr>
              <w:t>cm/s；一般防渗区渗透系数≤1.0×10</w:t>
            </w:r>
            <w:r>
              <w:rPr>
                <w:rFonts w:hint="eastAsia" w:ascii="Times New Roman" w:hAnsi="Times New Roman" w:eastAsia="宋体" w:cs="Times New Roman"/>
                <w:color w:val="auto"/>
                <w:spacing w:val="-10"/>
                <w:sz w:val="18"/>
                <w:szCs w:val="18"/>
                <w:highlight w:val="none"/>
                <w:vertAlign w:val="superscript"/>
                <w:lang w:val="en-US" w:eastAsia="zh-CN"/>
              </w:rPr>
              <w:t>-7</w:t>
            </w:r>
            <w:r>
              <w:rPr>
                <w:rFonts w:hint="eastAsia" w:ascii="Times New Roman" w:hAnsi="Times New Roman" w:eastAsia="宋体" w:cs="Times New Roman"/>
                <w:color w:val="auto"/>
                <w:spacing w:val="-10"/>
                <w:sz w:val="18"/>
                <w:szCs w:val="18"/>
                <w:highlight w:val="none"/>
                <w:lang w:val="en-US" w:eastAsia="zh-CN"/>
              </w:rPr>
              <w:t>cm/s；简单防渗区一般地面硬化。为了确保防渗措施的防渗效果，施工过程中建设单位应加强施工期的管理，严格按防渗设计要求进行施工，并加强防渗措施的日常维护，使防渗措施达到应有的防渗效果。采取以上措施后，防渗层满足要求，可有效阻止污染物下渗。</w:t>
            </w:r>
          </w:p>
          <w:p w14:paraId="0FAADA67">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（2）应急预案</w:t>
            </w:r>
          </w:p>
          <w:p w14:paraId="6DB8B6FA">
            <w:pPr>
              <w:adjustRightInd w:val="0"/>
              <w:snapToGrid w:val="0"/>
              <w:ind w:firstLine="320" w:firstLineChars="200"/>
              <w:jc w:val="left"/>
              <w:rPr>
                <w:color w:val="auto"/>
              </w:rPr>
            </w:pPr>
            <w:r>
              <w:rPr>
                <w:rFonts w:hint="eastAsia" w:ascii="Times New Roman" w:hAnsi="Times New Roman" w:eastAsia="宋体" w:cs="Times New Roman"/>
                <w:color w:val="auto"/>
                <w:spacing w:val="-10"/>
                <w:sz w:val="18"/>
                <w:szCs w:val="18"/>
                <w:highlight w:val="none"/>
                <w:lang w:val="en-US" w:eastAsia="zh-CN"/>
              </w:rPr>
              <w:t>为保证企业及人民生命财产的安全，防止突发性危险物质重大事故发生，并在发生事故时，能迅速有序地开展救援工作，尽最大努力减少事故的危害和损失，</w:t>
            </w:r>
            <w:r>
              <w:rPr>
                <w:rFonts w:hint="eastAsia" w:cs="Times New Roman"/>
                <w:color w:val="auto"/>
                <w:spacing w:val="-10"/>
                <w:sz w:val="18"/>
                <w:szCs w:val="18"/>
                <w:highlight w:val="none"/>
                <w:lang w:val="en-US" w:eastAsia="zh-CN"/>
              </w:rPr>
              <w:t>河北兆惠恒美检测技术有限公司</w:t>
            </w:r>
            <w:r>
              <w:rPr>
                <w:rFonts w:hint="eastAsia" w:ascii="Times New Roman" w:hAnsi="Times New Roman" w:eastAsia="宋体" w:cs="Times New Roman"/>
                <w:color w:val="auto"/>
                <w:spacing w:val="-10"/>
                <w:sz w:val="18"/>
                <w:szCs w:val="18"/>
                <w:highlight w:val="none"/>
                <w:lang w:val="en-US" w:eastAsia="zh-CN"/>
              </w:rPr>
              <w:t>应尽快完成应急预案修编工作。</w:t>
            </w:r>
          </w:p>
        </w:tc>
      </w:tr>
      <w:tr w14:paraId="5E414D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294" w:type="dxa"/>
            <w:vAlign w:val="center"/>
          </w:tcPr>
          <w:p w14:paraId="0C1C68EA">
            <w:pPr>
              <w:adjustRightInd w:val="0"/>
              <w:snapToGrid w:val="0"/>
              <w:jc w:val="center"/>
              <w:rPr>
                <w:color w:val="auto"/>
                <w:spacing w:val="-8"/>
                <w:szCs w:val="21"/>
                <w:highlight w:val="none"/>
              </w:rPr>
            </w:pPr>
            <w:r>
              <w:rPr>
                <w:color w:val="auto"/>
                <w:spacing w:val="-8"/>
                <w:szCs w:val="21"/>
                <w:highlight w:val="none"/>
              </w:rPr>
              <w:t>其他环境</w:t>
            </w:r>
          </w:p>
          <w:p w14:paraId="0D6D1E91">
            <w:pPr>
              <w:adjustRightInd w:val="0"/>
              <w:snapToGrid w:val="0"/>
              <w:jc w:val="center"/>
              <w:rPr>
                <w:color w:val="auto"/>
                <w:spacing w:val="-8"/>
                <w:szCs w:val="21"/>
                <w:highlight w:val="none"/>
              </w:rPr>
            </w:pPr>
            <w:r>
              <w:rPr>
                <w:color w:val="auto"/>
                <w:spacing w:val="-8"/>
                <w:szCs w:val="21"/>
                <w:highlight w:val="none"/>
              </w:rPr>
              <w:t>管理要求</w:t>
            </w:r>
          </w:p>
        </w:tc>
        <w:tc>
          <w:tcPr>
            <w:tcW w:w="7506" w:type="dxa"/>
            <w:gridSpan w:val="5"/>
            <w:vAlign w:val="center"/>
          </w:tcPr>
          <w:p w14:paraId="5671BA35">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1.环境管理要求</w:t>
            </w:r>
          </w:p>
          <w:p w14:paraId="60FE8BEB">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1</w:t>
            </w:r>
            <w:r>
              <w:rPr>
                <w:rFonts w:hint="default" w:ascii="Times New Roman" w:hAnsi="Times New Roman" w:eastAsia="宋体" w:cs="Times New Roman"/>
                <w:color w:val="auto"/>
                <w:spacing w:val="-10"/>
                <w:sz w:val="18"/>
                <w:szCs w:val="18"/>
                <w:highlight w:val="none"/>
                <w:lang w:val="en-US" w:eastAsia="zh-CN"/>
              </w:rPr>
              <w:t>）环境管理</w:t>
            </w:r>
          </w:p>
          <w:p w14:paraId="4E34CA82">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根据有关环境管理和环境监测的规定，设立环保管理机构，配备环保管理专业人员1名，负责</w:t>
            </w:r>
            <w:r>
              <w:rPr>
                <w:rFonts w:hint="eastAsia" w:cs="Times New Roman"/>
                <w:color w:val="auto"/>
                <w:spacing w:val="-10"/>
                <w:sz w:val="18"/>
                <w:szCs w:val="18"/>
                <w:highlight w:val="none"/>
                <w:lang w:val="en-US" w:eastAsia="zh-CN"/>
              </w:rPr>
              <w:t>公司</w:t>
            </w:r>
            <w:r>
              <w:rPr>
                <w:rFonts w:hint="default" w:ascii="Times New Roman" w:hAnsi="Times New Roman" w:eastAsia="宋体" w:cs="Times New Roman"/>
                <w:color w:val="auto"/>
                <w:spacing w:val="-10"/>
                <w:sz w:val="18"/>
                <w:szCs w:val="18"/>
                <w:highlight w:val="none"/>
                <w:lang w:val="en-US" w:eastAsia="zh-CN"/>
              </w:rPr>
              <w:t>的环境管理、污染源治理及监测管理工作。环保人员的主要职责是：</w:t>
            </w:r>
          </w:p>
          <w:p w14:paraId="7FC43387">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①</w:t>
            </w:r>
            <w:r>
              <w:rPr>
                <w:rFonts w:hint="default" w:ascii="Times New Roman" w:hAnsi="Times New Roman" w:eastAsia="宋体" w:cs="Times New Roman"/>
                <w:color w:val="auto"/>
                <w:spacing w:val="-10"/>
                <w:sz w:val="18"/>
                <w:szCs w:val="18"/>
                <w:highlight w:val="none"/>
                <w:lang w:val="en-US" w:eastAsia="zh-CN"/>
              </w:rPr>
              <w:t>贯彻执行环境保护法规和标准。</w:t>
            </w:r>
          </w:p>
          <w:p w14:paraId="7BC0F561">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②</w:t>
            </w:r>
            <w:r>
              <w:rPr>
                <w:rFonts w:hint="default" w:ascii="Times New Roman" w:hAnsi="Times New Roman" w:eastAsia="宋体" w:cs="Times New Roman"/>
                <w:color w:val="auto"/>
                <w:spacing w:val="-10"/>
                <w:sz w:val="18"/>
                <w:szCs w:val="18"/>
                <w:highlight w:val="none"/>
                <w:lang w:val="en-US" w:eastAsia="zh-CN"/>
              </w:rPr>
              <w:t>组织制定和修改企业的环境保护管理规章制度并负责监督执行。</w:t>
            </w:r>
          </w:p>
          <w:p w14:paraId="36399015">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③</w:t>
            </w:r>
            <w:r>
              <w:rPr>
                <w:rFonts w:hint="default" w:ascii="Times New Roman" w:hAnsi="Times New Roman" w:eastAsia="宋体" w:cs="Times New Roman"/>
                <w:color w:val="auto"/>
                <w:spacing w:val="-10"/>
                <w:sz w:val="18"/>
                <w:szCs w:val="18"/>
                <w:highlight w:val="none"/>
                <w:lang w:val="en-US" w:eastAsia="zh-CN"/>
              </w:rPr>
              <w:t>制定并组织实施企业环境保护规划和计划。</w:t>
            </w:r>
          </w:p>
          <w:p w14:paraId="2F52F77F">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④</w:t>
            </w:r>
            <w:r>
              <w:rPr>
                <w:rFonts w:hint="default" w:ascii="Times New Roman" w:hAnsi="Times New Roman" w:eastAsia="宋体" w:cs="Times New Roman"/>
                <w:color w:val="auto"/>
                <w:spacing w:val="-10"/>
                <w:sz w:val="18"/>
                <w:szCs w:val="18"/>
                <w:highlight w:val="none"/>
                <w:lang w:val="en-US" w:eastAsia="zh-CN"/>
              </w:rPr>
              <w:t>开展企业日常的环境监测工作、负责整理和统计企业污染源资料、日常监测资料，并及时上报地方环保部门。</w:t>
            </w:r>
          </w:p>
          <w:p w14:paraId="5A21AB33">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⑤</w:t>
            </w:r>
            <w:r>
              <w:rPr>
                <w:rFonts w:hint="default" w:ascii="Times New Roman" w:hAnsi="Times New Roman" w:eastAsia="宋体" w:cs="Times New Roman"/>
                <w:color w:val="auto"/>
                <w:spacing w:val="-10"/>
                <w:sz w:val="18"/>
                <w:szCs w:val="18"/>
                <w:highlight w:val="none"/>
                <w:lang w:val="en-US" w:eastAsia="zh-CN"/>
              </w:rPr>
              <w:t>检查企业环境保护设施的运行情况。</w:t>
            </w:r>
          </w:p>
          <w:p w14:paraId="647E100B">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⑥</w:t>
            </w:r>
            <w:r>
              <w:rPr>
                <w:rFonts w:hint="default" w:ascii="Times New Roman" w:hAnsi="Times New Roman" w:eastAsia="宋体" w:cs="Times New Roman"/>
                <w:color w:val="auto"/>
                <w:spacing w:val="-10"/>
                <w:sz w:val="18"/>
                <w:szCs w:val="18"/>
                <w:highlight w:val="none"/>
                <w:lang w:val="en-US" w:eastAsia="zh-CN"/>
              </w:rPr>
              <w:t>落实企业污染物排放许可。加强对污染治理设施、治理效果以及治理后的污 染物排放状况的监测检查。</w:t>
            </w:r>
          </w:p>
          <w:p w14:paraId="5EE58739">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⑦</w:t>
            </w:r>
            <w:r>
              <w:rPr>
                <w:rFonts w:hint="default" w:ascii="Times New Roman" w:hAnsi="Times New Roman" w:eastAsia="宋体" w:cs="Times New Roman"/>
                <w:color w:val="auto"/>
                <w:spacing w:val="-10"/>
                <w:sz w:val="18"/>
                <w:szCs w:val="18"/>
                <w:highlight w:val="none"/>
                <w:lang w:val="en-US" w:eastAsia="zh-CN"/>
              </w:rPr>
              <w:t>组织开展企业的环保宣传工作及环保专业技术培训，用以提高全体员工环境保护意识及素质水平。</w:t>
            </w:r>
          </w:p>
          <w:p w14:paraId="5B771F23">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2</w:t>
            </w:r>
            <w:r>
              <w:rPr>
                <w:rFonts w:hint="default" w:ascii="Times New Roman" w:hAnsi="Times New Roman" w:eastAsia="宋体" w:cs="Times New Roman"/>
                <w:color w:val="auto"/>
                <w:spacing w:val="-10"/>
                <w:sz w:val="18"/>
                <w:szCs w:val="18"/>
                <w:highlight w:val="none"/>
                <w:lang w:val="en-US" w:eastAsia="zh-CN"/>
              </w:rPr>
              <w:t>）营运期环境</w:t>
            </w:r>
          </w:p>
          <w:p w14:paraId="378A24D6">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项目建成后，将对周围环境产生一定的影响，因此建设单位应在加强环境管理的同时，定期进行环境监测，以便及时了解拟建项目对环境造成影响的情况，并采取相应措施，消除不利因素，减轻环境污染，使各项环保措施落到实处，以期达到预定的目标。</w:t>
            </w:r>
          </w:p>
          <w:p w14:paraId="46FA08A8">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w:t>
            </w:r>
            <w:r>
              <w:rPr>
                <w:rFonts w:hint="eastAsia" w:ascii="Times New Roman" w:hAnsi="Times New Roman" w:eastAsia="宋体" w:cs="Times New Roman"/>
                <w:color w:val="auto"/>
                <w:spacing w:val="-10"/>
                <w:sz w:val="18"/>
                <w:szCs w:val="18"/>
                <w:highlight w:val="none"/>
                <w:lang w:val="en-US" w:eastAsia="zh-CN"/>
              </w:rPr>
              <w:t>3</w:t>
            </w:r>
            <w:r>
              <w:rPr>
                <w:rFonts w:hint="default" w:ascii="Times New Roman" w:hAnsi="Times New Roman" w:eastAsia="宋体" w:cs="Times New Roman"/>
                <w:color w:val="auto"/>
                <w:spacing w:val="-10"/>
                <w:sz w:val="18"/>
                <w:szCs w:val="18"/>
                <w:highlight w:val="none"/>
                <w:lang w:val="en-US" w:eastAsia="zh-CN"/>
              </w:rPr>
              <w:t>）环境管理制度</w:t>
            </w:r>
          </w:p>
          <w:p w14:paraId="43BF96C5">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default" w:ascii="Times New Roman" w:hAnsi="Times New Roman" w:eastAsia="宋体" w:cs="Times New Roman"/>
                <w:color w:val="auto"/>
                <w:spacing w:val="-10"/>
                <w:sz w:val="18"/>
                <w:szCs w:val="18"/>
                <w:highlight w:val="none"/>
                <w:lang w:val="en-US" w:eastAsia="zh-CN"/>
              </w:rPr>
              <w:t>企业应建立健全环境管理制度体系，将环保工作纳入考核体系，确保在日常运行中将环保目标落实到实处。</w:t>
            </w:r>
          </w:p>
          <w:p w14:paraId="7D352822">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2.环保台账制度</w:t>
            </w:r>
          </w:p>
          <w:p w14:paraId="5E34D2E1">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项目应建立环境管理台账制度，并设置专职人员进行台账的记录、整理、维护和管理。</w:t>
            </w:r>
          </w:p>
          <w:p w14:paraId="1F92D51E">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3.污染治理设施的管理、监控制度</w:t>
            </w:r>
          </w:p>
          <w:p w14:paraId="5415A3E0">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项目建成后，必须确保污染治理设施长期、稳定、有效地运行，不得擅自拆除或者闲置污染治理设施，不得故意不正常使用污染治理设施。污染治理设施的管理必须与生产经营活动一起纳入单位日常管理工作的范畴，落实责任人、操作人员、维修人员、运行经费、设备的备品备件和其它原辅材料。同时要建立健全岗位责任制、制定正确的操作规程、建立管理台帐。</w:t>
            </w:r>
          </w:p>
          <w:p w14:paraId="4716B192">
            <w:pPr>
              <w:adjustRightInd w:val="0"/>
              <w:snapToGrid w:val="0"/>
              <w:ind w:firstLine="321" w:firstLineChars="200"/>
              <w:jc w:val="left"/>
              <w:rPr>
                <w:rFonts w:hint="eastAsia" w:ascii="Times New Roman" w:hAnsi="Times New Roman" w:eastAsia="宋体" w:cs="Times New Roman"/>
                <w:b/>
                <w:bCs/>
                <w:color w:val="auto"/>
                <w:spacing w:val="-10"/>
                <w:sz w:val="18"/>
                <w:szCs w:val="18"/>
              </w:rPr>
            </w:pPr>
            <w:r>
              <w:rPr>
                <w:rFonts w:hint="eastAsia" w:ascii="Times New Roman" w:hAnsi="Times New Roman" w:eastAsia="宋体" w:cs="Times New Roman"/>
                <w:b/>
                <w:bCs/>
                <w:color w:val="auto"/>
                <w:spacing w:val="-10"/>
                <w:sz w:val="18"/>
                <w:szCs w:val="18"/>
              </w:rPr>
              <w:t>4.环保奖惩条例</w:t>
            </w:r>
          </w:p>
          <w:p w14:paraId="604CC92C">
            <w:pPr>
              <w:adjustRightInd w:val="0"/>
              <w:snapToGrid w:val="0"/>
              <w:ind w:firstLine="320" w:firstLineChars="200"/>
              <w:jc w:val="left"/>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各级管理人员都应树立保护环境的思想，企业也应设置环境保护奖惩条例。对爱护环保设施、节能降耗、改善环境者实行奖励；对环保观念淡薄，不按环保要求管理，造成环境设施损坏、环境污染及资源和能源浪费者一律予以重罚。</w:t>
            </w:r>
          </w:p>
          <w:p w14:paraId="7E923C1B">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ascii="Times New Roman" w:hAnsi="Times New Roman" w:eastAsia="宋体" w:cs="Times New Roman"/>
                <w:b/>
                <w:bCs/>
                <w:color w:val="auto"/>
                <w:spacing w:val="-10"/>
                <w:sz w:val="18"/>
                <w:szCs w:val="18"/>
                <w:highlight w:val="none"/>
                <w:lang w:val="en-US" w:eastAsia="zh-CN"/>
              </w:rPr>
              <w:t>5.企业环境信息公开</w:t>
            </w:r>
          </w:p>
          <w:p w14:paraId="6A183C5A">
            <w:pPr>
              <w:adjustRightInd w:val="0"/>
              <w:snapToGrid w:val="0"/>
              <w:ind w:firstLine="320" w:firstLineChars="200"/>
              <w:jc w:val="left"/>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按照</w:t>
            </w:r>
            <w:r>
              <w:rPr>
                <w:rFonts w:hint="default" w:ascii="Times New Roman" w:hAnsi="Times New Roman" w:eastAsia="宋体" w:cs="Times New Roman"/>
                <w:color w:val="auto"/>
                <w:spacing w:val="-10"/>
                <w:sz w:val="18"/>
                <w:szCs w:val="18"/>
                <w:highlight w:val="none"/>
                <w:lang w:val="en-US" w:eastAsia="zh-CN"/>
              </w:rPr>
              <w:t>《企业环境信息依法披露管理办法》（</w:t>
            </w:r>
            <w:r>
              <w:rPr>
                <w:rFonts w:hint="eastAsia" w:ascii="Times New Roman" w:hAnsi="Times New Roman" w:eastAsia="宋体" w:cs="Times New Roman"/>
                <w:color w:val="auto"/>
                <w:spacing w:val="-10"/>
                <w:sz w:val="18"/>
                <w:szCs w:val="18"/>
                <w:highlight w:val="none"/>
              </w:rPr>
              <w:t>中华人民共和国生态环境部令第</w:t>
            </w:r>
            <w:r>
              <w:rPr>
                <w:rFonts w:hint="eastAsia" w:ascii="Times New Roman" w:hAnsi="Times New Roman" w:eastAsia="宋体" w:cs="Times New Roman"/>
                <w:color w:val="auto"/>
                <w:spacing w:val="-10"/>
                <w:sz w:val="18"/>
                <w:szCs w:val="18"/>
                <w:highlight w:val="none"/>
                <w:lang w:val="en-US" w:eastAsia="zh-CN"/>
              </w:rPr>
              <w:t>24</w:t>
            </w:r>
            <w:r>
              <w:rPr>
                <w:rFonts w:hint="eastAsia" w:ascii="Times New Roman" w:hAnsi="Times New Roman" w:eastAsia="宋体" w:cs="Times New Roman"/>
                <w:color w:val="auto"/>
                <w:spacing w:val="-10"/>
                <w:sz w:val="18"/>
                <w:szCs w:val="18"/>
                <w:highlight w:val="none"/>
              </w:rPr>
              <w:t>号</w:t>
            </w:r>
            <w:r>
              <w:rPr>
                <w:rFonts w:hint="default" w:ascii="Times New Roman" w:hAnsi="Times New Roman" w:eastAsia="宋体" w:cs="Times New Roman"/>
                <w:color w:val="auto"/>
                <w:spacing w:val="-10"/>
                <w:sz w:val="18"/>
                <w:szCs w:val="18"/>
                <w:highlight w:val="none"/>
                <w:lang w:val="en-US" w:eastAsia="zh-CN"/>
              </w:rPr>
              <w:t>）要求</w:t>
            </w:r>
            <w:r>
              <w:rPr>
                <w:rFonts w:hint="eastAsia" w:ascii="Times New Roman" w:hAnsi="Times New Roman" w:eastAsia="宋体" w:cs="Times New Roman"/>
                <w:color w:val="auto"/>
                <w:spacing w:val="-10"/>
                <w:sz w:val="18"/>
                <w:szCs w:val="18"/>
                <w:highlight w:val="none"/>
                <w:lang w:val="en-US" w:eastAsia="zh-CN"/>
              </w:rPr>
              <w:t>，</w:t>
            </w:r>
            <w:r>
              <w:rPr>
                <w:rFonts w:hint="default" w:ascii="Times New Roman" w:hAnsi="Times New Roman" w:eastAsia="宋体" w:cs="Times New Roman"/>
                <w:color w:val="auto"/>
                <w:spacing w:val="-10"/>
                <w:sz w:val="18"/>
                <w:szCs w:val="18"/>
                <w:highlight w:val="none"/>
                <w:lang w:val="en-US" w:eastAsia="zh-CN"/>
              </w:rPr>
              <w:t>进行相关信息公开。</w:t>
            </w:r>
          </w:p>
          <w:p w14:paraId="0014C995">
            <w:pPr>
              <w:adjustRightInd w:val="0"/>
              <w:snapToGrid w:val="0"/>
              <w:ind w:firstLine="321" w:firstLineChars="200"/>
              <w:jc w:val="left"/>
              <w:rPr>
                <w:rFonts w:hint="eastAsia" w:ascii="Times New Roman" w:hAnsi="Times New Roman" w:eastAsia="宋体" w:cs="Times New Roman"/>
                <w:b/>
                <w:bCs/>
                <w:color w:val="auto"/>
                <w:spacing w:val="-10"/>
                <w:sz w:val="18"/>
                <w:szCs w:val="18"/>
                <w:highlight w:val="none"/>
              </w:rPr>
            </w:pPr>
            <w:r>
              <w:rPr>
                <w:rFonts w:hint="eastAsia" w:cs="Times New Roman"/>
                <w:b/>
                <w:bCs/>
                <w:color w:val="auto"/>
                <w:spacing w:val="-10"/>
                <w:sz w:val="18"/>
                <w:szCs w:val="18"/>
                <w:highlight w:val="none"/>
                <w:lang w:val="en-US" w:eastAsia="zh-CN"/>
              </w:rPr>
              <w:t>6</w:t>
            </w:r>
            <w:r>
              <w:rPr>
                <w:rFonts w:hint="eastAsia" w:ascii="Times New Roman" w:hAnsi="Times New Roman" w:eastAsia="宋体" w:cs="Times New Roman"/>
                <w:b/>
                <w:bCs/>
                <w:color w:val="auto"/>
                <w:spacing w:val="-10"/>
                <w:sz w:val="18"/>
                <w:szCs w:val="18"/>
                <w:highlight w:val="none"/>
              </w:rPr>
              <w:t>.环境监测及排污口规范化</w:t>
            </w:r>
          </w:p>
          <w:p w14:paraId="30911A7C">
            <w:pPr>
              <w:adjustRightInd w:val="0"/>
              <w:snapToGrid w:val="0"/>
              <w:ind w:firstLine="321" w:firstLineChars="200"/>
              <w:jc w:val="left"/>
              <w:rPr>
                <w:rFonts w:hint="eastAsia" w:ascii="Times New Roman" w:hAnsi="Times New Roman" w:eastAsia="宋体" w:cs="Times New Roman"/>
                <w:b/>
                <w:bCs/>
                <w:color w:val="auto"/>
                <w:spacing w:val="-10"/>
                <w:sz w:val="18"/>
                <w:szCs w:val="18"/>
                <w:highlight w:val="none"/>
              </w:rPr>
            </w:pPr>
            <w:r>
              <w:rPr>
                <w:rFonts w:hint="eastAsia" w:cs="Times New Roman"/>
                <w:b/>
                <w:bCs/>
                <w:color w:val="auto"/>
                <w:spacing w:val="-10"/>
                <w:sz w:val="18"/>
                <w:szCs w:val="18"/>
                <w:highlight w:val="none"/>
                <w:lang w:val="en-US" w:eastAsia="zh-CN"/>
              </w:rPr>
              <w:t>6</w:t>
            </w:r>
            <w:r>
              <w:rPr>
                <w:rFonts w:hint="eastAsia" w:ascii="Times New Roman" w:hAnsi="Times New Roman" w:eastAsia="宋体" w:cs="Times New Roman"/>
                <w:b/>
                <w:bCs/>
                <w:color w:val="auto"/>
                <w:spacing w:val="-10"/>
                <w:sz w:val="18"/>
                <w:szCs w:val="18"/>
                <w:highlight w:val="none"/>
              </w:rPr>
              <w:t>.1环境监测</w:t>
            </w:r>
          </w:p>
          <w:p w14:paraId="0A6889B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根据本建设项目性质与实际情况，建议由当地环境监测部门承担本项目废气、</w:t>
            </w:r>
            <w:r>
              <w:rPr>
                <w:rFonts w:hint="eastAsia" w:cs="Times New Roman"/>
                <w:color w:val="auto"/>
                <w:spacing w:val="-10"/>
                <w:sz w:val="18"/>
                <w:szCs w:val="18"/>
                <w:highlight w:val="none"/>
                <w:lang w:val="en-US" w:eastAsia="zh-CN"/>
              </w:rPr>
              <w:t>废水及</w:t>
            </w:r>
            <w:r>
              <w:rPr>
                <w:rFonts w:hint="eastAsia" w:ascii="Times New Roman" w:hAnsi="Times New Roman" w:eastAsia="宋体" w:cs="Times New Roman"/>
                <w:color w:val="auto"/>
                <w:spacing w:val="-10"/>
                <w:sz w:val="18"/>
                <w:szCs w:val="18"/>
                <w:highlight w:val="none"/>
                <w:lang w:val="en-US" w:eastAsia="zh-CN"/>
              </w:rPr>
              <w:t>噪声的常规监测，固废的日常分析记录由建设单位负责。</w:t>
            </w:r>
          </w:p>
          <w:p w14:paraId="22416058">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ascii="Times New Roman" w:hAnsi="Times New Roman" w:eastAsia="宋体" w:cs="Times New Roman"/>
                <w:b/>
                <w:bCs/>
                <w:color w:val="auto"/>
                <w:spacing w:val="-10"/>
                <w:sz w:val="18"/>
                <w:szCs w:val="18"/>
                <w:highlight w:val="none"/>
                <w:lang w:val="en-US" w:eastAsia="zh-CN"/>
              </w:rPr>
              <w:t>环境监测计划一览表</w:t>
            </w:r>
          </w:p>
          <w:tbl>
            <w:tblPr>
              <w:tblStyle w:val="26"/>
              <w:tblW w:w="5061"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0" w:type="dxa"/>
                <w:bottom w:w="0" w:type="dxa"/>
                <w:right w:w="0" w:type="dxa"/>
              </w:tblCellMar>
            </w:tblPr>
            <w:tblGrid>
              <w:gridCol w:w="662"/>
              <w:gridCol w:w="538"/>
              <w:gridCol w:w="735"/>
              <w:gridCol w:w="2711"/>
              <w:gridCol w:w="1650"/>
              <w:gridCol w:w="1083"/>
            </w:tblGrid>
            <w:tr w14:paraId="076E120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tcBorders>
                    <w:tl2br w:val="nil"/>
                    <w:tr2bl w:val="nil"/>
                  </w:tcBorders>
                  <w:noWrap w:val="0"/>
                  <w:vAlign w:val="center"/>
                </w:tcPr>
                <w:p w14:paraId="4F86C03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序号</w:t>
                  </w:r>
                </w:p>
              </w:tc>
              <w:tc>
                <w:tcPr>
                  <w:tcW w:w="2699" w:type="pct"/>
                  <w:gridSpan w:val="3"/>
                  <w:tcBorders>
                    <w:tl2br w:val="nil"/>
                    <w:tr2bl w:val="nil"/>
                  </w:tcBorders>
                  <w:noWrap w:val="0"/>
                  <w:vAlign w:val="center"/>
                </w:tcPr>
                <w:p w14:paraId="361AD633">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监测点位</w:t>
                  </w:r>
                </w:p>
              </w:tc>
              <w:tc>
                <w:tcPr>
                  <w:tcW w:w="1118" w:type="pct"/>
                  <w:tcBorders>
                    <w:tl2br w:val="nil"/>
                    <w:tr2bl w:val="nil"/>
                  </w:tcBorders>
                  <w:noWrap w:val="0"/>
                  <w:vAlign w:val="center"/>
                </w:tcPr>
                <w:p w14:paraId="0785843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监测项目</w:t>
                  </w:r>
                </w:p>
              </w:tc>
              <w:tc>
                <w:tcPr>
                  <w:tcW w:w="733" w:type="pct"/>
                  <w:tcBorders>
                    <w:tl2br w:val="nil"/>
                    <w:tr2bl w:val="nil"/>
                  </w:tcBorders>
                  <w:noWrap w:val="0"/>
                  <w:vAlign w:val="center"/>
                </w:tcPr>
                <w:p w14:paraId="2E9312AE">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监测频次</w:t>
                  </w:r>
                </w:p>
              </w:tc>
            </w:tr>
            <w:tr w14:paraId="5C8EEE0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39" w:hRule="atLeast"/>
                <w:jc w:val="center"/>
              </w:trPr>
              <w:tc>
                <w:tcPr>
                  <w:tcW w:w="448" w:type="pct"/>
                  <w:vMerge w:val="restart"/>
                  <w:tcBorders>
                    <w:tl2br w:val="nil"/>
                    <w:tr2bl w:val="nil"/>
                  </w:tcBorders>
                  <w:noWrap w:val="0"/>
                  <w:vAlign w:val="center"/>
                </w:tcPr>
                <w:p w14:paraId="06474D83">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废气</w:t>
                  </w:r>
                </w:p>
              </w:tc>
              <w:tc>
                <w:tcPr>
                  <w:tcW w:w="364" w:type="pct"/>
                  <w:tcBorders>
                    <w:tl2br w:val="nil"/>
                    <w:tr2bl w:val="nil"/>
                  </w:tcBorders>
                  <w:noWrap w:val="0"/>
                  <w:vAlign w:val="center"/>
                </w:tcPr>
                <w:p w14:paraId="1A3188BD">
                  <w:pPr>
                    <w:keepNext w:val="0"/>
                    <w:keepLines w:val="0"/>
                    <w:pageBreakBefore w:val="0"/>
                    <w:widowControl w:val="0"/>
                    <w:kinsoku/>
                    <w:wordWrap/>
                    <w:overflowPunct/>
                    <w:topLinePunct w:val="0"/>
                    <w:autoSpaceDE/>
                    <w:autoSpaceDN/>
                    <w:bidi w:val="0"/>
                    <w:adjustRightInd w:val="0"/>
                    <w:snapToGrid w:val="0"/>
                    <w:jc w:val="left"/>
                    <w:textAlignment w:val="auto"/>
                    <w:rPr>
                      <w:rFonts w:hint="default"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有组织</w:t>
                  </w:r>
                </w:p>
              </w:tc>
              <w:tc>
                <w:tcPr>
                  <w:tcW w:w="2335" w:type="pct"/>
                  <w:gridSpan w:val="2"/>
                  <w:tcBorders>
                    <w:tl2br w:val="nil"/>
                    <w:tr2bl w:val="nil"/>
                  </w:tcBorders>
                  <w:shd w:val="clear" w:color="auto" w:fill="auto"/>
                  <w:noWrap w:val="0"/>
                  <w:vAlign w:val="center"/>
                </w:tcPr>
                <w:p w14:paraId="4C5A0B9A">
                  <w:pPr>
                    <w:jc w:val="center"/>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10"/>
                      <w:sz w:val="18"/>
                      <w:szCs w:val="18"/>
                      <w:highlight w:val="none"/>
                      <w:lang w:val="en-US" w:eastAsia="zh-CN"/>
                    </w:rPr>
                    <w:t>二级活性炭吸附装置排气筒（DA001）</w:t>
                  </w:r>
                </w:p>
              </w:tc>
              <w:tc>
                <w:tcPr>
                  <w:tcW w:w="1118" w:type="pct"/>
                  <w:tcBorders>
                    <w:tl2br w:val="nil"/>
                    <w:tr2bl w:val="nil"/>
                  </w:tcBorders>
                  <w:shd w:val="clear" w:color="auto" w:fill="auto"/>
                  <w:noWrap w:val="0"/>
                  <w:vAlign w:val="center"/>
                </w:tcPr>
                <w:p w14:paraId="500BF037">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733" w:type="pct"/>
                  <w:tcBorders>
                    <w:tl2br w:val="nil"/>
                    <w:tr2bl w:val="nil"/>
                  </w:tcBorders>
                  <w:shd w:val="clear" w:color="auto" w:fill="auto"/>
                  <w:noWrap w:val="0"/>
                  <w:vAlign w:val="center"/>
                </w:tcPr>
                <w:p w14:paraId="0DC7C03B">
                  <w:pPr>
                    <w:jc w:val="center"/>
                    <w:rPr>
                      <w:rFonts w:hint="eastAsia" w:ascii="Times New Roman" w:hAnsi="Times New Roman" w:eastAsia="宋体" w:cs="Times New Roman"/>
                      <w:color w:val="auto"/>
                      <w:spacing w:val="-10"/>
                      <w:kern w:val="2"/>
                      <w:sz w:val="18"/>
                      <w:szCs w:val="18"/>
                      <w:highlight w:val="none"/>
                      <w:lang w:val="en-US" w:eastAsia="zh-CN" w:bidi="ar-SA"/>
                    </w:rPr>
                  </w:pPr>
                  <w:r>
                    <w:rPr>
                      <w:color w:val="auto"/>
                      <w:spacing w:val="-20"/>
                      <w:sz w:val="18"/>
                      <w:szCs w:val="18"/>
                      <w:highlight w:val="none"/>
                    </w:rPr>
                    <w:t>1次/年</w:t>
                  </w:r>
                </w:p>
              </w:tc>
            </w:tr>
            <w:tr w14:paraId="66A60B52">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vMerge w:val="continue"/>
                  <w:tcBorders>
                    <w:tl2br w:val="nil"/>
                    <w:tr2bl w:val="nil"/>
                  </w:tcBorders>
                  <w:noWrap w:val="0"/>
                  <w:vAlign w:val="center"/>
                </w:tcPr>
                <w:p w14:paraId="737EA27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p>
              </w:tc>
              <w:tc>
                <w:tcPr>
                  <w:tcW w:w="364" w:type="pct"/>
                  <w:vMerge w:val="restart"/>
                  <w:tcBorders>
                    <w:tl2br w:val="nil"/>
                    <w:tr2bl w:val="nil"/>
                  </w:tcBorders>
                  <w:noWrap w:val="0"/>
                  <w:vAlign w:val="center"/>
                </w:tcPr>
                <w:p w14:paraId="0343DD22">
                  <w:pPr>
                    <w:keepNext w:val="0"/>
                    <w:keepLines w:val="0"/>
                    <w:pageBreakBefore w:val="0"/>
                    <w:widowControl w:val="0"/>
                    <w:kinsoku/>
                    <w:wordWrap/>
                    <w:overflowPunct/>
                    <w:topLinePunct w:val="0"/>
                    <w:autoSpaceDE/>
                    <w:autoSpaceDN/>
                    <w:bidi w:val="0"/>
                    <w:adjustRightInd w:val="0"/>
                    <w:snapToGrid w:val="0"/>
                    <w:jc w:val="left"/>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无组织</w:t>
                  </w:r>
                </w:p>
              </w:tc>
              <w:tc>
                <w:tcPr>
                  <w:tcW w:w="498" w:type="pct"/>
                  <w:tcBorders>
                    <w:tl2br w:val="nil"/>
                    <w:tr2bl w:val="nil"/>
                  </w:tcBorders>
                  <w:shd w:val="clear" w:color="auto" w:fill="auto"/>
                  <w:noWrap w:val="0"/>
                  <w:vAlign w:val="center"/>
                </w:tcPr>
                <w:p w14:paraId="54366F1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厂区内</w:t>
                  </w:r>
                </w:p>
              </w:tc>
              <w:tc>
                <w:tcPr>
                  <w:tcW w:w="1836" w:type="pct"/>
                  <w:tcBorders>
                    <w:tl2br w:val="nil"/>
                    <w:tr2bl w:val="nil"/>
                  </w:tcBorders>
                  <w:shd w:val="clear" w:color="auto" w:fill="auto"/>
                  <w:noWrap w:val="0"/>
                  <w:vAlign w:val="center"/>
                </w:tcPr>
                <w:p w14:paraId="29871537">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olor w:val="auto"/>
                      <w:spacing w:val="-20"/>
                      <w:sz w:val="18"/>
                      <w:szCs w:val="18"/>
                      <w:highlight w:val="none"/>
                      <w:lang w:val="en-US" w:eastAsia="zh-CN"/>
                    </w:rPr>
                    <w:t>实验室大楼</w:t>
                  </w:r>
                  <w:r>
                    <w:rPr>
                      <w:color w:val="auto"/>
                      <w:spacing w:val="-20"/>
                      <w:sz w:val="18"/>
                      <w:szCs w:val="18"/>
                      <w:highlight w:val="none"/>
                    </w:rPr>
                    <w:t>门窗、屋顶等排放口处</w:t>
                  </w:r>
                </w:p>
              </w:tc>
              <w:tc>
                <w:tcPr>
                  <w:tcW w:w="1118" w:type="pct"/>
                  <w:tcBorders>
                    <w:tl2br w:val="nil"/>
                    <w:tr2bl w:val="nil"/>
                  </w:tcBorders>
                  <w:shd w:val="clear" w:color="auto" w:fill="auto"/>
                  <w:noWrap w:val="0"/>
                  <w:vAlign w:val="center"/>
                </w:tcPr>
                <w:p w14:paraId="60E9A3F6">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20"/>
                      <w:kern w:val="2"/>
                      <w:sz w:val="18"/>
                      <w:szCs w:val="18"/>
                      <w:highlight w:val="none"/>
                      <w:lang w:val="en-US" w:eastAsia="zh-CN" w:bidi="ar-SA"/>
                    </w:rPr>
                    <w:t>NMHC</w:t>
                  </w:r>
                </w:p>
              </w:tc>
              <w:tc>
                <w:tcPr>
                  <w:tcW w:w="733" w:type="pct"/>
                  <w:tcBorders>
                    <w:tl2br w:val="nil"/>
                    <w:tr2bl w:val="nil"/>
                  </w:tcBorders>
                  <w:shd w:val="clear" w:color="auto" w:fill="auto"/>
                  <w:noWrap w:val="0"/>
                  <w:vAlign w:val="center"/>
                </w:tcPr>
                <w:p w14:paraId="11BF2E8B">
                  <w:pPr>
                    <w:jc w:val="center"/>
                    <w:rPr>
                      <w:rFonts w:hint="eastAsia" w:ascii="Times New Roman" w:hAnsi="Times New Roman" w:eastAsia="宋体" w:cs="Times New Roman"/>
                      <w:color w:val="auto"/>
                      <w:spacing w:val="-10"/>
                      <w:kern w:val="2"/>
                      <w:sz w:val="18"/>
                      <w:szCs w:val="18"/>
                      <w:highlight w:val="none"/>
                      <w:lang w:val="en-US" w:eastAsia="zh-CN" w:bidi="ar-SA"/>
                    </w:rPr>
                  </w:pPr>
                  <w:r>
                    <w:rPr>
                      <w:color w:val="auto"/>
                      <w:spacing w:val="-20"/>
                      <w:sz w:val="18"/>
                      <w:szCs w:val="18"/>
                      <w:highlight w:val="none"/>
                    </w:rPr>
                    <w:t>1次/年</w:t>
                  </w:r>
                </w:p>
              </w:tc>
            </w:tr>
            <w:tr w14:paraId="314E77E5">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vMerge w:val="continue"/>
                  <w:tcBorders>
                    <w:tl2br w:val="nil"/>
                    <w:tr2bl w:val="nil"/>
                  </w:tcBorders>
                  <w:noWrap w:val="0"/>
                  <w:vAlign w:val="center"/>
                </w:tcPr>
                <w:p w14:paraId="1010C812">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p>
              </w:tc>
              <w:tc>
                <w:tcPr>
                  <w:tcW w:w="364" w:type="pct"/>
                  <w:vMerge w:val="continue"/>
                  <w:tcBorders>
                    <w:tl2br w:val="nil"/>
                    <w:tr2bl w:val="nil"/>
                  </w:tcBorders>
                  <w:noWrap w:val="0"/>
                  <w:vAlign w:val="center"/>
                </w:tcPr>
                <w:p w14:paraId="5B02FF03">
                  <w:pPr>
                    <w:keepNext w:val="0"/>
                    <w:keepLines w:val="0"/>
                    <w:pageBreakBefore w:val="0"/>
                    <w:widowControl w:val="0"/>
                    <w:kinsoku/>
                    <w:wordWrap/>
                    <w:overflowPunct/>
                    <w:topLinePunct w:val="0"/>
                    <w:autoSpaceDE/>
                    <w:autoSpaceDN/>
                    <w:bidi w:val="0"/>
                    <w:adjustRightInd w:val="0"/>
                    <w:snapToGrid w:val="0"/>
                    <w:jc w:val="left"/>
                    <w:textAlignment w:val="auto"/>
                    <w:rPr>
                      <w:rFonts w:hint="eastAsia" w:cs="Times New Roman"/>
                      <w:color w:val="auto"/>
                      <w:spacing w:val="-10"/>
                      <w:sz w:val="18"/>
                      <w:szCs w:val="18"/>
                      <w:highlight w:val="none"/>
                      <w:lang w:val="en-US" w:eastAsia="zh-CN"/>
                    </w:rPr>
                  </w:pPr>
                </w:p>
              </w:tc>
              <w:tc>
                <w:tcPr>
                  <w:tcW w:w="498" w:type="pct"/>
                  <w:tcBorders>
                    <w:tl2br w:val="nil"/>
                    <w:tr2bl w:val="nil"/>
                  </w:tcBorders>
                  <w:shd w:val="clear" w:color="auto" w:fill="auto"/>
                  <w:noWrap w:val="0"/>
                  <w:vAlign w:val="center"/>
                </w:tcPr>
                <w:p w14:paraId="41CB69D3">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厂界</w:t>
                  </w:r>
                </w:p>
              </w:tc>
              <w:tc>
                <w:tcPr>
                  <w:tcW w:w="1836" w:type="pct"/>
                  <w:tcBorders>
                    <w:tl2br w:val="nil"/>
                    <w:tr2bl w:val="nil"/>
                  </w:tcBorders>
                  <w:shd w:val="clear" w:color="auto" w:fill="auto"/>
                  <w:noWrap w:val="0"/>
                  <w:vAlign w:val="center"/>
                </w:tcPr>
                <w:p w14:paraId="3B73B03B">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kern w:val="2"/>
                      <w:sz w:val="18"/>
                      <w:szCs w:val="18"/>
                      <w:highlight w:val="none"/>
                      <w:lang w:val="en-US" w:eastAsia="zh-CN" w:bidi="ar-SA"/>
                    </w:rPr>
                  </w:pPr>
                  <w:r>
                    <w:rPr>
                      <w:rFonts w:hint="eastAsia" w:cs="Times New Roman"/>
                      <w:color w:val="auto"/>
                      <w:spacing w:val="-10"/>
                      <w:sz w:val="18"/>
                      <w:szCs w:val="18"/>
                      <w:highlight w:val="none"/>
                      <w:lang w:val="en-US" w:eastAsia="zh-CN"/>
                    </w:rPr>
                    <w:t>上风向1个参照点，下风向3个监测点</w:t>
                  </w:r>
                </w:p>
              </w:tc>
              <w:tc>
                <w:tcPr>
                  <w:tcW w:w="1118" w:type="pct"/>
                  <w:tcBorders>
                    <w:tl2br w:val="nil"/>
                    <w:tr2bl w:val="nil"/>
                  </w:tcBorders>
                  <w:shd w:val="clear" w:color="auto" w:fill="auto"/>
                  <w:noWrap w:val="0"/>
                  <w:vAlign w:val="center"/>
                </w:tcPr>
                <w:p w14:paraId="6947740D">
                  <w:pPr>
                    <w:jc w:val="center"/>
                    <w:rPr>
                      <w:rFonts w:hint="eastAsia" w:ascii="Times New Roman" w:hAnsi="Times New Roman" w:eastAsia="宋体" w:cs="Times New Roman"/>
                      <w:color w:val="auto"/>
                      <w:spacing w:val="-20"/>
                      <w:kern w:val="2"/>
                      <w:sz w:val="18"/>
                      <w:szCs w:val="18"/>
                      <w:highlight w:val="none"/>
                      <w:lang w:val="en-US" w:eastAsia="zh-CN" w:bidi="ar-SA"/>
                    </w:rPr>
                  </w:pPr>
                  <w:r>
                    <w:rPr>
                      <w:rFonts w:hint="eastAsia" w:cs="Times New Roman"/>
                      <w:color w:val="auto"/>
                      <w:spacing w:val="-10"/>
                      <w:kern w:val="2"/>
                      <w:sz w:val="18"/>
                      <w:szCs w:val="18"/>
                      <w:highlight w:val="none"/>
                      <w:lang w:val="en-US" w:eastAsia="zh-CN" w:bidi="ar-SA"/>
                    </w:rPr>
                    <w:t>颗粒物、HC</w:t>
                  </w:r>
                  <w:r>
                    <w:rPr>
                      <w:rFonts w:hint="eastAsia" w:ascii="Times New Roman" w:hAnsi="Times New Roman" w:cs="Times New Roman"/>
                      <w:color w:val="auto"/>
                      <w:spacing w:val="-10"/>
                      <w:sz w:val="18"/>
                      <w:szCs w:val="18"/>
                      <w:highlight w:val="none"/>
                      <w:lang w:val="en-US" w:eastAsia="zh-CN"/>
                    </w:rPr>
                    <w:t>l、硫酸雾、</w:t>
                  </w:r>
                  <w:r>
                    <w:rPr>
                      <w:rFonts w:hint="eastAsia" w:cs="Times New Roman"/>
                      <w:color w:val="auto"/>
                      <w:spacing w:val="-20"/>
                      <w:kern w:val="2"/>
                      <w:sz w:val="18"/>
                      <w:szCs w:val="18"/>
                      <w:highlight w:val="none"/>
                      <w:lang w:val="en-US" w:eastAsia="zh-CN" w:bidi="ar-SA"/>
                    </w:rPr>
                    <w:t>NMHC</w:t>
                  </w:r>
                </w:p>
              </w:tc>
              <w:tc>
                <w:tcPr>
                  <w:tcW w:w="733" w:type="pct"/>
                  <w:tcBorders>
                    <w:tl2br w:val="nil"/>
                    <w:tr2bl w:val="nil"/>
                  </w:tcBorders>
                  <w:shd w:val="clear" w:color="auto" w:fill="auto"/>
                  <w:noWrap w:val="0"/>
                  <w:vAlign w:val="center"/>
                </w:tcPr>
                <w:p w14:paraId="7281720B">
                  <w:pPr>
                    <w:jc w:val="center"/>
                    <w:rPr>
                      <w:rFonts w:hint="eastAsia" w:ascii="Times New Roman" w:hAnsi="Times New Roman" w:eastAsia="宋体" w:cs="Times New Roman"/>
                      <w:color w:val="auto"/>
                      <w:spacing w:val="-10"/>
                      <w:kern w:val="2"/>
                      <w:sz w:val="18"/>
                      <w:szCs w:val="18"/>
                      <w:highlight w:val="none"/>
                      <w:lang w:val="en-US" w:eastAsia="zh-CN" w:bidi="ar-SA"/>
                    </w:rPr>
                  </w:pPr>
                  <w:r>
                    <w:rPr>
                      <w:color w:val="auto"/>
                      <w:spacing w:val="-20"/>
                      <w:sz w:val="18"/>
                      <w:szCs w:val="18"/>
                      <w:highlight w:val="none"/>
                    </w:rPr>
                    <w:t>1次/年</w:t>
                  </w:r>
                </w:p>
              </w:tc>
            </w:tr>
            <w:tr w14:paraId="27EFC32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tcBorders>
                    <w:tl2br w:val="nil"/>
                    <w:tr2bl w:val="nil"/>
                  </w:tcBorders>
                  <w:noWrap w:val="0"/>
                  <w:vAlign w:val="center"/>
                </w:tcPr>
                <w:p w14:paraId="2546F98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废水</w:t>
                  </w:r>
                </w:p>
              </w:tc>
              <w:tc>
                <w:tcPr>
                  <w:tcW w:w="2699" w:type="pct"/>
                  <w:gridSpan w:val="3"/>
                  <w:tcBorders>
                    <w:tl2br w:val="nil"/>
                    <w:tr2bl w:val="nil"/>
                  </w:tcBorders>
                  <w:noWrap w:val="0"/>
                  <w:vAlign w:val="center"/>
                </w:tcPr>
                <w:p w14:paraId="7D1A77F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olor w:val="auto"/>
                      <w:spacing w:val="-20"/>
                      <w:sz w:val="18"/>
                      <w:szCs w:val="18"/>
                      <w:highlight w:val="none"/>
                      <w:lang w:val="en-US" w:eastAsia="zh-CN"/>
                    </w:rPr>
                    <w:t>废水总排口</w:t>
                  </w:r>
                </w:p>
              </w:tc>
              <w:tc>
                <w:tcPr>
                  <w:tcW w:w="1118" w:type="pct"/>
                  <w:tcBorders>
                    <w:tl2br w:val="nil"/>
                    <w:tr2bl w:val="nil"/>
                  </w:tcBorders>
                  <w:noWrap w:val="0"/>
                  <w:vAlign w:val="center"/>
                </w:tcPr>
                <w:p w14:paraId="030AA77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cs="Times New Roman"/>
                      <w:color w:val="auto"/>
                      <w:spacing w:val="-20"/>
                      <w:kern w:val="2"/>
                      <w:sz w:val="18"/>
                      <w:szCs w:val="18"/>
                      <w:highlight w:val="none"/>
                      <w:lang w:val="en-US" w:eastAsia="zh-CN" w:bidi="ar-SA"/>
                    </w:rPr>
                  </w:pPr>
                  <w:r>
                    <w:rPr>
                      <w:rFonts w:hint="eastAsia" w:eastAsia="宋体" w:cs="Times New Roman"/>
                      <w:color w:val="auto"/>
                      <w:spacing w:val="-20"/>
                      <w:sz w:val="18"/>
                      <w:szCs w:val="18"/>
                      <w:highlight w:val="none"/>
                      <w:lang w:val="en-US" w:eastAsia="zh-CN"/>
                    </w:rPr>
                    <w:t>PH、</w:t>
                  </w:r>
                  <w:r>
                    <w:rPr>
                      <w:rFonts w:hint="default" w:ascii="Times New Roman" w:hAnsi="Times New Roman" w:eastAsia="宋体" w:cs="Times New Roman"/>
                      <w:color w:val="auto"/>
                      <w:spacing w:val="-10"/>
                      <w:kern w:val="2"/>
                      <w:sz w:val="18"/>
                      <w:szCs w:val="18"/>
                      <w:highlight w:val="none"/>
                      <w:lang w:val="en-US" w:eastAsia="zh-CN" w:bidi="ar-SA"/>
                    </w:rPr>
                    <w:t>COD、BOD</w:t>
                  </w:r>
                  <w:r>
                    <w:rPr>
                      <w:rFonts w:hint="default" w:ascii="Times New Roman" w:hAnsi="Times New Roman" w:eastAsia="宋体" w:cs="Times New Roman"/>
                      <w:color w:val="auto"/>
                      <w:spacing w:val="-10"/>
                      <w:kern w:val="2"/>
                      <w:sz w:val="18"/>
                      <w:szCs w:val="18"/>
                      <w:highlight w:val="none"/>
                      <w:vertAlign w:val="subscript"/>
                      <w:lang w:val="en-US" w:eastAsia="zh-CN" w:bidi="ar-SA"/>
                    </w:rPr>
                    <w:t>5</w:t>
                  </w:r>
                  <w:r>
                    <w:rPr>
                      <w:rFonts w:hint="default" w:ascii="Times New Roman" w:hAnsi="Times New Roman" w:eastAsia="宋体" w:cs="Times New Roman"/>
                      <w:color w:val="auto"/>
                      <w:spacing w:val="-10"/>
                      <w:kern w:val="2"/>
                      <w:sz w:val="18"/>
                      <w:szCs w:val="18"/>
                      <w:highlight w:val="none"/>
                      <w:lang w:val="en-US" w:eastAsia="zh-CN" w:bidi="ar-SA"/>
                    </w:rPr>
                    <w:t>、氨氮、SS</w:t>
                  </w:r>
                  <w:r>
                    <w:rPr>
                      <w:rFonts w:hint="eastAsia" w:cs="Times New Roman"/>
                      <w:color w:val="auto"/>
                      <w:spacing w:val="-10"/>
                      <w:kern w:val="2"/>
                      <w:sz w:val="18"/>
                      <w:szCs w:val="18"/>
                      <w:highlight w:val="none"/>
                      <w:lang w:val="en-US" w:eastAsia="zh-CN" w:bidi="ar-SA"/>
                    </w:rPr>
                    <w:t>、总氮、总磷、全盐量</w:t>
                  </w:r>
                </w:p>
              </w:tc>
              <w:tc>
                <w:tcPr>
                  <w:tcW w:w="733" w:type="pct"/>
                  <w:tcBorders>
                    <w:tl2br w:val="nil"/>
                    <w:tr2bl w:val="nil"/>
                  </w:tcBorders>
                  <w:noWrap w:val="0"/>
                  <w:vAlign w:val="center"/>
                </w:tcPr>
                <w:p w14:paraId="31F7575E">
                  <w:pPr>
                    <w:jc w:val="center"/>
                    <w:rPr>
                      <w:color w:val="auto"/>
                      <w:spacing w:val="-20"/>
                      <w:sz w:val="18"/>
                      <w:szCs w:val="18"/>
                      <w:highlight w:val="none"/>
                    </w:rPr>
                  </w:pPr>
                  <w:r>
                    <w:rPr>
                      <w:color w:val="auto"/>
                      <w:spacing w:val="-20"/>
                      <w:sz w:val="18"/>
                      <w:szCs w:val="18"/>
                      <w:highlight w:val="none"/>
                    </w:rPr>
                    <w:t>1次/年</w:t>
                  </w:r>
                </w:p>
              </w:tc>
            </w:tr>
            <w:tr w14:paraId="51724494">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227" w:hRule="atLeast"/>
                <w:jc w:val="center"/>
              </w:trPr>
              <w:tc>
                <w:tcPr>
                  <w:tcW w:w="448" w:type="pct"/>
                  <w:tcBorders>
                    <w:tl2br w:val="nil"/>
                    <w:tr2bl w:val="nil"/>
                  </w:tcBorders>
                  <w:noWrap w:val="0"/>
                  <w:vAlign w:val="center"/>
                </w:tcPr>
                <w:p w14:paraId="690456C5">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噪声</w:t>
                  </w:r>
                </w:p>
              </w:tc>
              <w:tc>
                <w:tcPr>
                  <w:tcW w:w="2699" w:type="pct"/>
                  <w:gridSpan w:val="3"/>
                  <w:tcBorders>
                    <w:tl2br w:val="nil"/>
                    <w:tr2bl w:val="nil"/>
                  </w:tcBorders>
                  <w:noWrap w:val="0"/>
                  <w:vAlign w:val="center"/>
                </w:tcPr>
                <w:p w14:paraId="3E116460">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东、南、西、北厂界外1m处</w:t>
                  </w:r>
                </w:p>
              </w:tc>
              <w:tc>
                <w:tcPr>
                  <w:tcW w:w="1118" w:type="pct"/>
                  <w:tcBorders>
                    <w:tl2br w:val="nil"/>
                    <w:tr2bl w:val="nil"/>
                  </w:tcBorders>
                  <w:noWrap w:val="0"/>
                  <w:vAlign w:val="center"/>
                </w:tcPr>
                <w:p w14:paraId="15EA280E">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连续等效A声级</w:t>
                  </w:r>
                </w:p>
              </w:tc>
              <w:tc>
                <w:tcPr>
                  <w:tcW w:w="733" w:type="pct"/>
                  <w:tcBorders>
                    <w:tl2br w:val="nil"/>
                    <w:tr2bl w:val="nil"/>
                  </w:tcBorders>
                  <w:noWrap w:val="0"/>
                  <w:vAlign w:val="center"/>
                </w:tcPr>
                <w:p w14:paraId="6013AE44">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1次/季</w:t>
                  </w:r>
                </w:p>
              </w:tc>
            </w:tr>
          </w:tbl>
          <w:p w14:paraId="64491598">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ascii="Times New Roman" w:hAnsi="Times New Roman" w:eastAsia="宋体" w:cs="Times New Roman"/>
                <w:b/>
                <w:bCs/>
                <w:color w:val="auto"/>
                <w:spacing w:val="-10"/>
                <w:sz w:val="18"/>
                <w:szCs w:val="18"/>
                <w:highlight w:val="none"/>
                <w:lang w:val="en-US" w:eastAsia="zh-CN"/>
              </w:rPr>
              <w:t>6.2排污口规范化</w:t>
            </w:r>
          </w:p>
          <w:p w14:paraId="413E33AB">
            <w:pPr>
              <w:adjustRightInd w:val="0"/>
              <w:snapToGrid w:val="0"/>
              <w:ind w:firstLine="320" w:firstLineChars="200"/>
              <w:jc w:val="left"/>
              <w:rPr>
                <w:color w:val="auto"/>
                <w:spacing w:val="-10"/>
                <w:sz w:val="18"/>
                <w:szCs w:val="18"/>
                <w:highlight w:val="none"/>
              </w:rPr>
            </w:pPr>
            <w:r>
              <w:rPr>
                <w:rFonts w:hint="eastAsia"/>
                <w:color w:val="auto"/>
                <w:spacing w:val="-10"/>
                <w:sz w:val="18"/>
                <w:szCs w:val="18"/>
                <w:highlight w:val="none"/>
              </w:rPr>
              <w:t>（1）废水排放口</w:t>
            </w:r>
          </w:p>
          <w:p w14:paraId="4AF9FDEA">
            <w:pPr>
              <w:adjustRightInd w:val="0"/>
              <w:snapToGrid w:val="0"/>
              <w:ind w:firstLine="320" w:firstLineChars="200"/>
              <w:jc w:val="left"/>
              <w:rPr>
                <w:rFonts w:hint="default" w:eastAsia="宋体"/>
                <w:color w:val="auto"/>
                <w:spacing w:val="-10"/>
                <w:sz w:val="18"/>
                <w:szCs w:val="18"/>
                <w:lang w:val="en-US" w:eastAsia="zh-CN"/>
              </w:rPr>
            </w:pPr>
            <w:r>
              <w:rPr>
                <w:rFonts w:hint="eastAsia"/>
                <w:color w:val="auto"/>
                <w:spacing w:val="-10"/>
                <w:sz w:val="18"/>
                <w:szCs w:val="18"/>
                <w:lang w:val="en-US" w:eastAsia="zh-CN"/>
              </w:rPr>
              <w:t>废水排放口应按照</w:t>
            </w:r>
            <w:r>
              <w:rPr>
                <w:rFonts w:hint="eastAsia"/>
                <w:color w:val="auto"/>
                <w:spacing w:val="-10"/>
                <w:sz w:val="18"/>
                <w:szCs w:val="18"/>
              </w:rPr>
              <w:t>《污染源监测技术规范》</w:t>
            </w:r>
            <w:r>
              <w:rPr>
                <w:rFonts w:hint="eastAsia"/>
                <w:color w:val="auto"/>
                <w:spacing w:val="-10"/>
                <w:sz w:val="18"/>
                <w:szCs w:val="18"/>
                <w:lang w:val="en-US" w:eastAsia="zh-CN"/>
              </w:rPr>
              <w:t>设置规范的采样点，建设方应根据要求在厂区排污口附近醒目处设置环境保护图形标志牌。</w:t>
            </w:r>
          </w:p>
          <w:p w14:paraId="3DAB1C7C">
            <w:pPr>
              <w:adjustRightInd w:val="0"/>
              <w:snapToGrid w:val="0"/>
              <w:ind w:firstLine="320" w:firstLineChars="200"/>
              <w:jc w:val="left"/>
              <w:rPr>
                <w:color w:val="auto"/>
                <w:spacing w:val="-10"/>
                <w:sz w:val="18"/>
                <w:szCs w:val="18"/>
              </w:rPr>
            </w:pPr>
            <w:r>
              <w:rPr>
                <w:rFonts w:hint="eastAsia"/>
                <w:color w:val="auto"/>
                <w:spacing w:val="-10"/>
                <w:sz w:val="18"/>
                <w:szCs w:val="18"/>
              </w:rPr>
              <w:t>（2）废气排放口</w:t>
            </w:r>
          </w:p>
          <w:p w14:paraId="7F0C1BF5">
            <w:pPr>
              <w:adjustRightInd w:val="0"/>
              <w:snapToGrid w:val="0"/>
              <w:ind w:firstLine="320" w:firstLineChars="200"/>
              <w:jc w:val="left"/>
              <w:rPr>
                <w:rFonts w:hint="eastAsia"/>
                <w:color w:val="auto"/>
                <w:spacing w:val="-10"/>
                <w:sz w:val="18"/>
                <w:szCs w:val="18"/>
              </w:rPr>
            </w:pPr>
            <w:r>
              <w:rPr>
                <w:rFonts w:hint="eastAsia"/>
                <w:color w:val="auto"/>
                <w:spacing w:val="-10"/>
                <w:sz w:val="18"/>
                <w:szCs w:val="18"/>
                <w:lang w:val="en-US" w:eastAsia="zh-CN"/>
              </w:rPr>
              <w:t>废气处理装置</w:t>
            </w:r>
            <w:r>
              <w:rPr>
                <w:rFonts w:hint="eastAsia"/>
                <w:color w:val="auto"/>
                <w:spacing w:val="-10"/>
                <w:sz w:val="18"/>
                <w:szCs w:val="18"/>
              </w:rPr>
              <w:t>排放口主要污染物为</w:t>
            </w:r>
            <w:r>
              <w:rPr>
                <w:rFonts w:hint="eastAsia"/>
                <w:color w:val="auto"/>
                <w:spacing w:val="-10"/>
                <w:sz w:val="18"/>
                <w:szCs w:val="18"/>
                <w:lang w:val="en-US" w:eastAsia="zh-CN"/>
              </w:rPr>
              <w:t>颗粒物、</w:t>
            </w:r>
            <w:r>
              <w:rPr>
                <w:rFonts w:hint="eastAsia" w:cs="Times New Roman"/>
                <w:color w:val="auto"/>
                <w:spacing w:val="-10"/>
                <w:kern w:val="2"/>
                <w:sz w:val="18"/>
                <w:szCs w:val="18"/>
                <w:highlight w:val="none"/>
                <w:lang w:val="en-US" w:eastAsia="zh-CN" w:bidi="ar-SA"/>
              </w:rPr>
              <w:t>HC</w:t>
            </w:r>
            <w:r>
              <w:rPr>
                <w:rFonts w:hint="eastAsia" w:ascii="Times New Roman" w:hAnsi="Times New Roman" w:cs="Times New Roman"/>
                <w:color w:val="auto"/>
                <w:spacing w:val="-10"/>
                <w:sz w:val="18"/>
                <w:szCs w:val="18"/>
                <w:highlight w:val="none"/>
                <w:lang w:val="en-US" w:eastAsia="zh-CN"/>
              </w:rPr>
              <w:t>l</w:t>
            </w:r>
            <w:r>
              <w:rPr>
                <w:rFonts w:hint="eastAsia" w:cs="Times New Roman"/>
                <w:color w:val="auto"/>
                <w:spacing w:val="-10"/>
                <w:sz w:val="18"/>
                <w:szCs w:val="18"/>
                <w:highlight w:val="none"/>
                <w:lang w:val="en-US" w:eastAsia="zh-CN"/>
              </w:rPr>
              <w:t>、硫酸雾、</w:t>
            </w:r>
            <w:r>
              <w:rPr>
                <w:rFonts w:hint="eastAsia"/>
                <w:color w:val="auto"/>
                <w:spacing w:val="-10"/>
                <w:sz w:val="18"/>
                <w:szCs w:val="18"/>
                <w:lang w:val="en-US" w:eastAsia="zh-CN"/>
              </w:rPr>
              <w:t>非甲烷总烃</w:t>
            </w:r>
            <w:r>
              <w:rPr>
                <w:rFonts w:hint="eastAsia"/>
                <w:color w:val="auto"/>
                <w:spacing w:val="-10"/>
                <w:sz w:val="18"/>
                <w:szCs w:val="18"/>
              </w:rPr>
              <w:t>，</w:t>
            </w:r>
            <w:r>
              <w:rPr>
                <w:rFonts w:hint="eastAsia"/>
                <w:color w:val="auto"/>
                <w:spacing w:val="-10"/>
                <w:sz w:val="18"/>
                <w:szCs w:val="18"/>
                <w:lang w:val="en-US" w:eastAsia="zh-CN"/>
              </w:rPr>
              <w:t>分别</w:t>
            </w:r>
            <w:r>
              <w:rPr>
                <w:rFonts w:hint="eastAsia"/>
                <w:color w:val="auto"/>
                <w:spacing w:val="-10"/>
                <w:sz w:val="18"/>
                <w:szCs w:val="18"/>
              </w:rPr>
              <w:t>经</w:t>
            </w:r>
            <w:r>
              <w:rPr>
                <w:rFonts w:hint="eastAsia"/>
                <w:color w:val="auto"/>
                <w:spacing w:val="-10"/>
                <w:sz w:val="18"/>
                <w:szCs w:val="18"/>
                <w:lang w:val="en-US" w:eastAsia="zh-CN"/>
              </w:rPr>
              <w:t>20</w:t>
            </w:r>
            <w:r>
              <w:rPr>
                <w:rFonts w:hint="eastAsia"/>
                <w:color w:val="auto"/>
                <w:spacing w:val="-10"/>
                <w:sz w:val="18"/>
                <w:szCs w:val="18"/>
              </w:rPr>
              <w:t>m高排气筒排放。建成后在排气筒附近地面醒目处设置环保图形标志牌，标明排气筒高度、出口内径、排放污染物种类等。废气排放口必须符合《污染源监测技术规范》的要求，便于采样、监测的要求，各废气管道应设置永久采样孔，其采样口由环境监察支队和环境监测站共同确认。</w:t>
            </w:r>
          </w:p>
          <w:p w14:paraId="2459C06B">
            <w:pPr>
              <w:adjustRightInd w:val="0"/>
              <w:snapToGrid w:val="0"/>
              <w:ind w:firstLine="320" w:firstLineChars="200"/>
              <w:jc w:val="left"/>
              <w:rPr>
                <w:color w:val="auto"/>
                <w:spacing w:val="-10"/>
                <w:sz w:val="18"/>
                <w:szCs w:val="18"/>
              </w:rPr>
            </w:pPr>
            <w:r>
              <w:rPr>
                <w:rFonts w:hint="eastAsia"/>
                <w:color w:val="auto"/>
                <w:spacing w:val="-10"/>
                <w:sz w:val="18"/>
                <w:szCs w:val="18"/>
              </w:rPr>
              <w:t>（3）固体废物贮存（处置）场所规范化要求</w:t>
            </w:r>
          </w:p>
          <w:p w14:paraId="20AF139D">
            <w:pPr>
              <w:adjustRightInd w:val="0"/>
              <w:snapToGrid w:val="0"/>
              <w:ind w:firstLine="320" w:firstLineChars="200"/>
              <w:jc w:val="left"/>
              <w:rPr>
                <w:color w:val="auto"/>
                <w:spacing w:val="-10"/>
                <w:sz w:val="18"/>
                <w:szCs w:val="18"/>
              </w:rPr>
            </w:pPr>
            <w:r>
              <w:rPr>
                <w:rFonts w:hint="eastAsia"/>
                <w:color w:val="auto"/>
                <w:spacing w:val="-10"/>
                <w:sz w:val="18"/>
                <w:szCs w:val="18"/>
              </w:rPr>
              <w:t>一般固体废物储存场所按照《一般工业固体废物贮存、处置场污染控制标准》（GB18599-2020）要求进行，危险废物储存设施按照危险废物执行</w:t>
            </w:r>
            <w:r>
              <w:rPr>
                <w:rFonts w:hint="default" w:ascii="Times New Roman" w:hAnsi="Times New Roman" w:eastAsia="宋体" w:cs="Times New Roman"/>
                <w:color w:val="auto"/>
                <w:spacing w:val="-10"/>
                <w:sz w:val="18"/>
                <w:szCs w:val="18"/>
                <w:lang w:val="en-US" w:eastAsia="zh-CN"/>
              </w:rPr>
              <w:t>《危险废物贮存污染控制标准》（GB18597-20</w:t>
            </w:r>
            <w:r>
              <w:rPr>
                <w:rFonts w:hint="eastAsia" w:ascii="Times New Roman" w:hAnsi="Times New Roman" w:eastAsia="宋体" w:cs="Times New Roman"/>
                <w:color w:val="auto"/>
                <w:spacing w:val="-10"/>
                <w:sz w:val="18"/>
                <w:szCs w:val="18"/>
                <w:lang w:val="en-US" w:eastAsia="zh-CN"/>
              </w:rPr>
              <w:t>23</w:t>
            </w:r>
            <w:r>
              <w:rPr>
                <w:rFonts w:hint="default" w:ascii="Times New Roman" w:hAnsi="Times New Roman" w:eastAsia="宋体" w:cs="Times New Roman"/>
                <w:color w:val="auto"/>
                <w:spacing w:val="-10"/>
                <w:sz w:val="18"/>
                <w:szCs w:val="18"/>
                <w:lang w:val="en-US" w:eastAsia="zh-CN"/>
              </w:rPr>
              <w:t>）</w:t>
            </w:r>
            <w:r>
              <w:rPr>
                <w:rFonts w:hint="eastAsia"/>
                <w:color w:val="auto"/>
                <w:spacing w:val="-10"/>
                <w:sz w:val="18"/>
                <w:szCs w:val="18"/>
              </w:rPr>
              <w:t>要求进行建设。</w:t>
            </w:r>
          </w:p>
          <w:p w14:paraId="4758C7F6">
            <w:pPr>
              <w:adjustRightInd w:val="0"/>
              <w:snapToGrid w:val="0"/>
              <w:ind w:firstLine="320" w:firstLineChars="200"/>
              <w:jc w:val="left"/>
              <w:rPr>
                <w:color w:val="auto"/>
                <w:spacing w:val="-10"/>
                <w:sz w:val="18"/>
                <w:szCs w:val="18"/>
              </w:rPr>
            </w:pPr>
            <w:r>
              <w:rPr>
                <w:rFonts w:hint="eastAsia"/>
                <w:color w:val="auto"/>
                <w:spacing w:val="-10"/>
                <w:sz w:val="18"/>
                <w:szCs w:val="18"/>
              </w:rPr>
              <w:t>（4）设置标志牌</w:t>
            </w:r>
          </w:p>
          <w:p w14:paraId="0AF95BC6">
            <w:pPr>
              <w:adjustRightInd w:val="0"/>
              <w:snapToGrid w:val="0"/>
              <w:ind w:firstLine="320" w:firstLineChars="200"/>
              <w:jc w:val="left"/>
              <w:rPr>
                <w:color w:val="auto"/>
                <w:spacing w:val="-10"/>
                <w:sz w:val="18"/>
                <w:szCs w:val="18"/>
              </w:rPr>
            </w:pPr>
            <w:r>
              <w:rPr>
                <w:rFonts w:hint="eastAsia"/>
                <w:color w:val="auto"/>
                <w:spacing w:val="-10"/>
                <w:sz w:val="18"/>
                <w:szCs w:val="18"/>
              </w:rPr>
              <w:t>环境保护图形标志牌由国家环保部统一定点制作，并由市环境监理部门根据企业排污情况统一向国家环保部订购。排污口分布图应由市环境监理部门统一绘制。排放一般污染物排污口(源)，设置提示式标志牌。标志牌设置位置在排污口(采样点)附近且醒目处，高度为标志牌上缘离地面2m。排污口附近1m范围内有建筑物的，设平面式标志牌，无建筑物的设立式标志牌。</w:t>
            </w:r>
          </w:p>
          <w:p w14:paraId="7EF3E3BE">
            <w:pPr>
              <w:adjustRightInd w:val="0"/>
              <w:snapToGrid w:val="0"/>
              <w:ind w:firstLine="320" w:firstLineChars="200"/>
              <w:jc w:val="left"/>
              <w:rPr>
                <w:rFonts w:hint="eastAsia"/>
                <w:color w:val="auto"/>
                <w:spacing w:val="-10"/>
                <w:sz w:val="18"/>
                <w:szCs w:val="18"/>
              </w:rPr>
            </w:pPr>
            <w:r>
              <w:rPr>
                <w:rFonts w:hint="eastAsia"/>
                <w:color w:val="auto"/>
                <w:spacing w:val="-10"/>
                <w:sz w:val="18"/>
                <w:szCs w:val="18"/>
              </w:rPr>
              <w:t>规范化排污口的有关设置(如图形标志牌、计量装置、监控装置等)属环保设施，排污单位必须负责日常的维护保养，任何单位和个人不得擅自拆除，如需变更的需报环境监理部门同意并办理变更手续。</w:t>
            </w:r>
          </w:p>
          <w:p w14:paraId="08312A0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（5）</w:t>
            </w:r>
            <w:r>
              <w:rPr>
                <w:rFonts w:hint="eastAsia" w:ascii="Times New Roman" w:hAnsi="Times New Roman" w:eastAsia="宋体" w:cs="Times New Roman"/>
                <w:color w:val="auto"/>
                <w:spacing w:val="-10"/>
                <w:sz w:val="18"/>
                <w:szCs w:val="18"/>
                <w:highlight w:val="none"/>
                <w:lang w:val="en-US" w:eastAsia="zh-CN"/>
              </w:rPr>
              <w:t xml:space="preserve">排污口建档要求 </w:t>
            </w:r>
          </w:p>
          <w:p w14:paraId="39D9FFE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①使用由国家环境保护部门统一印制的《中华人民共和国规范化排污口标志登记证》，并按要求填写相关内容。</w:t>
            </w:r>
          </w:p>
          <w:p w14:paraId="744C27A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②参考《固定污染源（水、大气）编码规则》（试行）对生产设备、污染治理设备、固定污染源及排放口进行编号。</w:t>
            </w:r>
          </w:p>
          <w:p w14:paraId="217C7552">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cs="Times New Roman"/>
                <w:color w:val="auto"/>
                <w:spacing w:val="-10"/>
                <w:sz w:val="18"/>
                <w:szCs w:val="18"/>
                <w:highlight w:val="none"/>
                <w:lang w:val="en-US" w:eastAsia="zh-CN"/>
              </w:rPr>
              <w:t>（6）</w:t>
            </w:r>
            <w:r>
              <w:rPr>
                <w:rFonts w:hint="eastAsia" w:ascii="Times New Roman" w:hAnsi="Times New Roman" w:eastAsia="宋体" w:cs="Times New Roman"/>
                <w:color w:val="auto"/>
                <w:spacing w:val="-10"/>
                <w:sz w:val="18"/>
                <w:szCs w:val="18"/>
                <w:highlight w:val="none"/>
                <w:lang w:val="en-US" w:eastAsia="zh-CN"/>
              </w:rPr>
              <w:t>排污口管理要求</w:t>
            </w:r>
          </w:p>
          <w:p w14:paraId="5095A4B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①规范化整治排污口的有关设施，将环境保护设施纳入本单位设备管理，制定相应的管理办法和规章制度。</w:t>
            </w:r>
          </w:p>
          <w:p w14:paraId="0BABEFE4">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②排污单位应选派责任心强，有专业知识和技能的兼、专职人员对排污口进行管理，做到责任明确、奖罚分明。</w:t>
            </w:r>
          </w:p>
          <w:p w14:paraId="339C613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924B021">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B0F9C17">
            <w:pPr>
              <w:adjustRightInd w:val="0"/>
              <w:snapToGrid w:val="0"/>
              <w:jc w:val="center"/>
              <w:rPr>
                <w:rFonts w:hint="eastAsia" w:ascii="Times New Roman" w:hAnsi="Times New Roman" w:eastAsia="宋体" w:cs="Times New Roman"/>
                <w:b/>
                <w:bCs/>
                <w:color w:val="auto"/>
                <w:spacing w:val="-10"/>
                <w:sz w:val="18"/>
                <w:szCs w:val="18"/>
                <w:highlight w:val="none"/>
              </w:rPr>
            </w:pPr>
            <w:bookmarkStart w:id="5" w:name="_Toc523908313"/>
            <w:r>
              <w:rPr>
                <w:rFonts w:hint="eastAsia" w:ascii="Times New Roman" w:hAnsi="Times New Roman" w:eastAsia="宋体" w:cs="Times New Roman"/>
                <w:b/>
                <w:bCs/>
                <w:color w:val="auto"/>
                <w:spacing w:val="-10"/>
                <w:sz w:val="18"/>
                <w:szCs w:val="18"/>
                <w:highlight w:val="none"/>
              </w:rPr>
              <w:t>环境保护图形符号一览表</w:t>
            </w:r>
          </w:p>
          <w:tbl>
            <w:tblPr>
              <w:tblStyle w:val="26"/>
              <w:tblW w:w="743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05"/>
              <w:gridCol w:w="1000"/>
              <w:gridCol w:w="1830"/>
            </w:tblGrid>
            <w:tr w14:paraId="0BCAFF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605" w:type="dxa"/>
                  <w:tcBorders>
                    <w:tl2br w:val="nil"/>
                    <w:tr2bl w:val="nil"/>
                  </w:tcBorders>
                  <w:noWrap w:val="0"/>
                  <w:vAlign w:val="center"/>
                </w:tcPr>
                <w:p w14:paraId="3C49CEC2">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提示图形符号</w:t>
                  </w:r>
                </w:p>
              </w:tc>
              <w:tc>
                <w:tcPr>
                  <w:tcW w:w="1000" w:type="dxa"/>
                  <w:tcBorders>
                    <w:tl2br w:val="nil"/>
                    <w:tr2bl w:val="nil"/>
                  </w:tcBorders>
                  <w:noWrap w:val="0"/>
                  <w:vAlign w:val="center"/>
                </w:tcPr>
                <w:p w14:paraId="5A19AEA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名称</w:t>
                  </w:r>
                </w:p>
              </w:tc>
              <w:tc>
                <w:tcPr>
                  <w:tcW w:w="1830" w:type="dxa"/>
                  <w:tcBorders>
                    <w:tl2br w:val="nil"/>
                    <w:tr2bl w:val="nil"/>
                  </w:tcBorders>
                  <w:noWrap w:val="0"/>
                  <w:vAlign w:val="center"/>
                </w:tcPr>
                <w:p w14:paraId="5DBE57A9">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功能</w:t>
                  </w:r>
                </w:p>
              </w:tc>
            </w:tr>
            <w:tr w14:paraId="4EC38B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47" w:hRule="atLeast"/>
                <w:jc w:val="center"/>
              </w:trPr>
              <w:tc>
                <w:tcPr>
                  <w:tcW w:w="4605" w:type="dxa"/>
                  <w:tcBorders>
                    <w:tl2br w:val="nil"/>
                    <w:tr2bl w:val="nil"/>
                  </w:tcBorders>
                  <w:noWrap w:val="0"/>
                  <w:vAlign w:val="center"/>
                </w:tcPr>
                <w:p w14:paraId="133FBA0D">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6432" behindDoc="0" locked="0" layoutInCell="1" allowOverlap="1">
                        <wp:simplePos x="0" y="0"/>
                        <wp:positionH relativeFrom="column">
                          <wp:posOffset>220345</wp:posOffset>
                        </wp:positionH>
                        <wp:positionV relativeFrom="paragraph">
                          <wp:posOffset>31750</wp:posOffset>
                        </wp:positionV>
                        <wp:extent cx="2192020" cy="1131570"/>
                        <wp:effectExtent l="0" t="0" r="17780" b="11430"/>
                        <wp:wrapSquare wrapText="bothSides"/>
                        <wp:docPr id="180" name="图片 2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2086"/>
                                <pic:cNvPicPr>
                                  <a:picLocks noChangeAspect="1"/>
                                </pic:cNvPicPr>
                              </pic:nvPicPr>
                              <pic:blipFill>
                                <a:blip r:embed="rId14"/>
                                <a:stretch>
                                  <a:fillRect/>
                                </a:stretch>
                              </pic:blipFill>
                              <pic:spPr>
                                <a:xfrm>
                                  <a:off x="0" y="0"/>
                                  <a:ext cx="2192020" cy="1131570"/>
                                </a:xfrm>
                                <a:prstGeom prst="rect">
                                  <a:avLst/>
                                </a:prstGeom>
                                <a:noFill/>
                                <a:ln>
                                  <a:noFill/>
                                </a:ln>
                              </pic:spPr>
                            </pic:pic>
                          </a:graphicData>
                        </a:graphic>
                      </wp:anchor>
                    </w:drawing>
                  </w:r>
                </w:p>
              </w:tc>
              <w:tc>
                <w:tcPr>
                  <w:tcW w:w="1000" w:type="dxa"/>
                  <w:tcBorders>
                    <w:tl2br w:val="nil"/>
                    <w:tr2bl w:val="nil"/>
                  </w:tcBorders>
                  <w:noWrap w:val="0"/>
                  <w:vAlign w:val="center"/>
                </w:tcPr>
                <w:p w14:paraId="5E979786">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废气排放口</w:t>
                  </w:r>
                </w:p>
              </w:tc>
              <w:tc>
                <w:tcPr>
                  <w:tcW w:w="1830" w:type="dxa"/>
                  <w:tcBorders>
                    <w:tl2br w:val="nil"/>
                    <w:tr2bl w:val="nil"/>
                  </w:tcBorders>
                  <w:noWrap w:val="0"/>
                  <w:vAlign w:val="center"/>
                </w:tcPr>
                <w:p w14:paraId="13ED4FFA">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表示废气向大气环境排放</w:t>
                  </w:r>
                </w:p>
              </w:tc>
            </w:tr>
            <w:bookmarkEnd w:id="5"/>
          </w:tbl>
          <w:p w14:paraId="12F44A79">
            <w:pPr>
              <w:adjustRightInd w:val="0"/>
              <w:snapToGrid w:val="0"/>
              <w:jc w:val="center"/>
              <w:rPr>
                <w:rFonts w:hint="eastAsia" w:ascii="Times New Roman" w:hAnsi="Times New Roman" w:eastAsia="宋体" w:cs="Times New Roman"/>
                <w:b/>
                <w:bCs/>
                <w:color w:val="auto"/>
                <w:spacing w:val="-10"/>
                <w:sz w:val="18"/>
                <w:szCs w:val="18"/>
                <w:highlight w:val="none"/>
              </w:rPr>
            </w:pPr>
            <w:r>
              <w:rPr>
                <w:rFonts w:hint="eastAsia" w:cs="Times New Roman"/>
                <w:b/>
                <w:bCs/>
                <w:color w:val="auto"/>
                <w:spacing w:val="-10"/>
                <w:sz w:val="18"/>
                <w:szCs w:val="18"/>
                <w:highlight w:val="none"/>
                <w:lang w:eastAsia="zh-CN"/>
              </w:rPr>
              <w:t>（</w:t>
            </w:r>
            <w:r>
              <w:rPr>
                <w:rFonts w:hint="eastAsia" w:cs="Times New Roman"/>
                <w:b/>
                <w:bCs/>
                <w:color w:val="auto"/>
                <w:spacing w:val="-10"/>
                <w:sz w:val="18"/>
                <w:szCs w:val="18"/>
                <w:highlight w:val="none"/>
                <w:lang w:val="en-US" w:eastAsia="zh-CN"/>
              </w:rPr>
              <w:t>续</w:t>
            </w:r>
            <w:r>
              <w:rPr>
                <w:rFonts w:hint="eastAsia" w:cs="Times New Roman"/>
                <w:b/>
                <w:bCs/>
                <w:color w:val="auto"/>
                <w:spacing w:val="-10"/>
                <w:sz w:val="18"/>
                <w:szCs w:val="18"/>
                <w:highlight w:val="none"/>
                <w:lang w:eastAsia="zh-CN"/>
              </w:rPr>
              <w:t>）</w:t>
            </w:r>
            <w:r>
              <w:rPr>
                <w:rFonts w:hint="eastAsia" w:ascii="Times New Roman" w:hAnsi="Times New Roman" w:eastAsia="宋体" w:cs="Times New Roman"/>
                <w:b/>
                <w:bCs/>
                <w:color w:val="auto"/>
                <w:spacing w:val="-10"/>
                <w:sz w:val="18"/>
                <w:szCs w:val="18"/>
                <w:highlight w:val="none"/>
              </w:rPr>
              <w:t>环境保护图形符号一览表</w:t>
            </w:r>
          </w:p>
          <w:tbl>
            <w:tblPr>
              <w:tblStyle w:val="26"/>
              <w:tblW w:w="743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05"/>
              <w:gridCol w:w="1000"/>
              <w:gridCol w:w="1830"/>
            </w:tblGrid>
            <w:tr w14:paraId="21701E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605" w:type="dxa"/>
                  <w:tcBorders>
                    <w:tl2br w:val="nil"/>
                    <w:tr2bl w:val="nil"/>
                  </w:tcBorders>
                  <w:noWrap w:val="0"/>
                  <w:vAlign w:val="center"/>
                </w:tcPr>
                <w:p w14:paraId="6E6B147A">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提示图形符号</w:t>
                  </w:r>
                </w:p>
              </w:tc>
              <w:tc>
                <w:tcPr>
                  <w:tcW w:w="1000" w:type="dxa"/>
                  <w:tcBorders>
                    <w:tl2br w:val="nil"/>
                    <w:tr2bl w:val="nil"/>
                  </w:tcBorders>
                  <w:noWrap w:val="0"/>
                  <w:vAlign w:val="center"/>
                </w:tcPr>
                <w:p w14:paraId="6F41A45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名称</w:t>
                  </w:r>
                </w:p>
              </w:tc>
              <w:tc>
                <w:tcPr>
                  <w:tcW w:w="1830" w:type="dxa"/>
                  <w:tcBorders>
                    <w:tl2br w:val="nil"/>
                    <w:tr2bl w:val="nil"/>
                  </w:tcBorders>
                  <w:noWrap w:val="0"/>
                  <w:vAlign w:val="center"/>
                </w:tcPr>
                <w:p w14:paraId="26465EA4">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功能</w:t>
                  </w:r>
                </w:p>
              </w:tc>
            </w:tr>
            <w:tr w14:paraId="5386EBD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47" w:hRule="atLeast"/>
                <w:jc w:val="center"/>
              </w:trPr>
              <w:tc>
                <w:tcPr>
                  <w:tcW w:w="4605" w:type="dxa"/>
                  <w:tcBorders>
                    <w:tl2br w:val="nil"/>
                    <w:tr2bl w:val="nil"/>
                  </w:tcBorders>
                  <w:noWrap w:val="0"/>
                  <w:vAlign w:val="center"/>
                </w:tcPr>
                <w:p w14:paraId="5D3ABF70">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color w:val="auto"/>
                    </w:rPr>
                    <w:drawing>
                      <wp:anchor distT="0" distB="0" distL="114300" distR="114300" simplePos="0" relativeHeight="251671552" behindDoc="0" locked="0" layoutInCell="1" allowOverlap="1">
                        <wp:simplePos x="0" y="0"/>
                        <wp:positionH relativeFrom="column">
                          <wp:posOffset>220980</wp:posOffset>
                        </wp:positionH>
                        <wp:positionV relativeFrom="paragraph">
                          <wp:posOffset>12700</wp:posOffset>
                        </wp:positionV>
                        <wp:extent cx="2192655" cy="1130300"/>
                        <wp:effectExtent l="0" t="0" r="17145" b="12700"/>
                        <wp:wrapNone/>
                        <wp:docPr id="20" name="图片 1"/>
                        <wp:cNvGraphicFramePr/>
                        <a:graphic xmlns:a="http://schemas.openxmlformats.org/drawingml/2006/main">
                          <a:graphicData uri="http://schemas.openxmlformats.org/drawingml/2006/picture">
                            <pic:pic xmlns:pic="http://schemas.openxmlformats.org/drawingml/2006/picture">
                              <pic:nvPicPr>
                                <pic:cNvPr id="20" name="图片 1"/>
                                <pic:cNvPicPr/>
                              </pic:nvPicPr>
                              <pic:blipFill>
                                <a:blip r:embed="rId15"/>
                                <a:stretch>
                                  <a:fillRect/>
                                </a:stretch>
                              </pic:blipFill>
                              <pic:spPr>
                                <a:xfrm>
                                  <a:off x="0" y="0"/>
                                  <a:ext cx="2192655" cy="1130300"/>
                                </a:xfrm>
                                <a:prstGeom prst="rect">
                                  <a:avLst/>
                                </a:prstGeom>
                                <a:noFill/>
                                <a:ln>
                                  <a:noFill/>
                                </a:ln>
                              </pic:spPr>
                            </pic:pic>
                          </a:graphicData>
                        </a:graphic>
                      </wp:anchor>
                    </w:drawing>
                  </w:r>
                </w:p>
              </w:tc>
              <w:tc>
                <w:tcPr>
                  <w:tcW w:w="1000" w:type="dxa"/>
                  <w:tcBorders>
                    <w:tl2br w:val="nil"/>
                    <w:tr2bl w:val="nil"/>
                  </w:tcBorders>
                  <w:noWrap w:val="0"/>
                  <w:vAlign w:val="center"/>
                </w:tcPr>
                <w:p w14:paraId="5D57B767">
                  <w:pPr>
                    <w:adjustRightInd w:val="0"/>
                    <w:snapToGrid w:val="0"/>
                    <w:jc w:val="center"/>
                    <w:rPr>
                      <w:rFonts w:hint="default" w:ascii="Times New Roman" w:hAnsi="Times New Roman" w:eastAsia="宋体"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废水排放口</w:t>
                  </w:r>
                </w:p>
              </w:tc>
              <w:tc>
                <w:tcPr>
                  <w:tcW w:w="1830" w:type="dxa"/>
                  <w:tcBorders>
                    <w:tl2br w:val="nil"/>
                    <w:tr2bl w:val="nil"/>
                  </w:tcBorders>
                  <w:noWrap w:val="0"/>
                  <w:vAlign w:val="center"/>
                </w:tcPr>
                <w:p w14:paraId="2E05CFDE">
                  <w:pPr>
                    <w:adjustRightInd w:val="0"/>
                    <w:snapToGrid w:val="0"/>
                    <w:jc w:val="center"/>
                    <w:rPr>
                      <w:rFonts w:hint="default"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表示</w:t>
                  </w:r>
                  <w:r>
                    <w:rPr>
                      <w:rFonts w:hint="eastAsia" w:cs="Times New Roman"/>
                      <w:color w:val="auto"/>
                      <w:spacing w:val="-20"/>
                      <w:sz w:val="18"/>
                      <w:szCs w:val="18"/>
                      <w:highlight w:val="none"/>
                      <w:lang w:val="en-US" w:eastAsia="zh-CN"/>
                    </w:rPr>
                    <w:t>污水</w:t>
                  </w:r>
                  <w:r>
                    <w:rPr>
                      <w:rFonts w:hint="eastAsia" w:ascii="Times New Roman" w:hAnsi="Times New Roman" w:eastAsia="宋体" w:cs="Times New Roman"/>
                      <w:color w:val="auto"/>
                      <w:spacing w:val="-20"/>
                      <w:sz w:val="18"/>
                      <w:szCs w:val="18"/>
                      <w:highlight w:val="none"/>
                      <w:lang w:val="en-US" w:eastAsia="zh-CN"/>
                    </w:rPr>
                    <w:t>向</w:t>
                  </w:r>
                  <w:r>
                    <w:rPr>
                      <w:rFonts w:hint="eastAsia" w:cs="Times New Roman"/>
                      <w:color w:val="auto"/>
                      <w:spacing w:val="-20"/>
                      <w:sz w:val="18"/>
                      <w:szCs w:val="18"/>
                      <w:highlight w:val="none"/>
                      <w:lang w:val="en-US" w:eastAsia="zh-CN"/>
                    </w:rPr>
                    <w:t>水体排放</w:t>
                  </w:r>
                </w:p>
              </w:tc>
            </w:tr>
            <w:tr w14:paraId="2F0660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96" w:hRule="atLeast"/>
                <w:jc w:val="center"/>
              </w:trPr>
              <w:tc>
                <w:tcPr>
                  <w:tcW w:w="4605" w:type="dxa"/>
                  <w:tcBorders>
                    <w:tl2br w:val="nil"/>
                    <w:tr2bl w:val="nil"/>
                  </w:tcBorders>
                  <w:noWrap w:val="0"/>
                  <w:vAlign w:val="center"/>
                </w:tcPr>
                <w:p w14:paraId="5DF5EBF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8480" behindDoc="0" locked="0" layoutInCell="1" allowOverlap="1">
                        <wp:simplePos x="0" y="0"/>
                        <wp:positionH relativeFrom="column">
                          <wp:posOffset>218440</wp:posOffset>
                        </wp:positionH>
                        <wp:positionV relativeFrom="paragraph">
                          <wp:posOffset>20320</wp:posOffset>
                        </wp:positionV>
                        <wp:extent cx="2192655" cy="1130300"/>
                        <wp:effectExtent l="0" t="0" r="17145" b="12700"/>
                        <wp:wrapSquare wrapText="bothSides"/>
                        <wp:docPr id="21" name="图片 2088"/>
                        <wp:cNvGraphicFramePr/>
                        <a:graphic xmlns:a="http://schemas.openxmlformats.org/drawingml/2006/main">
                          <a:graphicData uri="http://schemas.openxmlformats.org/drawingml/2006/picture">
                            <pic:pic xmlns:pic="http://schemas.openxmlformats.org/drawingml/2006/picture">
                              <pic:nvPicPr>
                                <pic:cNvPr id="21" name="图片 2088"/>
                                <pic:cNvPicPr/>
                              </pic:nvPicPr>
                              <pic:blipFill>
                                <a:blip r:embed="rId16"/>
                                <a:stretch>
                                  <a:fillRect/>
                                </a:stretch>
                              </pic:blipFill>
                              <pic:spPr>
                                <a:xfrm>
                                  <a:off x="0" y="0"/>
                                  <a:ext cx="2192655" cy="1130300"/>
                                </a:xfrm>
                                <a:prstGeom prst="rect">
                                  <a:avLst/>
                                </a:prstGeom>
                                <a:noFill/>
                                <a:ln>
                                  <a:noFill/>
                                </a:ln>
                              </pic:spPr>
                            </pic:pic>
                          </a:graphicData>
                        </a:graphic>
                      </wp:anchor>
                    </w:drawing>
                  </w:r>
                </w:p>
              </w:tc>
              <w:tc>
                <w:tcPr>
                  <w:tcW w:w="1000" w:type="dxa"/>
                  <w:tcBorders>
                    <w:tl2br w:val="nil"/>
                    <w:tr2bl w:val="nil"/>
                  </w:tcBorders>
                  <w:noWrap w:val="0"/>
                  <w:vAlign w:val="center"/>
                </w:tcPr>
                <w:p w14:paraId="1EB461A1">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一般废物</w:t>
                  </w:r>
                </w:p>
              </w:tc>
              <w:tc>
                <w:tcPr>
                  <w:tcW w:w="1830" w:type="dxa"/>
                  <w:tcBorders>
                    <w:tl2br w:val="nil"/>
                    <w:tr2bl w:val="nil"/>
                  </w:tcBorders>
                  <w:noWrap w:val="0"/>
                  <w:vAlign w:val="center"/>
                </w:tcPr>
                <w:p w14:paraId="51350D64">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一般固废暂存区</w:t>
                  </w:r>
                </w:p>
              </w:tc>
            </w:tr>
            <w:tr w14:paraId="7CEC6F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62" w:hRule="atLeast"/>
                <w:jc w:val="center"/>
              </w:trPr>
              <w:tc>
                <w:tcPr>
                  <w:tcW w:w="4605" w:type="dxa"/>
                  <w:tcBorders>
                    <w:tl2br w:val="nil"/>
                    <w:tr2bl w:val="nil"/>
                  </w:tcBorders>
                  <w:noWrap w:val="0"/>
                  <w:vAlign w:val="center"/>
                </w:tcPr>
                <w:p w14:paraId="08AA7DE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9504" behindDoc="0" locked="0" layoutInCell="1" allowOverlap="1">
                        <wp:simplePos x="0" y="0"/>
                        <wp:positionH relativeFrom="column">
                          <wp:posOffset>31750</wp:posOffset>
                        </wp:positionH>
                        <wp:positionV relativeFrom="paragraph">
                          <wp:posOffset>19685</wp:posOffset>
                        </wp:positionV>
                        <wp:extent cx="1292225" cy="1290955"/>
                        <wp:effectExtent l="0" t="0" r="3175" b="4445"/>
                        <wp:wrapSquare wrapText="bothSides"/>
                        <wp:docPr id="22" name="图片 2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090"/>
                                <pic:cNvPicPr>
                                  <a:picLocks noChangeAspect="1"/>
                                </pic:cNvPicPr>
                              </pic:nvPicPr>
                              <pic:blipFill>
                                <a:blip r:embed="rId17"/>
                                <a:stretch>
                                  <a:fillRect/>
                                </a:stretch>
                              </pic:blipFill>
                              <pic:spPr>
                                <a:xfrm>
                                  <a:off x="0" y="0"/>
                                  <a:ext cx="1292225" cy="1290955"/>
                                </a:xfrm>
                                <a:prstGeom prst="rect">
                                  <a:avLst/>
                                </a:prstGeom>
                                <a:noFill/>
                                <a:ln>
                                  <a:noFill/>
                                </a:ln>
                              </pic:spPr>
                            </pic:pic>
                          </a:graphicData>
                        </a:graphic>
                      </wp:anchor>
                    </w:drawing>
                  </w: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67456" behindDoc="0" locked="0" layoutInCell="1" allowOverlap="1">
                        <wp:simplePos x="0" y="0"/>
                        <wp:positionH relativeFrom="column">
                          <wp:posOffset>-60960</wp:posOffset>
                        </wp:positionH>
                        <wp:positionV relativeFrom="paragraph">
                          <wp:posOffset>107315</wp:posOffset>
                        </wp:positionV>
                        <wp:extent cx="1310640" cy="1175385"/>
                        <wp:effectExtent l="0" t="0" r="3810" b="5715"/>
                        <wp:wrapNone/>
                        <wp:docPr id="2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
                                <pic:cNvPicPr>
                                  <a:picLocks noChangeAspect="1"/>
                                </pic:cNvPicPr>
                              </pic:nvPicPr>
                              <pic:blipFill>
                                <a:blip r:embed="rId18"/>
                                <a:stretch>
                                  <a:fillRect/>
                                </a:stretch>
                              </pic:blipFill>
                              <pic:spPr>
                                <a:xfrm>
                                  <a:off x="0" y="0"/>
                                  <a:ext cx="1310640" cy="1175385"/>
                                </a:xfrm>
                                <a:prstGeom prst="rect">
                                  <a:avLst/>
                                </a:prstGeom>
                                <a:noFill/>
                                <a:ln>
                                  <a:noFill/>
                                </a:ln>
                              </pic:spPr>
                            </pic:pic>
                          </a:graphicData>
                        </a:graphic>
                      </wp:anchor>
                    </w:drawing>
                  </w:r>
                </w:p>
              </w:tc>
              <w:tc>
                <w:tcPr>
                  <w:tcW w:w="1000" w:type="dxa"/>
                  <w:tcBorders>
                    <w:tl2br w:val="nil"/>
                    <w:tr2bl w:val="nil"/>
                  </w:tcBorders>
                  <w:noWrap w:val="0"/>
                  <w:vAlign w:val="center"/>
                </w:tcPr>
                <w:p w14:paraId="1830DF0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危险废物</w:t>
                  </w:r>
                </w:p>
              </w:tc>
              <w:tc>
                <w:tcPr>
                  <w:tcW w:w="1830" w:type="dxa"/>
                  <w:tcBorders>
                    <w:tl2br w:val="nil"/>
                    <w:tr2bl w:val="nil"/>
                  </w:tcBorders>
                  <w:noWrap w:val="0"/>
                  <w:vAlign w:val="center"/>
                </w:tcPr>
                <w:p w14:paraId="4FA42355">
                  <w:pPr>
                    <w:adjustRightInd w:val="0"/>
                    <w:snapToGrid w:val="0"/>
                    <w:jc w:val="center"/>
                    <w:rPr>
                      <w:rFonts w:hint="default" w:ascii="Times New Roman" w:hAnsi="Times New Roman" w:eastAsia="宋体" w:cs="Times New Roman"/>
                      <w:color w:val="auto"/>
                      <w:spacing w:val="-20"/>
                      <w:sz w:val="18"/>
                      <w:szCs w:val="18"/>
                      <w:highlight w:val="none"/>
                      <w:lang w:val="en-US" w:eastAsia="zh-CN"/>
                    </w:rPr>
                  </w:pPr>
                  <w:r>
                    <w:rPr>
                      <w:rFonts w:hint="eastAsia" w:cs="Times New Roman"/>
                      <w:color w:val="auto"/>
                      <w:spacing w:val="-20"/>
                      <w:sz w:val="18"/>
                      <w:szCs w:val="18"/>
                      <w:highlight w:val="none"/>
                      <w:lang w:val="en-US" w:eastAsia="zh-CN"/>
                    </w:rPr>
                    <w:t>危险废物暂存间</w:t>
                  </w:r>
                </w:p>
              </w:tc>
            </w:tr>
            <w:tr w14:paraId="086AC8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31" w:hRule="atLeast"/>
                <w:jc w:val="center"/>
              </w:trPr>
              <w:tc>
                <w:tcPr>
                  <w:tcW w:w="4605" w:type="dxa"/>
                  <w:tcBorders>
                    <w:tl2br w:val="nil"/>
                    <w:tr2bl w:val="nil"/>
                  </w:tcBorders>
                  <w:noWrap w:val="0"/>
                  <w:vAlign w:val="center"/>
                </w:tcPr>
                <w:p w14:paraId="5D5AF8AC">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drawing>
                      <wp:anchor distT="0" distB="0" distL="114300" distR="114300" simplePos="0" relativeHeight="251670528" behindDoc="0" locked="0" layoutInCell="1" allowOverlap="1">
                        <wp:simplePos x="0" y="0"/>
                        <wp:positionH relativeFrom="column">
                          <wp:posOffset>231140</wp:posOffset>
                        </wp:positionH>
                        <wp:positionV relativeFrom="paragraph">
                          <wp:posOffset>20320</wp:posOffset>
                        </wp:positionV>
                        <wp:extent cx="2192655" cy="1130300"/>
                        <wp:effectExtent l="0" t="0" r="17145" b="12700"/>
                        <wp:wrapSquare wrapText="bothSides"/>
                        <wp:docPr id="24" name="图片 2091"/>
                        <wp:cNvGraphicFramePr/>
                        <a:graphic xmlns:a="http://schemas.openxmlformats.org/drawingml/2006/main">
                          <a:graphicData uri="http://schemas.openxmlformats.org/drawingml/2006/picture">
                            <pic:pic xmlns:pic="http://schemas.openxmlformats.org/drawingml/2006/picture">
                              <pic:nvPicPr>
                                <pic:cNvPr id="24" name="图片 2091"/>
                                <pic:cNvPicPr/>
                              </pic:nvPicPr>
                              <pic:blipFill>
                                <a:blip r:embed="rId19"/>
                                <a:stretch>
                                  <a:fillRect/>
                                </a:stretch>
                              </pic:blipFill>
                              <pic:spPr>
                                <a:xfrm>
                                  <a:off x="0" y="0"/>
                                  <a:ext cx="2192655" cy="1130300"/>
                                </a:xfrm>
                                <a:prstGeom prst="rect">
                                  <a:avLst/>
                                </a:prstGeom>
                                <a:noFill/>
                                <a:ln>
                                  <a:noFill/>
                                </a:ln>
                              </pic:spPr>
                            </pic:pic>
                          </a:graphicData>
                        </a:graphic>
                      </wp:anchor>
                    </w:drawing>
                  </w:r>
                </w:p>
              </w:tc>
              <w:tc>
                <w:tcPr>
                  <w:tcW w:w="1000" w:type="dxa"/>
                  <w:tcBorders>
                    <w:tl2br w:val="nil"/>
                    <w:tr2bl w:val="nil"/>
                  </w:tcBorders>
                  <w:noWrap w:val="0"/>
                  <w:vAlign w:val="center"/>
                </w:tcPr>
                <w:p w14:paraId="0C46A82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噪声排放源</w:t>
                  </w:r>
                </w:p>
              </w:tc>
              <w:tc>
                <w:tcPr>
                  <w:tcW w:w="1830" w:type="dxa"/>
                  <w:tcBorders>
                    <w:tl2br w:val="nil"/>
                    <w:tr2bl w:val="nil"/>
                  </w:tcBorders>
                  <w:noWrap w:val="0"/>
                  <w:vAlign w:val="center"/>
                </w:tcPr>
                <w:p w14:paraId="1DE76DC3">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表示噪声向外环境排放</w:t>
                  </w:r>
                </w:p>
              </w:tc>
            </w:tr>
          </w:tbl>
          <w:p w14:paraId="55F660AB">
            <w:pPr>
              <w:adjustRightInd w:val="0"/>
              <w:snapToGrid w:val="0"/>
              <w:jc w:val="center"/>
              <w:rPr>
                <w:rFonts w:hint="eastAsia" w:ascii="Times New Roman" w:hAnsi="Times New Roman" w:eastAsia="宋体" w:cs="Times New Roman"/>
                <w:b/>
                <w:bCs/>
                <w:color w:val="auto"/>
                <w:spacing w:val="-10"/>
                <w:sz w:val="18"/>
                <w:szCs w:val="18"/>
                <w:highlight w:val="none"/>
              </w:rPr>
            </w:pPr>
            <w:r>
              <w:rPr>
                <w:rFonts w:hint="eastAsia" w:ascii="Times New Roman" w:hAnsi="Times New Roman" w:eastAsia="宋体" w:cs="Times New Roman"/>
                <w:b/>
                <w:bCs/>
                <w:color w:val="auto"/>
                <w:spacing w:val="-10"/>
                <w:sz w:val="18"/>
                <w:szCs w:val="18"/>
                <w:highlight w:val="none"/>
              </w:rPr>
              <w:t>环境保护图形标志的形状及颜色表</w:t>
            </w:r>
          </w:p>
          <w:tbl>
            <w:tblPr>
              <w:tblStyle w:val="26"/>
              <w:tblW w:w="741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840"/>
              <w:gridCol w:w="2205"/>
              <w:gridCol w:w="1839"/>
              <w:gridCol w:w="1533"/>
            </w:tblGrid>
            <w:tr w14:paraId="0F0E0E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840" w:type="dxa"/>
                  <w:tcBorders>
                    <w:tl2br w:val="nil"/>
                    <w:tr2bl w:val="nil"/>
                  </w:tcBorders>
                  <w:noWrap w:val="0"/>
                  <w:vAlign w:val="center"/>
                </w:tcPr>
                <w:p w14:paraId="252F899B">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标志名称</w:t>
                  </w:r>
                </w:p>
              </w:tc>
              <w:tc>
                <w:tcPr>
                  <w:tcW w:w="2205" w:type="dxa"/>
                  <w:tcBorders>
                    <w:tl2br w:val="nil"/>
                    <w:tr2bl w:val="nil"/>
                  </w:tcBorders>
                  <w:noWrap w:val="0"/>
                  <w:vAlign w:val="center"/>
                </w:tcPr>
                <w:p w14:paraId="11CFDF5F">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形状</w:t>
                  </w:r>
                </w:p>
              </w:tc>
              <w:tc>
                <w:tcPr>
                  <w:tcW w:w="1839" w:type="dxa"/>
                  <w:tcBorders>
                    <w:tl2br w:val="nil"/>
                    <w:tr2bl w:val="nil"/>
                  </w:tcBorders>
                  <w:noWrap w:val="0"/>
                  <w:vAlign w:val="center"/>
                </w:tcPr>
                <w:p w14:paraId="4D00AC55">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背景颜色</w:t>
                  </w:r>
                </w:p>
              </w:tc>
              <w:tc>
                <w:tcPr>
                  <w:tcW w:w="1533" w:type="dxa"/>
                  <w:tcBorders>
                    <w:tl2br w:val="nil"/>
                    <w:tr2bl w:val="nil"/>
                  </w:tcBorders>
                  <w:noWrap w:val="0"/>
                  <w:vAlign w:val="center"/>
                </w:tcPr>
                <w:p w14:paraId="458C1F0D">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图形颜色</w:t>
                  </w:r>
                </w:p>
              </w:tc>
            </w:tr>
            <w:tr w14:paraId="644962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840" w:type="dxa"/>
                  <w:tcBorders>
                    <w:tl2br w:val="nil"/>
                    <w:tr2bl w:val="nil"/>
                  </w:tcBorders>
                  <w:noWrap w:val="0"/>
                  <w:vAlign w:val="center"/>
                </w:tcPr>
                <w:p w14:paraId="41FD708E">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警告标志</w:t>
                  </w:r>
                </w:p>
              </w:tc>
              <w:tc>
                <w:tcPr>
                  <w:tcW w:w="2205" w:type="dxa"/>
                  <w:tcBorders>
                    <w:tl2br w:val="nil"/>
                    <w:tr2bl w:val="nil"/>
                  </w:tcBorders>
                  <w:noWrap w:val="0"/>
                  <w:vAlign w:val="center"/>
                </w:tcPr>
                <w:p w14:paraId="124533E3">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三角形边框</w:t>
                  </w:r>
                </w:p>
              </w:tc>
              <w:tc>
                <w:tcPr>
                  <w:tcW w:w="1839" w:type="dxa"/>
                  <w:tcBorders>
                    <w:tl2br w:val="nil"/>
                    <w:tr2bl w:val="nil"/>
                  </w:tcBorders>
                  <w:noWrap w:val="0"/>
                  <w:vAlign w:val="center"/>
                </w:tcPr>
                <w:p w14:paraId="297EFE4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黄色</w:t>
                  </w:r>
                </w:p>
              </w:tc>
              <w:tc>
                <w:tcPr>
                  <w:tcW w:w="1533" w:type="dxa"/>
                  <w:tcBorders>
                    <w:tl2br w:val="nil"/>
                    <w:tr2bl w:val="nil"/>
                  </w:tcBorders>
                  <w:noWrap w:val="0"/>
                  <w:vAlign w:val="center"/>
                </w:tcPr>
                <w:p w14:paraId="79874A92">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黑色</w:t>
                  </w:r>
                </w:p>
              </w:tc>
            </w:tr>
            <w:tr w14:paraId="26EDBE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840" w:type="dxa"/>
                  <w:tcBorders>
                    <w:tl2br w:val="nil"/>
                    <w:tr2bl w:val="nil"/>
                  </w:tcBorders>
                  <w:noWrap w:val="0"/>
                  <w:vAlign w:val="center"/>
                </w:tcPr>
                <w:p w14:paraId="395FE7C2">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提示标志</w:t>
                  </w:r>
                </w:p>
              </w:tc>
              <w:tc>
                <w:tcPr>
                  <w:tcW w:w="2205" w:type="dxa"/>
                  <w:tcBorders>
                    <w:tl2br w:val="nil"/>
                    <w:tr2bl w:val="nil"/>
                  </w:tcBorders>
                  <w:noWrap w:val="0"/>
                  <w:vAlign w:val="center"/>
                </w:tcPr>
                <w:p w14:paraId="278616BF">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正方形边框</w:t>
                  </w:r>
                </w:p>
              </w:tc>
              <w:tc>
                <w:tcPr>
                  <w:tcW w:w="1839" w:type="dxa"/>
                  <w:tcBorders>
                    <w:tl2br w:val="nil"/>
                    <w:tr2bl w:val="nil"/>
                  </w:tcBorders>
                  <w:noWrap w:val="0"/>
                  <w:vAlign w:val="center"/>
                </w:tcPr>
                <w:p w14:paraId="44155B4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绿色</w:t>
                  </w:r>
                </w:p>
              </w:tc>
              <w:tc>
                <w:tcPr>
                  <w:tcW w:w="1533" w:type="dxa"/>
                  <w:tcBorders>
                    <w:tl2br w:val="nil"/>
                    <w:tr2bl w:val="nil"/>
                  </w:tcBorders>
                  <w:noWrap w:val="0"/>
                  <w:vAlign w:val="center"/>
                </w:tcPr>
                <w:p w14:paraId="7A7B0DF8">
                  <w:pPr>
                    <w:adjustRightInd w:val="0"/>
                    <w:snapToGrid w:val="0"/>
                    <w:jc w:val="center"/>
                    <w:rPr>
                      <w:rFonts w:hint="eastAsia" w:ascii="Times New Roman" w:hAnsi="Times New Roman" w:eastAsia="宋体" w:cs="Times New Roman"/>
                      <w:color w:val="auto"/>
                      <w:spacing w:val="-20"/>
                      <w:sz w:val="18"/>
                      <w:szCs w:val="18"/>
                      <w:highlight w:val="none"/>
                      <w:lang w:val="en-US" w:eastAsia="zh-CN"/>
                    </w:rPr>
                  </w:pPr>
                  <w:r>
                    <w:rPr>
                      <w:rFonts w:hint="eastAsia" w:ascii="Times New Roman" w:hAnsi="Times New Roman" w:eastAsia="宋体" w:cs="Times New Roman"/>
                      <w:color w:val="auto"/>
                      <w:spacing w:val="-20"/>
                      <w:sz w:val="18"/>
                      <w:szCs w:val="18"/>
                      <w:highlight w:val="none"/>
                      <w:lang w:val="en-US" w:eastAsia="zh-CN"/>
                    </w:rPr>
                    <w:t>白色</w:t>
                  </w:r>
                </w:p>
              </w:tc>
            </w:tr>
          </w:tbl>
          <w:p w14:paraId="22CF7823">
            <w:pPr>
              <w:adjustRightInd w:val="0"/>
              <w:snapToGrid w:val="0"/>
              <w:ind w:firstLine="321" w:firstLineChars="200"/>
              <w:jc w:val="left"/>
              <w:rPr>
                <w:b/>
                <w:bCs/>
                <w:color w:val="auto"/>
                <w:spacing w:val="-10"/>
                <w:sz w:val="18"/>
                <w:szCs w:val="18"/>
              </w:rPr>
            </w:pPr>
            <w:r>
              <w:rPr>
                <w:rFonts w:hint="eastAsia"/>
                <w:b/>
                <w:bCs/>
                <w:color w:val="auto"/>
                <w:spacing w:val="-10"/>
                <w:sz w:val="18"/>
                <w:szCs w:val="18"/>
                <w:lang w:val="en-US" w:eastAsia="zh-CN"/>
              </w:rPr>
              <w:t>7</w:t>
            </w:r>
            <w:r>
              <w:rPr>
                <w:rFonts w:hint="eastAsia"/>
                <w:b/>
                <w:bCs/>
                <w:color w:val="auto"/>
                <w:spacing w:val="-10"/>
                <w:sz w:val="18"/>
                <w:szCs w:val="18"/>
              </w:rPr>
              <w:t>.</w:t>
            </w:r>
            <w:r>
              <w:rPr>
                <w:rFonts w:hint="eastAsia"/>
                <w:b/>
                <w:bCs/>
                <w:color w:val="auto"/>
                <w:spacing w:val="-10"/>
                <w:sz w:val="18"/>
                <w:szCs w:val="18"/>
                <w:lang w:val="en-US" w:eastAsia="zh-CN"/>
              </w:rPr>
              <w:t>环境影响评价制度与排污许可制度衔接</w:t>
            </w:r>
          </w:p>
          <w:p w14:paraId="33F778C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根据《排污许可管理办法（试行）》（部令第48号）、原环境保护部办公厅《关于做好环境影响评价制度与排污许可制衔接相关工作的通知》（环办环评[2017]84），建设项目发生实际排污行为之前，排污单位应当按照国家环境保护相关法律法规以及排污许可证申请与核发技术规范要求申请排污许可证，不得无证排污或不按证排污，环境保护部门通过对企事业单位发放排污许可证并依证监管实施排污许可制。</w:t>
            </w:r>
          </w:p>
          <w:p w14:paraId="48D79CB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企业应在验收前完成排污许可申报手续。</w:t>
            </w:r>
          </w:p>
          <w:p w14:paraId="47A7E107">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eastAsia" w:ascii="Times New Roman" w:hAnsi="Times New Roman" w:eastAsia="宋体" w:cs="Times New Roman"/>
                <w:b/>
                <w:bCs/>
                <w:color w:val="auto"/>
                <w:spacing w:val="-10"/>
                <w:sz w:val="18"/>
                <w:szCs w:val="18"/>
                <w:highlight w:val="none"/>
                <w:lang w:val="en-US" w:eastAsia="zh-CN"/>
              </w:rPr>
            </w:pPr>
            <w:r>
              <w:rPr>
                <w:rFonts w:hint="eastAsia" w:cs="Times New Roman"/>
                <w:b/>
                <w:bCs/>
                <w:color w:val="auto"/>
                <w:spacing w:val="-10"/>
                <w:sz w:val="18"/>
                <w:szCs w:val="18"/>
                <w:highlight w:val="none"/>
                <w:lang w:val="en-US" w:eastAsia="zh-CN"/>
              </w:rPr>
              <w:t>8</w:t>
            </w:r>
            <w:r>
              <w:rPr>
                <w:rFonts w:hint="eastAsia" w:ascii="Times New Roman" w:hAnsi="Times New Roman" w:eastAsia="宋体" w:cs="Times New Roman"/>
                <w:b/>
                <w:bCs/>
                <w:color w:val="auto"/>
                <w:spacing w:val="-10"/>
                <w:sz w:val="18"/>
                <w:szCs w:val="18"/>
                <w:highlight w:val="none"/>
                <w:lang w:val="en-US" w:eastAsia="zh-CN"/>
              </w:rPr>
              <w:t>项目竣工验收</w:t>
            </w:r>
          </w:p>
          <w:p w14:paraId="6EBF392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建设单位是建设项目竣工环境保护验收的责任主体，应当按照《建设项目竣工环境保护验收暂行办法》的规定的程序和标准，组织对配套建设的环境保护设施进行验收，编制验收报告，公开相关信息，接受社会监督，确保建设项目需要配套建设的环境保护设施与主体工程同时投产或者使用，并对验收内容、结论和所公开信息的真实性、准确性和完整性负责，不得在验收过程中弄虚作假。</w:t>
            </w:r>
          </w:p>
          <w:p w14:paraId="1204E77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建设项目配套建设的环境保护设施经验收合格后，其主体工程方可投入生产或者使用；未经验收或者验收不合格的，不得投入生产或者使用。</w:t>
            </w:r>
          </w:p>
          <w:p w14:paraId="573F688B">
            <w:pPr>
              <w:keepNext w:val="0"/>
              <w:keepLines w:val="0"/>
              <w:pageBreakBefore w:val="0"/>
              <w:widowControl w:val="0"/>
              <w:kinsoku/>
              <w:wordWrap/>
              <w:overflowPunct/>
              <w:topLinePunct w:val="0"/>
              <w:autoSpaceDE/>
              <w:autoSpaceDN/>
              <w:bidi w:val="0"/>
              <w:adjustRightInd w:val="0"/>
              <w:snapToGrid w:val="0"/>
              <w:ind w:firstLine="321" w:firstLineChars="200"/>
              <w:jc w:val="left"/>
              <w:textAlignment w:val="auto"/>
              <w:rPr>
                <w:rFonts w:hint="default" w:ascii="Times New Roman" w:hAnsi="Times New Roman" w:eastAsia="宋体" w:cs="Times New Roman"/>
                <w:b/>
                <w:bCs/>
                <w:color w:val="auto"/>
                <w:spacing w:val="-10"/>
                <w:sz w:val="18"/>
                <w:szCs w:val="18"/>
                <w:highlight w:val="none"/>
                <w:lang w:val="en-US" w:eastAsia="zh-CN"/>
              </w:rPr>
            </w:pPr>
            <w:r>
              <w:rPr>
                <w:rFonts w:hint="eastAsia" w:cs="Times New Roman"/>
                <w:b/>
                <w:bCs/>
                <w:color w:val="auto"/>
                <w:spacing w:val="-10"/>
                <w:sz w:val="18"/>
                <w:szCs w:val="18"/>
                <w:highlight w:val="none"/>
                <w:lang w:val="en-US" w:eastAsia="zh-CN"/>
              </w:rPr>
              <w:t>9</w:t>
            </w:r>
            <w:r>
              <w:rPr>
                <w:rFonts w:hint="eastAsia" w:ascii="Times New Roman" w:hAnsi="Times New Roman" w:eastAsia="宋体" w:cs="Times New Roman"/>
                <w:b/>
                <w:bCs/>
                <w:color w:val="auto"/>
                <w:spacing w:val="-10"/>
                <w:sz w:val="18"/>
                <w:szCs w:val="18"/>
                <w:highlight w:val="none"/>
                <w:lang w:val="en-US" w:eastAsia="zh-CN"/>
              </w:rPr>
              <w:t>.其他管理要求</w:t>
            </w:r>
          </w:p>
          <w:p w14:paraId="5F2B1F5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r>
              <w:rPr>
                <w:rFonts w:hint="eastAsia" w:ascii="Times New Roman" w:hAnsi="Times New Roman" w:eastAsia="宋体" w:cs="Times New Roman"/>
                <w:color w:val="auto"/>
                <w:spacing w:val="-10"/>
                <w:sz w:val="18"/>
                <w:szCs w:val="18"/>
                <w:highlight w:val="none"/>
                <w:lang w:val="en-US" w:eastAsia="zh-CN"/>
              </w:rPr>
              <w:t>应尽快按照相关要求编制完成突发环境事件应急预案，并严格落实应急预案防范措施，降低突发事故造成的影响，并尽快在环保部门完成备案。</w:t>
            </w:r>
          </w:p>
          <w:p w14:paraId="611D54D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62868C7">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FEB789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7B388DA">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A3A338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48D4194">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1E799F1">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C26A24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5AA8A9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35A28E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1EEB7B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8991226">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FF0641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77C2EE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626CCD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281C17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932FD9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20E640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43511D6">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8DA156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B1C620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9F5690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826E3E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2A7FAC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A8F06F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79C0BA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3D2555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C4EB34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663449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9C1ACD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78A7025">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4BB69AF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C39C8EB">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34551A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A9F8A4E">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826061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DF94554">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54F5918">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34150E03">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88AC9C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5D97EE4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17D160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25B8D327">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6626513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5B21CA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084A5D7">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294462D">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79E3ECD9">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6733034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605D81E0">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12A2262C">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eastAsia" w:ascii="Times New Roman" w:hAnsi="Times New Roman" w:eastAsia="宋体" w:cs="Times New Roman"/>
                <w:color w:val="auto"/>
                <w:spacing w:val="-10"/>
                <w:sz w:val="18"/>
                <w:szCs w:val="18"/>
                <w:highlight w:val="none"/>
                <w:lang w:val="en-US" w:eastAsia="zh-CN"/>
              </w:rPr>
            </w:pPr>
          </w:p>
          <w:p w14:paraId="0CFF147F">
            <w:pPr>
              <w:keepNext w:val="0"/>
              <w:keepLines w:val="0"/>
              <w:pageBreakBefore w:val="0"/>
              <w:widowControl w:val="0"/>
              <w:kinsoku/>
              <w:wordWrap/>
              <w:overflowPunct/>
              <w:topLinePunct w:val="0"/>
              <w:autoSpaceDE/>
              <w:autoSpaceDN/>
              <w:bidi w:val="0"/>
              <w:adjustRightInd w:val="0"/>
              <w:snapToGrid w:val="0"/>
              <w:ind w:firstLine="320" w:firstLineChars="200"/>
              <w:jc w:val="left"/>
              <w:textAlignment w:val="auto"/>
              <w:rPr>
                <w:rFonts w:hint="default" w:ascii="Times New Roman" w:hAnsi="Times New Roman" w:eastAsia="宋体" w:cs="Times New Roman"/>
                <w:color w:val="auto"/>
                <w:spacing w:val="-10"/>
                <w:sz w:val="18"/>
                <w:szCs w:val="18"/>
                <w:highlight w:val="none"/>
                <w:lang w:val="en-US" w:eastAsia="zh-CN"/>
              </w:rPr>
            </w:pPr>
          </w:p>
        </w:tc>
      </w:tr>
    </w:tbl>
    <w:p w14:paraId="21959BB2">
      <w:pPr>
        <w:pStyle w:val="22"/>
        <w:jc w:val="center"/>
        <w:outlineLvl w:val="0"/>
        <w:rPr>
          <w:rFonts w:ascii="黑体" w:hAnsi="黑体" w:eastAsia="黑体"/>
          <w:snapToGrid w:val="0"/>
          <w:color w:val="auto"/>
          <w:sz w:val="30"/>
          <w:szCs w:val="30"/>
          <w:highlight w:val="none"/>
        </w:rPr>
      </w:pPr>
      <w:r>
        <w:rPr>
          <w:snapToGrid w:val="0"/>
          <w:color w:val="auto"/>
          <w:highlight w:val="none"/>
        </w:rPr>
        <w:br w:type="page"/>
      </w:r>
      <w:r>
        <w:rPr>
          <w:rFonts w:hint="eastAsia" w:ascii="黑体" w:hAnsi="黑体" w:eastAsia="黑体"/>
          <w:snapToGrid w:val="0"/>
          <w:color w:val="auto"/>
          <w:sz w:val="30"/>
          <w:szCs w:val="30"/>
          <w:highlight w:val="none"/>
        </w:rPr>
        <w:t>六、结论</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D502C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vAlign w:val="center"/>
          </w:tcPr>
          <w:p w14:paraId="1A4F45D2">
            <w:pPr>
              <w:pStyle w:val="22"/>
              <w:adjustRightInd w:val="0"/>
              <w:snapToGrid w:val="0"/>
              <w:spacing w:before="0" w:beforeAutospacing="0" w:after="0" w:afterAutospacing="0" w:line="440" w:lineRule="exact"/>
              <w:ind w:firstLine="420" w:firstLineChars="200"/>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河北兆惠恒美检测技术有限公司实验室建设项目</w:t>
            </w:r>
            <w:r>
              <w:rPr>
                <w:rFonts w:ascii="Times New Roman" w:hAnsi="Times New Roman" w:eastAsia="宋体" w:cs="Times New Roman"/>
                <w:color w:val="auto"/>
                <w:sz w:val="21"/>
                <w:szCs w:val="21"/>
                <w:highlight w:val="none"/>
              </w:rPr>
              <w:t>符合国家和地方产业政策，项目拟采取的环保措施技术可靠、经济可行，项目建设符合达标排放、总量控制的基本原则。所在区域环境质量现状适合项目建设，</w:t>
            </w:r>
            <w:r>
              <w:rPr>
                <w:rFonts w:hint="eastAsia" w:ascii="Times New Roman" w:hAnsi="Times New Roman" w:eastAsia="宋体" w:cs="Times New Roman"/>
                <w:color w:val="auto"/>
                <w:sz w:val="21"/>
                <w:szCs w:val="21"/>
                <w:highlight w:val="none"/>
                <w:lang w:val="en-US" w:eastAsia="zh-CN"/>
              </w:rPr>
              <w:t>拟建</w:t>
            </w:r>
            <w:r>
              <w:rPr>
                <w:rFonts w:ascii="Times New Roman" w:hAnsi="Times New Roman" w:eastAsia="宋体" w:cs="Times New Roman"/>
                <w:color w:val="auto"/>
                <w:sz w:val="21"/>
                <w:szCs w:val="21"/>
                <w:highlight w:val="none"/>
              </w:rPr>
              <w:t>项目在严</w:t>
            </w:r>
            <w:r>
              <w:rPr>
                <w:rFonts w:ascii="Times New Roman" w:hAnsi="Times New Roman" w:cs="Times New Roman"/>
                <w:color w:val="auto"/>
                <w:sz w:val="21"/>
                <w:szCs w:val="21"/>
                <w:highlight w:val="none"/>
              </w:rPr>
              <w:t>格执行国家、地方的各项环保政策、法规和规定</w:t>
            </w:r>
            <w:r>
              <w:rPr>
                <w:rFonts w:hint="eastAsia" w:ascii="Times New Roman" w:hAnsi="Times New Roman" w:cs="Times New Roman"/>
                <w:color w:val="auto"/>
                <w:sz w:val="21"/>
                <w:szCs w:val="21"/>
                <w:highlight w:val="none"/>
              </w:rPr>
              <w:t>，</w:t>
            </w:r>
            <w:r>
              <w:rPr>
                <w:rFonts w:ascii="Times New Roman" w:hAnsi="Times New Roman" w:cs="Times New Roman"/>
                <w:color w:val="auto"/>
                <w:sz w:val="21"/>
                <w:szCs w:val="21"/>
                <w:highlight w:val="none"/>
              </w:rPr>
              <w:t>保证废气、废水、噪声达标排放和固废合理处置，落实报告</w:t>
            </w:r>
            <w:r>
              <w:rPr>
                <w:rFonts w:hint="eastAsia" w:ascii="Times New Roman" w:hAnsi="Times New Roman" w:cs="Times New Roman"/>
                <w:color w:val="auto"/>
                <w:sz w:val="21"/>
                <w:szCs w:val="21"/>
                <w:highlight w:val="none"/>
              </w:rPr>
              <w:t>表</w:t>
            </w:r>
            <w:r>
              <w:rPr>
                <w:rFonts w:ascii="Times New Roman" w:hAnsi="Times New Roman" w:cs="Times New Roman"/>
                <w:color w:val="auto"/>
                <w:sz w:val="21"/>
                <w:szCs w:val="21"/>
                <w:highlight w:val="none"/>
              </w:rPr>
              <w:t>提出的各项环境保护措施和风险防范措施要求的前提下，</w:t>
            </w:r>
            <w:r>
              <w:rPr>
                <w:rFonts w:hint="eastAsia" w:ascii="Times New Roman" w:hAnsi="Times New Roman" w:cs="Times New Roman"/>
                <w:color w:val="auto"/>
                <w:sz w:val="21"/>
                <w:szCs w:val="21"/>
                <w:highlight w:val="none"/>
              </w:rPr>
              <w:t>项目各项污染物均能合理处置或达标排放，对周围环境影响较小。因此，从环保角度分析，本项目的建设是可行的。</w:t>
            </w:r>
          </w:p>
        </w:tc>
      </w:tr>
    </w:tbl>
    <w:p w14:paraId="286F6405">
      <w:pPr>
        <w:rPr>
          <w:rFonts w:ascii="宋体"/>
          <w:color w:val="auto"/>
          <w:highlight w:val="none"/>
        </w:rPr>
        <w:sectPr>
          <w:pgSz w:w="11905" w:h="16838"/>
          <w:pgMar w:top="1701" w:right="1531" w:bottom="1701" w:left="1531" w:header="851" w:footer="1077" w:gutter="0"/>
          <w:pgBorders>
            <w:top w:val="none" w:sz="0" w:space="0"/>
            <w:left w:val="none" w:sz="0" w:space="0"/>
            <w:bottom w:val="none" w:sz="0" w:space="0"/>
            <w:right w:val="none" w:sz="0" w:space="0"/>
          </w:pgBorders>
          <w:pgNumType w:fmt="decimal"/>
          <w:cols w:space="0" w:num="1"/>
          <w:rtlGutter w:val="0"/>
          <w:docGrid w:linePitch="312" w:charSpace="0"/>
        </w:sectPr>
      </w:pPr>
    </w:p>
    <w:p w14:paraId="00942884">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1200" w:lineRule="exact"/>
        <w:textAlignment w:val="auto"/>
        <w:outlineLvl w:val="0"/>
        <w:rPr>
          <w:rFonts w:ascii="黑体" w:hAnsi="黑体" w:eastAsia="黑体"/>
          <w:snapToGrid w:val="0"/>
          <w:color w:val="auto"/>
          <w:sz w:val="32"/>
          <w:szCs w:val="32"/>
          <w:highlight w:val="none"/>
        </w:rPr>
      </w:pPr>
      <w:r>
        <w:rPr>
          <w:rFonts w:hint="eastAsia" w:ascii="黑体" w:hAnsi="黑体" w:eastAsia="黑体"/>
          <w:snapToGrid w:val="0"/>
          <w:color w:val="auto"/>
          <w:sz w:val="32"/>
          <w:szCs w:val="32"/>
          <w:highlight w:val="none"/>
        </w:rPr>
        <w:t>附表</w:t>
      </w:r>
    </w:p>
    <w:p w14:paraId="5F5A4BB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1200" w:lineRule="exact"/>
        <w:jc w:val="center"/>
        <w:textAlignment w:val="auto"/>
        <w:outlineLvl w:val="0"/>
        <w:rPr>
          <w:rFonts w:ascii="方正小标宋_GBK" w:hAnsi="黑体" w:eastAsia="方正小标宋_GBK"/>
          <w:snapToGrid w:val="0"/>
          <w:color w:val="auto"/>
          <w:sz w:val="38"/>
          <w:szCs w:val="38"/>
          <w:highlight w:val="none"/>
        </w:rPr>
      </w:pPr>
      <w:r>
        <w:rPr>
          <w:rFonts w:hint="eastAsia" w:ascii="方正小标宋_GBK" w:hAnsi="黑体" w:eastAsia="方正小标宋_GBK"/>
          <w:snapToGrid w:val="0"/>
          <w:color w:val="auto"/>
          <w:sz w:val="38"/>
          <w:szCs w:val="38"/>
          <w:highlight w:val="none"/>
        </w:rPr>
        <w:t>建设项目污染物排放量汇总表</w:t>
      </w:r>
    </w:p>
    <w:tbl>
      <w:tblPr>
        <w:tblStyle w:val="26"/>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09"/>
        <w:gridCol w:w="2115"/>
        <w:gridCol w:w="1521"/>
        <w:gridCol w:w="996"/>
        <w:gridCol w:w="1500"/>
        <w:gridCol w:w="1553"/>
        <w:gridCol w:w="1091"/>
        <w:gridCol w:w="1783"/>
        <w:gridCol w:w="1720"/>
      </w:tblGrid>
      <w:tr w14:paraId="2F9BB0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509" w:type="dxa"/>
            <w:tcBorders>
              <w:tl2br w:val="single" w:color="auto" w:sz="4" w:space="0"/>
            </w:tcBorders>
            <w:tcMar>
              <w:left w:w="28" w:type="dxa"/>
              <w:right w:w="28" w:type="dxa"/>
            </w:tcMar>
            <w:vAlign w:val="center"/>
          </w:tcPr>
          <w:p w14:paraId="6931FC67">
            <w:pPr>
              <w:pStyle w:val="51"/>
              <w:spacing w:beforeLines="0" w:afterLines="0" w:line="240" w:lineRule="auto"/>
              <w:jc w:val="right"/>
              <w:rPr>
                <w:rFonts w:ascii="黑体" w:hAnsi="黑体" w:eastAsia="黑体" w:cs="宋体"/>
                <w:snapToGrid w:val="0"/>
                <w:color w:val="auto"/>
                <w:spacing w:val="-6"/>
                <w:kern w:val="21"/>
                <w:szCs w:val="21"/>
                <w:highlight w:val="none"/>
              </w:rPr>
            </w:pPr>
            <w:r>
              <w:rPr>
                <w:rFonts w:hint="eastAsia" w:ascii="黑体" w:hAnsi="黑体" w:eastAsia="黑体" w:cs="宋体"/>
                <w:snapToGrid w:val="0"/>
                <w:color w:val="auto"/>
                <w:spacing w:val="-6"/>
                <w:kern w:val="21"/>
                <w:szCs w:val="21"/>
                <w:highlight w:val="none"/>
              </w:rPr>
              <w:t>项目</w:t>
            </w:r>
          </w:p>
          <w:p w14:paraId="4BBF6F52">
            <w:pPr>
              <w:pStyle w:val="51"/>
              <w:spacing w:beforeLines="0" w:afterLines="0" w:line="240" w:lineRule="auto"/>
              <w:jc w:val="left"/>
              <w:rPr>
                <w:rFonts w:ascii="黑体" w:hAnsi="黑体" w:eastAsia="黑体" w:cs="宋体"/>
                <w:snapToGrid w:val="0"/>
                <w:color w:val="auto"/>
                <w:spacing w:val="-6"/>
                <w:kern w:val="21"/>
                <w:szCs w:val="21"/>
                <w:highlight w:val="none"/>
              </w:rPr>
            </w:pPr>
            <w:r>
              <w:rPr>
                <w:rFonts w:hint="eastAsia" w:ascii="黑体" w:hAnsi="黑体" w:eastAsia="黑体" w:cs="宋体"/>
                <w:snapToGrid w:val="0"/>
                <w:color w:val="auto"/>
                <w:spacing w:val="-6"/>
                <w:kern w:val="21"/>
                <w:szCs w:val="21"/>
                <w:highlight w:val="none"/>
              </w:rPr>
              <w:t>分类</w:t>
            </w:r>
          </w:p>
        </w:tc>
        <w:tc>
          <w:tcPr>
            <w:tcW w:w="2115" w:type="dxa"/>
            <w:tcMar>
              <w:left w:w="28" w:type="dxa"/>
              <w:right w:w="28" w:type="dxa"/>
            </w:tcMar>
            <w:vAlign w:val="center"/>
          </w:tcPr>
          <w:p w14:paraId="001184FF">
            <w:pPr>
              <w:pStyle w:val="51"/>
              <w:spacing w:beforeLines="0" w:afterLines="0" w:line="240" w:lineRule="auto"/>
              <w:rPr>
                <w:rFonts w:ascii="黑体" w:hAnsi="黑体" w:eastAsia="黑体" w:cs="宋体"/>
                <w:snapToGrid w:val="0"/>
                <w:color w:val="auto"/>
                <w:spacing w:val="-6"/>
                <w:kern w:val="21"/>
                <w:szCs w:val="21"/>
                <w:highlight w:val="none"/>
              </w:rPr>
            </w:pPr>
            <w:r>
              <w:rPr>
                <w:rFonts w:hint="eastAsia" w:ascii="黑体" w:hAnsi="黑体" w:eastAsia="黑体" w:cs="宋体"/>
                <w:snapToGrid w:val="0"/>
                <w:color w:val="auto"/>
                <w:spacing w:val="-6"/>
                <w:kern w:val="21"/>
                <w:szCs w:val="21"/>
                <w:highlight w:val="none"/>
              </w:rPr>
              <w:t>污染物名称</w:t>
            </w:r>
          </w:p>
        </w:tc>
        <w:tc>
          <w:tcPr>
            <w:tcW w:w="1521" w:type="dxa"/>
            <w:tcMar>
              <w:left w:w="28" w:type="dxa"/>
              <w:right w:w="28" w:type="dxa"/>
            </w:tcMar>
            <w:vAlign w:val="center"/>
          </w:tcPr>
          <w:p w14:paraId="104B605A">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现有工程</w:t>
            </w:r>
          </w:p>
          <w:p w14:paraId="1E984E9A">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排放量（固</w:t>
            </w:r>
            <w:r>
              <w:rPr>
                <w:rFonts w:hint="eastAsia" w:ascii="黑体" w:hAnsi="黑体" w:eastAsia="黑体"/>
                <w:snapToGrid w:val="0"/>
                <w:color w:val="auto"/>
                <w:spacing w:val="-6"/>
                <w:kern w:val="21"/>
                <w:szCs w:val="21"/>
                <w:highlight w:val="none"/>
              </w:rPr>
              <w:t>体</w:t>
            </w:r>
            <w:r>
              <w:rPr>
                <w:rFonts w:ascii="黑体" w:hAnsi="黑体" w:eastAsia="黑体"/>
                <w:snapToGrid w:val="0"/>
                <w:color w:val="auto"/>
                <w:spacing w:val="-6"/>
                <w:kern w:val="21"/>
                <w:szCs w:val="21"/>
                <w:highlight w:val="none"/>
              </w:rPr>
              <w:t>废</w:t>
            </w:r>
            <w:r>
              <w:rPr>
                <w:rFonts w:hint="eastAsia" w:ascii="黑体" w:hAnsi="黑体" w:eastAsia="黑体"/>
                <w:snapToGrid w:val="0"/>
                <w:color w:val="auto"/>
                <w:spacing w:val="-6"/>
                <w:kern w:val="21"/>
                <w:szCs w:val="21"/>
                <w:highlight w:val="none"/>
              </w:rPr>
              <w:t>物</w:t>
            </w:r>
            <w:r>
              <w:rPr>
                <w:rFonts w:ascii="黑体" w:hAnsi="黑体" w:eastAsia="黑体"/>
                <w:snapToGrid w:val="0"/>
                <w:color w:val="auto"/>
                <w:spacing w:val="-6"/>
                <w:kern w:val="21"/>
                <w:szCs w:val="21"/>
                <w:highlight w:val="none"/>
              </w:rPr>
              <w:t>产生量）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1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①</w:t>
            </w:r>
            <w:r>
              <w:rPr>
                <w:rFonts w:ascii="黑体" w:hAnsi="黑体" w:eastAsia="黑体"/>
                <w:snapToGrid w:val="0"/>
                <w:color w:val="auto"/>
                <w:spacing w:val="-6"/>
                <w:kern w:val="21"/>
                <w:szCs w:val="21"/>
                <w:highlight w:val="none"/>
              </w:rPr>
              <w:fldChar w:fldCharType="end"/>
            </w:r>
          </w:p>
        </w:tc>
        <w:tc>
          <w:tcPr>
            <w:tcW w:w="996" w:type="dxa"/>
            <w:tcMar>
              <w:left w:w="28" w:type="dxa"/>
              <w:right w:w="28" w:type="dxa"/>
            </w:tcMar>
            <w:vAlign w:val="center"/>
          </w:tcPr>
          <w:p w14:paraId="0BCB0675">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现有工程</w:t>
            </w:r>
          </w:p>
          <w:p w14:paraId="057B0D6F">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许可排放量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2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snapToGrid w:val="0"/>
                <w:color w:val="auto"/>
                <w:spacing w:val="-6"/>
                <w:kern w:val="21"/>
                <w:szCs w:val="21"/>
                <w:highlight w:val="none"/>
              </w:rPr>
              <w:t>②</w:t>
            </w:r>
            <w:r>
              <w:rPr>
                <w:rFonts w:ascii="黑体" w:hAnsi="黑体" w:eastAsia="黑体"/>
                <w:snapToGrid w:val="0"/>
                <w:color w:val="auto"/>
                <w:spacing w:val="-6"/>
                <w:kern w:val="21"/>
                <w:szCs w:val="21"/>
                <w:highlight w:val="none"/>
              </w:rPr>
              <w:fldChar w:fldCharType="end"/>
            </w:r>
          </w:p>
        </w:tc>
        <w:tc>
          <w:tcPr>
            <w:tcW w:w="1500" w:type="dxa"/>
            <w:tcMar>
              <w:left w:w="28" w:type="dxa"/>
              <w:right w:w="28" w:type="dxa"/>
            </w:tcMar>
            <w:vAlign w:val="center"/>
          </w:tcPr>
          <w:p w14:paraId="2E0E8FEF">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在建工程</w:t>
            </w:r>
          </w:p>
          <w:p w14:paraId="2286693D">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排放量（固</w:t>
            </w:r>
            <w:r>
              <w:rPr>
                <w:rFonts w:hint="eastAsia" w:ascii="黑体" w:hAnsi="黑体" w:eastAsia="黑体"/>
                <w:snapToGrid w:val="0"/>
                <w:color w:val="auto"/>
                <w:spacing w:val="-6"/>
                <w:kern w:val="21"/>
                <w:szCs w:val="21"/>
                <w:highlight w:val="none"/>
              </w:rPr>
              <w:t>体</w:t>
            </w:r>
            <w:r>
              <w:rPr>
                <w:rFonts w:ascii="黑体" w:hAnsi="黑体" w:eastAsia="黑体"/>
                <w:snapToGrid w:val="0"/>
                <w:color w:val="auto"/>
                <w:spacing w:val="-6"/>
                <w:kern w:val="21"/>
                <w:szCs w:val="21"/>
                <w:highlight w:val="none"/>
              </w:rPr>
              <w:t>废</w:t>
            </w:r>
            <w:r>
              <w:rPr>
                <w:rFonts w:hint="eastAsia" w:ascii="黑体" w:hAnsi="黑体" w:eastAsia="黑体"/>
                <w:snapToGrid w:val="0"/>
                <w:color w:val="auto"/>
                <w:spacing w:val="-6"/>
                <w:kern w:val="21"/>
                <w:szCs w:val="21"/>
                <w:highlight w:val="none"/>
              </w:rPr>
              <w:t>物</w:t>
            </w:r>
            <w:r>
              <w:rPr>
                <w:rFonts w:ascii="黑体" w:hAnsi="黑体" w:eastAsia="黑体"/>
                <w:snapToGrid w:val="0"/>
                <w:color w:val="auto"/>
                <w:spacing w:val="-6"/>
                <w:kern w:val="21"/>
                <w:szCs w:val="21"/>
                <w:highlight w:val="none"/>
              </w:rPr>
              <w:t>产生量）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3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③</w:t>
            </w:r>
            <w:r>
              <w:rPr>
                <w:rFonts w:ascii="黑体" w:hAnsi="黑体" w:eastAsia="黑体"/>
                <w:snapToGrid w:val="0"/>
                <w:color w:val="auto"/>
                <w:spacing w:val="-6"/>
                <w:kern w:val="21"/>
                <w:szCs w:val="21"/>
                <w:highlight w:val="none"/>
              </w:rPr>
              <w:fldChar w:fldCharType="end"/>
            </w:r>
          </w:p>
        </w:tc>
        <w:tc>
          <w:tcPr>
            <w:tcW w:w="1553" w:type="dxa"/>
            <w:tcMar>
              <w:left w:w="28" w:type="dxa"/>
              <w:right w:w="28" w:type="dxa"/>
            </w:tcMar>
            <w:vAlign w:val="center"/>
          </w:tcPr>
          <w:p w14:paraId="613EE9E4">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本项目</w:t>
            </w:r>
          </w:p>
          <w:p w14:paraId="7E794D17">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排放量（固</w:t>
            </w:r>
            <w:r>
              <w:rPr>
                <w:rFonts w:hint="eastAsia" w:ascii="黑体" w:hAnsi="黑体" w:eastAsia="黑体"/>
                <w:snapToGrid w:val="0"/>
                <w:color w:val="auto"/>
                <w:spacing w:val="-6"/>
                <w:kern w:val="21"/>
                <w:szCs w:val="21"/>
                <w:highlight w:val="none"/>
              </w:rPr>
              <w:t>体</w:t>
            </w:r>
            <w:r>
              <w:rPr>
                <w:rFonts w:ascii="黑体" w:hAnsi="黑体" w:eastAsia="黑体"/>
                <w:snapToGrid w:val="0"/>
                <w:color w:val="auto"/>
                <w:spacing w:val="-6"/>
                <w:kern w:val="21"/>
                <w:szCs w:val="21"/>
                <w:highlight w:val="none"/>
              </w:rPr>
              <w:t>废</w:t>
            </w:r>
            <w:r>
              <w:rPr>
                <w:rFonts w:hint="eastAsia" w:ascii="黑体" w:hAnsi="黑体" w:eastAsia="黑体"/>
                <w:snapToGrid w:val="0"/>
                <w:color w:val="auto"/>
                <w:spacing w:val="-6"/>
                <w:kern w:val="21"/>
                <w:szCs w:val="21"/>
                <w:highlight w:val="none"/>
              </w:rPr>
              <w:t>物</w:t>
            </w:r>
            <w:r>
              <w:rPr>
                <w:rFonts w:ascii="黑体" w:hAnsi="黑体" w:eastAsia="黑体"/>
                <w:snapToGrid w:val="0"/>
                <w:color w:val="auto"/>
                <w:spacing w:val="-6"/>
                <w:kern w:val="21"/>
                <w:szCs w:val="21"/>
                <w:highlight w:val="none"/>
              </w:rPr>
              <w:t>产生量）</w:t>
            </w: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4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④</w:t>
            </w:r>
            <w:r>
              <w:rPr>
                <w:rFonts w:ascii="黑体" w:hAnsi="黑体" w:eastAsia="黑体"/>
                <w:snapToGrid w:val="0"/>
                <w:color w:val="auto"/>
                <w:spacing w:val="-6"/>
                <w:kern w:val="21"/>
                <w:szCs w:val="21"/>
                <w:highlight w:val="none"/>
              </w:rPr>
              <w:fldChar w:fldCharType="end"/>
            </w:r>
          </w:p>
        </w:tc>
        <w:tc>
          <w:tcPr>
            <w:tcW w:w="1091" w:type="dxa"/>
            <w:tcMar>
              <w:left w:w="28" w:type="dxa"/>
              <w:right w:w="28" w:type="dxa"/>
            </w:tcMar>
            <w:vAlign w:val="center"/>
          </w:tcPr>
          <w:p w14:paraId="714D79A3">
            <w:pPr>
              <w:pStyle w:val="51"/>
              <w:spacing w:beforeLines="0" w:afterLines="0" w:line="240" w:lineRule="auto"/>
              <w:rPr>
                <w:rFonts w:ascii="黑体" w:hAnsi="黑体" w:eastAsia="黑体"/>
                <w:snapToGrid w:val="0"/>
                <w:color w:val="auto"/>
                <w:spacing w:val="-16"/>
                <w:kern w:val="21"/>
                <w:szCs w:val="21"/>
                <w:highlight w:val="none"/>
              </w:rPr>
            </w:pPr>
            <w:r>
              <w:rPr>
                <w:rFonts w:ascii="黑体" w:hAnsi="黑体" w:eastAsia="黑体"/>
                <w:snapToGrid w:val="0"/>
                <w:color w:val="auto"/>
                <w:spacing w:val="-16"/>
                <w:kern w:val="21"/>
                <w:szCs w:val="21"/>
                <w:highlight w:val="none"/>
              </w:rPr>
              <w:t>以新带老削减量（新建项目不填）</w:t>
            </w:r>
            <w:r>
              <w:rPr>
                <w:rFonts w:ascii="黑体" w:hAnsi="黑体" w:eastAsia="黑体"/>
                <w:snapToGrid w:val="0"/>
                <w:color w:val="auto"/>
                <w:spacing w:val="-16"/>
                <w:kern w:val="21"/>
                <w:szCs w:val="21"/>
                <w:highlight w:val="none"/>
              </w:rPr>
              <w:fldChar w:fldCharType="begin"/>
            </w:r>
            <w:r>
              <w:rPr>
                <w:rFonts w:ascii="黑体" w:hAnsi="黑体" w:eastAsia="黑体"/>
                <w:snapToGrid w:val="0"/>
                <w:color w:val="auto"/>
                <w:spacing w:val="-16"/>
                <w:kern w:val="21"/>
                <w:szCs w:val="21"/>
                <w:highlight w:val="none"/>
              </w:rPr>
              <w:instrText xml:space="preserve"> = 5 \* GB3 \* MERGEFORMAT </w:instrText>
            </w:r>
            <w:r>
              <w:rPr>
                <w:rFonts w:ascii="黑体" w:hAnsi="黑体" w:eastAsia="黑体"/>
                <w:snapToGrid w:val="0"/>
                <w:color w:val="auto"/>
                <w:spacing w:val="-16"/>
                <w:kern w:val="21"/>
                <w:szCs w:val="21"/>
                <w:highlight w:val="none"/>
              </w:rPr>
              <w:fldChar w:fldCharType="separate"/>
            </w:r>
            <w:r>
              <w:rPr>
                <w:rFonts w:hint="eastAsia" w:ascii="黑体" w:hAnsi="黑体" w:eastAsia="黑体" w:cs="宋体"/>
                <w:color w:val="auto"/>
                <w:kern w:val="2"/>
                <w:szCs w:val="21"/>
                <w:highlight w:val="none"/>
              </w:rPr>
              <w:t>⑤</w:t>
            </w:r>
            <w:r>
              <w:rPr>
                <w:rFonts w:ascii="黑体" w:hAnsi="黑体" w:eastAsia="黑体"/>
                <w:snapToGrid w:val="0"/>
                <w:color w:val="auto"/>
                <w:spacing w:val="-16"/>
                <w:kern w:val="21"/>
                <w:szCs w:val="21"/>
                <w:highlight w:val="none"/>
              </w:rPr>
              <w:fldChar w:fldCharType="end"/>
            </w:r>
          </w:p>
        </w:tc>
        <w:tc>
          <w:tcPr>
            <w:tcW w:w="1783" w:type="dxa"/>
            <w:tcMar>
              <w:left w:w="28" w:type="dxa"/>
              <w:right w:w="28" w:type="dxa"/>
            </w:tcMar>
            <w:vAlign w:val="center"/>
          </w:tcPr>
          <w:p w14:paraId="5240B9E3">
            <w:pPr>
              <w:pStyle w:val="51"/>
              <w:spacing w:beforeLines="0" w:afterLines="0" w:line="240" w:lineRule="auto"/>
              <w:rPr>
                <w:rFonts w:ascii="黑体" w:hAnsi="黑体" w:eastAsia="黑体"/>
                <w:snapToGrid w:val="0"/>
                <w:color w:val="auto"/>
                <w:spacing w:val="-16"/>
                <w:kern w:val="21"/>
                <w:szCs w:val="21"/>
                <w:highlight w:val="none"/>
              </w:rPr>
            </w:pPr>
            <w:r>
              <w:rPr>
                <w:rFonts w:ascii="黑体" w:hAnsi="黑体" w:eastAsia="黑体"/>
                <w:snapToGrid w:val="0"/>
                <w:color w:val="auto"/>
                <w:spacing w:val="-16"/>
                <w:kern w:val="21"/>
                <w:szCs w:val="21"/>
                <w:highlight w:val="none"/>
              </w:rPr>
              <w:t>本项目建成后</w:t>
            </w:r>
          </w:p>
          <w:p w14:paraId="6468EB56">
            <w:pPr>
              <w:pStyle w:val="51"/>
              <w:spacing w:beforeLines="0" w:afterLines="0" w:line="240" w:lineRule="auto"/>
              <w:rPr>
                <w:rFonts w:ascii="黑体" w:hAnsi="黑体" w:eastAsia="黑体"/>
                <w:snapToGrid w:val="0"/>
                <w:color w:val="auto"/>
                <w:spacing w:val="-16"/>
                <w:kern w:val="21"/>
                <w:szCs w:val="21"/>
                <w:highlight w:val="none"/>
              </w:rPr>
            </w:pPr>
            <w:r>
              <w:rPr>
                <w:rFonts w:hint="eastAsia" w:ascii="黑体" w:hAnsi="黑体" w:eastAsia="黑体"/>
                <w:snapToGrid w:val="0"/>
                <w:color w:val="auto"/>
                <w:spacing w:val="-16"/>
                <w:kern w:val="21"/>
                <w:szCs w:val="21"/>
                <w:highlight w:val="none"/>
              </w:rPr>
              <w:t>全厂</w:t>
            </w:r>
            <w:r>
              <w:rPr>
                <w:rFonts w:ascii="黑体" w:hAnsi="黑体" w:eastAsia="黑体"/>
                <w:snapToGrid w:val="0"/>
                <w:color w:val="auto"/>
                <w:spacing w:val="-16"/>
                <w:kern w:val="21"/>
                <w:szCs w:val="21"/>
                <w:highlight w:val="none"/>
              </w:rPr>
              <w:t>排放量（固</w:t>
            </w:r>
            <w:r>
              <w:rPr>
                <w:rFonts w:hint="eastAsia" w:ascii="黑体" w:hAnsi="黑体" w:eastAsia="黑体"/>
                <w:snapToGrid w:val="0"/>
                <w:color w:val="auto"/>
                <w:spacing w:val="-16"/>
                <w:kern w:val="21"/>
                <w:szCs w:val="21"/>
                <w:highlight w:val="none"/>
              </w:rPr>
              <w:t>体</w:t>
            </w:r>
            <w:r>
              <w:rPr>
                <w:rFonts w:ascii="黑体" w:hAnsi="黑体" w:eastAsia="黑体"/>
                <w:snapToGrid w:val="0"/>
                <w:color w:val="auto"/>
                <w:spacing w:val="-16"/>
                <w:kern w:val="21"/>
                <w:szCs w:val="21"/>
                <w:highlight w:val="none"/>
              </w:rPr>
              <w:t>废</w:t>
            </w:r>
            <w:r>
              <w:rPr>
                <w:rFonts w:hint="eastAsia" w:ascii="黑体" w:hAnsi="黑体" w:eastAsia="黑体"/>
                <w:snapToGrid w:val="0"/>
                <w:color w:val="auto"/>
                <w:spacing w:val="-16"/>
                <w:kern w:val="21"/>
                <w:szCs w:val="21"/>
                <w:highlight w:val="none"/>
              </w:rPr>
              <w:t>物</w:t>
            </w:r>
            <w:r>
              <w:rPr>
                <w:rFonts w:ascii="黑体" w:hAnsi="黑体" w:eastAsia="黑体"/>
                <w:snapToGrid w:val="0"/>
                <w:color w:val="auto"/>
                <w:spacing w:val="-16"/>
                <w:kern w:val="21"/>
                <w:szCs w:val="21"/>
                <w:highlight w:val="none"/>
              </w:rPr>
              <w:t>产生量）</w:t>
            </w:r>
            <w:r>
              <w:rPr>
                <w:rFonts w:ascii="黑体" w:hAnsi="黑体" w:eastAsia="黑体"/>
                <w:snapToGrid w:val="0"/>
                <w:color w:val="auto"/>
                <w:spacing w:val="-16"/>
                <w:kern w:val="21"/>
                <w:szCs w:val="21"/>
                <w:highlight w:val="none"/>
              </w:rPr>
              <w:fldChar w:fldCharType="begin"/>
            </w:r>
            <w:r>
              <w:rPr>
                <w:rFonts w:ascii="黑体" w:hAnsi="黑体" w:eastAsia="黑体"/>
                <w:snapToGrid w:val="0"/>
                <w:color w:val="auto"/>
                <w:spacing w:val="-16"/>
                <w:kern w:val="21"/>
                <w:szCs w:val="21"/>
                <w:highlight w:val="none"/>
              </w:rPr>
              <w:instrText xml:space="preserve"> = 6 \* GB3 \* MERGEFORMAT </w:instrText>
            </w:r>
            <w:r>
              <w:rPr>
                <w:rFonts w:ascii="黑体" w:hAnsi="黑体" w:eastAsia="黑体"/>
                <w:snapToGrid w:val="0"/>
                <w:color w:val="auto"/>
                <w:spacing w:val="-16"/>
                <w:kern w:val="21"/>
                <w:szCs w:val="21"/>
                <w:highlight w:val="none"/>
              </w:rPr>
              <w:fldChar w:fldCharType="separate"/>
            </w:r>
            <w:r>
              <w:rPr>
                <w:rFonts w:hint="eastAsia" w:ascii="黑体" w:hAnsi="黑体" w:eastAsia="黑体" w:cs="宋体"/>
                <w:color w:val="auto"/>
                <w:kern w:val="2"/>
                <w:szCs w:val="21"/>
                <w:highlight w:val="none"/>
              </w:rPr>
              <w:t>⑥</w:t>
            </w:r>
            <w:r>
              <w:rPr>
                <w:rFonts w:ascii="黑体" w:hAnsi="黑体" w:eastAsia="黑体"/>
                <w:snapToGrid w:val="0"/>
                <w:color w:val="auto"/>
                <w:spacing w:val="-16"/>
                <w:kern w:val="21"/>
                <w:szCs w:val="21"/>
                <w:highlight w:val="none"/>
              </w:rPr>
              <w:fldChar w:fldCharType="end"/>
            </w:r>
          </w:p>
        </w:tc>
        <w:tc>
          <w:tcPr>
            <w:tcW w:w="1720" w:type="dxa"/>
            <w:tcMar>
              <w:left w:w="28" w:type="dxa"/>
              <w:right w:w="28" w:type="dxa"/>
            </w:tcMar>
            <w:vAlign w:val="center"/>
          </w:tcPr>
          <w:p w14:paraId="6C916882">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t>变化量</w:t>
            </w:r>
          </w:p>
          <w:p w14:paraId="68A63F7B">
            <w:pPr>
              <w:pStyle w:val="51"/>
              <w:spacing w:beforeLines="0" w:afterLines="0" w:line="240" w:lineRule="auto"/>
              <w:rPr>
                <w:rFonts w:ascii="黑体" w:hAnsi="黑体" w:eastAsia="黑体"/>
                <w:snapToGrid w:val="0"/>
                <w:color w:val="auto"/>
                <w:spacing w:val="-6"/>
                <w:kern w:val="21"/>
                <w:szCs w:val="21"/>
                <w:highlight w:val="none"/>
              </w:rPr>
            </w:pPr>
            <w:r>
              <w:rPr>
                <w:rFonts w:ascii="黑体" w:hAnsi="黑体" w:eastAsia="黑体"/>
                <w:snapToGrid w:val="0"/>
                <w:color w:val="auto"/>
                <w:spacing w:val="-6"/>
                <w:kern w:val="21"/>
                <w:szCs w:val="21"/>
                <w:highlight w:val="none"/>
              </w:rPr>
              <w:fldChar w:fldCharType="begin"/>
            </w:r>
            <w:r>
              <w:rPr>
                <w:rFonts w:ascii="黑体" w:hAnsi="黑体" w:eastAsia="黑体"/>
                <w:snapToGrid w:val="0"/>
                <w:color w:val="auto"/>
                <w:spacing w:val="-6"/>
                <w:kern w:val="21"/>
                <w:szCs w:val="21"/>
                <w:highlight w:val="none"/>
              </w:rPr>
              <w:instrText xml:space="preserve"> = 7 \* GB3 \* MERGEFORMAT </w:instrText>
            </w:r>
            <w:r>
              <w:rPr>
                <w:rFonts w:ascii="黑体" w:hAnsi="黑体" w:eastAsia="黑体"/>
                <w:snapToGrid w:val="0"/>
                <w:color w:val="auto"/>
                <w:spacing w:val="-6"/>
                <w:kern w:val="21"/>
                <w:szCs w:val="21"/>
                <w:highlight w:val="none"/>
              </w:rPr>
              <w:fldChar w:fldCharType="separate"/>
            </w:r>
            <w:r>
              <w:rPr>
                <w:rFonts w:hint="eastAsia" w:ascii="黑体" w:hAnsi="黑体" w:eastAsia="黑体" w:cs="宋体"/>
                <w:color w:val="auto"/>
                <w:kern w:val="2"/>
                <w:szCs w:val="21"/>
                <w:highlight w:val="none"/>
              </w:rPr>
              <w:t>⑦</w:t>
            </w:r>
            <w:r>
              <w:rPr>
                <w:rFonts w:ascii="黑体" w:hAnsi="黑体" w:eastAsia="黑体"/>
                <w:snapToGrid w:val="0"/>
                <w:color w:val="auto"/>
                <w:spacing w:val="-6"/>
                <w:kern w:val="21"/>
                <w:szCs w:val="21"/>
                <w:highlight w:val="none"/>
              </w:rPr>
              <w:fldChar w:fldCharType="end"/>
            </w:r>
          </w:p>
        </w:tc>
      </w:tr>
      <w:tr w14:paraId="64E0DF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vAlign w:val="center"/>
          </w:tcPr>
          <w:p w14:paraId="38F1F0F6">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废气</w:t>
            </w:r>
          </w:p>
        </w:tc>
        <w:tc>
          <w:tcPr>
            <w:tcW w:w="2115" w:type="dxa"/>
            <w:vAlign w:val="center"/>
          </w:tcPr>
          <w:p w14:paraId="6B950E90">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颗粒物</w:t>
            </w:r>
          </w:p>
        </w:tc>
        <w:tc>
          <w:tcPr>
            <w:tcW w:w="1521" w:type="dxa"/>
            <w:vAlign w:val="center"/>
          </w:tcPr>
          <w:p w14:paraId="186FB9E2">
            <w:pPr>
              <w:pStyle w:val="51"/>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bidi="ar-SA"/>
              </w:rPr>
            </w:pPr>
          </w:p>
        </w:tc>
        <w:tc>
          <w:tcPr>
            <w:tcW w:w="996" w:type="dxa"/>
            <w:vAlign w:val="center"/>
          </w:tcPr>
          <w:p w14:paraId="721231CB">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vAlign w:val="center"/>
          </w:tcPr>
          <w:p w14:paraId="0120F85A">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vAlign w:val="center"/>
          </w:tcPr>
          <w:p w14:paraId="6E77BA7F">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hAnsi="宋体" w:eastAsia="宋体" w:cs="Times New Roman"/>
                <w:color w:val="auto"/>
                <w:highlight w:val="none"/>
                <w:lang w:val="en-US" w:eastAsia="zh-CN"/>
              </w:rPr>
              <w:t>0.012</w:t>
            </w:r>
            <w:r>
              <w:rPr>
                <w:rFonts w:hint="eastAsia" w:ascii="Times New Roman" w:cs="Times New Roman"/>
                <w:snapToGrid w:val="0"/>
                <w:color w:val="auto"/>
                <w:kern w:val="21"/>
                <w:sz w:val="21"/>
                <w:szCs w:val="21"/>
                <w:highlight w:val="none"/>
                <w:lang w:val="en-US" w:eastAsia="zh-CN" w:bidi="ar-SA"/>
              </w:rPr>
              <w:t>kg/a</w:t>
            </w:r>
          </w:p>
        </w:tc>
        <w:tc>
          <w:tcPr>
            <w:tcW w:w="1091" w:type="dxa"/>
            <w:vAlign w:val="center"/>
          </w:tcPr>
          <w:p w14:paraId="377FBA4E">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vAlign w:val="center"/>
          </w:tcPr>
          <w:p w14:paraId="048DD0B2">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hAnsi="宋体" w:eastAsia="宋体" w:cs="Times New Roman"/>
                <w:color w:val="auto"/>
                <w:highlight w:val="none"/>
                <w:lang w:val="en-US" w:eastAsia="zh-CN"/>
              </w:rPr>
              <w:t>0.012</w:t>
            </w:r>
            <w:r>
              <w:rPr>
                <w:rFonts w:hint="eastAsia" w:ascii="Times New Roman" w:cs="Times New Roman"/>
                <w:snapToGrid w:val="0"/>
                <w:color w:val="auto"/>
                <w:kern w:val="21"/>
                <w:sz w:val="21"/>
                <w:szCs w:val="21"/>
                <w:highlight w:val="none"/>
                <w:lang w:val="en-US" w:eastAsia="zh-CN" w:bidi="ar-SA"/>
              </w:rPr>
              <w:t>kg/a</w:t>
            </w:r>
          </w:p>
        </w:tc>
        <w:tc>
          <w:tcPr>
            <w:tcW w:w="1720" w:type="dxa"/>
            <w:vAlign w:val="center"/>
          </w:tcPr>
          <w:p w14:paraId="5F9D77C1">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eastAsia" w:ascii="Times New Roman" w:hAnsi="宋体" w:eastAsia="宋体" w:cs="Times New Roman"/>
                <w:color w:val="auto"/>
                <w:highlight w:val="none"/>
                <w:lang w:val="en-US" w:eastAsia="zh-CN"/>
              </w:rPr>
              <w:t>0.012</w:t>
            </w:r>
            <w:r>
              <w:rPr>
                <w:rFonts w:hint="eastAsia" w:ascii="Times New Roman" w:cs="Times New Roman"/>
                <w:snapToGrid w:val="0"/>
                <w:color w:val="auto"/>
                <w:kern w:val="21"/>
                <w:sz w:val="21"/>
                <w:szCs w:val="21"/>
                <w:highlight w:val="none"/>
                <w:lang w:val="en-US" w:eastAsia="zh-CN" w:bidi="ar-SA"/>
              </w:rPr>
              <w:t>kg/a</w:t>
            </w:r>
          </w:p>
        </w:tc>
      </w:tr>
      <w:tr w14:paraId="632488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79BEDC5D">
            <w:pPr>
              <w:pStyle w:val="51"/>
              <w:spacing w:beforeLines="0" w:afterLines="0" w:line="240" w:lineRule="auto"/>
              <w:rPr>
                <w:rFonts w:hint="eastAsia" w:hAnsi="宋体" w:cs="宋体"/>
                <w:snapToGrid w:val="0"/>
                <w:color w:val="auto"/>
                <w:kern w:val="21"/>
                <w:szCs w:val="21"/>
                <w:highlight w:val="none"/>
              </w:rPr>
            </w:pPr>
          </w:p>
        </w:tc>
        <w:tc>
          <w:tcPr>
            <w:tcW w:w="2115" w:type="dxa"/>
            <w:shd w:val="clear" w:color="auto" w:fill="auto"/>
            <w:vAlign w:val="center"/>
          </w:tcPr>
          <w:p w14:paraId="0F786A76">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snapToGrid w:val="0"/>
                <w:color w:val="auto"/>
                <w:kern w:val="21"/>
                <w:szCs w:val="21"/>
                <w:highlight w:val="none"/>
                <w:lang w:val="en-US" w:eastAsia="zh-CN"/>
              </w:rPr>
              <w:t>HCl</w:t>
            </w:r>
          </w:p>
        </w:tc>
        <w:tc>
          <w:tcPr>
            <w:tcW w:w="1521" w:type="dxa"/>
            <w:shd w:val="clear" w:color="auto" w:fill="auto"/>
            <w:vAlign w:val="center"/>
          </w:tcPr>
          <w:p w14:paraId="34060AE9">
            <w:pPr>
              <w:pStyle w:val="51"/>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bidi="ar-SA"/>
              </w:rPr>
            </w:pPr>
          </w:p>
        </w:tc>
        <w:tc>
          <w:tcPr>
            <w:tcW w:w="996" w:type="dxa"/>
            <w:shd w:val="clear" w:color="auto" w:fill="auto"/>
            <w:vAlign w:val="center"/>
          </w:tcPr>
          <w:p w14:paraId="6299F3F9">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shd w:val="clear" w:color="auto" w:fill="auto"/>
            <w:vAlign w:val="center"/>
          </w:tcPr>
          <w:p w14:paraId="7C529641">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shd w:val="clear" w:color="auto" w:fill="auto"/>
            <w:vAlign w:val="center"/>
          </w:tcPr>
          <w:p w14:paraId="68D728A7">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1.2996kg/a</w:t>
            </w:r>
          </w:p>
        </w:tc>
        <w:tc>
          <w:tcPr>
            <w:tcW w:w="1091" w:type="dxa"/>
            <w:shd w:val="clear" w:color="auto" w:fill="auto"/>
            <w:vAlign w:val="center"/>
          </w:tcPr>
          <w:p w14:paraId="67F435B3">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shd w:val="clear" w:color="auto" w:fill="auto"/>
            <w:vAlign w:val="center"/>
          </w:tcPr>
          <w:p w14:paraId="2ED0B926">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1.2996kg/a</w:t>
            </w:r>
          </w:p>
        </w:tc>
        <w:tc>
          <w:tcPr>
            <w:tcW w:w="1720" w:type="dxa"/>
            <w:shd w:val="clear" w:color="auto" w:fill="auto"/>
            <w:vAlign w:val="center"/>
          </w:tcPr>
          <w:p w14:paraId="748A5754">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+1.2996kg/a</w:t>
            </w:r>
          </w:p>
        </w:tc>
      </w:tr>
      <w:tr w14:paraId="7BA2D8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2BEEF2BC">
            <w:pPr>
              <w:pStyle w:val="51"/>
              <w:spacing w:beforeLines="0" w:afterLines="0" w:line="240" w:lineRule="auto"/>
              <w:rPr>
                <w:rFonts w:hint="eastAsia" w:hAnsi="宋体" w:cs="宋体"/>
                <w:snapToGrid w:val="0"/>
                <w:color w:val="auto"/>
                <w:kern w:val="21"/>
                <w:szCs w:val="21"/>
                <w:highlight w:val="none"/>
              </w:rPr>
            </w:pPr>
          </w:p>
        </w:tc>
        <w:tc>
          <w:tcPr>
            <w:tcW w:w="2115" w:type="dxa"/>
            <w:vAlign w:val="center"/>
          </w:tcPr>
          <w:p w14:paraId="5E4BCB9F">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硫酸雾</w:t>
            </w:r>
          </w:p>
        </w:tc>
        <w:tc>
          <w:tcPr>
            <w:tcW w:w="1521" w:type="dxa"/>
            <w:vAlign w:val="center"/>
          </w:tcPr>
          <w:p w14:paraId="57702689">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996" w:type="dxa"/>
            <w:vAlign w:val="center"/>
          </w:tcPr>
          <w:p w14:paraId="2958FC5C">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vAlign w:val="center"/>
          </w:tcPr>
          <w:p w14:paraId="7FAA85C8">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vAlign w:val="center"/>
          </w:tcPr>
          <w:p w14:paraId="62A9F0BD">
            <w:pPr>
              <w:pStyle w:val="51"/>
              <w:spacing w:beforeLines="0" w:afterLines="0" w:line="240" w:lineRule="auto"/>
              <w:rPr>
                <w:rFonts w:hint="default"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0.0000076kg/a</w:t>
            </w:r>
          </w:p>
        </w:tc>
        <w:tc>
          <w:tcPr>
            <w:tcW w:w="1091" w:type="dxa"/>
            <w:vAlign w:val="center"/>
          </w:tcPr>
          <w:p w14:paraId="608E22C1">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vAlign w:val="center"/>
          </w:tcPr>
          <w:p w14:paraId="0E86B060">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0.0000076kg/a</w:t>
            </w:r>
          </w:p>
        </w:tc>
        <w:tc>
          <w:tcPr>
            <w:tcW w:w="1720" w:type="dxa"/>
            <w:vAlign w:val="center"/>
          </w:tcPr>
          <w:p w14:paraId="1B989114">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+0.0000076kg/a</w:t>
            </w:r>
          </w:p>
        </w:tc>
      </w:tr>
      <w:tr w14:paraId="01C9D4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62556325">
            <w:pPr>
              <w:pStyle w:val="51"/>
              <w:spacing w:beforeLines="0" w:afterLines="0" w:line="240" w:lineRule="auto"/>
              <w:rPr>
                <w:rFonts w:hint="eastAsia" w:hAnsi="宋体" w:cs="宋体"/>
                <w:snapToGrid w:val="0"/>
                <w:color w:val="auto"/>
                <w:kern w:val="21"/>
                <w:szCs w:val="21"/>
                <w:highlight w:val="none"/>
              </w:rPr>
            </w:pPr>
          </w:p>
        </w:tc>
        <w:tc>
          <w:tcPr>
            <w:tcW w:w="2115" w:type="dxa"/>
            <w:vAlign w:val="center"/>
          </w:tcPr>
          <w:p w14:paraId="13A7F3F6">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非甲烷总烃</w:t>
            </w:r>
          </w:p>
        </w:tc>
        <w:tc>
          <w:tcPr>
            <w:tcW w:w="1521" w:type="dxa"/>
            <w:vAlign w:val="center"/>
          </w:tcPr>
          <w:p w14:paraId="7587AFBA">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996" w:type="dxa"/>
            <w:vAlign w:val="center"/>
          </w:tcPr>
          <w:p w14:paraId="7E60425F">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00" w:type="dxa"/>
            <w:vAlign w:val="center"/>
          </w:tcPr>
          <w:p w14:paraId="5AB4B2D7">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553" w:type="dxa"/>
            <w:vAlign w:val="center"/>
          </w:tcPr>
          <w:p w14:paraId="3B7DF246">
            <w:pPr>
              <w:pStyle w:val="51"/>
              <w:spacing w:beforeLines="0" w:afterLines="0" w:line="240" w:lineRule="auto"/>
              <w:rPr>
                <w:rFonts w:hint="default"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7.5473kg/a</w:t>
            </w:r>
          </w:p>
        </w:tc>
        <w:tc>
          <w:tcPr>
            <w:tcW w:w="1091" w:type="dxa"/>
            <w:vAlign w:val="center"/>
          </w:tcPr>
          <w:p w14:paraId="16A34A88">
            <w:pPr>
              <w:pStyle w:val="51"/>
              <w:spacing w:beforeLines="0" w:afterLines="0" w:line="240" w:lineRule="auto"/>
              <w:rPr>
                <w:rFonts w:ascii="Times New Roman" w:hAnsi="Times New Roman" w:eastAsia="宋体" w:cs="Times New Roman"/>
                <w:snapToGrid w:val="0"/>
                <w:color w:val="auto"/>
                <w:kern w:val="21"/>
                <w:sz w:val="21"/>
                <w:szCs w:val="21"/>
                <w:highlight w:val="none"/>
                <w:lang w:val="en-US" w:eastAsia="zh-CN" w:bidi="ar-SA"/>
              </w:rPr>
            </w:pPr>
          </w:p>
        </w:tc>
        <w:tc>
          <w:tcPr>
            <w:tcW w:w="1783" w:type="dxa"/>
            <w:vAlign w:val="center"/>
          </w:tcPr>
          <w:p w14:paraId="1878CDBD">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7.5473kg/a</w:t>
            </w:r>
          </w:p>
        </w:tc>
        <w:tc>
          <w:tcPr>
            <w:tcW w:w="1720" w:type="dxa"/>
            <w:vAlign w:val="center"/>
          </w:tcPr>
          <w:p w14:paraId="197E7FD1">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cs="Times New Roman"/>
                <w:snapToGrid w:val="0"/>
                <w:color w:val="auto"/>
                <w:kern w:val="21"/>
                <w:sz w:val="21"/>
                <w:szCs w:val="21"/>
                <w:highlight w:val="none"/>
                <w:lang w:val="en-US" w:eastAsia="zh-CN" w:bidi="ar-SA"/>
              </w:rPr>
              <w:t>+7.5473kg/a</w:t>
            </w:r>
          </w:p>
        </w:tc>
      </w:tr>
      <w:tr w14:paraId="24E738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vAlign w:val="center"/>
          </w:tcPr>
          <w:p w14:paraId="25BB3AB5">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废水</w:t>
            </w:r>
          </w:p>
        </w:tc>
        <w:tc>
          <w:tcPr>
            <w:tcW w:w="2115" w:type="dxa"/>
            <w:vAlign w:val="center"/>
          </w:tcPr>
          <w:p w14:paraId="5736BD8B">
            <w:pPr>
              <w:pStyle w:val="51"/>
              <w:spacing w:beforeLines="0" w:afterLines="0" w:line="240" w:lineRule="auto"/>
              <w:rPr>
                <w:rFonts w:ascii="Times New Roman"/>
                <w:snapToGrid w:val="0"/>
                <w:color w:val="auto"/>
                <w:kern w:val="21"/>
                <w:szCs w:val="21"/>
                <w:highlight w:val="none"/>
              </w:rPr>
            </w:pPr>
            <w:r>
              <w:rPr>
                <w:rFonts w:hint="eastAsia" w:ascii="Times New Roman"/>
                <w:snapToGrid w:val="0"/>
                <w:color w:val="auto"/>
                <w:kern w:val="21"/>
                <w:szCs w:val="21"/>
                <w:highlight w:val="none"/>
                <w:lang w:val="en-US" w:eastAsia="zh-CN"/>
              </w:rPr>
              <w:t>COD</w:t>
            </w:r>
          </w:p>
        </w:tc>
        <w:tc>
          <w:tcPr>
            <w:tcW w:w="1521" w:type="dxa"/>
            <w:vAlign w:val="center"/>
          </w:tcPr>
          <w:p w14:paraId="42052A2E">
            <w:pPr>
              <w:pStyle w:val="51"/>
              <w:spacing w:beforeLines="0" w:afterLines="0" w:line="240" w:lineRule="auto"/>
              <w:rPr>
                <w:rFonts w:ascii="Times New Roman"/>
                <w:snapToGrid w:val="0"/>
                <w:color w:val="auto"/>
                <w:kern w:val="21"/>
                <w:szCs w:val="21"/>
                <w:highlight w:val="none"/>
              </w:rPr>
            </w:pPr>
          </w:p>
        </w:tc>
        <w:tc>
          <w:tcPr>
            <w:tcW w:w="996" w:type="dxa"/>
            <w:vAlign w:val="center"/>
          </w:tcPr>
          <w:p w14:paraId="615E185C">
            <w:pPr>
              <w:spacing w:line="280" w:lineRule="exact"/>
              <w:jc w:val="center"/>
              <w:rPr>
                <w:color w:val="auto"/>
                <w:spacing w:val="-20"/>
                <w:szCs w:val="21"/>
                <w:highlight w:val="none"/>
              </w:rPr>
            </w:pPr>
          </w:p>
        </w:tc>
        <w:tc>
          <w:tcPr>
            <w:tcW w:w="1500" w:type="dxa"/>
            <w:vAlign w:val="center"/>
          </w:tcPr>
          <w:p w14:paraId="73E07450">
            <w:pPr>
              <w:pStyle w:val="51"/>
              <w:spacing w:beforeLines="0" w:afterLines="0" w:line="240" w:lineRule="auto"/>
              <w:rPr>
                <w:rFonts w:ascii="Times New Roman"/>
                <w:snapToGrid w:val="0"/>
                <w:color w:val="auto"/>
                <w:kern w:val="21"/>
                <w:szCs w:val="21"/>
                <w:highlight w:val="none"/>
              </w:rPr>
            </w:pPr>
          </w:p>
        </w:tc>
        <w:tc>
          <w:tcPr>
            <w:tcW w:w="1553" w:type="dxa"/>
            <w:vAlign w:val="center"/>
          </w:tcPr>
          <w:p w14:paraId="153DB397">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0.4107t/a</w:t>
            </w:r>
          </w:p>
        </w:tc>
        <w:tc>
          <w:tcPr>
            <w:tcW w:w="1091" w:type="dxa"/>
            <w:vAlign w:val="center"/>
          </w:tcPr>
          <w:p w14:paraId="36A37722">
            <w:pPr>
              <w:pStyle w:val="51"/>
              <w:spacing w:beforeLines="0" w:afterLines="0" w:line="240" w:lineRule="auto"/>
              <w:rPr>
                <w:rFonts w:ascii="Times New Roman"/>
                <w:snapToGrid w:val="0"/>
                <w:color w:val="auto"/>
                <w:kern w:val="21"/>
                <w:szCs w:val="21"/>
                <w:highlight w:val="yellow"/>
              </w:rPr>
            </w:pPr>
          </w:p>
        </w:tc>
        <w:tc>
          <w:tcPr>
            <w:tcW w:w="1783" w:type="dxa"/>
            <w:shd w:val="clear" w:color="auto" w:fill="auto"/>
            <w:vAlign w:val="center"/>
          </w:tcPr>
          <w:p w14:paraId="1F456BBB">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0.4107t/a</w:t>
            </w:r>
          </w:p>
        </w:tc>
        <w:tc>
          <w:tcPr>
            <w:tcW w:w="1720" w:type="dxa"/>
            <w:shd w:val="clear" w:color="auto" w:fill="auto"/>
            <w:vAlign w:val="center"/>
          </w:tcPr>
          <w:p w14:paraId="0A5D7EA4">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+0.4107t/a</w:t>
            </w:r>
          </w:p>
        </w:tc>
      </w:tr>
      <w:tr w14:paraId="6D438F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60124AD1">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32C8E5EE">
            <w:pPr>
              <w:pStyle w:val="51"/>
              <w:spacing w:beforeLines="0" w:afterLines="0" w:line="240" w:lineRule="auto"/>
              <w:rPr>
                <w:rFonts w:hint="default" w:ascii="Times New Roman" w:eastAsia="宋体"/>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氨氮</w:t>
            </w:r>
          </w:p>
        </w:tc>
        <w:tc>
          <w:tcPr>
            <w:tcW w:w="1521" w:type="dxa"/>
            <w:vAlign w:val="center"/>
          </w:tcPr>
          <w:p w14:paraId="6AD28D40">
            <w:pPr>
              <w:pStyle w:val="51"/>
              <w:spacing w:beforeLines="0" w:afterLines="0" w:line="240" w:lineRule="auto"/>
              <w:rPr>
                <w:rFonts w:ascii="Times New Roman"/>
                <w:snapToGrid w:val="0"/>
                <w:color w:val="auto"/>
                <w:kern w:val="21"/>
                <w:szCs w:val="21"/>
                <w:highlight w:val="none"/>
              </w:rPr>
            </w:pPr>
          </w:p>
        </w:tc>
        <w:tc>
          <w:tcPr>
            <w:tcW w:w="996" w:type="dxa"/>
            <w:vAlign w:val="center"/>
          </w:tcPr>
          <w:p w14:paraId="33DE4A81">
            <w:pPr>
              <w:spacing w:line="280" w:lineRule="exact"/>
              <w:jc w:val="center"/>
              <w:rPr>
                <w:color w:val="auto"/>
                <w:spacing w:val="-20"/>
                <w:szCs w:val="21"/>
                <w:highlight w:val="none"/>
              </w:rPr>
            </w:pPr>
          </w:p>
        </w:tc>
        <w:tc>
          <w:tcPr>
            <w:tcW w:w="1500" w:type="dxa"/>
            <w:vAlign w:val="center"/>
          </w:tcPr>
          <w:p w14:paraId="275BF372">
            <w:pPr>
              <w:spacing w:line="280" w:lineRule="exact"/>
              <w:jc w:val="center"/>
              <w:rPr>
                <w:color w:val="auto"/>
                <w:spacing w:val="-20"/>
                <w:szCs w:val="21"/>
                <w:highlight w:val="none"/>
              </w:rPr>
            </w:pPr>
          </w:p>
        </w:tc>
        <w:tc>
          <w:tcPr>
            <w:tcW w:w="1553" w:type="dxa"/>
            <w:vAlign w:val="center"/>
          </w:tcPr>
          <w:p w14:paraId="29DDD9FF">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0.0333t/a</w:t>
            </w:r>
          </w:p>
        </w:tc>
        <w:tc>
          <w:tcPr>
            <w:tcW w:w="1091" w:type="dxa"/>
            <w:vAlign w:val="center"/>
          </w:tcPr>
          <w:p w14:paraId="15410686">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24EBE2BB">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0.0333t/a</w:t>
            </w:r>
          </w:p>
        </w:tc>
        <w:tc>
          <w:tcPr>
            <w:tcW w:w="1720" w:type="dxa"/>
            <w:shd w:val="clear" w:color="auto" w:fill="auto"/>
            <w:vAlign w:val="center"/>
          </w:tcPr>
          <w:p w14:paraId="0F1E21F3">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+0.0333t/a</w:t>
            </w:r>
          </w:p>
        </w:tc>
      </w:tr>
      <w:tr w14:paraId="0BA864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43433338">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5F724454">
            <w:pPr>
              <w:pStyle w:val="51"/>
              <w:spacing w:beforeLines="0" w:afterLines="0" w:line="240" w:lineRule="auto"/>
              <w:rPr>
                <w:rFonts w:hint="default"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BOD</w:t>
            </w:r>
            <w:r>
              <w:rPr>
                <w:rFonts w:hint="eastAsia" w:ascii="Times New Roman"/>
                <w:snapToGrid w:val="0"/>
                <w:color w:val="auto"/>
                <w:kern w:val="21"/>
                <w:szCs w:val="21"/>
                <w:highlight w:val="none"/>
                <w:vertAlign w:val="subscript"/>
                <w:lang w:val="en-US" w:eastAsia="zh-CN"/>
              </w:rPr>
              <w:t>5</w:t>
            </w:r>
          </w:p>
        </w:tc>
        <w:tc>
          <w:tcPr>
            <w:tcW w:w="1521" w:type="dxa"/>
            <w:vAlign w:val="center"/>
          </w:tcPr>
          <w:p w14:paraId="50F3A675">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77826EF">
            <w:pPr>
              <w:spacing w:line="280" w:lineRule="exact"/>
              <w:jc w:val="center"/>
              <w:rPr>
                <w:color w:val="auto"/>
                <w:spacing w:val="-20"/>
                <w:szCs w:val="21"/>
                <w:highlight w:val="none"/>
              </w:rPr>
            </w:pPr>
          </w:p>
        </w:tc>
        <w:tc>
          <w:tcPr>
            <w:tcW w:w="1500" w:type="dxa"/>
            <w:vAlign w:val="center"/>
          </w:tcPr>
          <w:p w14:paraId="768D292D">
            <w:pPr>
              <w:spacing w:line="280" w:lineRule="exact"/>
              <w:jc w:val="center"/>
              <w:rPr>
                <w:color w:val="auto"/>
                <w:spacing w:val="-20"/>
                <w:szCs w:val="21"/>
                <w:highlight w:val="none"/>
              </w:rPr>
            </w:pPr>
          </w:p>
        </w:tc>
        <w:tc>
          <w:tcPr>
            <w:tcW w:w="1553" w:type="dxa"/>
            <w:vAlign w:val="center"/>
          </w:tcPr>
          <w:p w14:paraId="0C28B1B0">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0.3407t/a</w:t>
            </w:r>
          </w:p>
        </w:tc>
        <w:tc>
          <w:tcPr>
            <w:tcW w:w="1091" w:type="dxa"/>
            <w:vAlign w:val="center"/>
          </w:tcPr>
          <w:p w14:paraId="4F2B9A7C">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3431EF7A">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0.3407t/a</w:t>
            </w:r>
          </w:p>
        </w:tc>
        <w:tc>
          <w:tcPr>
            <w:tcW w:w="1720" w:type="dxa"/>
            <w:shd w:val="clear" w:color="auto" w:fill="auto"/>
            <w:vAlign w:val="center"/>
          </w:tcPr>
          <w:p w14:paraId="56B47D71">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+0.3407t/a</w:t>
            </w:r>
          </w:p>
        </w:tc>
      </w:tr>
      <w:tr w14:paraId="78C204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4D6F72C6">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0A4B36CB">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SS</w:t>
            </w:r>
          </w:p>
        </w:tc>
        <w:tc>
          <w:tcPr>
            <w:tcW w:w="1521" w:type="dxa"/>
            <w:vAlign w:val="center"/>
          </w:tcPr>
          <w:p w14:paraId="23C64292">
            <w:pPr>
              <w:pStyle w:val="51"/>
              <w:spacing w:beforeLines="0" w:afterLines="0" w:line="240" w:lineRule="auto"/>
              <w:rPr>
                <w:rFonts w:ascii="Times New Roman"/>
                <w:snapToGrid w:val="0"/>
                <w:color w:val="auto"/>
                <w:kern w:val="21"/>
                <w:szCs w:val="21"/>
                <w:highlight w:val="none"/>
              </w:rPr>
            </w:pPr>
          </w:p>
        </w:tc>
        <w:tc>
          <w:tcPr>
            <w:tcW w:w="996" w:type="dxa"/>
            <w:vAlign w:val="center"/>
          </w:tcPr>
          <w:p w14:paraId="09926665">
            <w:pPr>
              <w:spacing w:line="280" w:lineRule="exact"/>
              <w:jc w:val="center"/>
              <w:rPr>
                <w:color w:val="auto"/>
                <w:spacing w:val="-20"/>
                <w:szCs w:val="21"/>
                <w:highlight w:val="none"/>
              </w:rPr>
            </w:pPr>
          </w:p>
        </w:tc>
        <w:tc>
          <w:tcPr>
            <w:tcW w:w="1500" w:type="dxa"/>
            <w:vAlign w:val="center"/>
          </w:tcPr>
          <w:p w14:paraId="76C890BA">
            <w:pPr>
              <w:spacing w:line="280" w:lineRule="exact"/>
              <w:jc w:val="center"/>
              <w:rPr>
                <w:color w:val="auto"/>
                <w:spacing w:val="-20"/>
                <w:szCs w:val="21"/>
                <w:highlight w:val="none"/>
              </w:rPr>
            </w:pPr>
          </w:p>
        </w:tc>
        <w:tc>
          <w:tcPr>
            <w:tcW w:w="1553" w:type="dxa"/>
            <w:vAlign w:val="center"/>
          </w:tcPr>
          <w:p w14:paraId="376640A5">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0.1312t/a</w:t>
            </w:r>
          </w:p>
        </w:tc>
        <w:tc>
          <w:tcPr>
            <w:tcW w:w="1091" w:type="dxa"/>
            <w:vAlign w:val="center"/>
          </w:tcPr>
          <w:p w14:paraId="2766D3FA">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12661248">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0.1312t/a</w:t>
            </w:r>
          </w:p>
        </w:tc>
        <w:tc>
          <w:tcPr>
            <w:tcW w:w="1720" w:type="dxa"/>
            <w:shd w:val="clear" w:color="auto" w:fill="auto"/>
            <w:vAlign w:val="center"/>
          </w:tcPr>
          <w:p w14:paraId="74EA7A84">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+0.1312t/a</w:t>
            </w:r>
          </w:p>
        </w:tc>
      </w:tr>
      <w:tr w14:paraId="2D0006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0A3092A0">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5157ADAF">
            <w:pPr>
              <w:pStyle w:val="51"/>
              <w:spacing w:beforeLines="0" w:afterLines="0" w:line="240" w:lineRule="auto"/>
              <w:rPr>
                <w:rFonts w:hint="eastAsia"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TP</w:t>
            </w:r>
          </w:p>
        </w:tc>
        <w:tc>
          <w:tcPr>
            <w:tcW w:w="1521" w:type="dxa"/>
            <w:vAlign w:val="center"/>
          </w:tcPr>
          <w:p w14:paraId="0FC0D74B">
            <w:pPr>
              <w:pStyle w:val="51"/>
              <w:spacing w:beforeLines="0" w:afterLines="0" w:line="240" w:lineRule="auto"/>
              <w:rPr>
                <w:rFonts w:ascii="Times New Roman"/>
                <w:snapToGrid w:val="0"/>
                <w:color w:val="auto"/>
                <w:kern w:val="21"/>
                <w:szCs w:val="21"/>
                <w:highlight w:val="none"/>
              </w:rPr>
            </w:pPr>
          </w:p>
        </w:tc>
        <w:tc>
          <w:tcPr>
            <w:tcW w:w="996" w:type="dxa"/>
            <w:vAlign w:val="center"/>
          </w:tcPr>
          <w:p w14:paraId="1DC143D7">
            <w:pPr>
              <w:spacing w:line="280" w:lineRule="exact"/>
              <w:jc w:val="center"/>
              <w:rPr>
                <w:color w:val="auto"/>
                <w:spacing w:val="-20"/>
                <w:szCs w:val="21"/>
                <w:highlight w:val="none"/>
              </w:rPr>
            </w:pPr>
          </w:p>
        </w:tc>
        <w:tc>
          <w:tcPr>
            <w:tcW w:w="1500" w:type="dxa"/>
            <w:vAlign w:val="center"/>
          </w:tcPr>
          <w:p w14:paraId="341F53E3">
            <w:pPr>
              <w:spacing w:line="280" w:lineRule="exact"/>
              <w:jc w:val="center"/>
              <w:rPr>
                <w:color w:val="auto"/>
                <w:spacing w:val="-20"/>
                <w:szCs w:val="21"/>
                <w:highlight w:val="none"/>
              </w:rPr>
            </w:pPr>
          </w:p>
        </w:tc>
        <w:tc>
          <w:tcPr>
            <w:tcW w:w="1553" w:type="dxa"/>
            <w:vAlign w:val="center"/>
          </w:tcPr>
          <w:p w14:paraId="4F1C792B">
            <w:pPr>
              <w:pStyle w:val="51"/>
              <w:spacing w:beforeLines="0" w:afterLines="0" w:line="240" w:lineRule="auto"/>
              <w:rPr>
                <w:rFonts w:hint="eastAsia" w:ascii="Times New Roman"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0.0041t/a</w:t>
            </w:r>
          </w:p>
        </w:tc>
        <w:tc>
          <w:tcPr>
            <w:tcW w:w="1091" w:type="dxa"/>
            <w:vAlign w:val="center"/>
          </w:tcPr>
          <w:p w14:paraId="3C5EA7C9">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6E08CB31">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0.0041t/a</w:t>
            </w:r>
          </w:p>
        </w:tc>
        <w:tc>
          <w:tcPr>
            <w:tcW w:w="1720" w:type="dxa"/>
            <w:shd w:val="clear" w:color="auto" w:fill="auto"/>
            <w:vAlign w:val="center"/>
          </w:tcPr>
          <w:p w14:paraId="23C12C67">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cs="Times New Roman"/>
                <w:snapToGrid w:val="0"/>
                <w:color w:val="auto"/>
                <w:kern w:val="21"/>
                <w:sz w:val="21"/>
                <w:szCs w:val="21"/>
                <w:highlight w:val="none"/>
                <w:lang w:val="en-US" w:eastAsia="zh-CN" w:bidi="ar-SA"/>
              </w:rPr>
              <w:t>+0.0041t/a</w:t>
            </w:r>
          </w:p>
        </w:tc>
      </w:tr>
      <w:tr w14:paraId="47C73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6B2A1CC5">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0689F727">
            <w:pPr>
              <w:pStyle w:val="51"/>
              <w:spacing w:beforeLines="0" w:afterLines="0" w:line="240" w:lineRule="auto"/>
              <w:rPr>
                <w:rFonts w:hint="default" w:ascii="Times New Roman"/>
                <w:snapToGrid w:val="0"/>
                <w:color w:val="auto"/>
                <w:kern w:val="21"/>
                <w:szCs w:val="21"/>
                <w:highlight w:val="none"/>
                <w:lang w:val="en-US" w:eastAsia="zh-CN"/>
              </w:rPr>
            </w:pPr>
            <w:r>
              <w:rPr>
                <w:rFonts w:hint="eastAsia" w:ascii="Times New Roman"/>
                <w:snapToGrid w:val="0"/>
                <w:color w:val="auto"/>
                <w:kern w:val="21"/>
                <w:szCs w:val="21"/>
                <w:highlight w:val="none"/>
                <w:lang w:val="en-US" w:eastAsia="zh-CN"/>
              </w:rPr>
              <w:t>全盐量</w:t>
            </w:r>
          </w:p>
        </w:tc>
        <w:tc>
          <w:tcPr>
            <w:tcW w:w="1521" w:type="dxa"/>
            <w:vAlign w:val="center"/>
          </w:tcPr>
          <w:p w14:paraId="2886C6C2">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33D9695">
            <w:pPr>
              <w:spacing w:line="280" w:lineRule="exact"/>
              <w:jc w:val="center"/>
              <w:rPr>
                <w:color w:val="auto"/>
                <w:spacing w:val="-20"/>
                <w:szCs w:val="21"/>
                <w:highlight w:val="none"/>
              </w:rPr>
            </w:pPr>
          </w:p>
        </w:tc>
        <w:tc>
          <w:tcPr>
            <w:tcW w:w="1500" w:type="dxa"/>
            <w:vAlign w:val="center"/>
          </w:tcPr>
          <w:p w14:paraId="0B429046">
            <w:pPr>
              <w:spacing w:line="280" w:lineRule="exact"/>
              <w:jc w:val="center"/>
              <w:rPr>
                <w:color w:val="auto"/>
                <w:spacing w:val="-20"/>
                <w:szCs w:val="21"/>
                <w:highlight w:val="none"/>
              </w:rPr>
            </w:pPr>
          </w:p>
        </w:tc>
        <w:tc>
          <w:tcPr>
            <w:tcW w:w="1553" w:type="dxa"/>
            <w:vAlign w:val="center"/>
          </w:tcPr>
          <w:p w14:paraId="6A8C4454">
            <w:pPr>
              <w:pStyle w:val="51"/>
              <w:spacing w:beforeLines="0" w:afterLines="0" w:line="240" w:lineRule="auto"/>
              <w:rPr>
                <w:rFonts w:hint="default" w:ascii="Times New Roman" w:cs="Times New Roman"/>
                <w:snapToGrid w:val="0"/>
                <w:color w:val="auto"/>
                <w:kern w:val="21"/>
                <w:sz w:val="21"/>
                <w:szCs w:val="21"/>
                <w:highlight w:val="yellow"/>
                <w:lang w:val="en-US" w:eastAsia="zh-CN" w:bidi="ar-SA"/>
              </w:rPr>
            </w:pPr>
            <w:r>
              <w:rPr>
                <w:rFonts w:hint="eastAsia" w:ascii="Times New Roman" w:hAnsi="Times New Roman" w:eastAsia="宋体" w:cs="Times New Roman"/>
                <w:snapToGrid w:val="0"/>
                <w:color w:val="auto"/>
                <w:kern w:val="21"/>
                <w:sz w:val="21"/>
                <w:szCs w:val="21"/>
                <w:highlight w:val="none"/>
                <w:lang w:val="en-US" w:eastAsia="zh-CN" w:bidi="ar-SA"/>
              </w:rPr>
              <w:t>0.0120t/a</w:t>
            </w:r>
          </w:p>
        </w:tc>
        <w:tc>
          <w:tcPr>
            <w:tcW w:w="1091" w:type="dxa"/>
            <w:vAlign w:val="center"/>
          </w:tcPr>
          <w:p w14:paraId="12C4E81E">
            <w:pPr>
              <w:pStyle w:val="51"/>
              <w:spacing w:beforeLines="0" w:afterLines="0" w:line="240" w:lineRule="auto"/>
              <w:rPr>
                <w:rFonts w:hAnsi="宋体" w:cs="宋体"/>
                <w:snapToGrid w:val="0"/>
                <w:color w:val="auto"/>
                <w:kern w:val="21"/>
                <w:szCs w:val="21"/>
                <w:highlight w:val="yellow"/>
              </w:rPr>
            </w:pPr>
          </w:p>
        </w:tc>
        <w:tc>
          <w:tcPr>
            <w:tcW w:w="1783" w:type="dxa"/>
            <w:shd w:val="clear" w:color="auto" w:fill="auto"/>
            <w:vAlign w:val="center"/>
          </w:tcPr>
          <w:p w14:paraId="54CBAF2C">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hAnsi="Times New Roman" w:eastAsia="宋体" w:cs="Times New Roman"/>
                <w:snapToGrid w:val="0"/>
                <w:color w:val="auto"/>
                <w:kern w:val="21"/>
                <w:sz w:val="21"/>
                <w:szCs w:val="21"/>
                <w:highlight w:val="none"/>
                <w:lang w:val="en-US" w:eastAsia="zh-CN" w:bidi="ar-SA"/>
              </w:rPr>
              <w:t>0.0120t/a</w:t>
            </w:r>
          </w:p>
        </w:tc>
        <w:tc>
          <w:tcPr>
            <w:tcW w:w="1720" w:type="dxa"/>
            <w:shd w:val="clear" w:color="auto" w:fill="auto"/>
            <w:vAlign w:val="center"/>
          </w:tcPr>
          <w:p w14:paraId="0B3C8414">
            <w:pPr>
              <w:pStyle w:val="51"/>
              <w:spacing w:beforeLines="0" w:afterLines="0" w:line="240" w:lineRule="auto"/>
              <w:rPr>
                <w:rFonts w:hint="eastAsia" w:ascii="Times New Roman" w:hAnsi="Times New Roman" w:eastAsia="宋体" w:cs="Times New Roman"/>
                <w:snapToGrid w:val="0"/>
                <w:color w:val="auto"/>
                <w:kern w:val="21"/>
                <w:sz w:val="21"/>
                <w:szCs w:val="21"/>
                <w:highlight w:val="yellow"/>
                <w:lang w:val="en-US" w:eastAsia="zh-CN" w:bidi="ar-SA"/>
              </w:rPr>
            </w:pPr>
            <w:r>
              <w:rPr>
                <w:rFonts w:hint="eastAsia" w:ascii="Times New Roman" w:hAnsi="Times New Roman" w:eastAsia="宋体" w:cs="Times New Roman"/>
                <w:snapToGrid w:val="0"/>
                <w:color w:val="auto"/>
                <w:kern w:val="21"/>
                <w:sz w:val="21"/>
                <w:szCs w:val="21"/>
                <w:highlight w:val="none"/>
                <w:lang w:val="en-US" w:eastAsia="zh-CN" w:bidi="ar-SA"/>
              </w:rPr>
              <w:t>+0.0120t/a</w:t>
            </w:r>
          </w:p>
        </w:tc>
      </w:tr>
      <w:tr w14:paraId="052127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vAlign w:val="center"/>
          </w:tcPr>
          <w:p w14:paraId="0AB7A769">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一般工业</w:t>
            </w:r>
          </w:p>
          <w:p w14:paraId="51DC170B">
            <w:pPr>
              <w:pStyle w:val="51"/>
              <w:spacing w:beforeLines="0" w:afterLines="0"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固体废物</w:t>
            </w:r>
          </w:p>
        </w:tc>
        <w:tc>
          <w:tcPr>
            <w:tcW w:w="2115" w:type="dxa"/>
            <w:vAlign w:val="center"/>
          </w:tcPr>
          <w:p w14:paraId="5ABE02AF">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废反渗透膜</w:t>
            </w:r>
          </w:p>
        </w:tc>
        <w:tc>
          <w:tcPr>
            <w:tcW w:w="1521" w:type="dxa"/>
            <w:vAlign w:val="center"/>
          </w:tcPr>
          <w:p w14:paraId="4A7B7865">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F1DD031">
            <w:pPr>
              <w:spacing w:line="280" w:lineRule="exact"/>
              <w:jc w:val="center"/>
              <w:rPr>
                <w:color w:val="auto"/>
                <w:spacing w:val="-20"/>
                <w:szCs w:val="21"/>
                <w:highlight w:val="none"/>
              </w:rPr>
            </w:pPr>
          </w:p>
        </w:tc>
        <w:tc>
          <w:tcPr>
            <w:tcW w:w="1500" w:type="dxa"/>
            <w:vAlign w:val="center"/>
          </w:tcPr>
          <w:p w14:paraId="0241AE0B">
            <w:pPr>
              <w:spacing w:line="280" w:lineRule="exact"/>
              <w:jc w:val="center"/>
              <w:rPr>
                <w:color w:val="auto"/>
                <w:spacing w:val="-20"/>
                <w:szCs w:val="21"/>
                <w:highlight w:val="none"/>
              </w:rPr>
            </w:pPr>
          </w:p>
        </w:tc>
        <w:tc>
          <w:tcPr>
            <w:tcW w:w="1553" w:type="dxa"/>
            <w:vAlign w:val="center"/>
          </w:tcPr>
          <w:p w14:paraId="60ABAAF9">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0.02t/2</w:t>
            </w:r>
            <w:r>
              <w:rPr>
                <w:rFonts w:hint="eastAsia" w:ascii="Times New Roman" w:cs="Times New Roman"/>
                <w:snapToGrid w:val="0"/>
                <w:color w:val="auto"/>
                <w:kern w:val="21"/>
                <w:sz w:val="21"/>
                <w:szCs w:val="21"/>
                <w:highlight w:val="none"/>
                <w:lang w:val="en-US" w:eastAsia="zh-CN" w:bidi="ar-SA"/>
              </w:rPr>
              <w:t>a</w:t>
            </w:r>
          </w:p>
        </w:tc>
        <w:tc>
          <w:tcPr>
            <w:tcW w:w="1091" w:type="dxa"/>
            <w:vAlign w:val="center"/>
          </w:tcPr>
          <w:p w14:paraId="61F718FE">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F013839">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0.02t/2</w:t>
            </w:r>
            <w:r>
              <w:rPr>
                <w:rFonts w:hint="eastAsia" w:ascii="Times New Roman" w:cs="Times New Roman"/>
                <w:snapToGrid w:val="0"/>
                <w:color w:val="auto"/>
                <w:kern w:val="21"/>
                <w:sz w:val="21"/>
                <w:szCs w:val="21"/>
                <w:highlight w:val="none"/>
                <w:lang w:val="en-US" w:eastAsia="zh-CN" w:bidi="ar-SA"/>
              </w:rPr>
              <w:t>a</w:t>
            </w:r>
          </w:p>
        </w:tc>
        <w:tc>
          <w:tcPr>
            <w:tcW w:w="1720" w:type="dxa"/>
            <w:shd w:val="clear" w:color="auto" w:fill="auto"/>
            <w:vAlign w:val="center"/>
          </w:tcPr>
          <w:p w14:paraId="5E804E57">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0.02t/2</w:t>
            </w:r>
            <w:r>
              <w:rPr>
                <w:rFonts w:hint="eastAsia" w:ascii="Times New Roman" w:cs="Times New Roman"/>
                <w:snapToGrid w:val="0"/>
                <w:color w:val="auto"/>
                <w:kern w:val="21"/>
                <w:sz w:val="21"/>
                <w:szCs w:val="21"/>
                <w:highlight w:val="none"/>
                <w:lang w:val="en-US" w:eastAsia="zh-CN" w:bidi="ar-SA"/>
              </w:rPr>
              <w:t>a</w:t>
            </w:r>
          </w:p>
        </w:tc>
      </w:tr>
      <w:tr w14:paraId="5019C6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0" w:hRule="exact"/>
        </w:trPr>
        <w:tc>
          <w:tcPr>
            <w:tcW w:w="1509" w:type="dxa"/>
            <w:vMerge w:val="continue"/>
            <w:vAlign w:val="center"/>
          </w:tcPr>
          <w:p w14:paraId="5F3B71B4">
            <w:pPr>
              <w:pStyle w:val="51"/>
              <w:spacing w:beforeLines="0" w:afterLines="0" w:line="240" w:lineRule="auto"/>
              <w:rPr>
                <w:rFonts w:hint="eastAsia" w:hAnsi="宋体" w:cs="宋体"/>
                <w:snapToGrid w:val="0"/>
                <w:color w:val="auto"/>
                <w:kern w:val="21"/>
                <w:szCs w:val="21"/>
                <w:highlight w:val="none"/>
              </w:rPr>
            </w:pPr>
          </w:p>
        </w:tc>
        <w:tc>
          <w:tcPr>
            <w:tcW w:w="2115" w:type="dxa"/>
            <w:vAlign w:val="center"/>
          </w:tcPr>
          <w:p w14:paraId="0D5B38DE">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未参与实验过程的剩</w:t>
            </w:r>
            <w:r>
              <w:rPr>
                <w:rFonts w:hint="eastAsia" w:ascii="Times New Roman" w:hAnsi="Times New Roman" w:cs="Times New Roman"/>
                <w:color w:val="auto"/>
                <w:sz w:val="21"/>
                <w:szCs w:val="21"/>
                <w:highlight w:val="none"/>
                <w:lang w:val="en-US" w:eastAsia="zh-CN"/>
              </w:rPr>
              <w:t>余</w:t>
            </w:r>
            <w:r>
              <w:rPr>
                <w:rFonts w:hint="eastAsia" w:ascii="Times New Roman" w:hAnsi="Times New Roman" w:eastAsia="宋体" w:cs="Times New Roman"/>
                <w:color w:val="auto"/>
                <w:sz w:val="21"/>
                <w:szCs w:val="21"/>
                <w:highlight w:val="none"/>
                <w:lang w:val="en-US" w:eastAsia="zh-CN"/>
              </w:rPr>
              <w:t>土样</w:t>
            </w:r>
          </w:p>
        </w:tc>
        <w:tc>
          <w:tcPr>
            <w:tcW w:w="1521" w:type="dxa"/>
            <w:vAlign w:val="center"/>
          </w:tcPr>
          <w:p w14:paraId="5455C63B">
            <w:pPr>
              <w:pStyle w:val="51"/>
              <w:spacing w:beforeLines="0" w:afterLines="0" w:line="240" w:lineRule="auto"/>
              <w:rPr>
                <w:rFonts w:ascii="Times New Roman"/>
                <w:snapToGrid w:val="0"/>
                <w:color w:val="auto"/>
                <w:kern w:val="21"/>
                <w:szCs w:val="21"/>
                <w:highlight w:val="none"/>
              </w:rPr>
            </w:pPr>
          </w:p>
        </w:tc>
        <w:tc>
          <w:tcPr>
            <w:tcW w:w="996" w:type="dxa"/>
            <w:vAlign w:val="center"/>
          </w:tcPr>
          <w:p w14:paraId="36A6B56C">
            <w:pPr>
              <w:spacing w:line="280" w:lineRule="exact"/>
              <w:jc w:val="center"/>
              <w:rPr>
                <w:color w:val="auto"/>
                <w:spacing w:val="-20"/>
                <w:szCs w:val="21"/>
                <w:highlight w:val="none"/>
              </w:rPr>
            </w:pPr>
          </w:p>
        </w:tc>
        <w:tc>
          <w:tcPr>
            <w:tcW w:w="1500" w:type="dxa"/>
            <w:vAlign w:val="center"/>
          </w:tcPr>
          <w:p w14:paraId="322566DB">
            <w:pPr>
              <w:spacing w:line="280" w:lineRule="exact"/>
              <w:jc w:val="center"/>
              <w:rPr>
                <w:color w:val="auto"/>
                <w:spacing w:val="-20"/>
                <w:szCs w:val="21"/>
                <w:highlight w:val="none"/>
              </w:rPr>
            </w:pPr>
          </w:p>
        </w:tc>
        <w:tc>
          <w:tcPr>
            <w:tcW w:w="1553" w:type="dxa"/>
            <w:vAlign w:val="center"/>
          </w:tcPr>
          <w:p w14:paraId="0E367946">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2</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7CDF7B51">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F69EE83">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2</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7291450C">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2</w:t>
            </w:r>
            <w:r>
              <w:rPr>
                <w:rFonts w:hint="default" w:ascii="Times New Roman" w:cs="Times New Roman"/>
                <w:snapToGrid w:val="0"/>
                <w:color w:val="auto"/>
                <w:kern w:val="21"/>
                <w:sz w:val="21"/>
                <w:szCs w:val="21"/>
                <w:highlight w:val="none"/>
                <w:lang w:val="en-US" w:eastAsia="zh-CN" w:bidi="ar-SA"/>
              </w:rPr>
              <w:t>t/a</w:t>
            </w:r>
          </w:p>
        </w:tc>
      </w:tr>
      <w:tr w14:paraId="054B83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5CABF85D">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108AB2B2">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不含有毒有害物质的破损的玻璃器</w:t>
            </w:r>
          </w:p>
        </w:tc>
        <w:tc>
          <w:tcPr>
            <w:tcW w:w="1521" w:type="dxa"/>
            <w:vAlign w:val="center"/>
          </w:tcPr>
          <w:p w14:paraId="162FE7BC">
            <w:pPr>
              <w:pStyle w:val="51"/>
              <w:spacing w:beforeLines="0" w:afterLines="0" w:line="240" w:lineRule="auto"/>
              <w:rPr>
                <w:rFonts w:ascii="Times New Roman"/>
                <w:snapToGrid w:val="0"/>
                <w:color w:val="auto"/>
                <w:kern w:val="21"/>
                <w:szCs w:val="21"/>
                <w:highlight w:val="none"/>
              </w:rPr>
            </w:pPr>
          </w:p>
        </w:tc>
        <w:tc>
          <w:tcPr>
            <w:tcW w:w="996" w:type="dxa"/>
            <w:vAlign w:val="center"/>
          </w:tcPr>
          <w:p w14:paraId="4F9AD634">
            <w:pPr>
              <w:spacing w:line="280" w:lineRule="exact"/>
              <w:jc w:val="center"/>
              <w:rPr>
                <w:color w:val="auto"/>
                <w:spacing w:val="-20"/>
                <w:szCs w:val="21"/>
                <w:highlight w:val="none"/>
              </w:rPr>
            </w:pPr>
          </w:p>
        </w:tc>
        <w:tc>
          <w:tcPr>
            <w:tcW w:w="1500" w:type="dxa"/>
            <w:vAlign w:val="center"/>
          </w:tcPr>
          <w:p w14:paraId="6CD801C7">
            <w:pPr>
              <w:spacing w:line="280" w:lineRule="exact"/>
              <w:jc w:val="center"/>
              <w:rPr>
                <w:color w:val="auto"/>
                <w:spacing w:val="-20"/>
                <w:szCs w:val="21"/>
                <w:highlight w:val="none"/>
              </w:rPr>
            </w:pPr>
          </w:p>
        </w:tc>
        <w:tc>
          <w:tcPr>
            <w:tcW w:w="1553" w:type="dxa"/>
            <w:vAlign w:val="center"/>
          </w:tcPr>
          <w:p w14:paraId="5DB658B6">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091" w:type="dxa"/>
            <w:vAlign w:val="center"/>
          </w:tcPr>
          <w:p w14:paraId="082A6E9A">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1B8E59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720" w:type="dxa"/>
            <w:shd w:val="clear" w:color="auto" w:fill="auto"/>
            <w:vAlign w:val="center"/>
          </w:tcPr>
          <w:p w14:paraId="141F2EB2">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0.01t/a</w:t>
            </w:r>
          </w:p>
        </w:tc>
      </w:tr>
      <w:tr w14:paraId="7FDE24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26B2F428">
            <w:pPr>
              <w:pStyle w:val="51"/>
              <w:spacing w:beforeLines="0" w:afterLines="0" w:line="240" w:lineRule="auto"/>
              <w:rPr>
                <w:rFonts w:hAnsi="宋体" w:cs="宋体"/>
                <w:snapToGrid w:val="0"/>
                <w:color w:val="auto"/>
                <w:kern w:val="21"/>
                <w:szCs w:val="21"/>
                <w:highlight w:val="none"/>
              </w:rPr>
            </w:pPr>
          </w:p>
        </w:tc>
        <w:tc>
          <w:tcPr>
            <w:tcW w:w="2115" w:type="dxa"/>
            <w:vAlign w:val="center"/>
          </w:tcPr>
          <w:p w14:paraId="54561EC1">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废一般包装物</w:t>
            </w:r>
          </w:p>
        </w:tc>
        <w:tc>
          <w:tcPr>
            <w:tcW w:w="1521" w:type="dxa"/>
            <w:vAlign w:val="center"/>
          </w:tcPr>
          <w:p w14:paraId="297AFBBA">
            <w:pPr>
              <w:pStyle w:val="51"/>
              <w:spacing w:beforeLines="0" w:afterLines="0" w:line="240" w:lineRule="auto"/>
              <w:rPr>
                <w:rFonts w:ascii="Times New Roman"/>
                <w:snapToGrid w:val="0"/>
                <w:color w:val="auto"/>
                <w:kern w:val="21"/>
                <w:szCs w:val="21"/>
                <w:highlight w:val="none"/>
              </w:rPr>
            </w:pPr>
          </w:p>
        </w:tc>
        <w:tc>
          <w:tcPr>
            <w:tcW w:w="996" w:type="dxa"/>
            <w:vAlign w:val="center"/>
          </w:tcPr>
          <w:p w14:paraId="60449493">
            <w:pPr>
              <w:spacing w:line="280" w:lineRule="exact"/>
              <w:jc w:val="center"/>
              <w:rPr>
                <w:color w:val="auto"/>
                <w:spacing w:val="-20"/>
                <w:szCs w:val="21"/>
                <w:highlight w:val="none"/>
              </w:rPr>
            </w:pPr>
          </w:p>
        </w:tc>
        <w:tc>
          <w:tcPr>
            <w:tcW w:w="1500" w:type="dxa"/>
            <w:vAlign w:val="center"/>
          </w:tcPr>
          <w:p w14:paraId="47FF548D">
            <w:pPr>
              <w:spacing w:line="280" w:lineRule="exact"/>
              <w:jc w:val="center"/>
              <w:rPr>
                <w:color w:val="auto"/>
                <w:spacing w:val="-20"/>
                <w:szCs w:val="21"/>
                <w:highlight w:val="none"/>
              </w:rPr>
            </w:pPr>
          </w:p>
        </w:tc>
        <w:tc>
          <w:tcPr>
            <w:tcW w:w="1553" w:type="dxa"/>
            <w:vAlign w:val="center"/>
          </w:tcPr>
          <w:p w14:paraId="6B3CBA57">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50E932A8">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47732B04">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67B2AABC">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r>
      <w:tr w14:paraId="790E0B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tcBorders>
              <w:bottom w:val="single" w:color="auto" w:sz="4" w:space="0"/>
            </w:tcBorders>
            <w:vAlign w:val="center"/>
          </w:tcPr>
          <w:p w14:paraId="0C5B2942">
            <w:pPr>
              <w:pStyle w:val="51"/>
              <w:spacing w:beforeLines="0" w:afterLines="0" w:line="240" w:lineRule="auto"/>
              <w:rPr>
                <w:rFonts w:hAnsi="宋体" w:cs="宋体"/>
                <w:snapToGrid w:val="0"/>
                <w:color w:val="auto"/>
                <w:kern w:val="21"/>
                <w:szCs w:val="21"/>
                <w:highlight w:val="none"/>
              </w:rPr>
            </w:pPr>
          </w:p>
        </w:tc>
        <w:tc>
          <w:tcPr>
            <w:tcW w:w="2115" w:type="dxa"/>
            <w:tcBorders>
              <w:bottom w:val="single" w:color="auto" w:sz="4" w:space="0"/>
            </w:tcBorders>
            <w:vAlign w:val="center"/>
          </w:tcPr>
          <w:p w14:paraId="7BF8D854">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生活垃圾</w:t>
            </w:r>
          </w:p>
        </w:tc>
        <w:tc>
          <w:tcPr>
            <w:tcW w:w="1521" w:type="dxa"/>
            <w:vAlign w:val="center"/>
          </w:tcPr>
          <w:p w14:paraId="3ACCA896">
            <w:pPr>
              <w:pStyle w:val="51"/>
              <w:spacing w:beforeLines="0" w:afterLines="0" w:line="240" w:lineRule="auto"/>
              <w:rPr>
                <w:rFonts w:ascii="Times New Roman"/>
                <w:snapToGrid w:val="0"/>
                <w:color w:val="auto"/>
                <w:kern w:val="21"/>
                <w:szCs w:val="21"/>
                <w:highlight w:val="none"/>
              </w:rPr>
            </w:pPr>
          </w:p>
        </w:tc>
        <w:tc>
          <w:tcPr>
            <w:tcW w:w="996" w:type="dxa"/>
            <w:vAlign w:val="center"/>
          </w:tcPr>
          <w:p w14:paraId="58529480">
            <w:pPr>
              <w:spacing w:line="280" w:lineRule="exact"/>
              <w:jc w:val="center"/>
              <w:rPr>
                <w:color w:val="auto"/>
                <w:spacing w:val="-20"/>
                <w:szCs w:val="21"/>
                <w:highlight w:val="none"/>
              </w:rPr>
            </w:pPr>
          </w:p>
        </w:tc>
        <w:tc>
          <w:tcPr>
            <w:tcW w:w="1500" w:type="dxa"/>
            <w:vAlign w:val="center"/>
          </w:tcPr>
          <w:p w14:paraId="31142AB6">
            <w:pPr>
              <w:spacing w:line="280" w:lineRule="exact"/>
              <w:jc w:val="center"/>
              <w:rPr>
                <w:color w:val="auto"/>
                <w:spacing w:val="-20"/>
                <w:szCs w:val="21"/>
                <w:highlight w:val="none"/>
              </w:rPr>
            </w:pPr>
          </w:p>
        </w:tc>
        <w:tc>
          <w:tcPr>
            <w:tcW w:w="1553" w:type="dxa"/>
            <w:vAlign w:val="center"/>
          </w:tcPr>
          <w:p w14:paraId="13AC13E9">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14.25t/a</w:t>
            </w:r>
          </w:p>
        </w:tc>
        <w:tc>
          <w:tcPr>
            <w:tcW w:w="1091" w:type="dxa"/>
            <w:vAlign w:val="center"/>
          </w:tcPr>
          <w:p w14:paraId="64ACC60F">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2F1DB797">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14.25t/a</w:t>
            </w:r>
          </w:p>
        </w:tc>
        <w:tc>
          <w:tcPr>
            <w:tcW w:w="1720" w:type="dxa"/>
            <w:shd w:val="clear" w:color="auto" w:fill="auto"/>
            <w:vAlign w:val="center"/>
          </w:tcPr>
          <w:p w14:paraId="3F144AEB">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+14.25t/a</w:t>
            </w:r>
          </w:p>
        </w:tc>
      </w:tr>
      <w:tr w14:paraId="0535AF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restart"/>
            <w:tcBorders>
              <w:top w:val="single" w:color="auto" w:sz="4" w:space="0"/>
            </w:tcBorders>
            <w:vAlign w:val="center"/>
          </w:tcPr>
          <w:p w14:paraId="6D4000A5">
            <w:pPr>
              <w:pStyle w:val="51"/>
              <w:spacing w:before="24" w:after="24" w:line="240" w:lineRule="auto"/>
              <w:rPr>
                <w:rFonts w:hAnsi="宋体" w:cs="宋体"/>
                <w:snapToGrid w:val="0"/>
                <w:color w:val="auto"/>
                <w:kern w:val="21"/>
                <w:szCs w:val="21"/>
                <w:highlight w:val="none"/>
              </w:rPr>
            </w:pPr>
            <w:r>
              <w:rPr>
                <w:rFonts w:hint="eastAsia" w:hAnsi="宋体" w:cs="宋体"/>
                <w:snapToGrid w:val="0"/>
                <w:color w:val="auto"/>
                <w:kern w:val="21"/>
                <w:szCs w:val="21"/>
                <w:highlight w:val="none"/>
              </w:rPr>
              <w:t>危险废物</w:t>
            </w:r>
          </w:p>
        </w:tc>
        <w:tc>
          <w:tcPr>
            <w:tcW w:w="2115" w:type="dxa"/>
            <w:tcBorders>
              <w:top w:val="single" w:color="auto" w:sz="4" w:space="0"/>
            </w:tcBorders>
            <w:shd w:val="clear" w:color="auto" w:fill="auto"/>
            <w:vAlign w:val="center"/>
          </w:tcPr>
          <w:p w14:paraId="24604784">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实验废液</w:t>
            </w:r>
          </w:p>
        </w:tc>
        <w:tc>
          <w:tcPr>
            <w:tcW w:w="1521" w:type="dxa"/>
            <w:vAlign w:val="center"/>
          </w:tcPr>
          <w:p w14:paraId="4C3512FD">
            <w:pPr>
              <w:pStyle w:val="51"/>
              <w:spacing w:beforeLines="0" w:afterLines="0" w:line="240" w:lineRule="auto"/>
              <w:rPr>
                <w:rFonts w:ascii="Times New Roman"/>
                <w:snapToGrid w:val="0"/>
                <w:color w:val="auto"/>
                <w:kern w:val="21"/>
                <w:szCs w:val="21"/>
                <w:highlight w:val="none"/>
              </w:rPr>
            </w:pPr>
          </w:p>
        </w:tc>
        <w:tc>
          <w:tcPr>
            <w:tcW w:w="996" w:type="dxa"/>
            <w:vAlign w:val="center"/>
          </w:tcPr>
          <w:p w14:paraId="1C57A7E1">
            <w:pPr>
              <w:spacing w:line="280" w:lineRule="exact"/>
              <w:jc w:val="center"/>
              <w:rPr>
                <w:color w:val="auto"/>
                <w:spacing w:val="-20"/>
                <w:szCs w:val="21"/>
                <w:highlight w:val="none"/>
              </w:rPr>
            </w:pPr>
          </w:p>
        </w:tc>
        <w:tc>
          <w:tcPr>
            <w:tcW w:w="1500" w:type="dxa"/>
            <w:vAlign w:val="center"/>
          </w:tcPr>
          <w:p w14:paraId="090D5AA0">
            <w:pPr>
              <w:spacing w:line="280" w:lineRule="exact"/>
              <w:jc w:val="center"/>
              <w:rPr>
                <w:color w:val="auto"/>
                <w:spacing w:val="-20"/>
                <w:szCs w:val="21"/>
                <w:highlight w:val="none"/>
              </w:rPr>
            </w:pPr>
          </w:p>
        </w:tc>
        <w:tc>
          <w:tcPr>
            <w:tcW w:w="1553" w:type="dxa"/>
            <w:vAlign w:val="center"/>
          </w:tcPr>
          <w:p w14:paraId="16A3CA92">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12.815</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3F507442">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70C5EC8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12.815</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2BB913F3">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+12.815</w:t>
            </w:r>
            <w:r>
              <w:rPr>
                <w:rFonts w:hint="default" w:ascii="Times New Roman" w:cs="Times New Roman"/>
                <w:snapToGrid w:val="0"/>
                <w:color w:val="auto"/>
                <w:kern w:val="21"/>
                <w:sz w:val="21"/>
                <w:szCs w:val="21"/>
                <w:highlight w:val="none"/>
                <w:lang w:val="en-US" w:eastAsia="zh-CN" w:bidi="ar-SA"/>
              </w:rPr>
              <w:t>t/a</w:t>
            </w:r>
          </w:p>
        </w:tc>
      </w:tr>
      <w:tr w14:paraId="6081C4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666DDE8A">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65C2D61E">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实验残渣及残留样品</w:t>
            </w:r>
          </w:p>
        </w:tc>
        <w:tc>
          <w:tcPr>
            <w:tcW w:w="1521" w:type="dxa"/>
            <w:vAlign w:val="center"/>
          </w:tcPr>
          <w:p w14:paraId="5D6E0EAB">
            <w:pPr>
              <w:pStyle w:val="51"/>
              <w:spacing w:beforeLines="0" w:afterLines="0" w:line="240" w:lineRule="auto"/>
              <w:rPr>
                <w:rFonts w:ascii="Times New Roman"/>
                <w:snapToGrid w:val="0"/>
                <w:color w:val="auto"/>
                <w:kern w:val="21"/>
                <w:szCs w:val="21"/>
                <w:highlight w:val="none"/>
              </w:rPr>
            </w:pPr>
          </w:p>
        </w:tc>
        <w:tc>
          <w:tcPr>
            <w:tcW w:w="996" w:type="dxa"/>
            <w:vAlign w:val="center"/>
          </w:tcPr>
          <w:p w14:paraId="28F0BD97">
            <w:pPr>
              <w:spacing w:line="280" w:lineRule="exact"/>
              <w:jc w:val="center"/>
              <w:rPr>
                <w:color w:val="auto"/>
                <w:spacing w:val="-20"/>
                <w:szCs w:val="21"/>
                <w:highlight w:val="none"/>
              </w:rPr>
            </w:pPr>
          </w:p>
        </w:tc>
        <w:tc>
          <w:tcPr>
            <w:tcW w:w="1500" w:type="dxa"/>
            <w:vAlign w:val="center"/>
          </w:tcPr>
          <w:p w14:paraId="3EEA18D5">
            <w:pPr>
              <w:spacing w:line="280" w:lineRule="exact"/>
              <w:jc w:val="center"/>
              <w:rPr>
                <w:color w:val="auto"/>
                <w:spacing w:val="-20"/>
                <w:szCs w:val="21"/>
                <w:highlight w:val="none"/>
              </w:rPr>
            </w:pPr>
          </w:p>
        </w:tc>
        <w:tc>
          <w:tcPr>
            <w:tcW w:w="1553" w:type="dxa"/>
            <w:vAlign w:val="center"/>
          </w:tcPr>
          <w:p w14:paraId="49F89916">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0.005t/a</w:t>
            </w:r>
          </w:p>
        </w:tc>
        <w:tc>
          <w:tcPr>
            <w:tcW w:w="1091" w:type="dxa"/>
            <w:vAlign w:val="center"/>
          </w:tcPr>
          <w:p w14:paraId="6F37534D">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C5D0258">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0.005t/a</w:t>
            </w:r>
          </w:p>
        </w:tc>
        <w:tc>
          <w:tcPr>
            <w:tcW w:w="1720" w:type="dxa"/>
            <w:shd w:val="clear" w:color="auto" w:fill="auto"/>
            <w:vAlign w:val="center"/>
          </w:tcPr>
          <w:p w14:paraId="2B66BDF9">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0.005t/a</w:t>
            </w:r>
          </w:p>
        </w:tc>
      </w:tr>
      <w:tr w14:paraId="0E5745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70F7576B">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76B3A6A9">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废实验药品包装物</w:t>
            </w:r>
          </w:p>
        </w:tc>
        <w:tc>
          <w:tcPr>
            <w:tcW w:w="1521" w:type="dxa"/>
            <w:vAlign w:val="center"/>
          </w:tcPr>
          <w:p w14:paraId="450520E7">
            <w:pPr>
              <w:spacing w:line="280" w:lineRule="exact"/>
              <w:jc w:val="center"/>
              <w:rPr>
                <w:color w:val="auto"/>
                <w:spacing w:val="-20"/>
                <w:szCs w:val="21"/>
                <w:highlight w:val="none"/>
              </w:rPr>
            </w:pPr>
          </w:p>
        </w:tc>
        <w:tc>
          <w:tcPr>
            <w:tcW w:w="996" w:type="dxa"/>
            <w:vAlign w:val="center"/>
          </w:tcPr>
          <w:p w14:paraId="264CBB13">
            <w:pPr>
              <w:spacing w:line="280" w:lineRule="exact"/>
              <w:jc w:val="center"/>
              <w:rPr>
                <w:color w:val="auto"/>
                <w:spacing w:val="-20"/>
                <w:szCs w:val="21"/>
                <w:highlight w:val="none"/>
              </w:rPr>
            </w:pPr>
          </w:p>
        </w:tc>
        <w:tc>
          <w:tcPr>
            <w:tcW w:w="1500" w:type="dxa"/>
            <w:vAlign w:val="center"/>
          </w:tcPr>
          <w:p w14:paraId="015F70DC">
            <w:pPr>
              <w:spacing w:line="280" w:lineRule="exact"/>
              <w:jc w:val="center"/>
              <w:rPr>
                <w:color w:val="auto"/>
                <w:spacing w:val="-20"/>
                <w:szCs w:val="21"/>
                <w:highlight w:val="none"/>
              </w:rPr>
            </w:pPr>
          </w:p>
        </w:tc>
        <w:tc>
          <w:tcPr>
            <w:tcW w:w="1553" w:type="dxa"/>
            <w:vAlign w:val="center"/>
          </w:tcPr>
          <w:p w14:paraId="54FEBCF3">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78</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3568AFD4">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5D28C47E">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78</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35D77BC4">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78</w:t>
            </w:r>
            <w:r>
              <w:rPr>
                <w:rFonts w:hint="default" w:ascii="Times New Roman" w:cs="Times New Roman"/>
                <w:snapToGrid w:val="0"/>
                <w:color w:val="auto"/>
                <w:kern w:val="21"/>
                <w:sz w:val="21"/>
                <w:szCs w:val="21"/>
                <w:highlight w:val="none"/>
                <w:lang w:val="en-US" w:eastAsia="zh-CN" w:bidi="ar-SA"/>
              </w:rPr>
              <w:t>t/a</w:t>
            </w:r>
          </w:p>
        </w:tc>
      </w:tr>
      <w:tr w14:paraId="0FF289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09" w:type="dxa"/>
            <w:vMerge w:val="continue"/>
            <w:vAlign w:val="center"/>
          </w:tcPr>
          <w:p w14:paraId="29DA2788">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3CB21F86">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废弃一次性实验用品</w:t>
            </w:r>
          </w:p>
        </w:tc>
        <w:tc>
          <w:tcPr>
            <w:tcW w:w="1521" w:type="dxa"/>
            <w:vAlign w:val="center"/>
          </w:tcPr>
          <w:p w14:paraId="30E27EB7">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57058578">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6C3997EE">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5F82EE92">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091" w:type="dxa"/>
            <w:vAlign w:val="center"/>
          </w:tcPr>
          <w:p w14:paraId="70B0ABB2">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13316F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0.01t/a</w:t>
            </w:r>
          </w:p>
        </w:tc>
        <w:tc>
          <w:tcPr>
            <w:tcW w:w="1720" w:type="dxa"/>
            <w:shd w:val="clear" w:color="auto" w:fill="auto"/>
            <w:vAlign w:val="center"/>
          </w:tcPr>
          <w:p w14:paraId="1A34324E">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0.01t/a</w:t>
            </w:r>
          </w:p>
        </w:tc>
      </w:tr>
      <w:tr w14:paraId="109047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0" w:hRule="exact"/>
        </w:trPr>
        <w:tc>
          <w:tcPr>
            <w:tcW w:w="1509" w:type="dxa"/>
            <w:vMerge w:val="continue"/>
            <w:vAlign w:val="center"/>
          </w:tcPr>
          <w:p w14:paraId="4C5A9351">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198D9EBB">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含有毒有害物质的废玻璃器皿及玻璃试剂瓶</w:t>
            </w:r>
          </w:p>
        </w:tc>
        <w:tc>
          <w:tcPr>
            <w:tcW w:w="1521" w:type="dxa"/>
            <w:vAlign w:val="center"/>
          </w:tcPr>
          <w:p w14:paraId="3D75CE4D">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68501891">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2BC91D11">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72117DE3">
            <w:pPr>
              <w:pStyle w:val="51"/>
              <w:spacing w:beforeLines="0" w:afterLines="0" w:line="240" w:lineRule="auto"/>
              <w:rPr>
                <w:rFonts w:hint="default"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0.02t/a</w:t>
            </w:r>
          </w:p>
        </w:tc>
        <w:tc>
          <w:tcPr>
            <w:tcW w:w="1091" w:type="dxa"/>
            <w:vAlign w:val="center"/>
          </w:tcPr>
          <w:p w14:paraId="595BBB4B">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4CD1C21">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0.02t/a</w:t>
            </w:r>
          </w:p>
        </w:tc>
        <w:tc>
          <w:tcPr>
            <w:tcW w:w="1720" w:type="dxa"/>
            <w:shd w:val="clear" w:color="auto" w:fill="auto"/>
            <w:vAlign w:val="center"/>
          </w:tcPr>
          <w:p w14:paraId="1FF869BF">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0.02t/a</w:t>
            </w:r>
          </w:p>
        </w:tc>
      </w:tr>
      <w:tr w14:paraId="06770C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41358056">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715B6D08">
            <w:pPr>
              <w:pStyle w:val="51"/>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过期试剂药品</w:t>
            </w:r>
          </w:p>
        </w:tc>
        <w:tc>
          <w:tcPr>
            <w:tcW w:w="1521" w:type="dxa"/>
            <w:vAlign w:val="center"/>
          </w:tcPr>
          <w:p w14:paraId="589FECDD">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6862E26A">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28810D50">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16D5A8B3">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0.001t/a</w:t>
            </w:r>
          </w:p>
        </w:tc>
        <w:tc>
          <w:tcPr>
            <w:tcW w:w="1091" w:type="dxa"/>
            <w:vAlign w:val="center"/>
          </w:tcPr>
          <w:p w14:paraId="688CCE23">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6E0EB3BA">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default" w:ascii="Times New Roman" w:cs="Times New Roman"/>
                <w:snapToGrid w:val="0"/>
                <w:color w:val="auto"/>
                <w:kern w:val="21"/>
                <w:sz w:val="21"/>
                <w:szCs w:val="21"/>
                <w:highlight w:val="none"/>
                <w:lang w:val="en-US" w:eastAsia="zh-CN" w:bidi="ar-SA"/>
              </w:rPr>
              <w:t>0.001t/a</w:t>
            </w:r>
          </w:p>
        </w:tc>
        <w:tc>
          <w:tcPr>
            <w:tcW w:w="1720" w:type="dxa"/>
            <w:shd w:val="clear" w:color="auto" w:fill="auto"/>
            <w:vAlign w:val="center"/>
          </w:tcPr>
          <w:p w14:paraId="663C0365">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default" w:ascii="Times New Roman" w:cs="Times New Roman"/>
                <w:snapToGrid w:val="0"/>
                <w:color w:val="auto"/>
                <w:kern w:val="21"/>
                <w:sz w:val="21"/>
                <w:szCs w:val="21"/>
                <w:highlight w:val="none"/>
                <w:lang w:val="en-US" w:eastAsia="zh-CN" w:bidi="ar-SA"/>
              </w:rPr>
              <w:t>0.001t/a</w:t>
            </w:r>
          </w:p>
        </w:tc>
      </w:tr>
      <w:tr w14:paraId="6FE226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509" w:type="dxa"/>
            <w:vMerge w:val="continue"/>
            <w:vAlign w:val="center"/>
          </w:tcPr>
          <w:p w14:paraId="0C741E0D">
            <w:pPr>
              <w:pStyle w:val="51"/>
              <w:spacing w:beforeLines="0" w:afterLines="0" w:line="240" w:lineRule="auto"/>
              <w:rPr>
                <w:rFonts w:hAnsi="宋体" w:cs="宋体"/>
                <w:snapToGrid w:val="0"/>
                <w:color w:val="auto"/>
                <w:kern w:val="21"/>
                <w:szCs w:val="21"/>
                <w:highlight w:val="none"/>
              </w:rPr>
            </w:pPr>
          </w:p>
        </w:tc>
        <w:tc>
          <w:tcPr>
            <w:tcW w:w="2115" w:type="dxa"/>
            <w:shd w:val="clear" w:color="auto" w:fill="auto"/>
            <w:vAlign w:val="center"/>
          </w:tcPr>
          <w:p w14:paraId="7637E87A">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hAnsi="Times New Roman" w:eastAsia="宋体" w:cs="Times New Roman"/>
                <w:snapToGrid w:val="0"/>
                <w:color w:val="auto"/>
                <w:kern w:val="21"/>
                <w:szCs w:val="21"/>
                <w:highlight w:val="none"/>
                <w:lang w:val="en-US" w:eastAsia="zh-CN"/>
              </w:rPr>
              <w:t>废活性炭</w:t>
            </w:r>
          </w:p>
        </w:tc>
        <w:tc>
          <w:tcPr>
            <w:tcW w:w="1521" w:type="dxa"/>
            <w:vAlign w:val="center"/>
          </w:tcPr>
          <w:p w14:paraId="27A15076">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996" w:type="dxa"/>
            <w:vAlign w:val="center"/>
          </w:tcPr>
          <w:p w14:paraId="702EFB59">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00" w:type="dxa"/>
            <w:vAlign w:val="center"/>
          </w:tcPr>
          <w:p w14:paraId="2A6D943F">
            <w:pPr>
              <w:spacing w:line="280" w:lineRule="exact"/>
              <w:jc w:val="center"/>
              <w:rPr>
                <w:rFonts w:ascii="Times New Roman" w:hAnsi="Times New Roman" w:eastAsia="宋体" w:cs="Times New Roman"/>
                <w:color w:val="auto"/>
                <w:spacing w:val="-20"/>
                <w:kern w:val="2"/>
                <w:sz w:val="21"/>
                <w:szCs w:val="21"/>
                <w:highlight w:val="none"/>
                <w:lang w:val="en-US" w:eastAsia="zh-CN" w:bidi="ar-SA"/>
              </w:rPr>
            </w:pPr>
          </w:p>
        </w:tc>
        <w:tc>
          <w:tcPr>
            <w:tcW w:w="1553" w:type="dxa"/>
            <w:vAlign w:val="center"/>
          </w:tcPr>
          <w:p w14:paraId="407586EC">
            <w:pPr>
              <w:pStyle w:val="51"/>
              <w:spacing w:beforeLines="0" w:afterLines="0" w:line="240" w:lineRule="auto"/>
              <w:rPr>
                <w:rFonts w:hint="eastAsia" w:asci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091" w:type="dxa"/>
            <w:vAlign w:val="center"/>
          </w:tcPr>
          <w:p w14:paraId="2CFD4EB5">
            <w:pPr>
              <w:pStyle w:val="51"/>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p>
        </w:tc>
        <w:tc>
          <w:tcPr>
            <w:tcW w:w="1783" w:type="dxa"/>
            <w:shd w:val="clear" w:color="auto" w:fill="auto"/>
            <w:vAlign w:val="center"/>
          </w:tcPr>
          <w:p w14:paraId="3653A972">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c>
          <w:tcPr>
            <w:tcW w:w="1720" w:type="dxa"/>
            <w:shd w:val="clear" w:color="auto" w:fill="auto"/>
            <w:vAlign w:val="center"/>
          </w:tcPr>
          <w:p w14:paraId="7E78F47C">
            <w:pPr>
              <w:pStyle w:val="5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+1</w:t>
            </w:r>
            <w:r>
              <w:rPr>
                <w:rFonts w:hint="default" w:ascii="Times New Roman" w:cs="Times New Roman"/>
                <w:snapToGrid w:val="0"/>
                <w:color w:val="auto"/>
                <w:kern w:val="21"/>
                <w:sz w:val="21"/>
                <w:szCs w:val="21"/>
                <w:highlight w:val="none"/>
                <w:lang w:val="en-US" w:eastAsia="zh-CN" w:bidi="ar-SA"/>
              </w:rPr>
              <w:t>t/a</w:t>
            </w:r>
          </w:p>
        </w:tc>
      </w:tr>
    </w:tbl>
    <w:p w14:paraId="5CB7D6F6">
      <w:pPr>
        <w:pStyle w:val="51"/>
        <w:spacing w:before="192" w:beforeLines="80" w:after="24"/>
        <w:jc w:val="left"/>
        <w:rPr>
          <w:rFonts w:hAnsi="宋体"/>
          <w:snapToGrid w:val="0"/>
          <w:color w:val="auto"/>
          <w:spacing w:val="-6"/>
          <w:kern w:val="21"/>
          <w:szCs w:val="21"/>
          <w:highlight w:val="none"/>
        </w:rPr>
      </w:pPr>
      <w:r>
        <w:rPr>
          <w:rFonts w:hAnsi="宋体"/>
          <w:snapToGrid w:val="0"/>
          <w:color w:val="auto"/>
          <w:kern w:val="21"/>
          <w:szCs w:val="21"/>
          <w:highlight w:val="none"/>
        </w:rPr>
        <w:t>注：</w:t>
      </w:r>
      <w:r>
        <w:rPr>
          <w:rFonts w:hAnsi="宋体"/>
          <w:snapToGrid w:val="0"/>
          <w:color w:val="auto"/>
          <w:spacing w:val="-16"/>
          <w:kern w:val="21"/>
          <w:szCs w:val="21"/>
          <w:highlight w:val="none"/>
        </w:rPr>
        <w:fldChar w:fldCharType="begin"/>
      </w:r>
      <w:r>
        <w:rPr>
          <w:rFonts w:hAnsi="宋体"/>
          <w:snapToGrid w:val="0"/>
          <w:color w:val="auto"/>
          <w:spacing w:val="-16"/>
          <w:kern w:val="21"/>
          <w:szCs w:val="21"/>
          <w:highlight w:val="none"/>
        </w:rPr>
        <w:instrText xml:space="preserve"> = 6 \* GB3 \* MERGEFORMAT </w:instrText>
      </w:r>
      <w:r>
        <w:rPr>
          <w:rFonts w:hAnsi="宋体"/>
          <w:snapToGrid w:val="0"/>
          <w:color w:val="auto"/>
          <w:spacing w:val="-16"/>
          <w:kern w:val="21"/>
          <w:szCs w:val="21"/>
          <w:highlight w:val="none"/>
        </w:rPr>
        <w:fldChar w:fldCharType="separate"/>
      </w:r>
      <w:r>
        <w:rPr>
          <w:rFonts w:hint="eastAsia" w:hAnsi="宋体"/>
          <w:color w:val="auto"/>
          <w:szCs w:val="21"/>
          <w:highlight w:val="none"/>
        </w:rPr>
        <w:t>⑥</w:t>
      </w:r>
      <w:r>
        <w:rPr>
          <w:rFonts w:hAnsi="宋体"/>
          <w:snapToGrid w:val="0"/>
          <w:color w:val="auto"/>
          <w:spacing w:val="-16"/>
          <w:kern w:val="21"/>
          <w:szCs w:val="21"/>
          <w:highlight w:val="none"/>
        </w:rPr>
        <w:fldChar w:fldCharType="end"/>
      </w:r>
      <w:r>
        <w:rPr>
          <w:rFonts w:hAnsi="宋体"/>
          <w:snapToGrid w:val="0"/>
          <w:color w:val="auto"/>
          <w:spacing w:val="-1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1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①</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3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③</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4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④</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16"/>
          <w:kern w:val="21"/>
          <w:szCs w:val="21"/>
          <w:highlight w:val="none"/>
        </w:rPr>
        <w:fldChar w:fldCharType="begin"/>
      </w:r>
      <w:r>
        <w:rPr>
          <w:rFonts w:hAnsi="宋体"/>
          <w:snapToGrid w:val="0"/>
          <w:color w:val="auto"/>
          <w:spacing w:val="-16"/>
          <w:kern w:val="21"/>
          <w:szCs w:val="21"/>
          <w:highlight w:val="none"/>
        </w:rPr>
        <w:instrText xml:space="preserve"> = 5 \* GB3 \* MERGEFORMAT </w:instrText>
      </w:r>
      <w:r>
        <w:rPr>
          <w:rFonts w:hAnsi="宋体"/>
          <w:snapToGrid w:val="0"/>
          <w:color w:val="auto"/>
          <w:spacing w:val="-16"/>
          <w:kern w:val="21"/>
          <w:szCs w:val="21"/>
          <w:highlight w:val="none"/>
        </w:rPr>
        <w:fldChar w:fldCharType="separate"/>
      </w:r>
      <w:r>
        <w:rPr>
          <w:rFonts w:hint="eastAsia" w:hAnsi="宋体"/>
          <w:color w:val="auto"/>
          <w:szCs w:val="21"/>
          <w:highlight w:val="none"/>
        </w:rPr>
        <w:t>⑤</w:t>
      </w:r>
      <w:r>
        <w:rPr>
          <w:rFonts w:hAnsi="宋体"/>
          <w:snapToGrid w:val="0"/>
          <w:color w:val="auto"/>
          <w:spacing w:val="-16"/>
          <w:kern w:val="21"/>
          <w:szCs w:val="21"/>
          <w:highlight w:val="none"/>
        </w:rPr>
        <w:fldChar w:fldCharType="end"/>
      </w:r>
      <w:r>
        <w:rPr>
          <w:rFonts w:hAnsi="宋体"/>
          <w:snapToGrid w:val="0"/>
          <w:color w:val="auto"/>
          <w:spacing w:val="-1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7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⑦</w:t>
      </w:r>
      <w:r>
        <w:rPr>
          <w:rFonts w:hAnsi="宋体"/>
          <w:snapToGrid w:val="0"/>
          <w:color w:val="auto"/>
          <w:spacing w:val="-6"/>
          <w:kern w:val="21"/>
          <w:szCs w:val="21"/>
          <w:highlight w:val="none"/>
        </w:rPr>
        <w:fldChar w:fldCharType="end"/>
      </w:r>
      <w:r>
        <w:rPr>
          <w:rFonts w:hAnsi="宋体"/>
          <w:snapToGrid w:val="0"/>
          <w:color w:val="auto"/>
          <w:spacing w:val="-6"/>
          <w:kern w:val="21"/>
          <w:szCs w:val="21"/>
          <w:highlight w:val="none"/>
        </w:rPr>
        <w:t>=</w:t>
      </w:r>
      <w:r>
        <w:rPr>
          <w:rFonts w:hAnsi="宋体"/>
          <w:snapToGrid w:val="0"/>
          <w:color w:val="auto"/>
          <w:spacing w:val="-16"/>
          <w:kern w:val="21"/>
          <w:szCs w:val="21"/>
          <w:highlight w:val="none"/>
        </w:rPr>
        <w:fldChar w:fldCharType="begin"/>
      </w:r>
      <w:r>
        <w:rPr>
          <w:rFonts w:hAnsi="宋体"/>
          <w:snapToGrid w:val="0"/>
          <w:color w:val="auto"/>
          <w:spacing w:val="-16"/>
          <w:kern w:val="21"/>
          <w:szCs w:val="21"/>
          <w:highlight w:val="none"/>
        </w:rPr>
        <w:instrText xml:space="preserve"> = 6 \* GB3 \* MERGEFORMAT </w:instrText>
      </w:r>
      <w:r>
        <w:rPr>
          <w:rFonts w:hAnsi="宋体"/>
          <w:snapToGrid w:val="0"/>
          <w:color w:val="auto"/>
          <w:spacing w:val="-16"/>
          <w:kern w:val="21"/>
          <w:szCs w:val="21"/>
          <w:highlight w:val="none"/>
        </w:rPr>
        <w:fldChar w:fldCharType="separate"/>
      </w:r>
      <w:r>
        <w:rPr>
          <w:rFonts w:hint="eastAsia" w:hAnsi="宋体"/>
          <w:color w:val="auto"/>
          <w:szCs w:val="21"/>
          <w:highlight w:val="none"/>
        </w:rPr>
        <w:t>⑥</w:t>
      </w:r>
      <w:r>
        <w:rPr>
          <w:rFonts w:hAnsi="宋体"/>
          <w:snapToGrid w:val="0"/>
          <w:color w:val="auto"/>
          <w:spacing w:val="-16"/>
          <w:kern w:val="21"/>
          <w:szCs w:val="21"/>
          <w:highlight w:val="none"/>
        </w:rPr>
        <w:fldChar w:fldCharType="end"/>
      </w:r>
      <w:r>
        <w:rPr>
          <w:rFonts w:hAnsi="宋体"/>
          <w:snapToGrid w:val="0"/>
          <w:color w:val="auto"/>
          <w:spacing w:val="-16"/>
          <w:kern w:val="21"/>
          <w:szCs w:val="21"/>
          <w:highlight w:val="none"/>
        </w:rPr>
        <w:t>-</w:t>
      </w:r>
      <w:r>
        <w:rPr>
          <w:rFonts w:hAnsi="宋体"/>
          <w:snapToGrid w:val="0"/>
          <w:color w:val="auto"/>
          <w:spacing w:val="-6"/>
          <w:kern w:val="21"/>
          <w:szCs w:val="21"/>
          <w:highlight w:val="none"/>
        </w:rPr>
        <w:fldChar w:fldCharType="begin"/>
      </w:r>
      <w:r>
        <w:rPr>
          <w:rFonts w:hAnsi="宋体"/>
          <w:snapToGrid w:val="0"/>
          <w:color w:val="auto"/>
          <w:spacing w:val="-6"/>
          <w:kern w:val="21"/>
          <w:szCs w:val="21"/>
          <w:highlight w:val="none"/>
        </w:rPr>
        <w:instrText xml:space="preserve"> = 1 \* GB3 \* MERGEFORMAT </w:instrText>
      </w:r>
      <w:r>
        <w:rPr>
          <w:rFonts w:hAnsi="宋体"/>
          <w:snapToGrid w:val="0"/>
          <w:color w:val="auto"/>
          <w:spacing w:val="-6"/>
          <w:kern w:val="21"/>
          <w:szCs w:val="21"/>
          <w:highlight w:val="none"/>
        </w:rPr>
        <w:fldChar w:fldCharType="separate"/>
      </w:r>
      <w:r>
        <w:rPr>
          <w:rFonts w:hint="eastAsia" w:hAnsi="宋体"/>
          <w:color w:val="auto"/>
          <w:szCs w:val="21"/>
          <w:highlight w:val="none"/>
        </w:rPr>
        <w:t>①</w:t>
      </w:r>
      <w:r>
        <w:rPr>
          <w:rFonts w:hAnsi="宋体"/>
          <w:snapToGrid w:val="0"/>
          <w:color w:val="auto"/>
          <w:spacing w:val="-6"/>
          <w:kern w:val="21"/>
          <w:szCs w:val="21"/>
          <w:highlight w:val="none"/>
        </w:rPr>
        <w:fldChar w:fldCharType="end"/>
      </w:r>
    </w:p>
    <w:p w14:paraId="71979A38">
      <w:pPr>
        <w:pStyle w:val="6"/>
        <w:rPr>
          <w:color w:val="auto"/>
        </w:rPr>
      </w:pPr>
    </w:p>
    <w:sectPr>
      <w:footerReference r:id="rId7" w:type="default"/>
      <w:pgSz w:w="16838" w:h="11905" w:orient="landscape"/>
      <w:pgMar w:top="1531" w:right="1701" w:bottom="1531" w:left="1701" w:header="851" w:footer="1077" w:gutter="0"/>
      <w:pgBorders>
        <w:top w:val="none" w:sz="0" w:space="0"/>
        <w:left w:val="none" w:sz="0" w:space="0"/>
        <w:bottom w:val="none" w:sz="0" w:space="0"/>
        <w:right w:val="none" w:sz="0" w:space="0"/>
      </w:pgBorders>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DA291">
    <w:pPr>
      <w:pStyle w:val="18"/>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A4020">
    <w:pPr>
      <w:pStyle w:val="18"/>
      <w:framePr w:wrap="around" w:vAnchor="text" w:hAnchor="margin" w:xAlign="center" w:y="1"/>
      <w:rPr>
        <w:rStyle w:val="30"/>
      </w:rPr>
    </w:pPr>
    <w:r>
      <w:fldChar w:fldCharType="begin"/>
    </w:r>
    <w:r>
      <w:rPr>
        <w:rStyle w:val="30"/>
      </w:rPr>
      <w:instrText xml:space="preserve">PAGE  </w:instrText>
    </w:r>
    <w:r>
      <w:fldChar w:fldCharType="end"/>
    </w:r>
  </w:p>
  <w:p w14:paraId="084895F1">
    <w:pPr>
      <w:pStyle w:val="18"/>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B7378">
    <w:pPr>
      <w:pStyle w:val="18"/>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3E199">
    <w:pPr>
      <w:pStyle w:val="18"/>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701D7F">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52</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1701D7F">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52</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DCADCE">
    <w:pPr>
      <w:pStyle w:val="18"/>
      <w:ind w:right="360" w:firstLine="36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497595">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56</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5B497595">
                    <w:pPr>
                      <w:pStyle w:val="18"/>
                      <w:rPr>
                        <w:rStyle w:val="30"/>
                        <w:rFonts w:ascii="宋体" w:hAnsi="宋体"/>
                        <w:sz w:val="28"/>
                        <w:szCs w:val="28"/>
                      </w:rPr>
                    </w:pPr>
                    <w:r>
                      <w:rPr>
                        <w:rStyle w:val="30"/>
                        <w:rFonts w:hint="eastAsia" w:ascii="宋体" w:hAnsi="宋体"/>
                        <w:sz w:val="28"/>
                        <w:szCs w:val="28"/>
                      </w:rPr>
                      <w:t>—</w:t>
                    </w:r>
                    <w:r>
                      <w:rPr>
                        <w:rStyle w:val="30"/>
                        <w:rFonts w:hint="eastAsia" w:ascii="宋体" w:hAnsi="宋体"/>
                        <w:sz w:val="20"/>
                      </w:rPr>
                      <w:t xml:space="preserve">  </w:t>
                    </w:r>
                    <w:r>
                      <w:rPr>
                        <w:rStyle w:val="30"/>
                        <w:rFonts w:ascii="宋体" w:hAnsi="宋体"/>
                        <w:sz w:val="26"/>
                        <w:szCs w:val="26"/>
                      </w:rPr>
                      <w:fldChar w:fldCharType="begin"/>
                    </w:r>
                    <w:r>
                      <w:rPr>
                        <w:rStyle w:val="30"/>
                        <w:rFonts w:ascii="宋体" w:hAnsi="宋体"/>
                        <w:sz w:val="26"/>
                        <w:szCs w:val="26"/>
                      </w:rPr>
                      <w:instrText xml:space="preserve">PAGE  </w:instrText>
                    </w:r>
                    <w:r>
                      <w:rPr>
                        <w:rStyle w:val="30"/>
                        <w:rFonts w:ascii="宋体" w:hAnsi="宋体"/>
                        <w:sz w:val="26"/>
                        <w:szCs w:val="26"/>
                      </w:rPr>
                      <w:fldChar w:fldCharType="separate"/>
                    </w:r>
                    <w:r>
                      <w:rPr>
                        <w:rStyle w:val="30"/>
                        <w:rFonts w:ascii="宋体" w:hAnsi="宋体"/>
                        <w:sz w:val="26"/>
                        <w:szCs w:val="26"/>
                      </w:rPr>
                      <w:t>56</w:t>
                    </w:r>
                    <w:r>
                      <w:rPr>
                        <w:rStyle w:val="30"/>
                        <w:rFonts w:ascii="宋体" w:hAnsi="宋体"/>
                        <w:sz w:val="26"/>
                        <w:szCs w:val="26"/>
                      </w:rPr>
                      <w:fldChar w:fldCharType="end"/>
                    </w:r>
                    <w:r>
                      <w:rPr>
                        <w:rStyle w:val="30"/>
                        <w:rFonts w:hint="eastAsia" w:ascii="宋体" w:hAnsi="宋体"/>
                        <w:sz w:val="20"/>
                      </w:rPr>
                      <w:t xml:space="preserve">  </w:t>
                    </w:r>
                    <w:r>
                      <w:rPr>
                        <w:rStyle w:val="30"/>
                        <w:rFonts w:hint="eastAsia" w:ascii="宋体" w:hAnsi="宋体"/>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D5DBB3"/>
    <w:multiLevelType w:val="singleLevel"/>
    <w:tmpl w:val="D5D5DBB3"/>
    <w:lvl w:ilvl="0" w:tentative="0">
      <w:start w:val="1"/>
      <w:numFmt w:val="decimal"/>
      <w:suff w:val="nothing"/>
      <w:lvlText w:val="%1、"/>
      <w:lvlJc w:val="left"/>
    </w:lvl>
  </w:abstractNum>
  <w:abstractNum w:abstractNumId="1">
    <w:nsid w:val="2E5B7991"/>
    <w:multiLevelType w:val="singleLevel"/>
    <w:tmpl w:val="2E5B7991"/>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2">
    <w:nsid w:val="30C72FA2"/>
    <w:multiLevelType w:val="singleLevel"/>
    <w:tmpl w:val="30C72FA2"/>
    <w:lvl w:ilvl="0" w:tentative="0">
      <w:start w:val="1"/>
      <w:numFmt w:val="decimal"/>
      <w:suff w:val="nothing"/>
      <w:lvlText w:val="（%1）"/>
      <w:lvlJc w:val="left"/>
    </w:lvl>
  </w:abstractNum>
  <w:abstractNum w:abstractNumId="3">
    <w:nsid w:val="514A958C"/>
    <w:multiLevelType w:val="singleLevel"/>
    <w:tmpl w:val="514A958C"/>
    <w:lvl w:ilvl="0" w:tentative="0">
      <w:start w:val="2"/>
      <w:numFmt w:val="decimal"/>
      <w:suff w:val="nothing"/>
      <w:lvlText w:val="（%1）"/>
      <w:lvlJc w:val="left"/>
    </w:lvl>
  </w:abstractNum>
  <w:abstractNum w:abstractNumId="4">
    <w:nsid w:val="63E1EB34"/>
    <w:multiLevelType w:val="singleLevel"/>
    <w:tmpl w:val="63E1EB34"/>
    <w:lvl w:ilvl="0" w:tentative="0">
      <w:start w:val="10"/>
      <w:numFmt w:val="decimal"/>
      <w:suff w:val="nothing"/>
      <w:lvlText w:val="（%1）"/>
      <w:lvlJc w:val="left"/>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JmZDgxYTUwODEwNDI1ODEwZjkxNmFlY2E1YWE2ODgifQ=="/>
  </w:docVars>
  <w:rsids>
    <w:rsidRoot w:val="00A14947"/>
    <w:rsid w:val="00003E49"/>
    <w:rsid w:val="000060B3"/>
    <w:rsid w:val="000230C7"/>
    <w:rsid w:val="00026CB7"/>
    <w:rsid w:val="00030F38"/>
    <w:rsid w:val="000339BF"/>
    <w:rsid w:val="0004364B"/>
    <w:rsid w:val="00045D31"/>
    <w:rsid w:val="000536A2"/>
    <w:rsid w:val="000546DD"/>
    <w:rsid w:val="00054E06"/>
    <w:rsid w:val="00061747"/>
    <w:rsid w:val="00061B1F"/>
    <w:rsid w:val="00061EDB"/>
    <w:rsid w:val="000634B3"/>
    <w:rsid w:val="00065AD6"/>
    <w:rsid w:val="000733C4"/>
    <w:rsid w:val="00074783"/>
    <w:rsid w:val="00076BE0"/>
    <w:rsid w:val="0008070B"/>
    <w:rsid w:val="000810AC"/>
    <w:rsid w:val="00081191"/>
    <w:rsid w:val="00081A02"/>
    <w:rsid w:val="00082231"/>
    <w:rsid w:val="00085647"/>
    <w:rsid w:val="00092D38"/>
    <w:rsid w:val="0009377B"/>
    <w:rsid w:val="000953EA"/>
    <w:rsid w:val="0009688B"/>
    <w:rsid w:val="000A03D0"/>
    <w:rsid w:val="000A1934"/>
    <w:rsid w:val="000A1DAC"/>
    <w:rsid w:val="000A20C9"/>
    <w:rsid w:val="000A2948"/>
    <w:rsid w:val="000A55CC"/>
    <w:rsid w:val="000A570B"/>
    <w:rsid w:val="000A63D7"/>
    <w:rsid w:val="000A6733"/>
    <w:rsid w:val="000B04BA"/>
    <w:rsid w:val="000B058F"/>
    <w:rsid w:val="000B40CB"/>
    <w:rsid w:val="000B4467"/>
    <w:rsid w:val="000B4DB9"/>
    <w:rsid w:val="000B5559"/>
    <w:rsid w:val="000C09AC"/>
    <w:rsid w:val="000C2A78"/>
    <w:rsid w:val="000C3437"/>
    <w:rsid w:val="000C3CD5"/>
    <w:rsid w:val="000C57EB"/>
    <w:rsid w:val="000C767F"/>
    <w:rsid w:val="000C7DB5"/>
    <w:rsid w:val="000D19C5"/>
    <w:rsid w:val="000D3A5F"/>
    <w:rsid w:val="000D52F3"/>
    <w:rsid w:val="000D5A44"/>
    <w:rsid w:val="000E06BF"/>
    <w:rsid w:val="000E2555"/>
    <w:rsid w:val="000E3ED2"/>
    <w:rsid w:val="000E430E"/>
    <w:rsid w:val="000E5F2C"/>
    <w:rsid w:val="000E7F9A"/>
    <w:rsid w:val="000F1442"/>
    <w:rsid w:val="000F53A9"/>
    <w:rsid w:val="00100C01"/>
    <w:rsid w:val="00102F4F"/>
    <w:rsid w:val="00104C0A"/>
    <w:rsid w:val="001053E9"/>
    <w:rsid w:val="0010679D"/>
    <w:rsid w:val="0010762A"/>
    <w:rsid w:val="00114056"/>
    <w:rsid w:val="00115097"/>
    <w:rsid w:val="00120623"/>
    <w:rsid w:val="00123D53"/>
    <w:rsid w:val="00124071"/>
    <w:rsid w:val="00131D98"/>
    <w:rsid w:val="00131DA3"/>
    <w:rsid w:val="00131F42"/>
    <w:rsid w:val="00133E6F"/>
    <w:rsid w:val="001357F1"/>
    <w:rsid w:val="00137430"/>
    <w:rsid w:val="00140A09"/>
    <w:rsid w:val="00140FA8"/>
    <w:rsid w:val="0014145A"/>
    <w:rsid w:val="0014232A"/>
    <w:rsid w:val="00142FEB"/>
    <w:rsid w:val="00143A2D"/>
    <w:rsid w:val="00143B88"/>
    <w:rsid w:val="00144274"/>
    <w:rsid w:val="00145A41"/>
    <w:rsid w:val="001467EF"/>
    <w:rsid w:val="0015079B"/>
    <w:rsid w:val="00151194"/>
    <w:rsid w:val="00151675"/>
    <w:rsid w:val="0015416A"/>
    <w:rsid w:val="00154E7B"/>
    <w:rsid w:val="0015537B"/>
    <w:rsid w:val="00156581"/>
    <w:rsid w:val="00157435"/>
    <w:rsid w:val="00162B4E"/>
    <w:rsid w:val="001675E6"/>
    <w:rsid w:val="0017111B"/>
    <w:rsid w:val="00172FF0"/>
    <w:rsid w:val="00173F0E"/>
    <w:rsid w:val="0017504D"/>
    <w:rsid w:val="0017671A"/>
    <w:rsid w:val="00177422"/>
    <w:rsid w:val="00183DB0"/>
    <w:rsid w:val="00184590"/>
    <w:rsid w:val="0018486C"/>
    <w:rsid w:val="00184EC3"/>
    <w:rsid w:val="0018514C"/>
    <w:rsid w:val="001870D1"/>
    <w:rsid w:val="0018781E"/>
    <w:rsid w:val="0019262D"/>
    <w:rsid w:val="00193144"/>
    <w:rsid w:val="001934D8"/>
    <w:rsid w:val="00193FF9"/>
    <w:rsid w:val="001A1B35"/>
    <w:rsid w:val="001A2E88"/>
    <w:rsid w:val="001A48A2"/>
    <w:rsid w:val="001A6F61"/>
    <w:rsid w:val="001B28B0"/>
    <w:rsid w:val="001B3A77"/>
    <w:rsid w:val="001B5BBB"/>
    <w:rsid w:val="001B72B8"/>
    <w:rsid w:val="001C5E2C"/>
    <w:rsid w:val="001C69B3"/>
    <w:rsid w:val="001C6FC9"/>
    <w:rsid w:val="001C791A"/>
    <w:rsid w:val="001D0128"/>
    <w:rsid w:val="001D1787"/>
    <w:rsid w:val="001D5595"/>
    <w:rsid w:val="001D7874"/>
    <w:rsid w:val="001D7F22"/>
    <w:rsid w:val="001E0CF9"/>
    <w:rsid w:val="001E50C0"/>
    <w:rsid w:val="001E7139"/>
    <w:rsid w:val="001F0F17"/>
    <w:rsid w:val="001F3347"/>
    <w:rsid w:val="001F4696"/>
    <w:rsid w:val="001F69E4"/>
    <w:rsid w:val="001F749D"/>
    <w:rsid w:val="00200F45"/>
    <w:rsid w:val="00202BEE"/>
    <w:rsid w:val="00204611"/>
    <w:rsid w:val="002125B4"/>
    <w:rsid w:val="002126CA"/>
    <w:rsid w:val="00212EA0"/>
    <w:rsid w:val="00213EF5"/>
    <w:rsid w:val="0021416A"/>
    <w:rsid w:val="002155B8"/>
    <w:rsid w:val="00221DEB"/>
    <w:rsid w:val="00223503"/>
    <w:rsid w:val="0022409E"/>
    <w:rsid w:val="00224839"/>
    <w:rsid w:val="002249B2"/>
    <w:rsid w:val="00226574"/>
    <w:rsid w:val="002278EC"/>
    <w:rsid w:val="002324E1"/>
    <w:rsid w:val="0023280E"/>
    <w:rsid w:val="00235EC8"/>
    <w:rsid w:val="002377CF"/>
    <w:rsid w:val="002377D1"/>
    <w:rsid w:val="00237840"/>
    <w:rsid w:val="002430D0"/>
    <w:rsid w:val="00243861"/>
    <w:rsid w:val="00243F63"/>
    <w:rsid w:val="0024501C"/>
    <w:rsid w:val="002506BC"/>
    <w:rsid w:val="00254345"/>
    <w:rsid w:val="002548C9"/>
    <w:rsid w:val="00261391"/>
    <w:rsid w:val="00261B19"/>
    <w:rsid w:val="00263AA0"/>
    <w:rsid w:val="00264557"/>
    <w:rsid w:val="002648F9"/>
    <w:rsid w:val="00266D05"/>
    <w:rsid w:val="0027142D"/>
    <w:rsid w:val="0027493F"/>
    <w:rsid w:val="00275BA4"/>
    <w:rsid w:val="002763EE"/>
    <w:rsid w:val="002805AB"/>
    <w:rsid w:val="00282892"/>
    <w:rsid w:val="002832A8"/>
    <w:rsid w:val="00283A00"/>
    <w:rsid w:val="00284204"/>
    <w:rsid w:val="0028467A"/>
    <w:rsid w:val="00284A1E"/>
    <w:rsid w:val="00284C11"/>
    <w:rsid w:val="00286AFF"/>
    <w:rsid w:val="00291773"/>
    <w:rsid w:val="00294171"/>
    <w:rsid w:val="002A168C"/>
    <w:rsid w:val="002A2D6B"/>
    <w:rsid w:val="002A3DC7"/>
    <w:rsid w:val="002A763F"/>
    <w:rsid w:val="002B49E2"/>
    <w:rsid w:val="002B6A63"/>
    <w:rsid w:val="002B7B00"/>
    <w:rsid w:val="002B7C44"/>
    <w:rsid w:val="002C2B17"/>
    <w:rsid w:val="002C3ECD"/>
    <w:rsid w:val="002C5BD7"/>
    <w:rsid w:val="002C5FFA"/>
    <w:rsid w:val="002C6059"/>
    <w:rsid w:val="002C7252"/>
    <w:rsid w:val="002D065F"/>
    <w:rsid w:val="002D3DD0"/>
    <w:rsid w:val="002D52AD"/>
    <w:rsid w:val="002D6F4B"/>
    <w:rsid w:val="002E1F3A"/>
    <w:rsid w:val="002E298A"/>
    <w:rsid w:val="002F17A5"/>
    <w:rsid w:val="002F18C4"/>
    <w:rsid w:val="002F33FA"/>
    <w:rsid w:val="00301978"/>
    <w:rsid w:val="0030287D"/>
    <w:rsid w:val="0030332C"/>
    <w:rsid w:val="003051C2"/>
    <w:rsid w:val="00307A2A"/>
    <w:rsid w:val="00312296"/>
    <w:rsid w:val="00313FEB"/>
    <w:rsid w:val="00314F0E"/>
    <w:rsid w:val="00317025"/>
    <w:rsid w:val="00321013"/>
    <w:rsid w:val="0032133C"/>
    <w:rsid w:val="003215AF"/>
    <w:rsid w:val="0032194A"/>
    <w:rsid w:val="00321D8E"/>
    <w:rsid w:val="0032200A"/>
    <w:rsid w:val="00325928"/>
    <w:rsid w:val="00326BFE"/>
    <w:rsid w:val="00330B78"/>
    <w:rsid w:val="00332863"/>
    <w:rsid w:val="0033441C"/>
    <w:rsid w:val="00335753"/>
    <w:rsid w:val="0033684D"/>
    <w:rsid w:val="00337368"/>
    <w:rsid w:val="00337B42"/>
    <w:rsid w:val="00341B42"/>
    <w:rsid w:val="0034348F"/>
    <w:rsid w:val="003447D5"/>
    <w:rsid w:val="00344F6A"/>
    <w:rsid w:val="00344FE5"/>
    <w:rsid w:val="00347641"/>
    <w:rsid w:val="003517A4"/>
    <w:rsid w:val="003537E3"/>
    <w:rsid w:val="00353F30"/>
    <w:rsid w:val="00356315"/>
    <w:rsid w:val="00356653"/>
    <w:rsid w:val="0035743F"/>
    <w:rsid w:val="00357BE2"/>
    <w:rsid w:val="00357BE7"/>
    <w:rsid w:val="0036170C"/>
    <w:rsid w:val="00361B80"/>
    <w:rsid w:val="00363A73"/>
    <w:rsid w:val="00366E0F"/>
    <w:rsid w:val="00373B0C"/>
    <w:rsid w:val="00374F92"/>
    <w:rsid w:val="00375CE7"/>
    <w:rsid w:val="00377B88"/>
    <w:rsid w:val="0038086C"/>
    <w:rsid w:val="00381A72"/>
    <w:rsid w:val="003824E2"/>
    <w:rsid w:val="003835B6"/>
    <w:rsid w:val="00384676"/>
    <w:rsid w:val="00390857"/>
    <w:rsid w:val="003921D0"/>
    <w:rsid w:val="0039318E"/>
    <w:rsid w:val="003931D2"/>
    <w:rsid w:val="003939DC"/>
    <w:rsid w:val="003A3621"/>
    <w:rsid w:val="003A4BF3"/>
    <w:rsid w:val="003A5AA3"/>
    <w:rsid w:val="003A72C5"/>
    <w:rsid w:val="003B24F5"/>
    <w:rsid w:val="003B420D"/>
    <w:rsid w:val="003B5901"/>
    <w:rsid w:val="003B79C0"/>
    <w:rsid w:val="003C0335"/>
    <w:rsid w:val="003C1680"/>
    <w:rsid w:val="003C23CF"/>
    <w:rsid w:val="003C6C16"/>
    <w:rsid w:val="003C748B"/>
    <w:rsid w:val="003D05B5"/>
    <w:rsid w:val="003D794D"/>
    <w:rsid w:val="003E3058"/>
    <w:rsid w:val="003E368F"/>
    <w:rsid w:val="003E511B"/>
    <w:rsid w:val="003E529B"/>
    <w:rsid w:val="003E710F"/>
    <w:rsid w:val="003E76A9"/>
    <w:rsid w:val="003F0809"/>
    <w:rsid w:val="003F19B0"/>
    <w:rsid w:val="003F3336"/>
    <w:rsid w:val="003F6A8C"/>
    <w:rsid w:val="003F755C"/>
    <w:rsid w:val="003F7A06"/>
    <w:rsid w:val="00400EF8"/>
    <w:rsid w:val="00406F01"/>
    <w:rsid w:val="0040701C"/>
    <w:rsid w:val="00407FA8"/>
    <w:rsid w:val="00412419"/>
    <w:rsid w:val="00413632"/>
    <w:rsid w:val="004143FA"/>
    <w:rsid w:val="00416D50"/>
    <w:rsid w:val="00416FD5"/>
    <w:rsid w:val="00416FE4"/>
    <w:rsid w:val="00417160"/>
    <w:rsid w:val="00417772"/>
    <w:rsid w:val="00420E6A"/>
    <w:rsid w:val="004223DA"/>
    <w:rsid w:val="004248C0"/>
    <w:rsid w:val="00425A9E"/>
    <w:rsid w:val="00426449"/>
    <w:rsid w:val="00426D6B"/>
    <w:rsid w:val="00431E6C"/>
    <w:rsid w:val="00433CE7"/>
    <w:rsid w:val="00441806"/>
    <w:rsid w:val="00445BA8"/>
    <w:rsid w:val="00445F47"/>
    <w:rsid w:val="00446145"/>
    <w:rsid w:val="00450DE6"/>
    <w:rsid w:val="00452738"/>
    <w:rsid w:val="00453AA1"/>
    <w:rsid w:val="00453B7E"/>
    <w:rsid w:val="00456091"/>
    <w:rsid w:val="00462575"/>
    <w:rsid w:val="00466321"/>
    <w:rsid w:val="004669E4"/>
    <w:rsid w:val="00467ACF"/>
    <w:rsid w:val="004714F2"/>
    <w:rsid w:val="0047252D"/>
    <w:rsid w:val="00473158"/>
    <w:rsid w:val="00473686"/>
    <w:rsid w:val="00474C1E"/>
    <w:rsid w:val="0048138D"/>
    <w:rsid w:val="00484B9B"/>
    <w:rsid w:val="004855F6"/>
    <w:rsid w:val="0048661E"/>
    <w:rsid w:val="00487776"/>
    <w:rsid w:val="00487D00"/>
    <w:rsid w:val="0049034A"/>
    <w:rsid w:val="00491451"/>
    <w:rsid w:val="00494670"/>
    <w:rsid w:val="004959C2"/>
    <w:rsid w:val="00496F85"/>
    <w:rsid w:val="004A085D"/>
    <w:rsid w:val="004A177C"/>
    <w:rsid w:val="004A25B5"/>
    <w:rsid w:val="004A3823"/>
    <w:rsid w:val="004A64F2"/>
    <w:rsid w:val="004B380D"/>
    <w:rsid w:val="004B6075"/>
    <w:rsid w:val="004C3E41"/>
    <w:rsid w:val="004C5C01"/>
    <w:rsid w:val="004D2821"/>
    <w:rsid w:val="004D29BC"/>
    <w:rsid w:val="004D3295"/>
    <w:rsid w:val="004D5B0A"/>
    <w:rsid w:val="004E36F2"/>
    <w:rsid w:val="004E3858"/>
    <w:rsid w:val="004E500F"/>
    <w:rsid w:val="004E6946"/>
    <w:rsid w:val="004E6E8A"/>
    <w:rsid w:val="004E7E4A"/>
    <w:rsid w:val="004E7F73"/>
    <w:rsid w:val="004F07CC"/>
    <w:rsid w:val="004F1AD8"/>
    <w:rsid w:val="004F5E2E"/>
    <w:rsid w:val="004F662B"/>
    <w:rsid w:val="004F7B18"/>
    <w:rsid w:val="0050265F"/>
    <w:rsid w:val="005039CB"/>
    <w:rsid w:val="0050558F"/>
    <w:rsid w:val="00506286"/>
    <w:rsid w:val="00510813"/>
    <w:rsid w:val="00510B4C"/>
    <w:rsid w:val="00511990"/>
    <w:rsid w:val="00511DE0"/>
    <w:rsid w:val="00514870"/>
    <w:rsid w:val="00514B9B"/>
    <w:rsid w:val="00514D75"/>
    <w:rsid w:val="00514F2A"/>
    <w:rsid w:val="005164C0"/>
    <w:rsid w:val="00517016"/>
    <w:rsid w:val="00517F02"/>
    <w:rsid w:val="005216B5"/>
    <w:rsid w:val="00523A47"/>
    <w:rsid w:val="00524184"/>
    <w:rsid w:val="00524303"/>
    <w:rsid w:val="005258A2"/>
    <w:rsid w:val="00540117"/>
    <w:rsid w:val="005401AE"/>
    <w:rsid w:val="00541269"/>
    <w:rsid w:val="00542E07"/>
    <w:rsid w:val="005435D5"/>
    <w:rsid w:val="00544924"/>
    <w:rsid w:val="00545424"/>
    <w:rsid w:val="0055137B"/>
    <w:rsid w:val="0055389A"/>
    <w:rsid w:val="00554A7B"/>
    <w:rsid w:val="0055572C"/>
    <w:rsid w:val="00555CCF"/>
    <w:rsid w:val="005606DF"/>
    <w:rsid w:val="0056106A"/>
    <w:rsid w:val="005629C8"/>
    <w:rsid w:val="005663DF"/>
    <w:rsid w:val="005707D1"/>
    <w:rsid w:val="005720AE"/>
    <w:rsid w:val="00574F5C"/>
    <w:rsid w:val="00585B3D"/>
    <w:rsid w:val="00585BD0"/>
    <w:rsid w:val="005868E6"/>
    <w:rsid w:val="00586D88"/>
    <w:rsid w:val="005925A0"/>
    <w:rsid w:val="00592C6A"/>
    <w:rsid w:val="005942B3"/>
    <w:rsid w:val="00594D77"/>
    <w:rsid w:val="00595722"/>
    <w:rsid w:val="0059657A"/>
    <w:rsid w:val="005969E4"/>
    <w:rsid w:val="005A06B7"/>
    <w:rsid w:val="005A1759"/>
    <w:rsid w:val="005A3314"/>
    <w:rsid w:val="005A6570"/>
    <w:rsid w:val="005A68A7"/>
    <w:rsid w:val="005B0510"/>
    <w:rsid w:val="005B1B00"/>
    <w:rsid w:val="005B2DE6"/>
    <w:rsid w:val="005B4691"/>
    <w:rsid w:val="005B4AC5"/>
    <w:rsid w:val="005B63AE"/>
    <w:rsid w:val="005D2C12"/>
    <w:rsid w:val="005D36AB"/>
    <w:rsid w:val="005D4619"/>
    <w:rsid w:val="005E63D7"/>
    <w:rsid w:val="005E7B18"/>
    <w:rsid w:val="005E7BD5"/>
    <w:rsid w:val="005F22E6"/>
    <w:rsid w:val="005F45EA"/>
    <w:rsid w:val="005F4D34"/>
    <w:rsid w:val="00601C79"/>
    <w:rsid w:val="00602B5E"/>
    <w:rsid w:val="00604F9B"/>
    <w:rsid w:val="00606126"/>
    <w:rsid w:val="006069D8"/>
    <w:rsid w:val="006159F4"/>
    <w:rsid w:val="00615DE6"/>
    <w:rsid w:val="00617CC3"/>
    <w:rsid w:val="00621C2E"/>
    <w:rsid w:val="006270C7"/>
    <w:rsid w:val="00630072"/>
    <w:rsid w:val="00631282"/>
    <w:rsid w:val="006321BB"/>
    <w:rsid w:val="00635DBA"/>
    <w:rsid w:val="006377A6"/>
    <w:rsid w:val="00637A3D"/>
    <w:rsid w:val="00637C59"/>
    <w:rsid w:val="006411EF"/>
    <w:rsid w:val="006445EB"/>
    <w:rsid w:val="00651661"/>
    <w:rsid w:val="00652F8E"/>
    <w:rsid w:val="0066185B"/>
    <w:rsid w:val="00664C5D"/>
    <w:rsid w:val="00664CFA"/>
    <w:rsid w:val="006716F5"/>
    <w:rsid w:val="00671F3D"/>
    <w:rsid w:val="00673FC8"/>
    <w:rsid w:val="006748B8"/>
    <w:rsid w:val="006775C3"/>
    <w:rsid w:val="0068154D"/>
    <w:rsid w:val="006820DC"/>
    <w:rsid w:val="0068501D"/>
    <w:rsid w:val="00685569"/>
    <w:rsid w:val="00686C09"/>
    <w:rsid w:val="00687FAD"/>
    <w:rsid w:val="0069290A"/>
    <w:rsid w:val="00692F9A"/>
    <w:rsid w:val="0069775A"/>
    <w:rsid w:val="00697813"/>
    <w:rsid w:val="00697D29"/>
    <w:rsid w:val="006A2890"/>
    <w:rsid w:val="006A3EE8"/>
    <w:rsid w:val="006A6696"/>
    <w:rsid w:val="006A72BF"/>
    <w:rsid w:val="006B03F2"/>
    <w:rsid w:val="006B1FD1"/>
    <w:rsid w:val="006B34BA"/>
    <w:rsid w:val="006B37DC"/>
    <w:rsid w:val="006B4F68"/>
    <w:rsid w:val="006C0592"/>
    <w:rsid w:val="006C272E"/>
    <w:rsid w:val="006C3B08"/>
    <w:rsid w:val="006C4719"/>
    <w:rsid w:val="006C47DD"/>
    <w:rsid w:val="006C5479"/>
    <w:rsid w:val="006D13B5"/>
    <w:rsid w:val="006D1C97"/>
    <w:rsid w:val="006D4BDC"/>
    <w:rsid w:val="006D5002"/>
    <w:rsid w:val="006E12FF"/>
    <w:rsid w:val="006E46C0"/>
    <w:rsid w:val="006E57EF"/>
    <w:rsid w:val="006E607E"/>
    <w:rsid w:val="006E7243"/>
    <w:rsid w:val="006E7D3C"/>
    <w:rsid w:val="006F489A"/>
    <w:rsid w:val="006F73AF"/>
    <w:rsid w:val="006F7C46"/>
    <w:rsid w:val="007065BF"/>
    <w:rsid w:val="00706C5D"/>
    <w:rsid w:val="0071073B"/>
    <w:rsid w:val="0071132D"/>
    <w:rsid w:val="00713E20"/>
    <w:rsid w:val="00714004"/>
    <w:rsid w:val="007161B7"/>
    <w:rsid w:val="00720A6E"/>
    <w:rsid w:val="007231D9"/>
    <w:rsid w:val="00732922"/>
    <w:rsid w:val="0073740C"/>
    <w:rsid w:val="007408A5"/>
    <w:rsid w:val="007430FC"/>
    <w:rsid w:val="0074677E"/>
    <w:rsid w:val="0075162E"/>
    <w:rsid w:val="00752012"/>
    <w:rsid w:val="00753C40"/>
    <w:rsid w:val="00754034"/>
    <w:rsid w:val="00755659"/>
    <w:rsid w:val="00756556"/>
    <w:rsid w:val="00757492"/>
    <w:rsid w:val="00761101"/>
    <w:rsid w:val="0076143A"/>
    <w:rsid w:val="007618C4"/>
    <w:rsid w:val="00762F9F"/>
    <w:rsid w:val="00763F38"/>
    <w:rsid w:val="00766734"/>
    <w:rsid w:val="00767980"/>
    <w:rsid w:val="00770B19"/>
    <w:rsid w:val="00773285"/>
    <w:rsid w:val="0077463F"/>
    <w:rsid w:val="00776E0F"/>
    <w:rsid w:val="007835ED"/>
    <w:rsid w:val="007836EA"/>
    <w:rsid w:val="0078377C"/>
    <w:rsid w:val="00783C0B"/>
    <w:rsid w:val="007847CA"/>
    <w:rsid w:val="00784CDA"/>
    <w:rsid w:val="007852DC"/>
    <w:rsid w:val="00786C15"/>
    <w:rsid w:val="007906C4"/>
    <w:rsid w:val="00791A84"/>
    <w:rsid w:val="00793E3D"/>
    <w:rsid w:val="007940EA"/>
    <w:rsid w:val="007967E8"/>
    <w:rsid w:val="007970B2"/>
    <w:rsid w:val="007A118F"/>
    <w:rsid w:val="007A16F7"/>
    <w:rsid w:val="007A2170"/>
    <w:rsid w:val="007A22BF"/>
    <w:rsid w:val="007A3323"/>
    <w:rsid w:val="007A3FE6"/>
    <w:rsid w:val="007B1040"/>
    <w:rsid w:val="007B5E7F"/>
    <w:rsid w:val="007B72B8"/>
    <w:rsid w:val="007B7A58"/>
    <w:rsid w:val="007B7CAB"/>
    <w:rsid w:val="007C21B5"/>
    <w:rsid w:val="007C4E4B"/>
    <w:rsid w:val="007C7A1D"/>
    <w:rsid w:val="007D4527"/>
    <w:rsid w:val="007E036D"/>
    <w:rsid w:val="007E257B"/>
    <w:rsid w:val="007E2ECB"/>
    <w:rsid w:val="007E4BD2"/>
    <w:rsid w:val="00801393"/>
    <w:rsid w:val="00802F88"/>
    <w:rsid w:val="00806E9F"/>
    <w:rsid w:val="00810173"/>
    <w:rsid w:val="008107A5"/>
    <w:rsid w:val="0081293E"/>
    <w:rsid w:val="00813597"/>
    <w:rsid w:val="00815465"/>
    <w:rsid w:val="008162A6"/>
    <w:rsid w:val="00816575"/>
    <w:rsid w:val="00817E9A"/>
    <w:rsid w:val="00817F1C"/>
    <w:rsid w:val="00821A13"/>
    <w:rsid w:val="008306BD"/>
    <w:rsid w:val="00831A80"/>
    <w:rsid w:val="00832702"/>
    <w:rsid w:val="00833743"/>
    <w:rsid w:val="008340A4"/>
    <w:rsid w:val="00834AF7"/>
    <w:rsid w:val="00837666"/>
    <w:rsid w:val="00842159"/>
    <w:rsid w:val="008470D3"/>
    <w:rsid w:val="008470EF"/>
    <w:rsid w:val="00847271"/>
    <w:rsid w:val="00847C6B"/>
    <w:rsid w:val="00850364"/>
    <w:rsid w:val="008504BB"/>
    <w:rsid w:val="00854E0C"/>
    <w:rsid w:val="00861C19"/>
    <w:rsid w:val="008668A9"/>
    <w:rsid w:val="0087135F"/>
    <w:rsid w:val="00871BD3"/>
    <w:rsid w:val="00872D94"/>
    <w:rsid w:val="00872DCF"/>
    <w:rsid w:val="00876E29"/>
    <w:rsid w:val="00880364"/>
    <w:rsid w:val="00880F9A"/>
    <w:rsid w:val="0089026D"/>
    <w:rsid w:val="00891592"/>
    <w:rsid w:val="00891E9E"/>
    <w:rsid w:val="00892777"/>
    <w:rsid w:val="00896582"/>
    <w:rsid w:val="00896E9E"/>
    <w:rsid w:val="008A0B58"/>
    <w:rsid w:val="008A2D1A"/>
    <w:rsid w:val="008A2F68"/>
    <w:rsid w:val="008A39E0"/>
    <w:rsid w:val="008B0BAD"/>
    <w:rsid w:val="008B1B7F"/>
    <w:rsid w:val="008B4E5A"/>
    <w:rsid w:val="008B4FA6"/>
    <w:rsid w:val="008B5282"/>
    <w:rsid w:val="008B7C17"/>
    <w:rsid w:val="008C036A"/>
    <w:rsid w:val="008C2D01"/>
    <w:rsid w:val="008C3052"/>
    <w:rsid w:val="008C40E6"/>
    <w:rsid w:val="008D0F7A"/>
    <w:rsid w:val="008D44D8"/>
    <w:rsid w:val="008D501D"/>
    <w:rsid w:val="008D68E4"/>
    <w:rsid w:val="008D6E3F"/>
    <w:rsid w:val="008E0506"/>
    <w:rsid w:val="008E0CFF"/>
    <w:rsid w:val="008E2DAC"/>
    <w:rsid w:val="008E3ECB"/>
    <w:rsid w:val="008E5D6B"/>
    <w:rsid w:val="008E76F0"/>
    <w:rsid w:val="008F15FE"/>
    <w:rsid w:val="008F2BC9"/>
    <w:rsid w:val="008F2D29"/>
    <w:rsid w:val="008F5187"/>
    <w:rsid w:val="008F60D8"/>
    <w:rsid w:val="008F71E8"/>
    <w:rsid w:val="008F755D"/>
    <w:rsid w:val="008F75F9"/>
    <w:rsid w:val="009010A3"/>
    <w:rsid w:val="0090119E"/>
    <w:rsid w:val="00902727"/>
    <w:rsid w:val="0090312B"/>
    <w:rsid w:val="009045AE"/>
    <w:rsid w:val="009048D1"/>
    <w:rsid w:val="0091095E"/>
    <w:rsid w:val="00912421"/>
    <w:rsid w:val="00913E02"/>
    <w:rsid w:val="00914CC0"/>
    <w:rsid w:val="0091736D"/>
    <w:rsid w:val="009225AD"/>
    <w:rsid w:val="00922802"/>
    <w:rsid w:val="0092343A"/>
    <w:rsid w:val="00926072"/>
    <w:rsid w:val="00927E1C"/>
    <w:rsid w:val="0093037A"/>
    <w:rsid w:val="00936027"/>
    <w:rsid w:val="00936615"/>
    <w:rsid w:val="0094154D"/>
    <w:rsid w:val="009436DF"/>
    <w:rsid w:val="009440BC"/>
    <w:rsid w:val="00947D2C"/>
    <w:rsid w:val="0095155F"/>
    <w:rsid w:val="00954429"/>
    <w:rsid w:val="009563CE"/>
    <w:rsid w:val="0096110E"/>
    <w:rsid w:val="00962CC7"/>
    <w:rsid w:val="009650C8"/>
    <w:rsid w:val="0097609B"/>
    <w:rsid w:val="00976328"/>
    <w:rsid w:val="0097680D"/>
    <w:rsid w:val="00976D59"/>
    <w:rsid w:val="00982438"/>
    <w:rsid w:val="00982E0E"/>
    <w:rsid w:val="0098404C"/>
    <w:rsid w:val="00985283"/>
    <w:rsid w:val="00986F62"/>
    <w:rsid w:val="009870C1"/>
    <w:rsid w:val="009927D3"/>
    <w:rsid w:val="00995992"/>
    <w:rsid w:val="00996BEF"/>
    <w:rsid w:val="009A03E5"/>
    <w:rsid w:val="009A0F3B"/>
    <w:rsid w:val="009A1BB4"/>
    <w:rsid w:val="009A1E72"/>
    <w:rsid w:val="009A2628"/>
    <w:rsid w:val="009A2E3B"/>
    <w:rsid w:val="009A3200"/>
    <w:rsid w:val="009A47AA"/>
    <w:rsid w:val="009A5022"/>
    <w:rsid w:val="009B0897"/>
    <w:rsid w:val="009B7BD9"/>
    <w:rsid w:val="009C3B2E"/>
    <w:rsid w:val="009C3C1C"/>
    <w:rsid w:val="009C4A8A"/>
    <w:rsid w:val="009C7DD5"/>
    <w:rsid w:val="009D4C99"/>
    <w:rsid w:val="009E18F6"/>
    <w:rsid w:val="009E227D"/>
    <w:rsid w:val="009E3302"/>
    <w:rsid w:val="009E5019"/>
    <w:rsid w:val="009E572F"/>
    <w:rsid w:val="009F3D05"/>
    <w:rsid w:val="009F3FB8"/>
    <w:rsid w:val="009F42D6"/>
    <w:rsid w:val="009F5ABA"/>
    <w:rsid w:val="009F7D80"/>
    <w:rsid w:val="00A04F1B"/>
    <w:rsid w:val="00A0501B"/>
    <w:rsid w:val="00A11EDA"/>
    <w:rsid w:val="00A12243"/>
    <w:rsid w:val="00A14947"/>
    <w:rsid w:val="00A21DC2"/>
    <w:rsid w:val="00A325DD"/>
    <w:rsid w:val="00A32A83"/>
    <w:rsid w:val="00A33C1C"/>
    <w:rsid w:val="00A33E44"/>
    <w:rsid w:val="00A365FC"/>
    <w:rsid w:val="00A368DB"/>
    <w:rsid w:val="00A37748"/>
    <w:rsid w:val="00A40DDC"/>
    <w:rsid w:val="00A423AA"/>
    <w:rsid w:val="00A428D5"/>
    <w:rsid w:val="00A463F6"/>
    <w:rsid w:val="00A51D83"/>
    <w:rsid w:val="00A53EC6"/>
    <w:rsid w:val="00A55C0F"/>
    <w:rsid w:val="00A5673B"/>
    <w:rsid w:val="00A569A0"/>
    <w:rsid w:val="00A57CF9"/>
    <w:rsid w:val="00A61430"/>
    <w:rsid w:val="00A65FF7"/>
    <w:rsid w:val="00A70E26"/>
    <w:rsid w:val="00A71D9C"/>
    <w:rsid w:val="00A837A1"/>
    <w:rsid w:val="00A83EA4"/>
    <w:rsid w:val="00A8431A"/>
    <w:rsid w:val="00A8713F"/>
    <w:rsid w:val="00A90BA1"/>
    <w:rsid w:val="00A917D4"/>
    <w:rsid w:val="00A92DF0"/>
    <w:rsid w:val="00A94087"/>
    <w:rsid w:val="00A94607"/>
    <w:rsid w:val="00A97A9A"/>
    <w:rsid w:val="00AA004F"/>
    <w:rsid w:val="00AA0671"/>
    <w:rsid w:val="00AA0FEE"/>
    <w:rsid w:val="00AA2531"/>
    <w:rsid w:val="00AA37AE"/>
    <w:rsid w:val="00AA4B8B"/>
    <w:rsid w:val="00AB1E09"/>
    <w:rsid w:val="00AB1FDB"/>
    <w:rsid w:val="00AB2963"/>
    <w:rsid w:val="00AB3673"/>
    <w:rsid w:val="00AB5330"/>
    <w:rsid w:val="00AB6A28"/>
    <w:rsid w:val="00AB7747"/>
    <w:rsid w:val="00AB785F"/>
    <w:rsid w:val="00AC09C9"/>
    <w:rsid w:val="00AC14CE"/>
    <w:rsid w:val="00AC2A56"/>
    <w:rsid w:val="00AC3D01"/>
    <w:rsid w:val="00AC549B"/>
    <w:rsid w:val="00AC56E3"/>
    <w:rsid w:val="00AC7CC9"/>
    <w:rsid w:val="00AD055E"/>
    <w:rsid w:val="00AD0CEC"/>
    <w:rsid w:val="00AD210F"/>
    <w:rsid w:val="00AD47A7"/>
    <w:rsid w:val="00AD6281"/>
    <w:rsid w:val="00AE4057"/>
    <w:rsid w:val="00AE6866"/>
    <w:rsid w:val="00AE74BA"/>
    <w:rsid w:val="00AF0CBF"/>
    <w:rsid w:val="00AF257F"/>
    <w:rsid w:val="00AF33CF"/>
    <w:rsid w:val="00AF4D50"/>
    <w:rsid w:val="00AF6179"/>
    <w:rsid w:val="00AF6489"/>
    <w:rsid w:val="00AF6E45"/>
    <w:rsid w:val="00B071BA"/>
    <w:rsid w:val="00B1295A"/>
    <w:rsid w:val="00B13C89"/>
    <w:rsid w:val="00B13F2C"/>
    <w:rsid w:val="00B14DBA"/>
    <w:rsid w:val="00B20A45"/>
    <w:rsid w:val="00B221B8"/>
    <w:rsid w:val="00B22BD3"/>
    <w:rsid w:val="00B22C5C"/>
    <w:rsid w:val="00B23DC3"/>
    <w:rsid w:val="00B243B0"/>
    <w:rsid w:val="00B24D62"/>
    <w:rsid w:val="00B24F30"/>
    <w:rsid w:val="00B25261"/>
    <w:rsid w:val="00B2601E"/>
    <w:rsid w:val="00B2642D"/>
    <w:rsid w:val="00B313FB"/>
    <w:rsid w:val="00B31ABF"/>
    <w:rsid w:val="00B3208D"/>
    <w:rsid w:val="00B32263"/>
    <w:rsid w:val="00B32977"/>
    <w:rsid w:val="00B33BE3"/>
    <w:rsid w:val="00B41E3B"/>
    <w:rsid w:val="00B52651"/>
    <w:rsid w:val="00B53B5D"/>
    <w:rsid w:val="00B56181"/>
    <w:rsid w:val="00B573CC"/>
    <w:rsid w:val="00B5750D"/>
    <w:rsid w:val="00B6055E"/>
    <w:rsid w:val="00B62E24"/>
    <w:rsid w:val="00B6317D"/>
    <w:rsid w:val="00B700F0"/>
    <w:rsid w:val="00B70606"/>
    <w:rsid w:val="00B74F8C"/>
    <w:rsid w:val="00B7723F"/>
    <w:rsid w:val="00B80534"/>
    <w:rsid w:val="00B83F97"/>
    <w:rsid w:val="00B84296"/>
    <w:rsid w:val="00B8433C"/>
    <w:rsid w:val="00B85E79"/>
    <w:rsid w:val="00B86138"/>
    <w:rsid w:val="00B87491"/>
    <w:rsid w:val="00B902F8"/>
    <w:rsid w:val="00B94916"/>
    <w:rsid w:val="00B95479"/>
    <w:rsid w:val="00B96D33"/>
    <w:rsid w:val="00B974FF"/>
    <w:rsid w:val="00BA1FAA"/>
    <w:rsid w:val="00BA2831"/>
    <w:rsid w:val="00BA29E9"/>
    <w:rsid w:val="00BA3DAC"/>
    <w:rsid w:val="00BA4281"/>
    <w:rsid w:val="00BA7142"/>
    <w:rsid w:val="00BB14C4"/>
    <w:rsid w:val="00BB237C"/>
    <w:rsid w:val="00BB27D2"/>
    <w:rsid w:val="00BB41A3"/>
    <w:rsid w:val="00BC0849"/>
    <w:rsid w:val="00BC0CCE"/>
    <w:rsid w:val="00BC28AB"/>
    <w:rsid w:val="00BC2DE9"/>
    <w:rsid w:val="00BC32DC"/>
    <w:rsid w:val="00BC35B6"/>
    <w:rsid w:val="00BD1B51"/>
    <w:rsid w:val="00BD228B"/>
    <w:rsid w:val="00BD3EDA"/>
    <w:rsid w:val="00BD4596"/>
    <w:rsid w:val="00BD6E80"/>
    <w:rsid w:val="00BD7262"/>
    <w:rsid w:val="00BD7601"/>
    <w:rsid w:val="00BD7959"/>
    <w:rsid w:val="00BE0893"/>
    <w:rsid w:val="00BE0D35"/>
    <w:rsid w:val="00BE1073"/>
    <w:rsid w:val="00BE1405"/>
    <w:rsid w:val="00BE312D"/>
    <w:rsid w:val="00BE6FE5"/>
    <w:rsid w:val="00BF1C20"/>
    <w:rsid w:val="00C00661"/>
    <w:rsid w:val="00C04F85"/>
    <w:rsid w:val="00C063FA"/>
    <w:rsid w:val="00C0769F"/>
    <w:rsid w:val="00C1013F"/>
    <w:rsid w:val="00C10578"/>
    <w:rsid w:val="00C11D82"/>
    <w:rsid w:val="00C12937"/>
    <w:rsid w:val="00C135BC"/>
    <w:rsid w:val="00C1394F"/>
    <w:rsid w:val="00C13965"/>
    <w:rsid w:val="00C15156"/>
    <w:rsid w:val="00C15C95"/>
    <w:rsid w:val="00C16D03"/>
    <w:rsid w:val="00C172A4"/>
    <w:rsid w:val="00C21E05"/>
    <w:rsid w:val="00C232A4"/>
    <w:rsid w:val="00C24B0A"/>
    <w:rsid w:val="00C2596A"/>
    <w:rsid w:val="00C27537"/>
    <w:rsid w:val="00C2795C"/>
    <w:rsid w:val="00C27BC3"/>
    <w:rsid w:val="00C31CFB"/>
    <w:rsid w:val="00C328FE"/>
    <w:rsid w:val="00C33507"/>
    <w:rsid w:val="00C36598"/>
    <w:rsid w:val="00C36B9E"/>
    <w:rsid w:val="00C40BB0"/>
    <w:rsid w:val="00C4409D"/>
    <w:rsid w:val="00C44E72"/>
    <w:rsid w:val="00C45A06"/>
    <w:rsid w:val="00C47E5B"/>
    <w:rsid w:val="00C510E2"/>
    <w:rsid w:val="00C532A3"/>
    <w:rsid w:val="00C55159"/>
    <w:rsid w:val="00C551FE"/>
    <w:rsid w:val="00C56D10"/>
    <w:rsid w:val="00C61E4B"/>
    <w:rsid w:val="00C64BFF"/>
    <w:rsid w:val="00C704E9"/>
    <w:rsid w:val="00C70678"/>
    <w:rsid w:val="00C7147C"/>
    <w:rsid w:val="00C71EEF"/>
    <w:rsid w:val="00C7477C"/>
    <w:rsid w:val="00C753E7"/>
    <w:rsid w:val="00C763C9"/>
    <w:rsid w:val="00C80057"/>
    <w:rsid w:val="00C80442"/>
    <w:rsid w:val="00C82232"/>
    <w:rsid w:val="00C82913"/>
    <w:rsid w:val="00C8431D"/>
    <w:rsid w:val="00C865AC"/>
    <w:rsid w:val="00C86F7B"/>
    <w:rsid w:val="00C90945"/>
    <w:rsid w:val="00C93F8C"/>
    <w:rsid w:val="00C95650"/>
    <w:rsid w:val="00C956D4"/>
    <w:rsid w:val="00C96851"/>
    <w:rsid w:val="00C972B1"/>
    <w:rsid w:val="00C978DC"/>
    <w:rsid w:val="00CA2CCE"/>
    <w:rsid w:val="00CA4248"/>
    <w:rsid w:val="00CA43FD"/>
    <w:rsid w:val="00CA5C1C"/>
    <w:rsid w:val="00CA7EF8"/>
    <w:rsid w:val="00CB5645"/>
    <w:rsid w:val="00CB60EA"/>
    <w:rsid w:val="00CB7222"/>
    <w:rsid w:val="00CC1F94"/>
    <w:rsid w:val="00CC3744"/>
    <w:rsid w:val="00CC489B"/>
    <w:rsid w:val="00CC79DD"/>
    <w:rsid w:val="00CD0A76"/>
    <w:rsid w:val="00CD1ED8"/>
    <w:rsid w:val="00CD2BCD"/>
    <w:rsid w:val="00CD2C6B"/>
    <w:rsid w:val="00CD3104"/>
    <w:rsid w:val="00CD3A4C"/>
    <w:rsid w:val="00CD510F"/>
    <w:rsid w:val="00CD7108"/>
    <w:rsid w:val="00CD7AE5"/>
    <w:rsid w:val="00CE10E9"/>
    <w:rsid w:val="00CE1F43"/>
    <w:rsid w:val="00CE2910"/>
    <w:rsid w:val="00CE5393"/>
    <w:rsid w:val="00CF0980"/>
    <w:rsid w:val="00CF347A"/>
    <w:rsid w:val="00CF36BE"/>
    <w:rsid w:val="00CF40D3"/>
    <w:rsid w:val="00CF6000"/>
    <w:rsid w:val="00D003F3"/>
    <w:rsid w:val="00D02171"/>
    <w:rsid w:val="00D0364F"/>
    <w:rsid w:val="00D04004"/>
    <w:rsid w:val="00D04204"/>
    <w:rsid w:val="00D06834"/>
    <w:rsid w:val="00D1134B"/>
    <w:rsid w:val="00D11796"/>
    <w:rsid w:val="00D138B6"/>
    <w:rsid w:val="00D14B29"/>
    <w:rsid w:val="00D16527"/>
    <w:rsid w:val="00D20E2B"/>
    <w:rsid w:val="00D308ED"/>
    <w:rsid w:val="00D34A35"/>
    <w:rsid w:val="00D36D86"/>
    <w:rsid w:val="00D412B3"/>
    <w:rsid w:val="00D428AA"/>
    <w:rsid w:val="00D4729F"/>
    <w:rsid w:val="00D50A34"/>
    <w:rsid w:val="00D53EFA"/>
    <w:rsid w:val="00D5407E"/>
    <w:rsid w:val="00D67614"/>
    <w:rsid w:val="00D77DD2"/>
    <w:rsid w:val="00D829BE"/>
    <w:rsid w:val="00D83CF7"/>
    <w:rsid w:val="00D84C19"/>
    <w:rsid w:val="00D85A44"/>
    <w:rsid w:val="00D90475"/>
    <w:rsid w:val="00D94A7C"/>
    <w:rsid w:val="00D95896"/>
    <w:rsid w:val="00D961DD"/>
    <w:rsid w:val="00D97019"/>
    <w:rsid w:val="00DA71C3"/>
    <w:rsid w:val="00DB1718"/>
    <w:rsid w:val="00DB2983"/>
    <w:rsid w:val="00DB2F05"/>
    <w:rsid w:val="00DB5D78"/>
    <w:rsid w:val="00DC1257"/>
    <w:rsid w:val="00DC38B1"/>
    <w:rsid w:val="00DC3DC0"/>
    <w:rsid w:val="00DC45D8"/>
    <w:rsid w:val="00DC5B2B"/>
    <w:rsid w:val="00DD318D"/>
    <w:rsid w:val="00DE4F8F"/>
    <w:rsid w:val="00DF2787"/>
    <w:rsid w:val="00DF2E12"/>
    <w:rsid w:val="00DF514A"/>
    <w:rsid w:val="00DF6690"/>
    <w:rsid w:val="00DF6804"/>
    <w:rsid w:val="00DF7E18"/>
    <w:rsid w:val="00E0358D"/>
    <w:rsid w:val="00E04323"/>
    <w:rsid w:val="00E057AC"/>
    <w:rsid w:val="00E06DB2"/>
    <w:rsid w:val="00E070A2"/>
    <w:rsid w:val="00E163C9"/>
    <w:rsid w:val="00E17270"/>
    <w:rsid w:val="00E219F5"/>
    <w:rsid w:val="00E25B72"/>
    <w:rsid w:val="00E2656A"/>
    <w:rsid w:val="00E26DD3"/>
    <w:rsid w:val="00E27AC9"/>
    <w:rsid w:val="00E27AE7"/>
    <w:rsid w:val="00E3117D"/>
    <w:rsid w:val="00E33233"/>
    <w:rsid w:val="00E33D11"/>
    <w:rsid w:val="00E33D5B"/>
    <w:rsid w:val="00E35B8D"/>
    <w:rsid w:val="00E37921"/>
    <w:rsid w:val="00E412D0"/>
    <w:rsid w:val="00E4132B"/>
    <w:rsid w:val="00E421F0"/>
    <w:rsid w:val="00E4350D"/>
    <w:rsid w:val="00E5148B"/>
    <w:rsid w:val="00E56322"/>
    <w:rsid w:val="00E604DD"/>
    <w:rsid w:val="00E60982"/>
    <w:rsid w:val="00E62C62"/>
    <w:rsid w:val="00E630F5"/>
    <w:rsid w:val="00E64A40"/>
    <w:rsid w:val="00E654C1"/>
    <w:rsid w:val="00E65D97"/>
    <w:rsid w:val="00E66737"/>
    <w:rsid w:val="00E71914"/>
    <w:rsid w:val="00E72A5A"/>
    <w:rsid w:val="00E72E7B"/>
    <w:rsid w:val="00E730BD"/>
    <w:rsid w:val="00E73354"/>
    <w:rsid w:val="00E73C15"/>
    <w:rsid w:val="00E75191"/>
    <w:rsid w:val="00E83590"/>
    <w:rsid w:val="00E8619B"/>
    <w:rsid w:val="00E86855"/>
    <w:rsid w:val="00E87D07"/>
    <w:rsid w:val="00E9010C"/>
    <w:rsid w:val="00E9242D"/>
    <w:rsid w:val="00E944CB"/>
    <w:rsid w:val="00E95231"/>
    <w:rsid w:val="00EA519F"/>
    <w:rsid w:val="00EA58C9"/>
    <w:rsid w:val="00EA7350"/>
    <w:rsid w:val="00EB5255"/>
    <w:rsid w:val="00EB5C47"/>
    <w:rsid w:val="00EB686A"/>
    <w:rsid w:val="00EC6ED8"/>
    <w:rsid w:val="00ED0639"/>
    <w:rsid w:val="00ED3488"/>
    <w:rsid w:val="00ED3D2D"/>
    <w:rsid w:val="00ED7EEC"/>
    <w:rsid w:val="00EE141E"/>
    <w:rsid w:val="00EE26D4"/>
    <w:rsid w:val="00EE5D1E"/>
    <w:rsid w:val="00EF0410"/>
    <w:rsid w:val="00EF4755"/>
    <w:rsid w:val="00EF7135"/>
    <w:rsid w:val="00F00AD5"/>
    <w:rsid w:val="00F01B50"/>
    <w:rsid w:val="00F027DB"/>
    <w:rsid w:val="00F077E9"/>
    <w:rsid w:val="00F14484"/>
    <w:rsid w:val="00F14A7A"/>
    <w:rsid w:val="00F22515"/>
    <w:rsid w:val="00F22985"/>
    <w:rsid w:val="00F24881"/>
    <w:rsid w:val="00F25A69"/>
    <w:rsid w:val="00F32A3E"/>
    <w:rsid w:val="00F3383E"/>
    <w:rsid w:val="00F35184"/>
    <w:rsid w:val="00F35641"/>
    <w:rsid w:val="00F37801"/>
    <w:rsid w:val="00F40A2C"/>
    <w:rsid w:val="00F4457F"/>
    <w:rsid w:val="00F45084"/>
    <w:rsid w:val="00F465A7"/>
    <w:rsid w:val="00F4688B"/>
    <w:rsid w:val="00F50B7C"/>
    <w:rsid w:val="00F550E6"/>
    <w:rsid w:val="00F60EF9"/>
    <w:rsid w:val="00F61043"/>
    <w:rsid w:val="00F63938"/>
    <w:rsid w:val="00F652C9"/>
    <w:rsid w:val="00F67B32"/>
    <w:rsid w:val="00F7151E"/>
    <w:rsid w:val="00F71C1E"/>
    <w:rsid w:val="00F73785"/>
    <w:rsid w:val="00F74345"/>
    <w:rsid w:val="00F80A0A"/>
    <w:rsid w:val="00F80A8D"/>
    <w:rsid w:val="00F81941"/>
    <w:rsid w:val="00F82B19"/>
    <w:rsid w:val="00F87A50"/>
    <w:rsid w:val="00F9212D"/>
    <w:rsid w:val="00F965DA"/>
    <w:rsid w:val="00FA406A"/>
    <w:rsid w:val="00FA7DB2"/>
    <w:rsid w:val="00FB147B"/>
    <w:rsid w:val="00FB155A"/>
    <w:rsid w:val="00FB2EFD"/>
    <w:rsid w:val="00FB430B"/>
    <w:rsid w:val="00FB503A"/>
    <w:rsid w:val="00FB516C"/>
    <w:rsid w:val="00FB5261"/>
    <w:rsid w:val="00FC0F2C"/>
    <w:rsid w:val="00FC67D0"/>
    <w:rsid w:val="00FC6F29"/>
    <w:rsid w:val="00FC7125"/>
    <w:rsid w:val="00FD0236"/>
    <w:rsid w:val="00FD06B6"/>
    <w:rsid w:val="00FD18F4"/>
    <w:rsid w:val="00FD3FDD"/>
    <w:rsid w:val="00FD54DB"/>
    <w:rsid w:val="00FD619F"/>
    <w:rsid w:val="00FE083A"/>
    <w:rsid w:val="00FE34CC"/>
    <w:rsid w:val="00FE6B85"/>
    <w:rsid w:val="00FE6CFF"/>
    <w:rsid w:val="00FE72F1"/>
    <w:rsid w:val="00FF087E"/>
    <w:rsid w:val="00FF120B"/>
    <w:rsid w:val="00FF34CD"/>
    <w:rsid w:val="00FF74E3"/>
    <w:rsid w:val="00FF7EB9"/>
    <w:rsid w:val="01290F7E"/>
    <w:rsid w:val="015D1E09"/>
    <w:rsid w:val="016126BD"/>
    <w:rsid w:val="02014AE5"/>
    <w:rsid w:val="023449B2"/>
    <w:rsid w:val="02506CE4"/>
    <w:rsid w:val="02513F29"/>
    <w:rsid w:val="02697903"/>
    <w:rsid w:val="029C06EA"/>
    <w:rsid w:val="02BF0E8B"/>
    <w:rsid w:val="02F96569"/>
    <w:rsid w:val="0363602F"/>
    <w:rsid w:val="03883658"/>
    <w:rsid w:val="03DD7F34"/>
    <w:rsid w:val="03EA7B21"/>
    <w:rsid w:val="047926A5"/>
    <w:rsid w:val="04A8168E"/>
    <w:rsid w:val="051270F4"/>
    <w:rsid w:val="0574655E"/>
    <w:rsid w:val="05804E3B"/>
    <w:rsid w:val="05F83EAE"/>
    <w:rsid w:val="062416F2"/>
    <w:rsid w:val="063E7D85"/>
    <w:rsid w:val="06FD1606"/>
    <w:rsid w:val="07247C28"/>
    <w:rsid w:val="07293586"/>
    <w:rsid w:val="07295285"/>
    <w:rsid w:val="07636392"/>
    <w:rsid w:val="07770C56"/>
    <w:rsid w:val="079F2F95"/>
    <w:rsid w:val="07FE3B0C"/>
    <w:rsid w:val="08386081"/>
    <w:rsid w:val="092217DD"/>
    <w:rsid w:val="093A7294"/>
    <w:rsid w:val="0A263993"/>
    <w:rsid w:val="0A2D3AC2"/>
    <w:rsid w:val="0A7661F1"/>
    <w:rsid w:val="0AA755DF"/>
    <w:rsid w:val="0AF84822"/>
    <w:rsid w:val="0B120D44"/>
    <w:rsid w:val="0B20718E"/>
    <w:rsid w:val="0BD27BF6"/>
    <w:rsid w:val="0C3B3C7D"/>
    <w:rsid w:val="0C9266B4"/>
    <w:rsid w:val="0CAB2EAE"/>
    <w:rsid w:val="0D621C7D"/>
    <w:rsid w:val="0DC504DF"/>
    <w:rsid w:val="0E0B64FA"/>
    <w:rsid w:val="0E4512A0"/>
    <w:rsid w:val="0E73034D"/>
    <w:rsid w:val="0EAA72AA"/>
    <w:rsid w:val="0F13775A"/>
    <w:rsid w:val="0F5F45FE"/>
    <w:rsid w:val="0F9A112B"/>
    <w:rsid w:val="10223B8C"/>
    <w:rsid w:val="106D2F64"/>
    <w:rsid w:val="10AA211B"/>
    <w:rsid w:val="10B63710"/>
    <w:rsid w:val="10B95885"/>
    <w:rsid w:val="10F10820"/>
    <w:rsid w:val="111C2F7A"/>
    <w:rsid w:val="11614617"/>
    <w:rsid w:val="11635029"/>
    <w:rsid w:val="11665CA1"/>
    <w:rsid w:val="11E85D52"/>
    <w:rsid w:val="12900868"/>
    <w:rsid w:val="12BE12EB"/>
    <w:rsid w:val="12CB71BA"/>
    <w:rsid w:val="13951726"/>
    <w:rsid w:val="1413297E"/>
    <w:rsid w:val="14396509"/>
    <w:rsid w:val="14DD2C3C"/>
    <w:rsid w:val="14F06316"/>
    <w:rsid w:val="14FF19C5"/>
    <w:rsid w:val="151412DC"/>
    <w:rsid w:val="158D0BB8"/>
    <w:rsid w:val="15F31F27"/>
    <w:rsid w:val="16087E1D"/>
    <w:rsid w:val="162730A5"/>
    <w:rsid w:val="17217F4E"/>
    <w:rsid w:val="1752433D"/>
    <w:rsid w:val="17701D14"/>
    <w:rsid w:val="17735226"/>
    <w:rsid w:val="17E01B36"/>
    <w:rsid w:val="189F624C"/>
    <w:rsid w:val="18C86BB3"/>
    <w:rsid w:val="18E83202"/>
    <w:rsid w:val="18FF663F"/>
    <w:rsid w:val="19396CAB"/>
    <w:rsid w:val="19434243"/>
    <w:rsid w:val="1967405F"/>
    <w:rsid w:val="19DC78AB"/>
    <w:rsid w:val="1A1C66C0"/>
    <w:rsid w:val="1A42393B"/>
    <w:rsid w:val="1AAD45DE"/>
    <w:rsid w:val="1AEB0D31"/>
    <w:rsid w:val="1B046F80"/>
    <w:rsid w:val="1B3267B5"/>
    <w:rsid w:val="1B40161D"/>
    <w:rsid w:val="1B441859"/>
    <w:rsid w:val="1B5B562D"/>
    <w:rsid w:val="1B6606B1"/>
    <w:rsid w:val="1B6B0D20"/>
    <w:rsid w:val="1BBD1A7D"/>
    <w:rsid w:val="1BC03003"/>
    <w:rsid w:val="1BE5022D"/>
    <w:rsid w:val="1C274AE3"/>
    <w:rsid w:val="1C316C17"/>
    <w:rsid w:val="1C5E7925"/>
    <w:rsid w:val="1C675509"/>
    <w:rsid w:val="1C8256C5"/>
    <w:rsid w:val="1CDC6AD7"/>
    <w:rsid w:val="1CFD070F"/>
    <w:rsid w:val="1D2143F3"/>
    <w:rsid w:val="1D5F6196"/>
    <w:rsid w:val="1D6132A5"/>
    <w:rsid w:val="1D8655F8"/>
    <w:rsid w:val="1D8E56D5"/>
    <w:rsid w:val="1DCC307F"/>
    <w:rsid w:val="1DF124DE"/>
    <w:rsid w:val="1E7A43DA"/>
    <w:rsid w:val="1E7B2FBE"/>
    <w:rsid w:val="1E8411D7"/>
    <w:rsid w:val="1E990AA4"/>
    <w:rsid w:val="1F221C3A"/>
    <w:rsid w:val="1F3A6FFE"/>
    <w:rsid w:val="1F8704E5"/>
    <w:rsid w:val="1FC77FCF"/>
    <w:rsid w:val="1FE7539E"/>
    <w:rsid w:val="20671BE0"/>
    <w:rsid w:val="20704CAA"/>
    <w:rsid w:val="208A7EE4"/>
    <w:rsid w:val="20963CB8"/>
    <w:rsid w:val="20A81A1B"/>
    <w:rsid w:val="20B07FB6"/>
    <w:rsid w:val="20B646FB"/>
    <w:rsid w:val="20D47F07"/>
    <w:rsid w:val="20EC3A4A"/>
    <w:rsid w:val="213B74B1"/>
    <w:rsid w:val="215A2310"/>
    <w:rsid w:val="21DE318A"/>
    <w:rsid w:val="21EF5B80"/>
    <w:rsid w:val="22576990"/>
    <w:rsid w:val="229F70B5"/>
    <w:rsid w:val="22F47480"/>
    <w:rsid w:val="23375A0A"/>
    <w:rsid w:val="2367019C"/>
    <w:rsid w:val="23D6224E"/>
    <w:rsid w:val="23DE1C48"/>
    <w:rsid w:val="240210CD"/>
    <w:rsid w:val="2414688E"/>
    <w:rsid w:val="24217D5F"/>
    <w:rsid w:val="24AF4B7D"/>
    <w:rsid w:val="24B75381"/>
    <w:rsid w:val="24B85AC3"/>
    <w:rsid w:val="24BF09F7"/>
    <w:rsid w:val="24E83BFB"/>
    <w:rsid w:val="25145AF9"/>
    <w:rsid w:val="252D53FE"/>
    <w:rsid w:val="25526BDE"/>
    <w:rsid w:val="25AF779A"/>
    <w:rsid w:val="25EC2D81"/>
    <w:rsid w:val="264324A6"/>
    <w:rsid w:val="2689060F"/>
    <w:rsid w:val="277057A2"/>
    <w:rsid w:val="277C7818"/>
    <w:rsid w:val="29206EB8"/>
    <w:rsid w:val="29595666"/>
    <w:rsid w:val="29874881"/>
    <w:rsid w:val="29CC245E"/>
    <w:rsid w:val="29D15596"/>
    <w:rsid w:val="29E05285"/>
    <w:rsid w:val="29E325E0"/>
    <w:rsid w:val="2A2D43B7"/>
    <w:rsid w:val="2A313E72"/>
    <w:rsid w:val="2A452503"/>
    <w:rsid w:val="2A4A3993"/>
    <w:rsid w:val="2BA936A8"/>
    <w:rsid w:val="2C2C11A9"/>
    <w:rsid w:val="2C315A5A"/>
    <w:rsid w:val="2C4B1C25"/>
    <w:rsid w:val="2C7A6795"/>
    <w:rsid w:val="2C7B2A60"/>
    <w:rsid w:val="2C7C18C8"/>
    <w:rsid w:val="2C803B90"/>
    <w:rsid w:val="2C830F51"/>
    <w:rsid w:val="2C934D84"/>
    <w:rsid w:val="2D9E56F5"/>
    <w:rsid w:val="2DB5450D"/>
    <w:rsid w:val="2E3D7AD5"/>
    <w:rsid w:val="2E667F96"/>
    <w:rsid w:val="2E8226AB"/>
    <w:rsid w:val="2EE57978"/>
    <w:rsid w:val="2F5039A5"/>
    <w:rsid w:val="2FD065E6"/>
    <w:rsid w:val="2FD96870"/>
    <w:rsid w:val="3034751D"/>
    <w:rsid w:val="30580BC9"/>
    <w:rsid w:val="311E2ED7"/>
    <w:rsid w:val="315619EE"/>
    <w:rsid w:val="315C449C"/>
    <w:rsid w:val="318653F1"/>
    <w:rsid w:val="31B82709"/>
    <w:rsid w:val="31D05482"/>
    <w:rsid w:val="32400B34"/>
    <w:rsid w:val="32586854"/>
    <w:rsid w:val="32992B01"/>
    <w:rsid w:val="329E6876"/>
    <w:rsid w:val="332E5807"/>
    <w:rsid w:val="333015F2"/>
    <w:rsid w:val="334B6320"/>
    <w:rsid w:val="33D934D4"/>
    <w:rsid w:val="33FE2F6A"/>
    <w:rsid w:val="33FE342B"/>
    <w:rsid w:val="340E07E5"/>
    <w:rsid w:val="34235BF7"/>
    <w:rsid w:val="34A21FD0"/>
    <w:rsid w:val="34AB166F"/>
    <w:rsid w:val="35341A72"/>
    <w:rsid w:val="35410AB5"/>
    <w:rsid w:val="358C5FA8"/>
    <w:rsid w:val="35C15DF1"/>
    <w:rsid w:val="35EF3B50"/>
    <w:rsid w:val="36074A7F"/>
    <w:rsid w:val="36923549"/>
    <w:rsid w:val="36B75FBF"/>
    <w:rsid w:val="36BD0C45"/>
    <w:rsid w:val="37B43A73"/>
    <w:rsid w:val="37E00298"/>
    <w:rsid w:val="38B302F9"/>
    <w:rsid w:val="38D51E7E"/>
    <w:rsid w:val="38D95938"/>
    <w:rsid w:val="38E32A48"/>
    <w:rsid w:val="38EF0754"/>
    <w:rsid w:val="38F12CD3"/>
    <w:rsid w:val="38F94775"/>
    <w:rsid w:val="392971ED"/>
    <w:rsid w:val="39325651"/>
    <w:rsid w:val="398C5E33"/>
    <w:rsid w:val="3A1D150D"/>
    <w:rsid w:val="3A211511"/>
    <w:rsid w:val="3A2E16F8"/>
    <w:rsid w:val="3A4B607C"/>
    <w:rsid w:val="3A6164C2"/>
    <w:rsid w:val="3A872856"/>
    <w:rsid w:val="3B3763D1"/>
    <w:rsid w:val="3BFD6193"/>
    <w:rsid w:val="3C05428A"/>
    <w:rsid w:val="3C2F6E1E"/>
    <w:rsid w:val="3C4F64BA"/>
    <w:rsid w:val="3C6006B4"/>
    <w:rsid w:val="3C6669DF"/>
    <w:rsid w:val="3CDA245A"/>
    <w:rsid w:val="3D1E06B7"/>
    <w:rsid w:val="3D48738A"/>
    <w:rsid w:val="3D9C04FB"/>
    <w:rsid w:val="3EAE67E3"/>
    <w:rsid w:val="3EDA0523"/>
    <w:rsid w:val="3F2A4EC1"/>
    <w:rsid w:val="3F920C1A"/>
    <w:rsid w:val="3FFA1E04"/>
    <w:rsid w:val="401851B1"/>
    <w:rsid w:val="403526FD"/>
    <w:rsid w:val="40475287"/>
    <w:rsid w:val="407A6407"/>
    <w:rsid w:val="4200449D"/>
    <w:rsid w:val="422E346A"/>
    <w:rsid w:val="423A3BCC"/>
    <w:rsid w:val="424E57D2"/>
    <w:rsid w:val="42B26C49"/>
    <w:rsid w:val="433A6FE6"/>
    <w:rsid w:val="43480868"/>
    <w:rsid w:val="4350713C"/>
    <w:rsid w:val="436653E0"/>
    <w:rsid w:val="43C4431A"/>
    <w:rsid w:val="43EE6197"/>
    <w:rsid w:val="44071E88"/>
    <w:rsid w:val="44B951CC"/>
    <w:rsid w:val="44CD14E0"/>
    <w:rsid w:val="44F20B0B"/>
    <w:rsid w:val="44F763A1"/>
    <w:rsid w:val="452E5F4C"/>
    <w:rsid w:val="45612018"/>
    <w:rsid w:val="4565330A"/>
    <w:rsid w:val="458946E9"/>
    <w:rsid w:val="45A47C0E"/>
    <w:rsid w:val="46577FD6"/>
    <w:rsid w:val="46D955A7"/>
    <w:rsid w:val="47133957"/>
    <w:rsid w:val="47A07E0C"/>
    <w:rsid w:val="47A5035A"/>
    <w:rsid w:val="47BE13E4"/>
    <w:rsid w:val="47CF48E0"/>
    <w:rsid w:val="47F06C1E"/>
    <w:rsid w:val="4870272E"/>
    <w:rsid w:val="488E2B78"/>
    <w:rsid w:val="49436447"/>
    <w:rsid w:val="498E0956"/>
    <w:rsid w:val="49DC7715"/>
    <w:rsid w:val="4A023139"/>
    <w:rsid w:val="4A655B5A"/>
    <w:rsid w:val="4A7B576F"/>
    <w:rsid w:val="4AF561A9"/>
    <w:rsid w:val="4AFF007F"/>
    <w:rsid w:val="4B4D6D1A"/>
    <w:rsid w:val="4BC7747F"/>
    <w:rsid w:val="4BF321FA"/>
    <w:rsid w:val="4C4A0649"/>
    <w:rsid w:val="4C7E5ECA"/>
    <w:rsid w:val="4C7F0B65"/>
    <w:rsid w:val="4C876AA5"/>
    <w:rsid w:val="4CEA67EB"/>
    <w:rsid w:val="4D067629"/>
    <w:rsid w:val="4D0E00FB"/>
    <w:rsid w:val="4D176606"/>
    <w:rsid w:val="4D792B4F"/>
    <w:rsid w:val="4D975FA3"/>
    <w:rsid w:val="4DEC4FB0"/>
    <w:rsid w:val="4E075D8A"/>
    <w:rsid w:val="4E0D73E7"/>
    <w:rsid w:val="4E834B33"/>
    <w:rsid w:val="4EC00FAD"/>
    <w:rsid w:val="4ECE53FD"/>
    <w:rsid w:val="4F9843DC"/>
    <w:rsid w:val="4FC62A8C"/>
    <w:rsid w:val="4FE20F0D"/>
    <w:rsid w:val="4FE51552"/>
    <w:rsid w:val="50504C4B"/>
    <w:rsid w:val="509C6E7C"/>
    <w:rsid w:val="510307F2"/>
    <w:rsid w:val="5162104E"/>
    <w:rsid w:val="51913948"/>
    <w:rsid w:val="524B0C3A"/>
    <w:rsid w:val="53A039CC"/>
    <w:rsid w:val="53A1505A"/>
    <w:rsid w:val="53BE1CEB"/>
    <w:rsid w:val="54061831"/>
    <w:rsid w:val="54063E08"/>
    <w:rsid w:val="543437E8"/>
    <w:rsid w:val="548E3394"/>
    <w:rsid w:val="54F73313"/>
    <w:rsid w:val="54F80955"/>
    <w:rsid w:val="551F37FA"/>
    <w:rsid w:val="55336EE6"/>
    <w:rsid w:val="555170A7"/>
    <w:rsid w:val="55840710"/>
    <w:rsid w:val="5587536D"/>
    <w:rsid w:val="559B174B"/>
    <w:rsid w:val="55CE0CF4"/>
    <w:rsid w:val="55D12955"/>
    <w:rsid w:val="56B22A9C"/>
    <w:rsid w:val="56C750CA"/>
    <w:rsid w:val="57593D1E"/>
    <w:rsid w:val="577906A4"/>
    <w:rsid w:val="579A6DB0"/>
    <w:rsid w:val="57B72A76"/>
    <w:rsid w:val="57C3426C"/>
    <w:rsid w:val="57CE1F93"/>
    <w:rsid w:val="588743D1"/>
    <w:rsid w:val="5887701A"/>
    <w:rsid w:val="589A3E4B"/>
    <w:rsid w:val="58D32880"/>
    <w:rsid w:val="592F3F03"/>
    <w:rsid w:val="59C0439F"/>
    <w:rsid w:val="5A395BB9"/>
    <w:rsid w:val="5ABE2233"/>
    <w:rsid w:val="5AF9260B"/>
    <w:rsid w:val="5B8564FD"/>
    <w:rsid w:val="5B887C02"/>
    <w:rsid w:val="5BCF3A50"/>
    <w:rsid w:val="5BDF5D95"/>
    <w:rsid w:val="5BFE7528"/>
    <w:rsid w:val="5C5D3CDF"/>
    <w:rsid w:val="5C650259"/>
    <w:rsid w:val="5D16693F"/>
    <w:rsid w:val="5D2406AA"/>
    <w:rsid w:val="5D3152A9"/>
    <w:rsid w:val="5D5C18F1"/>
    <w:rsid w:val="5D997515"/>
    <w:rsid w:val="5E2467F1"/>
    <w:rsid w:val="5ED531D5"/>
    <w:rsid w:val="5F1A2B43"/>
    <w:rsid w:val="5F1A726B"/>
    <w:rsid w:val="5FA90162"/>
    <w:rsid w:val="5FB837BB"/>
    <w:rsid w:val="60924059"/>
    <w:rsid w:val="60C2411E"/>
    <w:rsid w:val="60CC405A"/>
    <w:rsid w:val="61890A0B"/>
    <w:rsid w:val="61E215D8"/>
    <w:rsid w:val="621B3775"/>
    <w:rsid w:val="62364782"/>
    <w:rsid w:val="6243103D"/>
    <w:rsid w:val="63653462"/>
    <w:rsid w:val="6394356A"/>
    <w:rsid w:val="63C010E4"/>
    <w:rsid w:val="63C61B2C"/>
    <w:rsid w:val="63D40BE9"/>
    <w:rsid w:val="63E11DFD"/>
    <w:rsid w:val="64102431"/>
    <w:rsid w:val="648E792F"/>
    <w:rsid w:val="64A5243A"/>
    <w:rsid w:val="64F531DE"/>
    <w:rsid w:val="6532585B"/>
    <w:rsid w:val="65373578"/>
    <w:rsid w:val="6570056A"/>
    <w:rsid w:val="66A76790"/>
    <w:rsid w:val="671F124A"/>
    <w:rsid w:val="677A33C6"/>
    <w:rsid w:val="67E34594"/>
    <w:rsid w:val="681F6961"/>
    <w:rsid w:val="68610A2F"/>
    <w:rsid w:val="68805514"/>
    <w:rsid w:val="69316E2F"/>
    <w:rsid w:val="694E2071"/>
    <w:rsid w:val="69543FA9"/>
    <w:rsid w:val="69766163"/>
    <w:rsid w:val="697A3B33"/>
    <w:rsid w:val="69A73DCA"/>
    <w:rsid w:val="69D44760"/>
    <w:rsid w:val="6A1567FD"/>
    <w:rsid w:val="6A520EC7"/>
    <w:rsid w:val="6A883BA4"/>
    <w:rsid w:val="6ADF40B7"/>
    <w:rsid w:val="6AF87E20"/>
    <w:rsid w:val="6B322639"/>
    <w:rsid w:val="6B364C7D"/>
    <w:rsid w:val="6BB14F23"/>
    <w:rsid w:val="6C636C38"/>
    <w:rsid w:val="6C7C2B64"/>
    <w:rsid w:val="6C9F4055"/>
    <w:rsid w:val="6CAE6586"/>
    <w:rsid w:val="6CF83187"/>
    <w:rsid w:val="6D0D4516"/>
    <w:rsid w:val="6D3B489B"/>
    <w:rsid w:val="6DB34098"/>
    <w:rsid w:val="6DB545B6"/>
    <w:rsid w:val="6DB6071C"/>
    <w:rsid w:val="6DC21A35"/>
    <w:rsid w:val="6DE02FB4"/>
    <w:rsid w:val="6DE4613B"/>
    <w:rsid w:val="6E0B510E"/>
    <w:rsid w:val="6E514CED"/>
    <w:rsid w:val="6EB563D5"/>
    <w:rsid w:val="6ED92677"/>
    <w:rsid w:val="6EEC03AC"/>
    <w:rsid w:val="6EFD598D"/>
    <w:rsid w:val="6F225983"/>
    <w:rsid w:val="6F9100BB"/>
    <w:rsid w:val="6FA36985"/>
    <w:rsid w:val="6FFC5590"/>
    <w:rsid w:val="706D1DD0"/>
    <w:rsid w:val="70856B87"/>
    <w:rsid w:val="70AC70EB"/>
    <w:rsid w:val="70D527EE"/>
    <w:rsid w:val="715B5300"/>
    <w:rsid w:val="71752277"/>
    <w:rsid w:val="71D27F8A"/>
    <w:rsid w:val="72553024"/>
    <w:rsid w:val="729C77DA"/>
    <w:rsid w:val="72C21F9B"/>
    <w:rsid w:val="73122968"/>
    <w:rsid w:val="731F5D5E"/>
    <w:rsid w:val="73C51AD5"/>
    <w:rsid w:val="741E793C"/>
    <w:rsid w:val="745E3944"/>
    <w:rsid w:val="747C3C66"/>
    <w:rsid w:val="74FA78DF"/>
    <w:rsid w:val="75982291"/>
    <w:rsid w:val="7635099D"/>
    <w:rsid w:val="76380477"/>
    <w:rsid w:val="76BB1721"/>
    <w:rsid w:val="76C80822"/>
    <w:rsid w:val="77242776"/>
    <w:rsid w:val="77762421"/>
    <w:rsid w:val="77780051"/>
    <w:rsid w:val="77904897"/>
    <w:rsid w:val="77B56B1F"/>
    <w:rsid w:val="780F09F4"/>
    <w:rsid w:val="787B3F33"/>
    <w:rsid w:val="78A90480"/>
    <w:rsid w:val="78E117B4"/>
    <w:rsid w:val="792C0410"/>
    <w:rsid w:val="7A275144"/>
    <w:rsid w:val="7A364017"/>
    <w:rsid w:val="7A8265E1"/>
    <w:rsid w:val="7A9B29EA"/>
    <w:rsid w:val="7B686D42"/>
    <w:rsid w:val="7B7A3818"/>
    <w:rsid w:val="7B841746"/>
    <w:rsid w:val="7C6C5AC7"/>
    <w:rsid w:val="7CC6544B"/>
    <w:rsid w:val="7CF866AD"/>
    <w:rsid w:val="7D0239FF"/>
    <w:rsid w:val="7D5E40CD"/>
    <w:rsid w:val="7DCD56F2"/>
    <w:rsid w:val="7E0169B3"/>
    <w:rsid w:val="7F001CE7"/>
    <w:rsid w:val="7FBB14BD"/>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iPriority="0" w:name="heading 3" w:locked="1"/>
    <w:lsdException w:qFormat="1" w:unhideWhenUsed="0"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iPriority="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qFormat="1"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qFormat="1"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qFormat="1" w:uiPriority="99"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qFormat="1" w:unhideWhenUsed="0" w:uiPriority="0" w:semiHidden="0" w:name="Body Text Indent 2" w:locked="1"/>
    <w:lsdException w:unhideWhenUsed="0" w:uiPriority="0" w:semiHidden="0" w:name="Body Text Indent 3" w:locked="1"/>
    <w:lsdException w:qFormat="1" w:unhideWhenUsed="0" w:uiPriority="0" w:semiHidden="0" w:name="Block Text" w:locked="1"/>
    <w:lsdException w:qFormat="1" w:uiPriority="99" w:semiHidden="0" w:name="Hyperlink" w:locked="1"/>
    <w:lsdException w:unhideWhenUsed="0" w:uiPriority="0" w:semiHidden="0" w:name="FollowedHyperlink" w:locked="1"/>
    <w:lsdException w:qFormat="1" w:unhideWhenUsed="0" w:uiPriority="22"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59" w:semiHidden="0" w:name="Table Grid"/>
    <w:lsdException w:unhideWhenUsed="0" w:uiPriority="0" w:semiHidden="0" w:name="Table Theme" w:locked="1"/>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68"/>
    <w:autoRedefine/>
    <w:semiHidden/>
    <w:unhideWhenUsed/>
    <w:qFormat/>
    <w:locked/>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69"/>
    <w:autoRedefine/>
    <w:semiHidden/>
    <w:unhideWhenUsed/>
    <w:qFormat/>
    <w:locked/>
    <w:uiPriority w:val="0"/>
    <w:pPr>
      <w:keepNext/>
      <w:keepLines/>
      <w:spacing w:before="260" w:after="260" w:line="416" w:lineRule="auto"/>
      <w:outlineLvl w:val="2"/>
    </w:pPr>
    <w:rPr>
      <w:b/>
      <w:bCs/>
      <w:sz w:val="32"/>
      <w:szCs w:val="32"/>
    </w:rPr>
  </w:style>
  <w:style w:type="paragraph" w:styleId="5">
    <w:name w:val="heading 4"/>
    <w:basedOn w:val="1"/>
    <w:next w:val="1"/>
    <w:autoRedefine/>
    <w:qFormat/>
    <w:locked/>
    <w:uiPriority w:val="0"/>
    <w:pPr>
      <w:keepNext/>
      <w:keepLines/>
      <w:spacing w:before="280" w:after="290" w:line="376" w:lineRule="auto"/>
      <w:outlineLvl w:val="3"/>
    </w:pPr>
    <w:rPr>
      <w:rFonts w:ascii="Arial" w:hAnsi="Arial" w:eastAsia="黑体"/>
      <w:b/>
      <w:bCs/>
      <w:sz w:val="28"/>
      <w:szCs w:val="28"/>
    </w:rPr>
  </w:style>
  <w:style w:type="character" w:default="1" w:styleId="28">
    <w:name w:val="Default Paragraph Font"/>
    <w:autoRedefine/>
    <w:semiHidden/>
    <w:unhideWhenUsed/>
    <w:qFormat/>
    <w:uiPriority w:val="1"/>
  </w:style>
  <w:style w:type="table" w:default="1" w:styleId="26">
    <w:name w:val="Normal Table"/>
    <w:autoRedefine/>
    <w:semiHidden/>
    <w:unhideWhenUsed/>
    <w:qFormat/>
    <w:uiPriority w:val="99"/>
    <w:tblPr>
      <w:tblCellMar>
        <w:top w:w="0" w:type="dxa"/>
        <w:left w:w="108" w:type="dxa"/>
        <w:bottom w:w="0" w:type="dxa"/>
        <w:right w:w="108" w:type="dxa"/>
      </w:tblCellMar>
    </w:tblPr>
  </w:style>
  <w:style w:type="paragraph" w:styleId="6">
    <w:name w:val="Normal Indent"/>
    <w:basedOn w:val="1"/>
    <w:next w:val="5"/>
    <w:autoRedefine/>
    <w:qFormat/>
    <w:locked/>
    <w:uiPriority w:val="0"/>
    <w:pPr>
      <w:ind w:firstLine="0" w:firstLineChars="0"/>
    </w:pPr>
    <w:rPr>
      <w:b/>
    </w:rPr>
  </w:style>
  <w:style w:type="paragraph" w:styleId="7">
    <w:name w:val="annotation text"/>
    <w:basedOn w:val="1"/>
    <w:link w:val="49"/>
    <w:autoRedefine/>
    <w:semiHidden/>
    <w:qFormat/>
    <w:uiPriority w:val="0"/>
    <w:pPr>
      <w:jc w:val="left"/>
    </w:pPr>
    <w:rPr>
      <w:kern w:val="0"/>
      <w:sz w:val="24"/>
      <w:szCs w:val="20"/>
    </w:rPr>
  </w:style>
  <w:style w:type="paragraph" w:styleId="8">
    <w:name w:val="Body Text"/>
    <w:basedOn w:val="1"/>
    <w:next w:val="9"/>
    <w:link w:val="48"/>
    <w:autoRedefine/>
    <w:qFormat/>
    <w:uiPriority w:val="0"/>
    <w:pPr>
      <w:widowControl/>
      <w:snapToGrid w:val="0"/>
      <w:spacing w:before="60" w:after="160" w:line="259" w:lineRule="auto"/>
      <w:ind w:right="113"/>
    </w:pPr>
    <w:rPr>
      <w:kern w:val="0"/>
      <w:sz w:val="18"/>
      <w:szCs w:val="20"/>
    </w:rPr>
  </w:style>
  <w:style w:type="paragraph" w:styleId="9">
    <w:name w:val="List Bullet 5"/>
    <w:basedOn w:val="1"/>
    <w:autoRedefine/>
    <w:qFormat/>
    <w:locked/>
    <w:uiPriority w:val="0"/>
    <w:pPr>
      <w:numPr>
        <w:ilvl w:val="0"/>
        <w:numId w:val="1"/>
      </w:numPr>
    </w:pPr>
  </w:style>
  <w:style w:type="paragraph" w:styleId="10">
    <w:name w:val="Body Text Indent"/>
    <w:basedOn w:val="1"/>
    <w:link w:val="57"/>
    <w:autoRedefine/>
    <w:qFormat/>
    <w:uiPriority w:val="0"/>
    <w:pPr>
      <w:spacing w:after="120"/>
      <w:ind w:left="420" w:leftChars="200"/>
    </w:pPr>
    <w:rPr>
      <w:kern w:val="0"/>
      <w:sz w:val="24"/>
      <w:szCs w:val="20"/>
    </w:rPr>
  </w:style>
  <w:style w:type="paragraph" w:styleId="11">
    <w:name w:val="Block Text"/>
    <w:basedOn w:val="1"/>
    <w:next w:val="1"/>
    <w:autoRedefine/>
    <w:qFormat/>
    <w:locked/>
    <w:uiPriority w:val="0"/>
    <w:pPr>
      <w:ind w:left="1440" w:leftChars="700" w:right="700" w:rightChars="700"/>
    </w:pPr>
  </w:style>
  <w:style w:type="paragraph" w:styleId="12">
    <w:name w:val="Plain Text"/>
    <w:basedOn w:val="1"/>
    <w:next w:val="13"/>
    <w:link w:val="61"/>
    <w:autoRedefine/>
    <w:qFormat/>
    <w:locked/>
    <w:uiPriority w:val="0"/>
    <w:rPr>
      <w:rFonts w:ascii="宋体" w:hAnsi="Courier New"/>
      <w:spacing w:val="5"/>
      <w:sz w:val="25"/>
      <w:szCs w:val="25"/>
    </w:rPr>
  </w:style>
  <w:style w:type="paragraph" w:styleId="13">
    <w:name w:val="List Continue 5"/>
    <w:basedOn w:val="1"/>
    <w:autoRedefine/>
    <w:unhideWhenUsed/>
    <w:qFormat/>
    <w:locked/>
    <w:uiPriority w:val="99"/>
    <w:pPr>
      <w:spacing w:after="120"/>
      <w:ind w:left="2100" w:leftChars="1000"/>
    </w:pPr>
  </w:style>
  <w:style w:type="paragraph" w:styleId="14">
    <w:name w:val="Date"/>
    <w:basedOn w:val="1"/>
    <w:next w:val="1"/>
    <w:link w:val="44"/>
    <w:autoRedefine/>
    <w:qFormat/>
    <w:uiPriority w:val="0"/>
    <w:pPr>
      <w:ind w:left="100" w:leftChars="2500"/>
    </w:pPr>
    <w:rPr>
      <w:kern w:val="0"/>
      <w:sz w:val="24"/>
      <w:szCs w:val="20"/>
    </w:rPr>
  </w:style>
  <w:style w:type="paragraph" w:styleId="15">
    <w:name w:val="Body Text Indent 2"/>
    <w:basedOn w:val="1"/>
    <w:link w:val="67"/>
    <w:autoRedefine/>
    <w:qFormat/>
    <w:locked/>
    <w:uiPriority w:val="0"/>
    <w:pPr>
      <w:spacing w:after="120" w:line="480" w:lineRule="auto"/>
      <w:ind w:left="420" w:leftChars="200"/>
    </w:pPr>
  </w:style>
  <w:style w:type="paragraph" w:styleId="16">
    <w:name w:val="endnote text"/>
    <w:basedOn w:val="1"/>
    <w:autoRedefine/>
    <w:unhideWhenUsed/>
    <w:qFormat/>
    <w:locked/>
    <w:uiPriority w:val="0"/>
    <w:pPr>
      <w:snapToGrid w:val="0"/>
      <w:jc w:val="left"/>
    </w:pPr>
    <w:rPr>
      <w:rFonts w:ascii="Calibri" w:hAnsi="Calibri"/>
      <w:sz w:val="24"/>
      <w:szCs w:val="22"/>
    </w:rPr>
  </w:style>
  <w:style w:type="paragraph" w:styleId="17">
    <w:name w:val="Balloon Text"/>
    <w:basedOn w:val="1"/>
    <w:link w:val="53"/>
    <w:autoRedefine/>
    <w:semiHidden/>
    <w:qFormat/>
    <w:uiPriority w:val="0"/>
    <w:rPr>
      <w:kern w:val="0"/>
      <w:sz w:val="18"/>
      <w:szCs w:val="20"/>
    </w:rPr>
  </w:style>
  <w:style w:type="paragraph" w:styleId="18">
    <w:name w:val="footer"/>
    <w:basedOn w:val="1"/>
    <w:link w:val="43"/>
    <w:autoRedefine/>
    <w:qFormat/>
    <w:uiPriority w:val="99"/>
    <w:pPr>
      <w:tabs>
        <w:tab w:val="center" w:pos="4153"/>
        <w:tab w:val="right" w:pos="8306"/>
      </w:tabs>
      <w:snapToGrid w:val="0"/>
      <w:jc w:val="left"/>
    </w:pPr>
    <w:rPr>
      <w:kern w:val="0"/>
      <w:sz w:val="18"/>
      <w:szCs w:val="20"/>
    </w:rPr>
  </w:style>
  <w:style w:type="paragraph" w:styleId="19">
    <w:name w:val="header"/>
    <w:basedOn w:val="1"/>
    <w:next w:val="20"/>
    <w:link w:val="55"/>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0">
    <w:name w:val="样式5"/>
    <w:basedOn w:val="21"/>
    <w:next w:val="16"/>
    <w:autoRedefine/>
    <w:qFormat/>
    <w:uiPriority w:val="0"/>
    <w:pPr>
      <w:spacing w:line="580" w:lineRule="exact"/>
      <w:ind w:firstLine="720" w:firstLineChars="300"/>
    </w:pPr>
    <w:rPr>
      <w:rFonts w:ascii="黑体" w:eastAsia="黑体"/>
      <w:sz w:val="24"/>
    </w:rPr>
  </w:style>
  <w:style w:type="paragraph" w:customStyle="1" w:styleId="21">
    <w:name w:val="正文1"/>
    <w:next w:val="1"/>
    <w:autoRedefine/>
    <w:qFormat/>
    <w:uiPriority w:val="0"/>
    <w:pPr>
      <w:jc w:val="both"/>
    </w:pPr>
    <w:rPr>
      <w:rFonts w:ascii="Times New Roman" w:hAnsi="Times New Roman" w:eastAsia="宋体" w:cs="Times New Roman"/>
      <w:kern w:val="2"/>
      <w:sz w:val="21"/>
      <w:szCs w:val="21"/>
      <w:lang w:val="en-US" w:eastAsia="zh-CN" w:bidi="ar-SA"/>
    </w:rPr>
  </w:style>
  <w:style w:type="paragraph" w:styleId="22">
    <w:name w:val="Normal (Web)"/>
    <w:basedOn w:val="1"/>
    <w:link w:val="46"/>
    <w:autoRedefine/>
    <w:qFormat/>
    <w:uiPriority w:val="0"/>
    <w:pPr>
      <w:widowControl/>
      <w:spacing w:before="100" w:beforeAutospacing="1" w:after="100" w:afterAutospacing="1"/>
      <w:jc w:val="left"/>
    </w:pPr>
    <w:rPr>
      <w:rFonts w:ascii="宋体" w:hAnsi="宋体"/>
      <w:kern w:val="0"/>
      <w:sz w:val="24"/>
      <w:szCs w:val="20"/>
    </w:rPr>
  </w:style>
  <w:style w:type="paragraph" w:styleId="23">
    <w:name w:val="annotation subject"/>
    <w:basedOn w:val="7"/>
    <w:next w:val="7"/>
    <w:link w:val="54"/>
    <w:autoRedefine/>
    <w:semiHidden/>
    <w:qFormat/>
    <w:uiPriority w:val="0"/>
    <w:rPr>
      <w:b/>
    </w:rPr>
  </w:style>
  <w:style w:type="paragraph" w:styleId="24">
    <w:name w:val="Body Text First Indent"/>
    <w:basedOn w:val="8"/>
    <w:next w:val="1"/>
    <w:autoRedefine/>
    <w:qFormat/>
    <w:locked/>
    <w:uiPriority w:val="0"/>
    <w:pPr>
      <w:ind w:firstLine="420" w:firstLineChars="100"/>
    </w:pPr>
  </w:style>
  <w:style w:type="paragraph" w:styleId="25">
    <w:name w:val="Body Text First Indent 2"/>
    <w:basedOn w:val="10"/>
    <w:next w:val="24"/>
    <w:autoRedefine/>
    <w:qFormat/>
    <w:locked/>
    <w:uiPriority w:val="0"/>
    <w:pPr>
      <w:ind w:firstLine="420" w:firstLineChars="200"/>
    </w:pPr>
    <w:rPr>
      <w:rFonts w:ascii="Times New Roman" w:hAnsi="Times New Roman" w:eastAsia="仿宋_GB2312" w:cs="方正小标宋简体"/>
      <w:sz w:val="32"/>
      <w:szCs w:val="44"/>
    </w:rPr>
  </w:style>
  <w:style w:type="table" w:styleId="27">
    <w:name w:val="Table Grid"/>
    <w:basedOn w:val="26"/>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autoRedefine/>
    <w:qFormat/>
    <w:locked/>
    <w:uiPriority w:val="22"/>
    <w:rPr>
      <w:b/>
      <w:bCs/>
    </w:rPr>
  </w:style>
  <w:style w:type="character" w:styleId="30">
    <w:name w:val="page number"/>
    <w:basedOn w:val="28"/>
    <w:autoRedefine/>
    <w:qFormat/>
    <w:locked/>
    <w:uiPriority w:val="0"/>
  </w:style>
  <w:style w:type="character" w:styleId="31">
    <w:name w:val="Emphasis"/>
    <w:basedOn w:val="28"/>
    <w:autoRedefine/>
    <w:qFormat/>
    <w:locked/>
    <w:uiPriority w:val="0"/>
    <w:rPr>
      <w:i/>
    </w:rPr>
  </w:style>
  <w:style w:type="character" w:styleId="32">
    <w:name w:val="Hyperlink"/>
    <w:basedOn w:val="28"/>
    <w:autoRedefine/>
    <w:unhideWhenUsed/>
    <w:qFormat/>
    <w:locked/>
    <w:uiPriority w:val="99"/>
    <w:rPr>
      <w:color w:val="0000FF"/>
      <w:u w:val="single"/>
    </w:rPr>
  </w:style>
  <w:style w:type="character" w:styleId="33">
    <w:name w:val="annotation reference"/>
    <w:autoRedefine/>
    <w:semiHidden/>
    <w:qFormat/>
    <w:uiPriority w:val="0"/>
    <w:rPr>
      <w:sz w:val="21"/>
    </w:rPr>
  </w:style>
  <w:style w:type="paragraph" w:customStyle="1" w:styleId="34">
    <w:name w:val="样式 样式 样式 四号 左侧:  1.53 厘米 + 首行缩进:  2 字符 + 居中 左侧:  2 字符 首行缩进:  2..."/>
    <w:basedOn w:val="35"/>
    <w:autoRedefine/>
    <w:qFormat/>
    <w:uiPriority w:val="0"/>
    <w:pPr>
      <w:spacing w:line="240" w:lineRule="auto"/>
      <w:ind w:firstLine="0" w:firstLineChars="0"/>
      <w:jc w:val="center"/>
    </w:pPr>
  </w:style>
  <w:style w:type="paragraph" w:customStyle="1" w:styleId="35">
    <w:name w:val="样式 样式 四号 左侧:  1.53 厘米 + 首行缩进:  2 字符"/>
    <w:basedOn w:val="36"/>
    <w:autoRedefine/>
    <w:qFormat/>
    <w:uiPriority w:val="0"/>
    <w:pPr>
      <w:ind w:left="200" w:leftChars="200"/>
    </w:pPr>
    <w:rPr>
      <w:szCs w:val="20"/>
    </w:rPr>
  </w:style>
  <w:style w:type="paragraph" w:customStyle="1" w:styleId="36">
    <w:name w:val="样式 四号 左侧:  1.53 厘米"/>
    <w:basedOn w:val="1"/>
    <w:autoRedefine/>
    <w:qFormat/>
    <w:uiPriority w:val="0"/>
    <w:pPr>
      <w:adjustRightInd w:val="0"/>
    </w:pPr>
    <w:rPr>
      <w:w w:val="90"/>
      <w:sz w:val="28"/>
      <w:szCs w:val="28"/>
    </w:rPr>
  </w:style>
  <w:style w:type="paragraph" w:customStyle="1" w:styleId="37">
    <w:name w:val="Default"/>
    <w:basedOn w:val="38"/>
    <w:autoRedefine/>
    <w:qFormat/>
    <w:uiPriority w:val="99"/>
    <w:rPr>
      <w:rFonts w:hAnsi="Calibri" w:cs="宋体"/>
      <w:color w:val="000000"/>
      <w:sz w:val="24"/>
      <w:szCs w:val="24"/>
    </w:rPr>
  </w:style>
  <w:style w:type="paragraph" w:customStyle="1" w:styleId="38">
    <w:name w:val="纯文本1"/>
    <w:basedOn w:val="1"/>
    <w:autoRedefine/>
    <w:qFormat/>
    <w:uiPriority w:val="99"/>
    <w:pPr>
      <w:autoSpaceDE w:val="0"/>
      <w:autoSpaceDN w:val="0"/>
      <w:adjustRightInd w:val="0"/>
      <w:textAlignment w:val="baseline"/>
    </w:pPr>
    <w:rPr>
      <w:rFonts w:ascii="宋体"/>
      <w:szCs w:val="20"/>
    </w:rPr>
  </w:style>
  <w:style w:type="paragraph" w:customStyle="1" w:styleId="39">
    <w:name w:val="样式 正文文本 + 首行缩进:  2 字符"/>
    <w:basedOn w:val="8"/>
    <w:autoRedefine/>
    <w:qFormat/>
    <w:uiPriority w:val="99"/>
    <w:pPr>
      <w:spacing w:after="200" w:line="480" w:lineRule="exact"/>
      <w:ind w:firstLine="480" w:firstLineChars="200"/>
    </w:pPr>
    <w:rPr>
      <w:rFonts w:ascii="宋体" w:hAnsi="宋体" w:eastAsia="宋体" w:cs="Times New Roman"/>
      <w:sz w:val="24"/>
      <w:lang w:val="en-US" w:eastAsia="zh-CN" w:bidi="ar-SA"/>
    </w:rPr>
  </w:style>
  <w:style w:type="paragraph" w:customStyle="1" w:styleId="40">
    <w:name w:val="style4"/>
    <w:basedOn w:val="1"/>
    <w:next w:val="41"/>
    <w:autoRedefine/>
    <w:qFormat/>
    <w:uiPriority w:val="0"/>
    <w:pPr>
      <w:widowControl/>
      <w:spacing w:before="280" w:after="280"/>
    </w:pPr>
    <w:rPr>
      <w:rFonts w:ascii="宋体"/>
      <w:sz w:val="18"/>
    </w:rPr>
  </w:style>
  <w:style w:type="paragraph" w:customStyle="1" w:styleId="41">
    <w:name w:val="2"/>
    <w:basedOn w:val="42"/>
    <w:next w:val="22"/>
    <w:autoRedefine/>
    <w:qFormat/>
    <w:uiPriority w:val="0"/>
    <w:pPr>
      <w:ind w:firstLine="527" w:firstLineChars="200"/>
    </w:pPr>
    <w:rPr>
      <w:rFonts w:ascii="宋体"/>
      <w:spacing w:val="5"/>
      <w:sz w:val="25"/>
      <w:szCs w:val="25"/>
    </w:rPr>
  </w:style>
  <w:style w:type="paragraph" w:customStyle="1" w:styleId="42">
    <w:name w:val="1"/>
    <w:basedOn w:val="1"/>
    <w:next w:val="12"/>
    <w:autoRedefine/>
    <w:qFormat/>
    <w:uiPriority w:val="0"/>
    <w:pPr>
      <w:ind w:firstLine="527" w:firstLineChars="200"/>
    </w:pPr>
    <w:rPr>
      <w:spacing w:val="5"/>
    </w:rPr>
  </w:style>
  <w:style w:type="character" w:customStyle="1" w:styleId="43">
    <w:name w:val="页脚 Char"/>
    <w:link w:val="18"/>
    <w:autoRedefine/>
    <w:qFormat/>
    <w:locked/>
    <w:uiPriority w:val="99"/>
    <w:rPr>
      <w:sz w:val="18"/>
    </w:rPr>
  </w:style>
  <w:style w:type="character" w:customStyle="1" w:styleId="44">
    <w:name w:val="日期 Char"/>
    <w:link w:val="14"/>
    <w:autoRedefine/>
    <w:qFormat/>
    <w:locked/>
    <w:uiPriority w:val="0"/>
    <w:rPr>
      <w:rFonts w:ascii="Times New Roman" w:hAnsi="Times New Roman" w:eastAsia="宋体"/>
      <w:sz w:val="24"/>
    </w:rPr>
  </w:style>
  <w:style w:type="character" w:customStyle="1" w:styleId="45">
    <w:name w:val="页脚 字符"/>
    <w:basedOn w:val="28"/>
    <w:autoRedefine/>
    <w:qFormat/>
    <w:uiPriority w:val="99"/>
  </w:style>
  <w:style w:type="character" w:customStyle="1" w:styleId="46">
    <w:name w:val="普通(网站) Char"/>
    <w:link w:val="22"/>
    <w:autoRedefine/>
    <w:qFormat/>
    <w:locked/>
    <w:uiPriority w:val="0"/>
    <w:rPr>
      <w:rFonts w:ascii="宋体" w:hAnsi="宋体" w:eastAsia="宋体"/>
      <w:sz w:val="24"/>
    </w:rPr>
  </w:style>
  <w:style w:type="character" w:customStyle="1" w:styleId="47">
    <w:name w:val="正文文本 字符1"/>
    <w:autoRedefine/>
    <w:semiHidden/>
    <w:qFormat/>
    <w:uiPriority w:val="0"/>
    <w:rPr>
      <w:rFonts w:ascii="Times New Roman" w:hAnsi="Times New Roman" w:eastAsia="宋体"/>
      <w:sz w:val="24"/>
    </w:rPr>
  </w:style>
  <w:style w:type="character" w:customStyle="1" w:styleId="48">
    <w:name w:val="正文文本 Char"/>
    <w:link w:val="8"/>
    <w:autoRedefine/>
    <w:qFormat/>
    <w:locked/>
    <w:uiPriority w:val="0"/>
    <w:rPr>
      <w:sz w:val="18"/>
    </w:rPr>
  </w:style>
  <w:style w:type="character" w:customStyle="1" w:styleId="49">
    <w:name w:val="批注文字 Char"/>
    <w:link w:val="7"/>
    <w:autoRedefine/>
    <w:qFormat/>
    <w:locked/>
    <w:uiPriority w:val="0"/>
    <w:rPr>
      <w:rFonts w:ascii="Times New Roman" w:hAnsi="Times New Roman" w:eastAsia="宋体"/>
      <w:sz w:val="24"/>
    </w:rPr>
  </w:style>
  <w:style w:type="character" w:customStyle="1" w:styleId="50">
    <w:name w:val="表格 Char"/>
    <w:link w:val="51"/>
    <w:autoRedefine/>
    <w:qFormat/>
    <w:locked/>
    <w:uiPriority w:val="0"/>
    <w:rPr>
      <w:rFonts w:ascii="宋体"/>
      <w:sz w:val="21"/>
    </w:rPr>
  </w:style>
  <w:style w:type="paragraph" w:customStyle="1" w:styleId="51">
    <w:name w:val="表格"/>
    <w:basedOn w:val="1"/>
    <w:next w:val="1"/>
    <w:link w:val="50"/>
    <w:autoRedefine/>
    <w:qFormat/>
    <w:uiPriority w:val="0"/>
    <w:pPr>
      <w:adjustRightInd w:val="0"/>
      <w:snapToGrid w:val="0"/>
      <w:spacing w:beforeLines="10" w:afterLines="10" w:line="259" w:lineRule="auto"/>
      <w:jc w:val="center"/>
    </w:pPr>
    <w:rPr>
      <w:rFonts w:ascii="宋体"/>
      <w:kern w:val="0"/>
      <w:szCs w:val="20"/>
    </w:rPr>
  </w:style>
  <w:style w:type="character" w:customStyle="1" w:styleId="52">
    <w:name w:val="日期 字符"/>
    <w:autoRedefine/>
    <w:semiHidden/>
    <w:qFormat/>
    <w:uiPriority w:val="0"/>
    <w:rPr>
      <w:rFonts w:ascii="Times New Roman" w:hAnsi="Times New Roman" w:eastAsia="宋体"/>
      <w:sz w:val="24"/>
    </w:rPr>
  </w:style>
  <w:style w:type="character" w:customStyle="1" w:styleId="53">
    <w:name w:val="批注框文本 Char"/>
    <w:link w:val="17"/>
    <w:autoRedefine/>
    <w:semiHidden/>
    <w:qFormat/>
    <w:locked/>
    <w:uiPriority w:val="0"/>
    <w:rPr>
      <w:rFonts w:ascii="Times New Roman" w:hAnsi="Times New Roman" w:eastAsia="宋体"/>
      <w:sz w:val="18"/>
    </w:rPr>
  </w:style>
  <w:style w:type="character" w:customStyle="1" w:styleId="54">
    <w:name w:val="批注主题 Char"/>
    <w:link w:val="23"/>
    <w:autoRedefine/>
    <w:semiHidden/>
    <w:qFormat/>
    <w:locked/>
    <w:uiPriority w:val="0"/>
    <w:rPr>
      <w:rFonts w:ascii="Times New Roman" w:hAnsi="Times New Roman" w:eastAsia="宋体"/>
      <w:b/>
      <w:kern w:val="2"/>
      <w:sz w:val="24"/>
    </w:rPr>
  </w:style>
  <w:style w:type="character" w:customStyle="1" w:styleId="55">
    <w:name w:val="页眉 Char"/>
    <w:link w:val="19"/>
    <w:autoRedefine/>
    <w:qFormat/>
    <w:locked/>
    <w:uiPriority w:val="0"/>
    <w:rPr>
      <w:sz w:val="18"/>
    </w:rPr>
  </w:style>
  <w:style w:type="character" w:customStyle="1" w:styleId="56">
    <w:name w:val="批注文字 字符1"/>
    <w:autoRedefine/>
    <w:semiHidden/>
    <w:qFormat/>
    <w:uiPriority w:val="0"/>
    <w:rPr>
      <w:rFonts w:ascii="Times New Roman" w:hAnsi="Times New Roman" w:eastAsia="宋体"/>
      <w:sz w:val="24"/>
    </w:rPr>
  </w:style>
  <w:style w:type="character" w:customStyle="1" w:styleId="57">
    <w:name w:val="正文文本缩进 Char"/>
    <w:link w:val="10"/>
    <w:autoRedefine/>
    <w:semiHidden/>
    <w:qFormat/>
    <w:locked/>
    <w:uiPriority w:val="0"/>
    <w:rPr>
      <w:rFonts w:ascii="Times New Roman" w:hAnsi="Times New Roman" w:eastAsia="宋体"/>
      <w:sz w:val="24"/>
    </w:rPr>
  </w:style>
  <w:style w:type="paragraph" w:customStyle="1" w:styleId="58">
    <w:name w:val="正文_10"/>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9">
    <w:name w:val="普通(网站)2"/>
    <w:basedOn w:val="1"/>
    <w:autoRedefine/>
    <w:qFormat/>
    <w:uiPriority w:val="0"/>
    <w:pPr>
      <w:widowControl/>
      <w:spacing w:before="100" w:beforeAutospacing="1" w:after="100" w:afterAutospacing="1"/>
      <w:jc w:val="left"/>
    </w:pPr>
    <w:rPr>
      <w:rFonts w:ascii="宋体" w:hAnsi="宋体"/>
      <w:sz w:val="24"/>
      <w:szCs w:val="20"/>
    </w:rPr>
  </w:style>
  <w:style w:type="paragraph" w:customStyle="1" w:styleId="60">
    <w:name w:val="Table Paragraph"/>
    <w:basedOn w:val="1"/>
    <w:autoRedefine/>
    <w:qFormat/>
    <w:uiPriority w:val="0"/>
    <w:pPr>
      <w:autoSpaceDE w:val="0"/>
      <w:autoSpaceDN w:val="0"/>
      <w:jc w:val="center"/>
    </w:pPr>
    <w:rPr>
      <w:rFonts w:eastAsia="Times New Roman"/>
      <w:kern w:val="0"/>
      <w:sz w:val="22"/>
      <w:szCs w:val="22"/>
      <w:lang w:val="zh-CN" w:bidi="zh-CN"/>
    </w:rPr>
  </w:style>
  <w:style w:type="character" w:customStyle="1" w:styleId="61">
    <w:name w:val="纯文本 Char"/>
    <w:link w:val="12"/>
    <w:autoRedefine/>
    <w:qFormat/>
    <w:uiPriority w:val="0"/>
    <w:rPr>
      <w:rFonts w:ascii="宋体" w:hAnsi="Courier New"/>
      <w:spacing w:val="5"/>
      <w:kern w:val="2"/>
      <w:sz w:val="25"/>
      <w:szCs w:val="25"/>
    </w:rPr>
  </w:style>
  <w:style w:type="character" w:customStyle="1" w:styleId="62">
    <w:name w:val="纯文本 Char1"/>
    <w:autoRedefine/>
    <w:qFormat/>
    <w:uiPriority w:val="0"/>
    <w:rPr>
      <w:rFonts w:ascii="宋体" w:hAnsi="Courier New" w:cs="Courier New"/>
      <w:kern w:val="2"/>
      <w:sz w:val="21"/>
      <w:szCs w:val="21"/>
    </w:rPr>
  </w:style>
  <w:style w:type="paragraph" w:customStyle="1" w:styleId="63">
    <w:name w:val="正文首行缩进 21"/>
    <w:basedOn w:val="1"/>
    <w:next w:val="1"/>
    <w:autoRedefine/>
    <w:qFormat/>
    <w:uiPriority w:val="0"/>
    <w:pPr>
      <w:widowControl/>
      <w:adjustRightInd w:val="0"/>
      <w:snapToGrid w:val="0"/>
      <w:spacing w:after="120"/>
      <w:ind w:left="420" w:leftChars="200" w:firstLine="420" w:firstLineChars="200"/>
      <w:jc w:val="left"/>
    </w:pPr>
    <w:rPr>
      <w:rFonts w:ascii="Calibri" w:hAnsi="Calibri" w:cs="宋体"/>
      <w:kern w:val="0"/>
      <w:sz w:val="44"/>
      <w:szCs w:val="44"/>
    </w:rPr>
  </w:style>
  <w:style w:type="paragraph" w:customStyle="1" w:styleId="64">
    <w:name w:val="样式 样式11 + 黑色"/>
    <w:basedOn w:val="1"/>
    <w:autoRedefine/>
    <w:qFormat/>
    <w:uiPriority w:val="0"/>
    <w:pPr>
      <w:keepNext/>
      <w:keepLines/>
      <w:tabs>
        <w:tab w:val="left" w:pos="360"/>
      </w:tabs>
      <w:overflowPunct w:val="0"/>
      <w:topLinePunct/>
      <w:autoSpaceDE w:val="0"/>
      <w:autoSpaceDN w:val="0"/>
      <w:adjustRightInd w:val="0"/>
      <w:snapToGrid w:val="0"/>
      <w:spacing w:before="120" w:after="120" w:line="480" w:lineRule="atLeast"/>
      <w:jc w:val="left"/>
      <w:textAlignment w:val="baseline"/>
      <w:outlineLvl w:val="2"/>
    </w:pPr>
    <w:rPr>
      <w:rFonts w:eastAsia="黑体"/>
      <w:color w:val="000000"/>
      <w:spacing w:val="-2"/>
      <w:kern w:val="0"/>
      <w:sz w:val="24"/>
      <w:szCs w:val="20"/>
    </w:rPr>
  </w:style>
  <w:style w:type="paragraph" w:styleId="65">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66">
    <w:name w:val="Char"/>
    <w:basedOn w:val="1"/>
    <w:autoRedefine/>
    <w:semiHidden/>
    <w:qFormat/>
    <w:uiPriority w:val="0"/>
    <w:pPr>
      <w:widowControl/>
      <w:spacing w:line="560" w:lineRule="exact"/>
      <w:ind w:firstLine="200" w:firstLineChars="200"/>
      <w:jc w:val="left"/>
    </w:pPr>
    <w:rPr>
      <w:rFonts w:ascii="Verdana" w:hAnsi="Verdana"/>
      <w:kern w:val="0"/>
      <w:sz w:val="20"/>
      <w:szCs w:val="20"/>
      <w:lang w:eastAsia="en-US"/>
    </w:rPr>
  </w:style>
  <w:style w:type="character" w:customStyle="1" w:styleId="67">
    <w:name w:val="正文文本缩进 2 Char"/>
    <w:link w:val="15"/>
    <w:autoRedefine/>
    <w:qFormat/>
    <w:uiPriority w:val="0"/>
    <w:rPr>
      <w:kern w:val="2"/>
      <w:sz w:val="21"/>
      <w:szCs w:val="24"/>
    </w:rPr>
  </w:style>
  <w:style w:type="character" w:customStyle="1" w:styleId="68">
    <w:name w:val="标题 2 Char"/>
    <w:link w:val="3"/>
    <w:autoRedefine/>
    <w:semiHidden/>
    <w:qFormat/>
    <w:uiPriority w:val="0"/>
    <w:rPr>
      <w:rFonts w:ascii="Cambria" w:hAnsi="Cambria" w:eastAsia="宋体" w:cs="Times New Roman"/>
      <w:b/>
      <w:bCs/>
      <w:kern w:val="2"/>
      <w:sz w:val="32"/>
      <w:szCs w:val="32"/>
    </w:rPr>
  </w:style>
  <w:style w:type="character" w:customStyle="1" w:styleId="69">
    <w:name w:val="标题 3 Char"/>
    <w:link w:val="4"/>
    <w:autoRedefine/>
    <w:semiHidden/>
    <w:qFormat/>
    <w:uiPriority w:val="0"/>
    <w:rPr>
      <w:b/>
      <w:bCs/>
      <w:kern w:val="2"/>
      <w:sz w:val="32"/>
      <w:szCs w:val="32"/>
    </w:rPr>
  </w:style>
  <w:style w:type="paragraph" w:styleId="70">
    <w:name w:val="List Paragraph"/>
    <w:basedOn w:val="1"/>
    <w:autoRedefine/>
    <w:qFormat/>
    <w:uiPriority w:val="34"/>
    <w:pPr>
      <w:ind w:firstLine="420" w:firstLineChars="200"/>
    </w:pPr>
  </w:style>
  <w:style w:type="character" w:customStyle="1" w:styleId="71">
    <w:name w:val="表头 Char"/>
    <w:link w:val="72"/>
    <w:autoRedefine/>
    <w:qFormat/>
    <w:uiPriority w:val="0"/>
    <w:rPr>
      <w:rFonts w:hAnsi="Calibri"/>
      <w:b/>
      <w:kern w:val="2"/>
      <w:sz w:val="24"/>
      <w:szCs w:val="24"/>
    </w:rPr>
  </w:style>
  <w:style w:type="paragraph" w:customStyle="1" w:styleId="72">
    <w:name w:val="表头"/>
    <w:basedOn w:val="1"/>
    <w:next w:val="1"/>
    <w:link w:val="71"/>
    <w:autoRedefine/>
    <w:qFormat/>
    <w:uiPriority w:val="0"/>
    <w:pPr>
      <w:adjustRightInd w:val="0"/>
      <w:snapToGrid w:val="0"/>
      <w:jc w:val="center"/>
    </w:pPr>
    <w:rPr>
      <w:rFonts w:hAnsi="Calibri"/>
      <w:b/>
      <w:sz w:val="24"/>
    </w:rPr>
  </w:style>
  <w:style w:type="paragraph" w:customStyle="1" w:styleId="73">
    <w:name w:val="表文"/>
    <w:basedOn w:val="1"/>
    <w:next w:val="1"/>
    <w:autoRedefine/>
    <w:qFormat/>
    <w:uiPriority w:val="0"/>
    <w:pPr>
      <w:widowControl/>
      <w:adjustRightInd w:val="0"/>
      <w:snapToGrid w:val="0"/>
      <w:jc w:val="center"/>
    </w:pPr>
    <w:rPr>
      <w:rFonts w:ascii="Calibri" w:hAnsi="Calibri" w:cs="Calibri"/>
      <w:kern w:val="0"/>
      <w:szCs w:val="21"/>
    </w:rPr>
  </w:style>
  <w:style w:type="paragraph" w:customStyle="1" w:styleId="74">
    <w:name w:val="列出段落1"/>
    <w:basedOn w:val="1"/>
    <w:autoRedefine/>
    <w:qFormat/>
    <w:uiPriority w:val="0"/>
    <w:pPr>
      <w:spacing w:before="100" w:beforeAutospacing="1" w:after="100" w:afterAutospacing="1"/>
      <w:ind w:left="-50" w:leftChars="-50" w:firstLine="420" w:firstLineChars="200"/>
    </w:pPr>
    <w:rPr>
      <w:szCs w:val="21"/>
    </w:rPr>
  </w:style>
  <w:style w:type="character" w:customStyle="1" w:styleId="75">
    <w:name w:val="普通(网站) Char1"/>
    <w:autoRedefine/>
    <w:qFormat/>
    <w:locked/>
    <w:uiPriority w:val="0"/>
    <w:rPr>
      <w:rFonts w:ascii="宋体" w:hAnsi="宋体" w:eastAsia="宋体"/>
      <w:sz w:val="24"/>
    </w:rPr>
  </w:style>
  <w:style w:type="character" w:customStyle="1" w:styleId="76">
    <w:name w:val="报告书一级标题 Char"/>
    <w:link w:val="77"/>
    <w:autoRedefine/>
    <w:qFormat/>
    <w:uiPriority w:val="0"/>
    <w:rPr>
      <w:rFonts w:ascii="黑体" w:hAnsi="宋体" w:eastAsia="黑体" w:cs="黑体"/>
      <w:spacing w:val="5"/>
      <w:kern w:val="2"/>
      <w:sz w:val="29"/>
      <w:szCs w:val="29"/>
      <w:lang w:val="zh-CN"/>
    </w:rPr>
  </w:style>
  <w:style w:type="paragraph" w:customStyle="1" w:styleId="77">
    <w:name w:val="报告书一级标题"/>
    <w:basedOn w:val="1"/>
    <w:link w:val="76"/>
    <w:autoRedefine/>
    <w:qFormat/>
    <w:uiPriority w:val="0"/>
    <w:pPr>
      <w:autoSpaceDE w:val="0"/>
      <w:autoSpaceDN w:val="0"/>
      <w:adjustRightInd w:val="0"/>
      <w:spacing w:line="250" w:lineRule="auto"/>
      <w:outlineLvl w:val="0"/>
    </w:pPr>
    <w:rPr>
      <w:rFonts w:ascii="黑体" w:hAnsi="宋体" w:eastAsia="黑体" w:cs="黑体"/>
      <w:spacing w:val="5"/>
      <w:sz w:val="29"/>
      <w:szCs w:val="29"/>
      <w:lang w:val="zh-CN"/>
    </w:rPr>
  </w:style>
  <w:style w:type="paragraph" w:customStyle="1" w:styleId="78">
    <w:name w:val="样式 正文文字 + 首行缩进:  2 字符 行距: 最小值 24 磅"/>
    <w:basedOn w:val="1"/>
    <w:autoRedefine/>
    <w:qFormat/>
    <w:uiPriority w:val="0"/>
    <w:pPr>
      <w:adjustRightInd w:val="0"/>
      <w:snapToGrid w:val="0"/>
      <w:spacing w:line="480" w:lineRule="atLeast"/>
      <w:ind w:firstLine="480" w:firstLineChars="200"/>
    </w:pPr>
    <w:rPr>
      <w:rFonts w:ascii="Times New Roman" w:cs="宋体"/>
      <w:sz w:val="24"/>
    </w:rPr>
  </w:style>
  <w:style w:type="table" w:customStyle="1" w:styleId="79">
    <w:name w:val="lily 表格1"/>
    <w:basedOn w:val="26"/>
    <w:autoRedefine/>
    <w:qFormat/>
    <w:uiPriority w:val="59"/>
    <w:pPr>
      <w:widowControl w:val="0"/>
      <w:jc w:val="both"/>
    </w:pPr>
    <w:rPr>
      <w:rFonts w:ascii="Calibri" w:hAnsi="Calibri"/>
    </w:r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jc w:val="center"/>
    </w:trPr>
    <w:tcPr>
      <w:vAlign w:val="center"/>
    </w:tcPr>
  </w:style>
  <w:style w:type="paragraph" w:customStyle="1" w:styleId="80">
    <w:name w:val="样式 正文文本正文文字body textbt + 首行缩进:  2 字符1"/>
    <w:basedOn w:val="1"/>
    <w:autoRedefine/>
    <w:qFormat/>
    <w:uiPriority w:val="0"/>
    <w:pPr>
      <w:widowControl w:val="0"/>
      <w:ind w:firstLine="482" w:firstLineChars="200"/>
      <w:jc w:val="both"/>
    </w:pPr>
    <w:rPr>
      <w:color w:val="FF0000"/>
    </w:rPr>
  </w:style>
  <w:style w:type="paragraph" w:customStyle="1" w:styleId="81">
    <w:name w:val="Pa1"/>
    <w:basedOn w:val="1"/>
    <w:next w:val="1"/>
    <w:autoRedefine/>
    <w:qFormat/>
    <w:uiPriority w:val="0"/>
    <w:pPr>
      <w:adjustRightInd/>
      <w:snapToGrid/>
      <w:spacing w:line="221" w:lineRule="atLeast"/>
      <w:ind w:firstLine="0"/>
      <w:jc w:val="left"/>
      <w:textAlignment w:val="auto"/>
    </w:pPr>
    <w:rPr>
      <w:rFonts w:ascii="黑体" w:hAnsi="黑体" w:eastAsia="黑体"/>
      <w:color w:val="000000"/>
      <w:spacing w:val="0"/>
      <w:lang w:val="en-US" w:eastAsia="zh-CN"/>
    </w:rPr>
  </w:style>
  <w:style w:type="paragraph" w:customStyle="1" w:styleId="82">
    <w:name w:val="样式 样式18 + 黑色"/>
    <w:basedOn w:val="1"/>
    <w:autoRedefine/>
    <w:qFormat/>
    <w:uiPriority w:val="0"/>
    <w:pPr>
      <w:keepNext/>
      <w:keepLines/>
      <w:tabs>
        <w:tab w:val="left" w:pos="420"/>
        <w:tab w:val="left" w:pos="1800"/>
      </w:tabs>
      <w:ind w:left="170" w:firstLine="0" w:firstLineChars="0"/>
      <w:jc w:val="left"/>
      <w:outlineLvl w:val="3"/>
    </w:pPr>
    <w:rPr>
      <w:color w:val="000000"/>
      <w:spacing w:val="0"/>
    </w:rPr>
  </w:style>
  <w:style w:type="paragraph" w:customStyle="1" w:styleId="83">
    <w:name w:val="custom_unionstyle"/>
    <w:basedOn w:val="1"/>
    <w:autoRedefine/>
    <w:qFormat/>
    <w:uiPriority w:val="0"/>
    <w:pPr>
      <w:widowControl/>
      <w:spacing w:before="100" w:beforeAutospacing="1" w:after="100" w:afterAutospacing="1"/>
      <w:jc w:val="left"/>
    </w:pPr>
    <w:rPr>
      <w:rFonts w:ascii="宋体" w:hAnsi="宋体" w:cs="宋体"/>
      <w:kern w:val="0"/>
      <w:sz w:val="24"/>
      <w:szCs w:val="24"/>
    </w:rPr>
  </w:style>
  <w:style w:type="character" w:customStyle="1" w:styleId="84">
    <w:name w:val="16"/>
    <w:autoRedefine/>
    <w:qFormat/>
    <w:uiPriority w:val="0"/>
    <w:rPr>
      <w:rFonts w:hint="eastAsia" w:ascii="宋体" w:hAnsi="宋体" w:eastAsia="宋体" w:cs="宋体"/>
      <w:color w:val="000000"/>
      <w:sz w:val="18"/>
      <w:szCs w:val="18"/>
    </w:rPr>
  </w:style>
  <w:style w:type="character" w:customStyle="1" w:styleId="85">
    <w:name w:val="15"/>
    <w:autoRedefine/>
    <w:qFormat/>
    <w:uiPriority w:val="0"/>
    <w:rPr>
      <w:rFonts w:hint="eastAsia" w:ascii="宋体" w:hAnsi="宋体" w:eastAsia="宋体" w:cs="宋体"/>
      <w:color w:val="000000"/>
      <w:sz w:val="18"/>
      <w:szCs w:val="18"/>
    </w:rPr>
  </w:style>
  <w:style w:type="character" w:customStyle="1" w:styleId="86">
    <w:name w:val="font11"/>
    <w:basedOn w:val="28"/>
    <w:qFormat/>
    <w:uiPriority w:val="0"/>
    <w:rPr>
      <w:rFonts w:hint="eastAsia" w:ascii="楷体" w:hAnsi="楷体" w:eastAsia="楷体" w:cs="楷体"/>
      <w:color w:val="000000"/>
      <w:sz w:val="24"/>
      <w:szCs w:val="24"/>
      <w:u w:val="none"/>
    </w:rPr>
  </w:style>
  <w:style w:type="character" w:customStyle="1" w:styleId="87">
    <w:name w:val="font21"/>
    <w:basedOn w:val="28"/>
    <w:qFormat/>
    <w:uiPriority w:val="0"/>
    <w:rPr>
      <w:rFonts w:hint="eastAsia" w:ascii="楷体" w:hAnsi="楷体" w:eastAsia="楷体" w:cs="楷体"/>
      <w:color w:val="000000"/>
      <w:sz w:val="24"/>
      <w:szCs w:val="24"/>
      <w:u w:val="none"/>
    </w:rPr>
  </w:style>
  <w:style w:type="paragraph" w:customStyle="1" w:styleId="88">
    <w:name w:val="图名表头"/>
    <w:basedOn w:val="1"/>
    <w:qFormat/>
    <w:uiPriority w:val="0"/>
    <w:pPr>
      <w:spacing w:line="360" w:lineRule="auto"/>
      <w:jc w:val="center"/>
    </w:pPr>
    <w:rPr>
      <w:rFonts w:ascii="宋体" w:hAnsi="宋体" w:cs="宋体"/>
      <w:sz w:val="24"/>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89</Pages>
  <Words>18787</Words>
  <Characters>19426</Characters>
  <Lines>332</Lines>
  <Paragraphs>93</Paragraphs>
  <TotalTime>9</TotalTime>
  <ScaleCrop>false</ScaleCrop>
  <LinksUpToDate>false</LinksUpToDate>
  <CharactersWithSpaces>19511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2021-05-17T02:57:00Z</dcterms:created>
  <dc:creator>lhj</dc:creator>
  <cp:lastModifiedBy>ʘᴗʘ</cp:lastModifiedBy>
  <cp:lastPrinted>2020-12-29T02:43:00Z</cp:lastPrinted>
  <dcterms:modified xsi:type="dcterms:W3CDTF">2025-09-24T07:53:50Z</dcterms:modified>
  <dc:title>附件2</dc:title>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EFD3F7ACAE114B969211DEA5B5982EB3_13</vt:lpwstr>
  </property>
  <property fmtid="{D5CDD505-2E9C-101B-9397-08002B2CF9AE}" pid="4" name="KSOTemplateDocerSaveRecord">
    <vt:lpwstr>eyJoZGlkIjoiODdjMDZlMDRlMzNlOWVjNjVjZDliZWJhY2I1YTY0OWQiLCJ1c2VySWQiOiI3MDgwNTQ2NzAifQ==</vt:lpwstr>
  </property>
</Properties>
</file>