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D8258C6">
      <w:pPr>
        <w:spacing w:line="800" w:lineRule="exact"/>
        <w:ind w:firstLine="0" w:firstLineChars="0"/>
        <w:jc w:val="center"/>
        <w:rPr>
          <w:rFonts w:hint="eastAsia" w:ascii="方正小标宋简体" w:hAnsi="方正小标宋简体" w:eastAsia="方正小标宋简体" w:cs="Times New Roman"/>
          <w:sz w:val="44"/>
          <w:szCs w:val="44"/>
          <w:u w:val="none"/>
          <w:lang w:val="en-US" w:eastAsia="zh-CN"/>
        </w:rPr>
      </w:pPr>
      <w:r>
        <w:rPr>
          <w:rFonts w:hint="eastAsia" w:ascii="方正小标宋简体" w:hAnsi="方正小标宋简体" w:eastAsia="方正小标宋简体" w:cs="Times New Roman"/>
          <w:sz w:val="44"/>
          <w:szCs w:val="44"/>
          <w:u w:val="none"/>
          <w:lang w:val="en-US" w:eastAsia="zh-CN"/>
        </w:rPr>
        <w:t>河北</w:t>
      </w:r>
      <w:r>
        <w:rPr>
          <w:rFonts w:hint="eastAsia" w:ascii="方正小标宋简体" w:hAnsi="方正小标宋简体" w:eastAsia="方正小标宋简体" w:cs="Times New Roman"/>
          <w:sz w:val="44"/>
          <w:szCs w:val="44"/>
          <w:u w:val="none"/>
        </w:rPr>
        <w:t>迁安</w:t>
      </w:r>
      <w:r>
        <w:rPr>
          <w:rFonts w:hint="eastAsia" w:ascii="方正小标宋简体" w:hAnsi="方正小标宋简体" w:eastAsia="方正小标宋简体" w:cs="Times New Roman"/>
          <w:sz w:val="44"/>
          <w:szCs w:val="44"/>
          <w:u w:val="none"/>
          <w:lang w:val="en-US" w:eastAsia="zh-CN"/>
        </w:rPr>
        <w:t>经济开发区</w:t>
      </w:r>
      <w:r>
        <w:rPr>
          <w:rFonts w:hint="eastAsia" w:ascii="方正小标宋简体" w:hAnsi="方正小标宋简体" w:eastAsia="方正小标宋简体" w:cs="Times New Roman"/>
          <w:sz w:val="44"/>
          <w:szCs w:val="44"/>
          <w:u w:val="none"/>
        </w:rPr>
        <w:t>产业发展规划</w:t>
      </w:r>
      <w:r>
        <w:rPr>
          <w:rFonts w:ascii="方正小标宋简体" w:hAnsi="方正小标宋简体" w:eastAsia="方正小标宋简体" w:cs="Times New Roman"/>
          <w:sz w:val="44"/>
          <w:szCs w:val="44"/>
          <w:u w:val="none"/>
        </w:rPr>
        <w:t>（</w:t>
      </w:r>
      <w:r>
        <w:rPr>
          <w:rFonts w:eastAsia="方正小标宋_GBK" w:cs="Times New Roman"/>
          <w:sz w:val="44"/>
          <w:szCs w:val="44"/>
          <w:u w:val="none"/>
        </w:rPr>
        <w:t>202</w:t>
      </w:r>
      <w:r>
        <w:rPr>
          <w:rFonts w:hint="eastAsia" w:eastAsia="方正小标宋_GBK" w:cs="Times New Roman"/>
          <w:sz w:val="44"/>
          <w:szCs w:val="44"/>
          <w:u w:val="none"/>
          <w:lang w:val="en-US" w:eastAsia="zh-CN"/>
        </w:rPr>
        <w:t>4</w:t>
      </w:r>
      <w:r>
        <w:rPr>
          <w:rFonts w:ascii="方正小标宋简体" w:hAnsi="方正小标宋简体" w:eastAsia="方正小标宋简体" w:cs="Times New Roman"/>
          <w:sz w:val="44"/>
          <w:szCs w:val="44"/>
          <w:u w:val="none"/>
        </w:rPr>
        <w:t>—</w:t>
      </w:r>
      <w:r>
        <w:rPr>
          <w:rFonts w:eastAsia="方正小标宋_GBK" w:cs="Times New Roman"/>
          <w:sz w:val="44"/>
          <w:szCs w:val="44"/>
          <w:u w:val="none"/>
        </w:rPr>
        <w:t>2035</w:t>
      </w:r>
      <w:r>
        <w:rPr>
          <w:rFonts w:ascii="方正小标宋简体" w:hAnsi="方正小标宋简体" w:eastAsia="方正小标宋简体" w:cs="Times New Roman"/>
          <w:sz w:val="44"/>
          <w:szCs w:val="44"/>
          <w:u w:val="none"/>
        </w:rPr>
        <w:t>年）</w:t>
      </w:r>
      <w:r>
        <w:rPr>
          <w:rFonts w:hint="eastAsia" w:ascii="方正小标宋简体" w:hAnsi="方正小标宋简体" w:eastAsia="方正小标宋简体" w:cs="Times New Roman"/>
          <w:sz w:val="44"/>
          <w:szCs w:val="44"/>
          <w:u w:val="none"/>
          <w:lang w:val="en-US" w:eastAsia="zh-CN"/>
        </w:rPr>
        <w:t>草案公示材料</w:t>
      </w:r>
    </w:p>
    <w:p w14:paraId="0943C544">
      <w:pPr>
        <w:spacing w:line="800" w:lineRule="exact"/>
        <w:ind w:firstLine="0" w:firstLineChars="0"/>
        <w:jc w:val="center"/>
        <w:rPr>
          <w:rFonts w:hint="eastAsia" w:ascii="方正小标宋简体" w:hAnsi="方正小标宋简体" w:eastAsia="方正小标宋简体" w:cs="Times New Roman"/>
          <w:sz w:val="44"/>
          <w:szCs w:val="44"/>
          <w:u w:val="none"/>
          <w:lang w:val="en-US" w:eastAsia="zh-CN"/>
        </w:rPr>
      </w:pPr>
    </w:p>
    <w:p w14:paraId="727B3A3D">
      <w:pPr>
        <w:pStyle w:val="31"/>
        <w:numPr>
          <w:ilvl w:val="0"/>
          <w:numId w:val="0"/>
        </w:numPr>
        <w:autoSpaceDE w:val="0"/>
        <w:autoSpaceDN w:val="0"/>
        <w:spacing w:line="560" w:lineRule="exact"/>
        <w:ind w:left="0" w:leftChars="0" w:firstLine="640" w:firstLineChars="200"/>
        <w:rPr>
          <w:rFonts w:ascii="黑体" w:hAnsi="黑体" w:eastAsia="黑体"/>
          <w:u w:val="none"/>
        </w:rPr>
      </w:pPr>
      <w:r>
        <w:rPr>
          <w:rFonts w:hint="eastAsia" w:ascii="黑体" w:hAnsi="黑体" w:eastAsia="黑体" w:cstheme="minorBidi"/>
          <w:b w:val="0"/>
          <w:kern w:val="2"/>
          <w:sz w:val="32"/>
          <w:szCs w:val="28"/>
          <w:u w:val="none"/>
          <w:lang w:val="en-US" w:eastAsia="zh-CN" w:bidi="ar-SA"/>
        </w:rPr>
        <w:t>一、</w:t>
      </w:r>
      <w:r>
        <w:rPr>
          <w:rFonts w:hint="eastAsia" w:ascii="黑体" w:hAnsi="黑体" w:eastAsia="黑体" w:cs="Times New Roman"/>
          <w:kern w:val="0"/>
          <w:sz w:val="32"/>
          <w:szCs w:val="32"/>
          <w:u w:val="none"/>
        </w:rPr>
        <w:t>规划范围</w:t>
      </w:r>
    </w:p>
    <w:p w14:paraId="1C2F8E9A">
      <w:pPr>
        <w:pStyle w:val="68"/>
        <w:overflowPunct w:val="0"/>
        <w:autoSpaceDE w:val="0"/>
        <w:autoSpaceDN w:val="0"/>
        <w:spacing w:after="0" w:line="560" w:lineRule="exact"/>
        <w:ind w:left="0" w:leftChars="0" w:firstLine="640"/>
        <w:rPr>
          <w:rFonts w:hint="default" w:ascii="Times New Roman" w:hAnsi="Times New Roman" w:eastAsia="仿宋_GB2312" w:cs="Times New Roman"/>
          <w:szCs w:val="32"/>
          <w:highlight w:val="none"/>
          <w:u w:val="none"/>
          <w:lang w:val="en-US" w:eastAsia="zh-CN"/>
        </w:rPr>
      </w:pPr>
      <w:r>
        <w:rPr>
          <w:rFonts w:hint="eastAsia" w:ascii="Times New Roman" w:hAnsi="Times New Roman" w:eastAsia="仿宋_GB2312" w:cs="Times New Roman"/>
          <w:szCs w:val="32"/>
          <w:highlight w:val="none"/>
          <w:u w:val="none"/>
          <w:lang w:val="en-US" w:eastAsia="zh-CN"/>
        </w:rPr>
        <w:t>本次规划范围为63.56平方公里，其中，钢铁及氢能产业园规划面积37.90平方公里，现代化工及新材料产业园规划面积6.02平方公里，现代物流产业园规划面积4.63平方公里，现代化工循环产业园规划面积2.72平方公里，高新产业园规划面积9.93平方公里，装备制造产业园规划面积2.36平方公里。</w:t>
      </w:r>
    </w:p>
    <w:p w14:paraId="2FE2348C">
      <w:pPr>
        <w:pStyle w:val="31"/>
        <w:numPr>
          <w:ilvl w:val="0"/>
          <w:numId w:val="0"/>
        </w:numPr>
        <w:autoSpaceDE w:val="0"/>
        <w:autoSpaceDN w:val="0"/>
        <w:spacing w:line="560" w:lineRule="exact"/>
        <w:ind w:left="0" w:leftChars="0" w:firstLine="640" w:firstLineChars="200"/>
        <w:rPr>
          <w:rFonts w:ascii="黑体" w:hAnsi="黑体" w:eastAsia="黑体"/>
          <w:u w:val="none"/>
        </w:rPr>
      </w:pPr>
      <w:r>
        <w:rPr>
          <w:rFonts w:hint="eastAsia" w:ascii="黑体" w:hAnsi="黑体" w:eastAsia="黑体" w:cstheme="minorBidi"/>
          <w:b w:val="0"/>
          <w:kern w:val="2"/>
          <w:sz w:val="32"/>
          <w:szCs w:val="28"/>
          <w:u w:val="none"/>
          <w:lang w:val="en-US" w:eastAsia="zh-CN" w:bidi="ar-SA"/>
        </w:rPr>
        <w:t>二、</w:t>
      </w:r>
      <w:r>
        <w:rPr>
          <w:rFonts w:hint="eastAsia" w:ascii="黑体" w:hAnsi="黑体" w:eastAsia="黑体" w:cs="Times New Roman"/>
          <w:kern w:val="0"/>
          <w:sz w:val="32"/>
          <w:szCs w:val="32"/>
          <w:u w:val="none"/>
        </w:rPr>
        <w:t>规划期限</w:t>
      </w:r>
    </w:p>
    <w:p w14:paraId="1406B0E9">
      <w:pPr>
        <w:pStyle w:val="15"/>
        <w:widowControl w:val="0"/>
        <w:spacing w:before="0" w:beforeAutospacing="0" w:after="0" w:afterAutospacing="0" w:line="560" w:lineRule="exact"/>
        <w:ind w:firstLine="640" w:firstLineChars="200"/>
        <w:jc w:val="both"/>
        <w:rPr>
          <w:rFonts w:ascii="Times New Roman" w:hAnsi="Times New Roman" w:eastAsia="仿宋_GB2312" w:cs="Times New Roman"/>
          <w:sz w:val="32"/>
          <w:szCs w:val="32"/>
          <w:u w:val="none"/>
          <w:shd w:val="clear" w:color="auto" w:fill="FFFFFF"/>
        </w:rPr>
      </w:pPr>
      <w:r>
        <w:rPr>
          <w:rFonts w:hint="eastAsia" w:eastAsia="仿宋_GB2312" w:cs="Times New Roman"/>
          <w:sz w:val="32"/>
          <w:szCs w:val="32"/>
          <w:u w:val="none"/>
          <w:shd w:val="clear" w:color="auto" w:fill="FFFFFF"/>
        </w:rPr>
        <w:t>规划期限为</w:t>
      </w:r>
      <w:r>
        <w:rPr>
          <w:rFonts w:ascii="Times New Roman" w:hAnsi="Times New Roman" w:eastAsia="仿宋_GB2312" w:cs="Times New Roman"/>
          <w:sz w:val="32"/>
          <w:szCs w:val="32"/>
          <w:u w:val="none"/>
          <w:shd w:val="clear" w:color="auto" w:fill="FFFFFF"/>
        </w:rPr>
        <w:t>202</w:t>
      </w:r>
      <w:r>
        <w:rPr>
          <w:rFonts w:hint="eastAsia" w:ascii="Times New Roman" w:hAnsi="Times New Roman" w:eastAsia="仿宋_GB2312" w:cs="Times New Roman"/>
          <w:sz w:val="32"/>
          <w:szCs w:val="32"/>
          <w:u w:val="none"/>
          <w:shd w:val="clear" w:color="auto" w:fill="FFFFFF"/>
          <w:lang w:val="en-US" w:eastAsia="zh-CN"/>
        </w:rPr>
        <w:t>4</w:t>
      </w:r>
      <w:r>
        <w:rPr>
          <w:rFonts w:hint="eastAsia" w:ascii="方正小标宋简体" w:hAnsi="方正小标宋简体" w:eastAsia="方正小标宋简体" w:cs="Times New Roman"/>
          <w:sz w:val="32"/>
          <w:szCs w:val="32"/>
          <w:u w:val="none"/>
          <w:shd w:val="clear" w:color="auto" w:fill="FFFFFF"/>
        </w:rPr>
        <w:t>—</w:t>
      </w:r>
      <w:r>
        <w:rPr>
          <w:rFonts w:ascii="Times New Roman" w:hAnsi="Times New Roman" w:eastAsia="仿宋_GB2312" w:cs="Times New Roman"/>
          <w:sz w:val="32"/>
          <w:szCs w:val="32"/>
          <w:u w:val="none"/>
          <w:shd w:val="clear" w:color="auto" w:fill="FFFFFF"/>
        </w:rPr>
        <w:t>2035</w:t>
      </w:r>
      <w:r>
        <w:rPr>
          <w:rFonts w:hint="eastAsia" w:eastAsia="仿宋_GB2312" w:cs="Times New Roman"/>
          <w:sz w:val="32"/>
          <w:szCs w:val="32"/>
          <w:u w:val="none"/>
          <w:shd w:val="clear" w:color="auto" w:fill="FFFFFF"/>
        </w:rPr>
        <w:t>年，近期至</w:t>
      </w:r>
      <w:r>
        <w:rPr>
          <w:rFonts w:ascii="Times New Roman" w:hAnsi="Times New Roman" w:eastAsia="仿宋_GB2312" w:cs="Times New Roman"/>
          <w:sz w:val="32"/>
          <w:szCs w:val="32"/>
          <w:u w:val="none"/>
          <w:shd w:val="clear" w:color="auto" w:fill="FFFFFF"/>
        </w:rPr>
        <w:t>20</w:t>
      </w:r>
      <w:r>
        <w:rPr>
          <w:rFonts w:hint="eastAsia" w:ascii="Times New Roman" w:hAnsi="Times New Roman" w:eastAsia="仿宋_GB2312" w:cs="Times New Roman"/>
          <w:sz w:val="32"/>
          <w:szCs w:val="32"/>
          <w:u w:val="none"/>
          <w:shd w:val="clear" w:color="auto" w:fill="FFFFFF"/>
          <w:lang w:val="en-US" w:eastAsia="zh-CN"/>
        </w:rPr>
        <w:t>30</w:t>
      </w:r>
      <w:r>
        <w:rPr>
          <w:rFonts w:hint="eastAsia" w:eastAsia="仿宋_GB2312" w:cs="Times New Roman"/>
          <w:sz w:val="32"/>
          <w:szCs w:val="32"/>
          <w:u w:val="none"/>
          <w:shd w:val="clear" w:color="auto" w:fill="FFFFFF"/>
        </w:rPr>
        <w:t>年，远景展望至</w:t>
      </w:r>
      <w:r>
        <w:rPr>
          <w:rFonts w:ascii="Times New Roman" w:hAnsi="Times New Roman" w:eastAsia="仿宋_GB2312" w:cs="Times New Roman"/>
          <w:sz w:val="32"/>
          <w:szCs w:val="32"/>
          <w:u w:val="none"/>
          <w:shd w:val="clear" w:color="auto" w:fill="FFFFFF"/>
        </w:rPr>
        <w:t>2050</w:t>
      </w:r>
      <w:r>
        <w:rPr>
          <w:rFonts w:hint="eastAsia" w:eastAsia="仿宋_GB2312" w:cs="Times New Roman"/>
          <w:sz w:val="32"/>
          <w:szCs w:val="32"/>
          <w:u w:val="none"/>
          <w:shd w:val="clear" w:color="auto" w:fill="FFFFFF"/>
        </w:rPr>
        <w:t>年。</w:t>
      </w:r>
    </w:p>
    <w:p w14:paraId="2559FBD8">
      <w:pPr>
        <w:pStyle w:val="31"/>
        <w:numPr>
          <w:ilvl w:val="0"/>
          <w:numId w:val="0"/>
        </w:numPr>
        <w:autoSpaceDE w:val="0"/>
        <w:autoSpaceDN w:val="0"/>
        <w:spacing w:line="560" w:lineRule="exact"/>
        <w:ind w:left="0" w:leftChars="0" w:firstLine="640" w:firstLineChars="200"/>
        <w:rPr>
          <w:rFonts w:ascii="黑体" w:hAnsi="黑体" w:eastAsia="黑体" w:cs="Times New Roman"/>
          <w:kern w:val="0"/>
          <w:sz w:val="32"/>
          <w:szCs w:val="32"/>
          <w:u w:val="none"/>
        </w:rPr>
      </w:pPr>
      <w:bookmarkStart w:id="0" w:name="_Toc138688381"/>
      <w:bookmarkStart w:id="1" w:name="_Toc139381749"/>
      <w:bookmarkStart w:id="2" w:name="_Toc23350"/>
      <w:r>
        <w:rPr>
          <w:rFonts w:hint="eastAsia" w:ascii="黑体" w:hAnsi="黑体" w:eastAsia="黑体" w:cs="Times New Roman"/>
          <w:b w:val="0"/>
          <w:kern w:val="0"/>
          <w:sz w:val="32"/>
          <w:szCs w:val="28"/>
          <w:u w:val="none"/>
          <w:lang w:val="en-US" w:eastAsia="zh-CN" w:bidi="ar-SA"/>
        </w:rPr>
        <w:t>三、</w:t>
      </w:r>
      <w:r>
        <w:rPr>
          <w:rFonts w:hint="eastAsia" w:ascii="黑体" w:hAnsi="黑体" w:eastAsia="黑体" w:cs="Times New Roman"/>
          <w:kern w:val="0"/>
          <w:sz w:val="32"/>
          <w:szCs w:val="32"/>
          <w:u w:val="none"/>
          <w:lang w:val="en-US" w:eastAsia="zh-CN"/>
        </w:rPr>
        <w:t>发展目标</w:t>
      </w:r>
    </w:p>
    <w:p w14:paraId="081F4B10">
      <w:pPr>
        <w:pStyle w:val="15"/>
        <w:widowControl w:val="0"/>
        <w:spacing w:before="0" w:beforeAutospacing="0" w:after="0" w:afterAutospacing="0" w:line="560" w:lineRule="exact"/>
        <w:ind w:firstLine="640" w:firstLineChars="200"/>
        <w:jc w:val="both"/>
        <w:rPr>
          <w:rFonts w:ascii="Times New Roman" w:hAnsi="Times New Roman" w:eastAsia="仿宋_GB2312" w:cs="Times New Roman"/>
          <w:sz w:val="32"/>
          <w:szCs w:val="32"/>
          <w:u w:val="none"/>
          <w:shd w:val="clear" w:color="auto" w:fill="FFFFFF"/>
        </w:rPr>
      </w:pPr>
      <w:r>
        <w:rPr>
          <w:rFonts w:hint="eastAsia" w:ascii="Times New Roman" w:hAnsi="Times New Roman" w:eastAsia="仿宋_GB2312" w:cs="Times New Roman"/>
          <w:sz w:val="32"/>
          <w:szCs w:val="32"/>
          <w:u w:val="none"/>
          <w:shd w:val="clear" w:color="auto" w:fill="FFFFFF"/>
        </w:rPr>
        <w:t>国家重要的精品钢铁</w:t>
      </w:r>
      <w:r>
        <w:rPr>
          <w:rFonts w:hint="eastAsia" w:ascii="Times New Roman" w:hAnsi="Times New Roman" w:eastAsia="仿宋_GB2312" w:cs="Times New Roman"/>
          <w:sz w:val="32"/>
          <w:szCs w:val="32"/>
          <w:u w:val="none"/>
          <w:shd w:val="clear" w:color="auto" w:fill="FFFFFF"/>
          <w:lang w:eastAsia="zh-CN"/>
        </w:rPr>
        <w:t>、</w:t>
      </w:r>
      <w:r>
        <w:rPr>
          <w:rFonts w:hint="eastAsia" w:ascii="Times New Roman" w:hAnsi="Times New Roman" w:eastAsia="仿宋_GB2312" w:cs="Times New Roman"/>
          <w:sz w:val="32"/>
          <w:szCs w:val="32"/>
          <w:u w:val="none"/>
          <w:shd w:val="clear" w:color="auto" w:fill="FFFFFF"/>
          <w:lang w:val="en-US" w:eastAsia="zh-CN"/>
        </w:rPr>
        <w:t>高端</w:t>
      </w:r>
      <w:r>
        <w:rPr>
          <w:rFonts w:hint="eastAsia" w:ascii="Times New Roman" w:hAnsi="Times New Roman" w:eastAsia="仿宋_GB2312" w:cs="Times New Roman"/>
          <w:sz w:val="32"/>
          <w:szCs w:val="32"/>
          <w:u w:val="none"/>
          <w:shd w:val="clear" w:color="auto" w:fill="FFFFFF"/>
        </w:rPr>
        <w:t>装备制造</w:t>
      </w:r>
      <w:r>
        <w:rPr>
          <w:rFonts w:hint="eastAsia" w:ascii="Times New Roman" w:hAnsi="Times New Roman" w:eastAsia="仿宋_GB2312" w:cs="Times New Roman"/>
          <w:sz w:val="32"/>
          <w:szCs w:val="32"/>
          <w:u w:val="none"/>
          <w:shd w:val="clear" w:color="auto" w:fill="FFFFFF"/>
          <w:lang w:val="en-US" w:eastAsia="zh-CN"/>
        </w:rPr>
        <w:t>和新材料产业</w:t>
      </w:r>
      <w:r>
        <w:rPr>
          <w:rFonts w:hint="eastAsia" w:ascii="Times New Roman" w:hAnsi="Times New Roman" w:eastAsia="仿宋_GB2312" w:cs="Times New Roman"/>
          <w:sz w:val="32"/>
          <w:szCs w:val="32"/>
          <w:u w:val="none"/>
          <w:shd w:val="clear" w:color="auto" w:fill="FFFFFF"/>
        </w:rPr>
        <w:t>基地</w:t>
      </w:r>
      <w:r>
        <w:rPr>
          <w:rFonts w:hint="eastAsia" w:ascii="Times New Roman" w:hAnsi="Times New Roman" w:eastAsia="仿宋_GB2312" w:cs="Times New Roman"/>
          <w:sz w:val="32"/>
          <w:szCs w:val="32"/>
          <w:u w:val="none"/>
          <w:shd w:val="clear" w:color="auto" w:fill="FFFFFF"/>
          <w:lang w:eastAsia="zh-CN"/>
        </w:rPr>
        <w:t>，</w:t>
      </w:r>
      <w:r>
        <w:rPr>
          <w:rFonts w:hint="eastAsia" w:ascii="Times New Roman" w:hAnsi="Times New Roman" w:eastAsia="仿宋_GB2312" w:cs="Times New Roman"/>
          <w:sz w:val="32"/>
          <w:szCs w:val="32"/>
          <w:u w:val="none"/>
          <w:shd w:val="clear" w:color="auto" w:fill="FFFFFF"/>
        </w:rPr>
        <w:t>京津冀地区氢能产业示范区</w:t>
      </w:r>
      <w:r>
        <w:rPr>
          <w:rFonts w:hint="eastAsia" w:ascii="Times New Roman" w:hAnsi="Times New Roman" w:eastAsia="仿宋_GB2312" w:cs="Times New Roman"/>
          <w:sz w:val="32"/>
          <w:szCs w:val="32"/>
          <w:u w:val="none"/>
          <w:shd w:val="clear" w:color="auto" w:fill="FFFFFF"/>
          <w:lang w:eastAsia="zh-CN"/>
        </w:rPr>
        <w:t>，</w:t>
      </w:r>
      <w:r>
        <w:rPr>
          <w:rFonts w:hint="eastAsia" w:ascii="Times New Roman" w:hAnsi="Times New Roman" w:eastAsia="仿宋_GB2312" w:cs="Times New Roman"/>
          <w:sz w:val="32"/>
          <w:szCs w:val="32"/>
          <w:u w:val="none"/>
          <w:shd w:val="clear" w:color="auto" w:fill="FFFFFF"/>
        </w:rPr>
        <w:t>多产业融合发展的绿色转型样板。</w:t>
      </w:r>
    </w:p>
    <w:p w14:paraId="66A69E25">
      <w:pPr>
        <w:pStyle w:val="31"/>
        <w:numPr>
          <w:ilvl w:val="0"/>
          <w:numId w:val="0"/>
        </w:numPr>
        <w:autoSpaceDE w:val="0"/>
        <w:autoSpaceDN w:val="0"/>
        <w:spacing w:line="560" w:lineRule="exact"/>
        <w:ind w:left="0" w:leftChars="0" w:firstLine="640" w:firstLineChars="200"/>
        <w:rPr>
          <w:rFonts w:hint="default" w:ascii="黑体" w:hAnsi="黑体" w:eastAsia="黑体" w:cs="Times New Roman"/>
          <w:kern w:val="0"/>
          <w:sz w:val="32"/>
          <w:szCs w:val="32"/>
          <w:u w:val="none"/>
          <w:lang w:val="en-US" w:eastAsia="zh-CN"/>
        </w:rPr>
      </w:pPr>
      <w:bookmarkStart w:id="3" w:name="_Hlk21613535"/>
      <w:bookmarkStart w:id="4" w:name="_Toc96010807"/>
      <w:r>
        <w:rPr>
          <w:rFonts w:hint="eastAsia" w:ascii="黑体" w:hAnsi="黑体" w:eastAsia="黑体" w:cs="Times New Roman"/>
          <w:b w:val="0"/>
          <w:kern w:val="0"/>
          <w:sz w:val="32"/>
          <w:szCs w:val="28"/>
          <w:u w:val="none"/>
          <w:lang w:val="en-US" w:eastAsia="zh-CN" w:bidi="ar-SA"/>
        </w:rPr>
        <w:t>四、</w:t>
      </w:r>
      <w:r>
        <w:rPr>
          <w:rFonts w:hint="eastAsia" w:ascii="黑体" w:hAnsi="黑体" w:eastAsia="黑体" w:cs="Times New Roman"/>
          <w:kern w:val="0"/>
          <w:sz w:val="32"/>
          <w:szCs w:val="32"/>
          <w:u w:val="none"/>
          <w:lang w:val="en-US" w:eastAsia="zh-CN"/>
        </w:rPr>
        <w:t>产业体系</w:t>
      </w:r>
    </w:p>
    <w:p w14:paraId="37BFA9F0">
      <w:pPr>
        <w:pStyle w:val="15"/>
        <w:widowControl w:val="0"/>
        <w:spacing w:before="0" w:beforeAutospacing="0" w:after="0" w:afterAutospacing="0" w:line="560" w:lineRule="exact"/>
        <w:ind w:firstLine="640" w:firstLineChars="200"/>
        <w:jc w:val="both"/>
        <w:rPr>
          <w:rFonts w:hint="eastAsia" w:ascii="Times New Roman" w:hAnsi="Times New Roman" w:eastAsia="仿宋_GB2312" w:cs="Times New Roman"/>
          <w:sz w:val="32"/>
          <w:szCs w:val="32"/>
          <w:highlight w:val="none"/>
          <w:u w:val="none"/>
          <w:shd w:val="clear" w:color="auto" w:fill="FFFFFF"/>
        </w:rPr>
      </w:pPr>
      <w:r>
        <w:rPr>
          <w:rFonts w:hint="eastAsia" w:ascii="Times New Roman" w:hAnsi="Times New Roman" w:eastAsia="仿宋_GB2312" w:cs="Times New Roman"/>
          <w:sz w:val="32"/>
          <w:szCs w:val="32"/>
          <w:highlight w:val="none"/>
          <w:u w:val="none"/>
          <w:shd w:val="clear" w:color="auto" w:fill="FFFFFF"/>
          <w:lang w:val="en-US" w:eastAsia="zh-CN"/>
        </w:rPr>
        <w:t>做优</w:t>
      </w:r>
      <w:r>
        <w:rPr>
          <w:rFonts w:hint="eastAsia" w:ascii="Times New Roman" w:hAnsi="Times New Roman" w:eastAsia="仿宋_GB2312" w:cs="Times New Roman"/>
          <w:sz w:val="32"/>
          <w:szCs w:val="32"/>
          <w:highlight w:val="none"/>
          <w:u w:val="none"/>
          <w:shd w:val="clear" w:color="auto" w:fill="FFFFFF"/>
        </w:rPr>
        <w:t>做强</w:t>
      </w:r>
      <w:r>
        <w:rPr>
          <w:rFonts w:hint="eastAsia" w:ascii="Times New Roman" w:hAnsi="Times New Roman" w:eastAsia="仿宋_GB2312" w:cs="Times New Roman"/>
          <w:sz w:val="32"/>
          <w:szCs w:val="32"/>
          <w:highlight w:val="none"/>
          <w:u w:val="none"/>
          <w:shd w:val="clear" w:color="auto" w:fill="FFFFFF"/>
          <w:lang w:val="en-US" w:eastAsia="zh-CN"/>
        </w:rPr>
        <w:t>主导</w:t>
      </w:r>
      <w:r>
        <w:rPr>
          <w:rFonts w:hint="eastAsia" w:ascii="Times New Roman" w:hAnsi="Times New Roman" w:eastAsia="仿宋_GB2312" w:cs="Times New Roman"/>
          <w:sz w:val="32"/>
          <w:szCs w:val="32"/>
          <w:highlight w:val="none"/>
          <w:u w:val="none"/>
          <w:shd w:val="clear" w:color="auto" w:fill="FFFFFF"/>
        </w:rPr>
        <w:t>产业，培育</w:t>
      </w:r>
      <w:r>
        <w:rPr>
          <w:rFonts w:hint="eastAsia" w:ascii="Times New Roman" w:hAnsi="Times New Roman" w:eastAsia="仿宋_GB2312" w:cs="Times New Roman"/>
          <w:sz w:val="32"/>
          <w:szCs w:val="32"/>
          <w:highlight w:val="none"/>
          <w:u w:val="none"/>
          <w:shd w:val="clear" w:color="auto" w:fill="FFFFFF"/>
          <w:lang w:val="en-US" w:eastAsia="zh-CN"/>
        </w:rPr>
        <w:t>壮大特色</w:t>
      </w:r>
      <w:r>
        <w:rPr>
          <w:rFonts w:hint="eastAsia" w:ascii="Times New Roman" w:hAnsi="Times New Roman" w:eastAsia="仿宋_GB2312" w:cs="Times New Roman"/>
          <w:sz w:val="32"/>
          <w:szCs w:val="32"/>
          <w:highlight w:val="none"/>
          <w:u w:val="none"/>
          <w:shd w:val="clear" w:color="auto" w:fill="FFFFFF"/>
        </w:rPr>
        <w:t>产业，以优势产业为支柱、</w:t>
      </w:r>
      <w:r>
        <w:rPr>
          <w:rFonts w:hint="eastAsia" w:ascii="Times New Roman" w:hAnsi="Times New Roman" w:eastAsia="仿宋_GB2312" w:cs="Times New Roman"/>
          <w:sz w:val="32"/>
          <w:szCs w:val="32"/>
          <w:highlight w:val="none"/>
          <w:u w:val="none"/>
          <w:shd w:val="clear" w:color="auto" w:fill="FFFFFF"/>
          <w:lang w:val="en-US" w:eastAsia="zh-CN"/>
        </w:rPr>
        <w:t>特色</w:t>
      </w:r>
      <w:r>
        <w:rPr>
          <w:rFonts w:hint="eastAsia" w:ascii="Times New Roman" w:hAnsi="Times New Roman" w:eastAsia="仿宋_GB2312" w:cs="Times New Roman"/>
          <w:sz w:val="32"/>
          <w:szCs w:val="32"/>
          <w:highlight w:val="none"/>
          <w:u w:val="none"/>
          <w:shd w:val="clear" w:color="auto" w:fill="FFFFFF"/>
        </w:rPr>
        <w:t>产业为支撑</w:t>
      </w:r>
      <w:r>
        <w:rPr>
          <w:rFonts w:hint="eastAsia" w:ascii="Times New Roman" w:hAnsi="Times New Roman" w:eastAsia="仿宋_GB2312" w:cs="Times New Roman"/>
          <w:sz w:val="32"/>
          <w:szCs w:val="32"/>
          <w:highlight w:val="none"/>
          <w:u w:val="none"/>
          <w:shd w:val="clear" w:color="auto" w:fill="FFFFFF"/>
          <w:lang w:eastAsia="zh-CN"/>
        </w:rPr>
        <w:t>、以</w:t>
      </w:r>
      <w:r>
        <w:rPr>
          <w:rFonts w:hint="eastAsia" w:ascii="Times New Roman" w:hAnsi="Times New Roman" w:eastAsia="仿宋_GB2312" w:cs="Times New Roman"/>
          <w:sz w:val="32"/>
          <w:szCs w:val="32"/>
          <w:highlight w:val="none"/>
          <w:u w:val="none"/>
          <w:shd w:val="clear" w:color="auto" w:fill="FFFFFF"/>
        </w:rPr>
        <w:t>创新研发为引擎，构建3大主导产业，N个特色产业。推动钢铁产业大提升、氢能产业大突破，</w:t>
      </w:r>
      <w:r>
        <w:rPr>
          <w:rFonts w:hint="eastAsia" w:ascii="Times New Roman" w:hAnsi="Times New Roman" w:eastAsia="仿宋_GB2312" w:cs="Times New Roman"/>
          <w:sz w:val="32"/>
          <w:szCs w:val="32"/>
          <w:highlight w:val="none"/>
          <w:u w:val="none"/>
          <w:shd w:val="clear" w:color="auto" w:fill="FFFFFF"/>
          <w:lang w:val="en-US" w:eastAsia="zh-CN"/>
        </w:rPr>
        <w:t>特色</w:t>
      </w:r>
      <w:r>
        <w:rPr>
          <w:rFonts w:hint="eastAsia" w:ascii="Times New Roman" w:hAnsi="Times New Roman" w:eastAsia="仿宋_GB2312" w:cs="Times New Roman"/>
          <w:sz w:val="32"/>
          <w:szCs w:val="32"/>
          <w:highlight w:val="none"/>
          <w:u w:val="none"/>
          <w:shd w:val="clear" w:color="auto" w:fill="FFFFFF"/>
        </w:rPr>
        <w:t>产业大发展，加快构建多业并举、生机勃发的现代产业体系。</w:t>
      </w:r>
    </w:p>
    <w:p w14:paraId="3AEF5F75">
      <w:pPr>
        <w:pStyle w:val="15"/>
        <w:widowControl w:val="0"/>
        <w:spacing w:before="0" w:beforeAutospacing="0" w:after="0" w:afterAutospacing="0" w:line="560" w:lineRule="exact"/>
        <w:ind w:firstLine="640" w:firstLineChars="200"/>
        <w:jc w:val="both"/>
        <w:rPr>
          <w:rFonts w:hint="eastAsia" w:ascii="Times New Roman" w:hAnsi="Times New Roman" w:eastAsia="仿宋_GB2312" w:cs="Times New Roman"/>
          <w:sz w:val="32"/>
          <w:szCs w:val="32"/>
          <w:highlight w:val="none"/>
          <w:u w:val="none"/>
          <w:shd w:val="clear" w:color="auto" w:fill="FFFFFF"/>
          <w:lang w:val="en-US" w:eastAsia="zh-CN"/>
        </w:rPr>
      </w:pPr>
      <w:r>
        <w:rPr>
          <w:rFonts w:hint="eastAsia" w:ascii="Times New Roman" w:hAnsi="Times New Roman" w:eastAsia="仿宋_GB2312" w:cs="Times New Roman"/>
          <w:sz w:val="32"/>
          <w:szCs w:val="32"/>
          <w:highlight w:val="none"/>
          <w:u w:val="none"/>
          <w:shd w:val="clear" w:color="auto" w:fill="FFFFFF"/>
          <w:lang w:val="en-US" w:eastAsia="zh-CN"/>
        </w:rPr>
        <w:t>3大主导产业指精品钢铁、高端装备制造和新材料产业。</w:t>
      </w:r>
    </w:p>
    <w:p w14:paraId="322D9AF8">
      <w:pPr>
        <w:pStyle w:val="15"/>
        <w:widowControl w:val="0"/>
        <w:spacing w:before="0" w:beforeAutospacing="0" w:after="0" w:afterAutospacing="0" w:line="560" w:lineRule="exact"/>
        <w:ind w:firstLine="640" w:firstLineChars="200"/>
        <w:jc w:val="both"/>
        <w:rPr>
          <w:rFonts w:hint="eastAsia" w:ascii="Times New Roman" w:hAnsi="Times New Roman" w:eastAsia="仿宋_GB2312" w:cs="Times New Roman"/>
          <w:sz w:val="32"/>
          <w:szCs w:val="32"/>
          <w:highlight w:val="none"/>
          <w:u w:val="none"/>
          <w:shd w:val="clear" w:color="auto" w:fill="FFFFFF"/>
          <w:lang w:val="en-US" w:eastAsia="zh-CN"/>
        </w:rPr>
      </w:pPr>
      <w:r>
        <w:rPr>
          <w:rFonts w:hint="eastAsia" w:ascii="Times New Roman" w:hAnsi="Times New Roman" w:eastAsia="仿宋_GB2312" w:cs="Times New Roman"/>
          <w:sz w:val="32"/>
          <w:szCs w:val="32"/>
          <w:highlight w:val="none"/>
          <w:u w:val="none"/>
          <w:shd w:val="clear" w:color="auto" w:fill="FFFFFF"/>
          <w:lang w:val="en-US" w:eastAsia="zh-CN"/>
        </w:rPr>
        <w:t>N个特色产业指氢能产业、现代物流、现代化工、生物医药、节能环保、传统产业等，多产业融合发展。</w:t>
      </w:r>
    </w:p>
    <w:bookmarkEnd w:id="3"/>
    <w:bookmarkEnd w:id="4"/>
    <w:p w14:paraId="7EF91FB6">
      <w:pPr>
        <w:pStyle w:val="31"/>
        <w:numPr>
          <w:ilvl w:val="0"/>
          <w:numId w:val="0"/>
        </w:numPr>
        <w:autoSpaceDE w:val="0"/>
        <w:autoSpaceDN w:val="0"/>
        <w:spacing w:line="560" w:lineRule="exact"/>
        <w:ind w:left="0" w:leftChars="0" w:firstLine="640" w:firstLineChars="200"/>
        <w:rPr>
          <w:rFonts w:hint="default" w:ascii="黑体" w:hAnsi="黑体" w:eastAsia="黑体" w:cs="Times New Roman"/>
          <w:kern w:val="0"/>
          <w:sz w:val="32"/>
          <w:szCs w:val="32"/>
          <w:u w:val="none"/>
          <w:lang w:val="en-US" w:eastAsia="zh-CN"/>
        </w:rPr>
      </w:pPr>
      <w:r>
        <w:rPr>
          <w:rFonts w:hint="eastAsia" w:ascii="黑体" w:hAnsi="黑体" w:eastAsia="黑体" w:cs="Times New Roman"/>
          <w:b w:val="0"/>
          <w:kern w:val="0"/>
          <w:sz w:val="32"/>
          <w:szCs w:val="28"/>
          <w:u w:val="none"/>
          <w:lang w:val="en-US" w:eastAsia="zh-CN" w:bidi="ar-SA"/>
        </w:rPr>
        <w:t>五、</w:t>
      </w:r>
      <w:r>
        <w:rPr>
          <w:rFonts w:hint="eastAsia" w:ascii="黑体" w:hAnsi="黑体" w:eastAsia="黑体" w:cs="Times New Roman"/>
          <w:kern w:val="0"/>
          <w:sz w:val="32"/>
          <w:szCs w:val="32"/>
          <w:u w:val="none"/>
          <w:lang w:val="en-US" w:eastAsia="zh-CN"/>
        </w:rPr>
        <w:t>发展重点</w:t>
      </w:r>
    </w:p>
    <w:p w14:paraId="37A124CE">
      <w:pPr>
        <w:pageBreakBefore w:val="0"/>
        <w:widowControl w:val="0"/>
        <w:kinsoku/>
        <w:wordWrap/>
        <w:overflowPunct w:val="0"/>
        <w:topLinePunct w:val="0"/>
        <w:autoSpaceDE w:val="0"/>
        <w:autoSpaceDN w:val="0"/>
        <w:bidi w:val="0"/>
        <w:adjustRightInd/>
        <w:snapToGrid/>
        <w:spacing w:line="560" w:lineRule="exac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1.精品钢铁</w:t>
      </w:r>
    </w:p>
    <w:p w14:paraId="3B8D6593">
      <w:pPr>
        <w:pageBreakBefore w:val="0"/>
        <w:widowControl w:val="0"/>
        <w:kinsoku/>
        <w:wordWrap/>
        <w:overflowPunct w:val="0"/>
        <w:topLinePunct w:val="0"/>
        <w:autoSpaceDE w:val="0"/>
        <w:autoSpaceDN w:val="0"/>
        <w:bidi w:val="0"/>
        <w:adjustRightInd/>
        <w:snapToGrid/>
        <w:spacing w:line="560" w:lineRule="exac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（1）机械用钢</w:t>
      </w:r>
    </w:p>
    <w:p w14:paraId="0F2EFB41">
      <w:pPr>
        <w:pageBreakBefore w:val="0"/>
        <w:widowControl w:val="0"/>
        <w:kinsoku/>
        <w:wordWrap/>
        <w:overflowPunct w:val="0"/>
        <w:topLinePunct w:val="0"/>
        <w:autoSpaceDE w:val="0"/>
        <w:autoSpaceDN w:val="0"/>
        <w:bidi w:val="0"/>
        <w:adjustRightInd/>
        <w:snapToGrid/>
        <w:spacing w:line="560" w:lineRule="exac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重大技术装备的大型化、参数的极限化等对钢材提出了耐高温、高压及耐辐射、磨损、腐蚀等性能要求。重点开发品种有齿轮钢、弹簧钢、轴承钢、工程机械用钢、压力容器用钢、模具用钢等。</w:t>
      </w:r>
    </w:p>
    <w:p w14:paraId="3CF99B6E">
      <w:pPr>
        <w:pageBreakBefore w:val="0"/>
        <w:widowControl w:val="0"/>
        <w:kinsoku/>
        <w:wordWrap/>
        <w:overflowPunct w:val="0"/>
        <w:topLinePunct w:val="0"/>
        <w:autoSpaceDE w:val="0"/>
        <w:autoSpaceDN w:val="0"/>
        <w:bidi w:val="0"/>
        <w:adjustRightInd/>
        <w:snapToGrid/>
        <w:spacing w:line="560" w:lineRule="exac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（2）汽车用钢</w:t>
      </w:r>
    </w:p>
    <w:p w14:paraId="5B50EA6B">
      <w:pPr>
        <w:pageBreakBefore w:val="0"/>
        <w:widowControl w:val="0"/>
        <w:kinsoku/>
        <w:wordWrap/>
        <w:overflowPunct w:val="0"/>
        <w:topLinePunct w:val="0"/>
        <w:autoSpaceDE w:val="0"/>
        <w:autoSpaceDN w:val="0"/>
        <w:bidi w:val="0"/>
        <w:adjustRightInd/>
        <w:snapToGrid/>
        <w:spacing w:line="560" w:lineRule="exac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汽车行业发展重点是以绿色、节能为目标的轻量化趋势。汽车板主要品种方向为高强减薄汽车钢、高性价比的镀锌钢板和第三代高强钢等；汽车零部件用钢发展方向是高强韧性、高纯净度、高均匀性、超细晶粒度、高表面质量、长疲劳寿命。重点开发品种有新一代高强汽车板、高品质齿轮钢、汽车部件用非调质钢、高品质弹簧钢、冷镦钢等。</w:t>
      </w:r>
    </w:p>
    <w:p w14:paraId="34FF9784">
      <w:pPr>
        <w:pageBreakBefore w:val="0"/>
        <w:widowControl w:val="0"/>
        <w:kinsoku/>
        <w:wordWrap/>
        <w:overflowPunct w:val="0"/>
        <w:topLinePunct w:val="0"/>
        <w:autoSpaceDE w:val="0"/>
        <w:autoSpaceDN w:val="0"/>
        <w:bidi w:val="0"/>
        <w:adjustRightInd/>
        <w:snapToGrid/>
        <w:spacing w:line="560" w:lineRule="exac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（3）建筑用钢</w:t>
      </w:r>
    </w:p>
    <w:p w14:paraId="355E728C">
      <w:pPr>
        <w:pageBreakBefore w:val="0"/>
        <w:widowControl w:val="0"/>
        <w:kinsoku/>
        <w:wordWrap/>
        <w:overflowPunct w:val="0"/>
        <w:topLinePunct w:val="0"/>
        <w:autoSpaceDE w:val="0"/>
        <w:autoSpaceDN w:val="0"/>
        <w:bidi w:val="0"/>
        <w:adjustRightInd/>
        <w:snapToGrid/>
        <w:spacing w:line="560" w:lineRule="exac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装配式建筑和钢结构建筑将成为未来建筑业发展的重点，各种型钢、管材等的使用比重会上升。重点开发品种有耐火耐候钢，H型钢，抗震钢筋，高强建筑用钢，高强度线材等。</w:t>
      </w:r>
    </w:p>
    <w:p w14:paraId="2FE021B2">
      <w:pPr>
        <w:pageBreakBefore w:val="0"/>
        <w:widowControl w:val="0"/>
        <w:kinsoku/>
        <w:wordWrap/>
        <w:overflowPunct w:val="0"/>
        <w:topLinePunct w:val="0"/>
        <w:autoSpaceDE w:val="0"/>
        <w:autoSpaceDN w:val="0"/>
        <w:bidi w:val="0"/>
        <w:adjustRightInd/>
        <w:snapToGrid/>
        <w:spacing w:line="560" w:lineRule="exac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（4）家电用钢</w:t>
      </w:r>
    </w:p>
    <w:p w14:paraId="6950E71B">
      <w:pPr>
        <w:pageBreakBefore w:val="0"/>
        <w:widowControl w:val="0"/>
        <w:kinsoku/>
        <w:wordWrap/>
        <w:overflowPunct w:val="0"/>
        <w:topLinePunct w:val="0"/>
        <w:autoSpaceDE w:val="0"/>
        <w:autoSpaceDN w:val="0"/>
        <w:bidi w:val="0"/>
        <w:adjustRightInd/>
        <w:snapToGrid/>
        <w:spacing w:line="560" w:lineRule="exac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开发具有高表面质量、抗拉强度、屈服强度、延伸率及防腐蚀性能的冷轧板、镀锌板和不锈钢板，促进家电用板向高强度、高硬度、薄规格、宽幅方向和绿色环保发展。</w:t>
      </w:r>
    </w:p>
    <w:p w14:paraId="6130B197">
      <w:pPr>
        <w:pageBreakBefore w:val="0"/>
        <w:widowControl w:val="0"/>
        <w:kinsoku/>
        <w:wordWrap/>
        <w:overflowPunct w:val="0"/>
        <w:topLinePunct w:val="0"/>
        <w:autoSpaceDE w:val="0"/>
        <w:autoSpaceDN w:val="0"/>
        <w:bidi w:val="0"/>
        <w:adjustRightInd/>
        <w:snapToGrid/>
        <w:spacing w:line="560" w:lineRule="exac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（5）轨道交通用钢</w:t>
      </w:r>
    </w:p>
    <w:p w14:paraId="1CA65A91">
      <w:pPr>
        <w:pageBreakBefore w:val="0"/>
        <w:widowControl w:val="0"/>
        <w:kinsoku/>
        <w:wordWrap/>
        <w:overflowPunct w:val="0"/>
        <w:topLinePunct w:val="0"/>
        <w:autoSpaceDE w:val="0"/>
        <w:autoSpaceDN w:val="0"/>
        <w:bidi w:val="0"/>
        <w:adjustRightInd/>
        <w:snapToGrid/>
        <w:spacing w:line="560" w:lineRule="exac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近年来，铝合金等新型材料在轨道交通行业的用量不断增加。重点开发品种有轻轨，重轨，轨枕用钢（调质钢筋、预应力钢丝等），高铁配件，紧固件用钢（高强螺栓），铁路桥梁用钢（各种型钢及桥梁板）等。</w:t>
      </w:r>
    </w:p>
    <w:p w14:paraId="2EB7DB09">
      <w:pPr>
        <w:pageBreakBefore w:val="0"/>
        <w:widowControl w:val="0"/>
        <w:kinsoku/>
        <w:wordWrap/>
        <w:overflowPunct w:val="0"/>
        <w:topLinePunct w:val="0"/>
        <w:autoSpaceDE w:val="0"/>
        <w:autoSpaceDN w:val="0"/>
        <w:bidi w:val="0"/>
        <w:adjustRightInd/>
        <w:snapToGrid/>
        <w:spacing w:line="560" w:lineRule="exac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（6）海洋工程用钢</w:t>
      </w:r>
    </w:p>
    <w:p w14:paraId="50ABF34F">
      <w:pPr>
        <w:pageBreakBefore w:val="0"/>
        <w:widowControl w:val="0"/>
        <w:kinsoku/>
        <w:wordWrap/>
        <w:overflowPunct w:val="0"/>
        <w:topLinePunct w:val="0"/>
        <w:autoSpaceDE w:val="0"/>
        <w:autoSpaceDN w:val="0"/>
        <w:bidi w:val="0"/>
        <w:adjustRightInd/>
        <w:snapToGrid/>
        <w:spacing w:line="560" w:lineRule="exac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开发具有系列化的高强、高韧、耐浪涌、耐海洋环境腐蚀和长寿命、高性能低合金耐蚀钢、不锈钢等高性能特殊钢，满足海洋环境对钢材的耐腐蚀、长寿命要求。重点研发能够满足未来深海和极地海洋平台安全性能及建造成本需求的超高强钢。</w:t>
      </w:r>
    </w:p>
    <w:p w14:paraId="4AA58ECD">
      <w:pPr>
        <w:pageBreakBefore w:val="0"/>
        <w:widowControl w:val="0"/>
        <w:kinsoku/>
        <w:wordWrap/>
        <w:overflowPunct w:val="0"/>
        <w:topLinePunct w:val="0"/>
        <w:autoSpaceDE w:val="0"/>
        <w:autoSpaceDN w:val="0"/>
        <w:bidi w:val="0"/>
        <w:adjustRightInd/>
        <w:snapToGrid/>
        <w:spacing w:line="560" w:lineRule="exac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（7）石化装备用钢</w:t>
      </w:r>
    </w:p>
    <w:p w14:paraId="32AF26E0">
      <w:pPr>
        <w:pageBreakBefore w:val="0"/>
        <w:widowControl w:val="0"/>
        <w:kinsoku/>
        <w:wordWrap/>
        <w:overflowPunct w:val="0"/>
        <w:topLinePunct w:val="0"/>
        <w:autoSpaceDE w:val="0"/>
        <w:autoSpaceDN w:val="0"/>
        <w:bidi w:val="0"/>
        <w:adjustRightInd/>
        <w:snapToGrid/>
        <w:spacing w:line="560" w:lineRule="exac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紧跟石化行业发展需求，提高压力容器用钢、中温抗氢钢、球罐用钢、不锈钢及复合钢板等钢材性能，满足石化行业新工艺、新设备发展要求。</w:t>
      </w:r>
    </w:p>
    <w:p w14:paraId="41E35490">
      <w:pPr>
        <w:pageBreakBefore w:val="0"/>
        <w:widowControl w:val="0"/>
        <w:kinsoku/>
        <w:wordWrap/>
        <w:overflowPunct w:val="0"/>
        <w:topLinePunct w:val="0"/>
        <w:autoSpaceDE w:val="0"/>
        <w:autoSpaceDN w:val="0"/>
        <w:bidi w:val="0"/>
        <w:adjustRightInd/>
        <w:snapToGrid/>
        <w:spacing w:line="560" w:lineRule="exac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（8）高端不锈钢</w:t>
      </w:r>
    </w:p>
    <w:p w14:paraId="5596B1CF">
      <w:pPr>
        <w:pageBreakBefore w:val="0"/>
        <w:widowControl w:val="0"/>
        <w:kinsoku/>
        <w:wordWrap/>
        <w:overflowPunct w:val="0"/>
        <w:topLinePunct w:val="0"/>
        <w:autoSpaceDE w:val="0"/>
        <w:autoSpaceDN w:val="0"/>
        <w:bidi w:val="0"/>
        <w:adjustRightInd/>
        <w:snapToGrid/>
        <w:spacing w:line="560" w:lineRule="exac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支持建设以高端不锈钢为主的精品深加工中心，推动不锈钢产业集群建设。重点发展航天军工、汽车制造、城市管网、食品医疗等领域的高附加值产品，主要包括300系、400系、双相不锈钢、超低碳、超低氮、超纯等高端不锈钢材料。</w:t>
      </w:r>
      <w:bookmarkEnd w:id="0"/>
      <w:bookmarkEnd w:id="1"/>
      <w:bookmarkEnd w:id="2"/>
    </w:p>
    <w:p w14:paraId="20F748D7">
      <w:pPr>
        <w:pageBreakBefore w:val="0"/>
        <w:widowControl w:val="0"/>
        <w:kinsoku/>
        <w:wordWrap/>
        <w:overflowPunct w:val="0"/>
        <w:topLinePunct w:val="0"/>
        <w:autoSpaceDE w:val="0"/>
        <w:autoSpaceDN w:val="0"/>
        <w:bidi w:val="0"/>
        <w:adjustRightInd/>
        <w:snapToGrid/>
        <w:spacing w:line="560" w:lineRule="exact"/>
        <w:ind w:firstLine="640" w:firstLineChars="200"/>
        <w:textAlignment w:val="auto"/>
        <w:rPr>
          <w:rFonts w:hint="eastAsia" w:ascii="仿宋_GB2312" w:hAnsi="仿宋_GB2312" w:eastAsia="仿宋_GB2312" w:cs="仿宋_GB2312"/>
          <w:b/>
          <w:bCs/>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b/>
          <w:bCs/>
          <w:color w:val="000000" w:themeColor="text1"/>
          <w:kern w:val="2"/>
          <w:sz w:val="32"/>
          <w:szCs w:val="32"/>
          <w:lang w:val="en-US" w:eastAsia="zh-CN" w:bidi="ar-SA"/>
          <w14:textFill>
            <w14:solidFill>
              <w14:schemeClr w14:val="tx1"/>
            </w14:solidFill>
          </w14:textFill>
        </w:rPr>
        <w:t>2.高端装备制造</w:t>
      </w:r>
    </w:p>
    <w:p w14:paraId="4394DE4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（1）智能制造</w:t>
      </w:r>
    </w:p>
    <w:p w14:paraId="2B90B2B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高档数控机床及基础制造装备。以数控机床及相关企业为依托，重点发展高档数控机床、数控加工制造单元和生产线，铸造、热处理、表面加工自动化成套设备等基础制造装备。鼓励和支持数控机床和基础制造装备主机、数控系统和功能部件等产业链关联单位建立上下游配套关系，打造完整数控机床和基础制造装备产业链配套体系。</w:t>
      </w:r>
    </w:p>
    <w:p w14:paraId="3BBF856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围绕国内制造业的转型升级需求，发展精密、高速、高效、柔性数控机床，重点发展金属切削加工机床、特种加工机床、铸、锻、焊、热处理等热加工工艺装备、增材制造装备；提升中高档数控系统和功能部件的自主配套能力，发展新一代功能部件和工量具。</w:t>
      </w:r>
    </w:p>
    <w:p w14:paraId="082D9EA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智能机器人。引导一批有实力的龙头企业进军机器人产业领域，抢占工业机器人、服务机器人以及特种机器人等领域的产业制高点。鼓励企业加强与科研院所合作，推动工业机器人研发、生产、应用一体化，促进传统产业效率提升和高质量发展。重点发展高速搬运机器人、重载码垛机器人、喷涂机器人、焊接机器人、关节型机器人、移动机器人（AGV）、全方位移动机械臂等工业机器人整机及零部件。重点发展工业机器人本体产业，逐步整合上游核心零部件和下游系统集成商。</w:t>
      </w:r>
    </w:p>
    <w:p w14:paraId="52FE44D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智能物流与仓储装备。重点发展轻型高速堆垛机、自主导航AGV、高速智能分拣机、无人派送车辆、冷链物流装备等仓储物流装备，自动搬运车、叉车等装卸设备，智能立体仓库、自动分拣系统、物流机器人、包裹自助交接终端和管理系统等智能系统集成装备。</w:t>
      </w:r>
    </w:p>
    <w:p w14:paraId="2D6BE5B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智能成套装备。重点发展航空航天、汽车零部件、电子元器件、轴承、文体用品等行业用自动化（智能化）成套装备；加快发展石油石化智能成套设备、全自动纺织服装生产线、食品加工线、制药成套生产线、包装成套装备等；加快发展大型、特大型金属一体压铸成型成套装备。</w:t>
      </w:r>
    </w:p>
    <w:p w14:paraId="1A1B4AC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高端医疗和健康医养装备。服务于“十强”产业之一的医养健康产业，重点发展健康监测和康复设备等高性能医疗装备，健康监测、监护及康复设备，重点推进智能型康复辅具、计算机辅助康复治疗设备、重大疾病与常见病和慢性病筛查设备、健康监测产品（包括可穿戴产品）等，促进高端医疗和健康医养设备产业发展。</w:t>
      </w:r>
    </w:p>
    <w:p w14:paraId="07C15CF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节能环保装备。提升节能环保技术装备国产化水平与绿色竞争力，助力实现“碳达峰、碳中和”目标。重点发展高效换热器、高效节能锅炉、烟气脱硫脱硝设备、水污染防治设备等。加快工业余热利用系统、吸收式热泵余热回收系统、烟气冷凝热回收节能系统、固废金属处理等产品开发与推广。</w:t>
      </w:r>
    </w:p>
    <w:p w14:paraId="2C099B9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（2）现代能源装备</w:t>
      </w:r>
    </w:p>
    <w:p w14:paraId="4D3104F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输变电设备。依托隆信电气、瑞阔等企业，积极拓展产业链，提升技术水平，发展输变电设备产业。重点发展电流互感器、电力变压器、发电机断路器、输电线路、线路保护装置、避雷器等高压、超高压输电设备。加快发展变压器、隔离开关与断路器、互感器、避雷器、异步电动机、变电盘，以及</w:t>
      </w:r>
      <w:bookmarkStart w:id="5" w:name="_GoBack"/>
      <w:bookmarkEnd w:id="5"/>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自动化成套控制系统、智能电网先进量测基础设施等。</w:t>
      </w:r>
    </w:p>
    <w:p w14:paraId="4F9D520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氢能装备。重点发展制氢设备及氢气提纯设备，车载储氢、加氢设备，以及高精度流量计、氢气检测系统、高性能传感器、制氢加氢一体机等氢能源供给及存储设备；加快发展氢气循环泵、空气压缩机、氢气电控喷射、高压电磁阀等关键零部件，以及燃料电池电堆、质子交换膜等关键零部件。</w:t>
      </w:r>
    </w:p>
    <w:p w14:paraId="4F4000C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智能电网及储能设备。重点发展超特高压交流输变电设备、超特高压直流输变电设备、超特高压交直流试验设备和智能电网输变电（成套）设备。</w:t>
      </w:r>
    </w:p>
    <w:p w14:paraId="35E2333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光伏成套设备及关键部件。重点发展太阳能光伏发电成套机组、太阳能光热发电成套机组及关键部件、太阳能薄膜发电成套机组；高效电池片及组件、并网（离网）光伏逆变器、蓄电池充放电控制器、太阳能跟踪装置、光伏电站监控设备等。</w:t>
      </w:r>
    </w:p>
    <w:p w14:paraId="390FD4CF">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（3）检测与监测设备</w:t>
      </w:r>
    </w:p>
    <w:p w14:paraId="57769AA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紧紧围绕整机装备发展需求，大力推进整机装备、检测与监测设备企业协同创新，促进整机装备产品向智能化发展，支持检测与监测设备在装备检测、环境监测等领域示范应用</w:t>
      </w:r>
    </w:p>
    <w:p w14:paraId="572A636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先进仪器仪表。重点发展扫描电子显微镜、高性能专用气相色谱仪、高性能液相色谱仪、高性能质谱仪等。环境监测仪器仪表领域，发展污染源水质聚类分析、水质毒性监测，石化、化工园区大气污染多参数连续监测与预警，生物监测及多目标物同步监测，以及应急环境监测等技术装备。</w:t>
      </w:r>
    </w:p>
    <w:p w14:paraId="7CD08F8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智能检测装备。发展在线成分分析仪、在线无损检测装置、在线高精度三维数字超声波探伤仪、极端工况检测设备、在线高精度接触/非接触式几何精度检测设备。</w:t>
      </w:r>
    </w:p>
    <w:p w14:paraId="460B74C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智能传感器。重点发展新型工业传感器，开发具有数据存储和处理、自动补偿、通信功能的低功耗、高精度、高可靠的智能型光电传感器、智能型接近传感器、高精度流量传感器等新型工业传感器。</w:t>
      </w:r>
    </w:p>
    <w:p w14:paraId="1A28EC6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机器视觉装备。发展工业相机及镜头、标准光源、中控设备等关键零部件，突破芯片、图像识别智能算法、机器视觉通用算法平台软件等技术。</w:t>
      </w:r>
    </w:p>
    <w:p w14:paraId="4F007F5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（4）汽车零部件</w:t>
      </w:r>
    </w:p>
    <w:p w14:paraId="4CFEA50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重点研究开发具有自主知识产权的汽车关键零部件，大力发展活塞及组件、活塞耐磨镶圈、缸体、缸盖、曲轴、连杆、凸轮轴、气门组等发动机核心部件。汽车制动包括电气控制产品（如EPB电子驻车制动）、制动泵、制动鼓、真空助力器、制动主缸等关键部件，支持发展先进的动力配套系统、汽车电子、先进材料应用和绿色工艺开发，新能源汽车燃料电池、驱动电机、电控系统等关键部件、试验测试装备等。</w:t>
      </w:r>
    </w:p>
    <w:p w14:paraId="364F872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（5）航空航天及轨道交通装备</w:t>
      </w:r>
    </w:p>
    <w:p w14:paraId="76EA954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通用航空装备。积极发展固定翼通用飞机、民用直升机、轻型公务机、多用途通用飞机等通航飞机及核心零部件，布局物流、应急、救援、巡护、航测等无人机产品，加快发展专用无人机、商务机发动机产业。</w:t>
      </w:r>
    </w:p>
    <w:p w14:paraId="3B06CB20">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先进轨道交通装备。重点研发制动系统、牵引控制系统、网络控制系统、齿轮传动系统等关键部件，大力提升轨道交通核心部件制造能力，加快发展轨道交通车辆制造产业。</w:t>
      </w:r>
    </w:p>
    <w:p w14:paraId="0BE927D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（6）新一代信息技术装备</w:t>
      </w:r>
    </w:p>
    <w:p w14:paraId="4F44792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集成电路制造装备。重点发展先进去胶、清洗、蚀刻、热处理、薄膜生长、涂胶显影、离子注入、键合、AOI光学检测等芯片制造及测试装备，以及碳化硅单晶生长炉等前端材料制造制备；发展下一代集成电路设计、先进工艺设备及测试试验设备。</w:t>
      </w:r>
    </w:p>
    <w:p w14:paraId="35EB7E9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核心信息系统设备。重点开发智能制造基础通信及控制设备，包括智能制造控制系统、新型工业传感器、工业物联控制设备、工业物联网、工业可穿戴设备和工业信息安全保障产品。开发具有现场总线通信功能的分布式控制系统（DCS）、可编程控制系统（PLC）、工控机系统（PAC）、嵌入式控制系统以及数据采集与监视控制系统（SCADA）、安全控制系统。</w:t>
      </w:r>
    </w:p>
    <w:p w14:paraId="1C67C2A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b/>
          <w:bCs/>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b/>
          <w:bCs/>
          <w:color w:val="000000" w:themeColor="text1"/>
          <w:kern w:val="2"/>
          <w:sz w:val="32"/>
          <w:szCs w:val="32"/>
          <w:lang w:val="en-US" w:eastAsia="zh-CN" w:bidi="ar-SA"/>
          <w14:textFill>
            <w14:solidFill>
              <w14:schemeClr w14:val="tx1"/>
            </w14:solidFill>
          </w14:textFill>
        </w:rPr>
        <w:t>3.新材料</w:t>
      </w:r>
    </w:p>
    <w:p w14:paraId="689AA54D">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（1）做强四大先进基础材料</w:t>
      </w:r>
    </w:p>
    <w:p w14:paraId="575A111C">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磁性材料。以首钢智新迁安电磁材料有限公司为主导，提升磁性材料应用稳定性，深度开发铁氧体、钕铁硼等产品，延伸发展高性能磁性材料、非晶软磁材料等产业，完善“磁性材料及关键配套材料—磁体元件—特种电机”产业链，聚焦发电、输变电、家用电器和新能源汽车等领域，壮大磁性材料产业集群，构建电磁产业园，打造千亿级电磁产业集群。</w:t>
      </w:r>
    </w:p>
    <w:p w14:paraId="2964EEFB">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先进钢铁材料。聚焦轨道交通、航空航天、汽车和能源等领域重大需求，突破钢铁材料生产及加工关键技术，重点发展新型高强型汽车钢加工、先进制造基础零部件用钢、先进轨道交通用钢、新一代功能复合化建筑用钢、氢能用钢等品种，不断拓展应用范围，打造优特钢研发生产加工基地。逐步推动从传统模式向互联网融合模式发展转变，提升“定制式”设计、加工和供应能力，贯通“黑色冶金—装备制造”全产业链。</w:t>
      </w:r>
    </w:p>
    <w:p w14:paraId="40705E02">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先进化工材料。依托化工集中区（南部片区）和现代化工循环产业园，重点发展生物降解塑料、工程塑料、特种橡胶、高性能树脂、功能膜材料、电子化工新材料，努力突破一批关键先进化工材料以及关键配套原材料的供应瓶颈，积极开发高性能、专用性、绿色环保的先进化工材料。</w:t>
      </w:r>
    </w:p>
    <w:p w14:paraId="5CB675B0">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先进无机非金属材料。拓宽新型绿色建筑材料产业链，依托威盛固废环保实业、卓能建材、燕钢年处理20万吨工业尾矿综合利用生产生态建筑材料生产线建设项目，开发新型墙体材料、节能门窗、防火保温绝热材料、环保水性材料、新型防水材料等绿色节能建材产品，高水平发展水泥构件、特种玻璃、玻璃钢等建材制品，提升建材产业质量和使用寿命。发展工业理化陶瓷、高温高铝陶瓷、氮化硅和碳化硅陶瓷材料、特种陶瓷等陶瓷材料。</w:t>
      </w:r>
    </w:p>
    <w:p w14:paraId="319163E2">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玻璃包装防霉垫纸。恒茂纸业是国家级高新技术企业，拥有国内唯一高档玻璃包装防霉新材料的生产技术专利，是国内生产、研发玻璃防霉垫纸的生产型龙头企业。生产的玻璃包装防霉垫纸主要使用在光伏、电子、超白等高档成品玻璃的运输、储存及后续使用过程中。</w:t>
      </w:r>
    </w:p>
    <w:p w14:paraId="109D5EF6">
      <w:pPr>
        <w:pageBreakBefore w:val="0"/>
        <w:widowControl w:val="0"/>
        <w:kinsoku/>
        <w:wordWrap/>
        <w:overflowPunct w:val="0"/>
        <w:topLinePunct w:val="0"/>
        <w:autoSpaceDE w:val="0"/>
        <w:autoSpaceDN w:val="0"/>
        <w:bidi w:val="0"/>
        <w:adjustRightInd/>
        <w:snapToGrid/>
        <w:spacing w:line="560" w:lineRule="exac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（2）布局三大关键战略材料</w:t>
      </w:r>
    </w:p>
    <w:p w14:paraId="4682C88F">
      <w:pPr>
        <w:pageBreakBefore w:val="0"/>
        <w:widowControl w:val="0"/>
        <w:kinsoku/>
        <w:wordWrap/>
        <w:overflowPunct w:val="0"/>
        <w:topLinePunct w:val="0"/>
        <w:autoSpaceDE w:val="0"/>
        <w:autoSpaceDN w:val="0"/>
        <w:bidi w:val="0"/>
        <w:adjustRightInd/>
        <w:snapToGrid/>
        <w:spacing w:line="560" w:lineRule="exac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新能源材料。抢抓动力电池产业新一轮布局机遇，瞄准整车装备企业发展需求，以重点企业和科研机构为依托，以建链、强链、补链、延链为核心，引进新能源锂离子电池正极和负极材料、隔膜、电解液等产业链配套企业，打造新能源电池正极材料—负极材料—隔膜—电芯及PACK—电池应用—电池梯次利用的新能源动力电池产业链，壮大新能源电池材料产业集群，形成“区域集中、产业集聚”的良好局面。</w:t>
      </w:r>
    </w:p>
    <w:p w14:paraId="0A3563A3">
      <w:pPr>
        <w:pageBreakBefore w:val="0"/>
        <w:widowControl w:val="0"/>
        <w:kinsoku/>
        <w:wordWrap/>
        <w:overflowPunct w:val="0"/>
        <w:topLinePunct w:val="0"/>
        <w:autoSpaceDE w:val="0"/>
        <w:autoSpaceDN w:val="0"/>
        <w:bidi w:val="0"/>
        <w:adjustRightInd/>
        <w:snapToGrid/>
        <w:spacing w:line="560" w:lineRule="exac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高性能纤维及复合材料。紧跟全球高性能纤维及复合材料前沿技术发展趋势，立足高性能纤维及复合材料国产化替代，鼓励企业加快低成本新一代碳纤维及第三代先进复合材料技术、芳纶纤维、超高分子量聚乙烯纤维、玄武岩纤维制备技术的突破，重点发展碳纤维及复合材料、芳纶纤维及复合材料、玄武岩纤维及复合材料、玻纤及复合材料等产品。</w:t>
      </w:r>
    </w:p>
    <w:p w14:paraId="78892906">
      <w:pPr>
        <w:pageBreakBefore w:val="0"/>
        <w:widowControl w:val="0"/>
        <w:kinsoku/>
        <w:wordWrap/>
        <w:overflowPunct w:val="0"/>
        <w:topLinePunct w:val="0"/>
        <w:autoSpaceDE w:val="0"/>
        <w:autoSpaceDN w:val="0"/>
        <w:bidi w:val="0"/>
        <w:adjustRightInd/>
        <w:snapToGrid/>
        <w:spacing w:line="560" w:lineRule="exac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高性能膜材料。壮大反渗透膜、中空纤维膜等高性能分离膜材料，开发工业高温捕尘用全氟膜、高性能陶瓷分离膜、高透光耐候ETFE膜材料。大力发展动力电池用高性能电池隔膜、关键装备并实现产业化。加快发展动力电池用全氟离子交换膜及其配套全氟磺酸树脂和全氟羧酸树脂，聚氟乙烯（PVF）太阳能电池用膜。开拓高性能光学膜及膜集成应用技术等。</w:t>
      </w:r>
    </w:p>
    <w:p w14:paraId="27D295C1">
      <w:pPr>
        <w:pageBreakBefore w:val="0"/>
        <w:widowControl w:val="0"/>
        <w:kinsoku/>
        <w:wordWrap/>
        <w:overflowPunct w:val="0"/>
        <w:topLinePunct w:val="0"/>
        <w:autoSpaceDE w:val="0"/>
        <w:autoSpaceDN w:val="0"/>
        <w:bidi w:val="0"/>
        <w:adjustRightInd/>
        <w:snapToGrid/>
        <w:spacing w:line="560" w:lineRule="exac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生物医用材料。延伸拓展现有的生物医药产业链条，加快大健康产业集群化，形成规模优势。充分对接京津高等院校和科研机构，转化科技研发成果，积极引进行业龙头企业，重点关注应用于骨、皮肤、神经等组织再生修复的再生医学产品，应用于心血管、人工关节、种植牙、视觉恢复等临床治疗的功能性植/介入产品，和量大面广的医用耗材、渗透膜、医用防护材料、可降解器械等医用原材料。</w:t>
      </w:r>
    </w:p>
    <w:p w14:paraId="5A5A282F">
      <w:pPr>
        <w:pageBreakBefore w:val="0"/>
        <w:widowControl w:val="0"/>
        <w:kinsoku/>
        <w:wordWrap/>
        <w:overflowPunct w:val="0"/>
        <w:topLinePunct w:val="0"/>
        <w:autoSpaceDE w:val="0"/>
        <w:autoSpaceDN w:val="0"/>
        <w:bidi w:val="0"/>
        <w:adjustRightInd/>
        <w:snapToGrid/>
        <w:spacing w:line="560" w:lineRule="exac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（3）培育发展前沿新材料</w:t>
      </w:r>
    </w:p>
    <w:p w14:paraId="3D79E160">
      <w:pPr>
        <w:pageBreakBefore w:val="0"/>
        <w:widowControl w:val="0"/>
        <w:kinsoku/>
        <w:wordWrap/>
        <w:overflowPunct w:val="0"/>
        <w:topLinePunct w:val="0"/>
        <w:autoSpaceDE w:val="0"/>
        <w:autoSpaceDN w:val="0"/>
        <w:bidi w:val="0"/>
        <w:adjustRightInd/>
        <w:snapToGrid/>
        <w:spacing w:line="560" w:lineRule="exac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围绕未来战略性新兴产业发展需求，在增材制造材料（3D打印）、智能仿生材料、纳米材料、石墨烯材料、超导材料等领域，选择实施前沿新材料先导工程，超前布局，抢占前沿技术制高点和发展先机。积极与京津科研机构合作，加大开发用于航空航天、电子信息、轨道交通、能源等领域的碳纳米管纤维及薄膜产品力度，开发3D打印专用高纯雾化球形及镁合金粉、高温合金、高强钢等专用合金粉体材料。围绕区域电子信息、高端装备等战略性新兴产业发展需要，立足产业基础和优势，积极拓展电子陶瓷、人工晶体等新材料，开发超级镍基合金、九镍钢、高纯钛、高性能轻质合金等高端装备用特种合金材料。</w:t>
      </w:r>
    </w:p>
    <w:p w14:paraId="7B8F908B">
      <w:pPr>
        <w:pageBreakBefore w:val="0"/>
        <w:widowControl w:val="0"/>
        <w:kinsoku/>
        <w:wordWrap/>
        <w:overflowPunct w:val="0"/>
        <w:topLinePunct w:val="0"/>
        <w:autoSpaceDE w:val="0"/>
        <w:autoSpaceDN w:val="0"/>
        <w:bidi w:val="0"/>
        <w:adjustRightInd/>
        <w:snapToGrid/>
        <w:spacing w:line="560" w:lineRule="exact"/>
        <w:ind w:firstLine="640" w:firstLineChars="200"/>
        <w:textAlignment w:val="auto"/>
        <w:rPr>
          <w:rFonts w:hint="eastAsia" w:ascii="仿宋_GB2312" w:hAnsi="仿宋_GB2312" w:eastAsia="仿宋_GB2312" w:cs="仿宋_GB2312"/>
          <w:b/>
          <w:bCs/>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b/>
          <w:bCs/>
          <w:color w:val="000000" w:themeColor="text1"/>
          <w:kern w:val="2"/>
          <w:sz w:val="32"/>
          <w:szCs w:val="32"/>
          <w:lang w:val="en-US" w:eastAsia="zh-CN" w:bidi="ar-SA"/>
          <w14:textFill>
            <w14:solidFill>
              <w14:schemeClr w14:val="tx1"/>
            </w14:solidFill>
          </w14:textFill>
        </w:rPr>
        <w:t>4.氢能产业</w:t>
      </w:r>
    </w:p>
    <w:p w14:paraId="67889986">
      <w:pPr>
        <w:pageBreakBefore w:val="0"/>
        <w:widowControl w:val="0"/>
        <w:kinsoku/>
        <w:wordWrap/>
        <w:overflowPunct w:val="0"/>
        <w:topLinePunct w:val="0"/>
        <w:autoSpaceDE w:val="0"/>
        <w:autoSpaceDN w:val="0"/>
        <w:bidi w:val="0"/>
        <w:adjustRightInd/>
        <w:snapToGrid/>
        <w:spacing w:line="560" w:lineRule="exac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（1）“制储加运”产业链</w:t>
      </w:r>
    </w:p>
    <w:p w14:paraId="5425AEFE">
      <w:pPr>
        <w:pageBreakBefore w:val="0"/>
        <w:widowControl w:val="0"/>
        <w:kinsoku/>
        <w:wordWrap/>
        <w:overflowPunct w:val="0"/>
        <w:topLinePunct w:val="0"/>
        <w:autoSpaceDE w:val="0"/>
        <w:autoSpaceDN w:val="0"/>
        <w:bidi w:val="0"/>
        <w:adjustRightInd/>
        <w:snapToGrid/>
        <w:spacing w:line="560" w:lineRule="exac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发展规模化制氢产业。建立工业副产氢、电解水制氢、可再生能源制氢相结合的多元化制氢产业体系。近期主要依靠工业副产氢，支持焦化企业发展“煤—焦—氢”焦炉煤气副产制氢产业，生产纯度高达99.999%的高纯氢，为后端氢能源综合推广应用奠定基础。同时，稳步增加太阳能、风能等可再生能源制氢占比，提升制氢产业的环境效益，未来以可再生能源制氢为主。大力推进屋顶分布式光伏发电，探索利用多余电量发展电解水制氢，加快构建“光—电—氢”绿色制氢产业链，实现由制备“灰氢”向制备“绿氢”转变。</w:t>
      </w:r>
    </w:p>
    <w:p w14:paraId="4358D318">
      <w:pPr>
        <w:pageBreakBefore w:val="0"/>
        <w:widowControl w:val="0"/>
        <w:kinsoku/>
        <w:wordWrap/>
        <w:overflowPunct w:val="0"/>
        <w:topLinePunct w:val="0"/>
        <w:autoSpaceDE w:val="0"/>
        <w:autoSpaceDN w:val="0"/>
        <w:bidi w:val="0"/>
        <w:adjustRightInd/>
        <w:snapToGrid/>
        <w:spacing w:line="560" w:lineRule="exac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科学有序构建氢储运网络。布局建设“制氢工厂—加氢母站—加氢站”储运加网络，逐步构建高密度、轻量化、低成本、多元化的氢能储运体系。有效提升高压气态储运商业化水平，加快推动低温液氢储运产业化应用，探索发展有机液态储运、固态介质储运等储氢方式。拓展氢气运输渠道，开展掺氢天然气管道试点示范，探索发展城市供氢管网，推动绿氨、绿色甲醇作为绿氢储运载体，破解规模化运氢难题。</w:t>
      </w:r>
    </w:p>
    <w:p w14:paraId="6034E182">
      <w:pPr>
        <w:pageBreakBefore w:val="0"/>
        <w:widowControl w:val="0"/>
        <w:kinsoku/>
        <w:wordWrap/>
        <w:overflowPunct w:val="0"/>
        <w:topLinePunct w:val="0"/>
        <w:autoSpaceDE w:val="0"/>
        <w:autoSpaceDN w:val="0"/>
        <w:bidi w:val="0"/>
        <w:adjustRightInd/>
        <w:snapToGrid/>
        <w:spacing w:line="560" w:lineRule="exac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统筹规划加氢网络。以功能集成化、资源集约化、运行商业化为原则，统筹全市加氢设施布局，形成规模适度超前、设施先进、智能高效、安全可靠的加氢网络。优先利用现有加油（气）站场地改扩建加氢设施，积极探索加氢/加油（气）、加氢/充电合建站、制储加一体化加氢站等模式。构建区域氢能网络，依托迁安市发达的公路网，在有条件的服务区布局建设加氢站，为氢能推广应用创造良好条件。</w:t>
      </w:r>
    </w:p>
    <w:p w14:paraId="38947C2E">
      <w:pPr>
        <w:pageBreakBefore w:val="0"/>
        <w:widowControl w:val="0"/>
        <w:kinsoku/>
        <w:wordWrap/>
        <w:overflowPunct w:val="0"/>
        <w:topLinePunct w:val="0"/>
        <w:autoSpaceDE w:val="0"/>
        <w:autoSpaceDN w:val="0"/>
        <w:bidi w:val="0"/>
        <w:adjustRightInd/>
        <w:snapToGrid/>
        <w:spacing w:line="560" w:lineRule="exac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（2）氢能装备制造</w:t>
      </w:r>
    </w:p>
    <w:p w14:paraId="0667CEFD">
      <w:pPr>
        <w:pageBreakBefore w:val="0"/>
        <w:widowControl w:val="0"/>
        <w:kinsoku/>
        <w:wordWrap/>
        <w:overflowPunct w:val="0"/>
        <w:topLinePunct w:val="0"/>
        <w:autoSpaceDE w:val="0"/>
        <w:autoSpaceDN w:val="0"/>
        <w:bidi w:val="0"/>
        <w:adjustRightInd/>
        <w:snapToGrid/>
        <w:spacing w:line="560" w:lineRule="exac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依托装备制造业基础，发展氢能高端装备制造产业。围绕氢气制、储、运、注、用等全生命周期，培育氢能装备智能制造标杆企业，建设创新型氢能装备制造产业集群。</w:t>
      </w:r>
    </w:p>
    <w:p w14:paraId="1663DF6D">
      <w:pPr>
        <w:pageBreakBefore w:val="0"/>
        <w:widowControl w:val="0"/>
        <w:kinsoku/>
        <w:wordWrap/>
        <w:overflowPunct w:val="0"/>
        <w:topLinePunct w:val="0"/>
        <w:autoSpaceDE w:val="0"/>
        <w:autoSpaceDN w:val="0"/>
        <w:bidi w:val="0"/>
        <w:adjustRightInd/>
        <w:snapToGrid/>
        <w:spacing w:line="560" w:lineRule="exac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氢燃料电池汽车制造产业。重点围绕“燃料电池+燃料电池发动机+燃料电池整车”的产业建链思路，推动燃料电池装备制造业基地建设。依托锐唯新能源科技，积极引进燃料电池及燃料电池发动机行业头部企业，培育本地关键材料、零部件、系统集成、检测技术等配套产业；积极发展燃料电池物流车、公交车、客车、叉车等商用车及特种车辆制造，做大做强整车产业。</w:t>
      </w:r>
    </w:p>
    <w:p w14:paraId="64E00BF1">
      <w:pPr>
        <w:pageBreakBefore w:val="0"/>
        <w:widowControl w:val="0"/>
        <w:kinsoku/>
        <w:wordWrap/>
        <w:overflowPunct w:val="0"/>
        <w:topLinePunct w:val="0"/>
        <w:autoSpaceDE w:val="0"/>
        <w:autoSpaceDN w:val="0"/>
        <w:bidi w:val="0"/>
        <w:adjustRightInd/>
        <w:snapToGrid/>
        <w:spacing w:line="560" w:lineRule="exac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重点聚焦在高效大功率燃料电池动力系统研发、氢能重卡、燃料电池热电联供、副产氢气纯化与先进电解制氢及加氢站基础设施等方面，对接国家重大项目，产生重要研究成果，服务并支撑迁安市、唐山市、河北省乃至环渤海经济带等地域的氢能产业的健康快速发展。</w:t>
      </w:r>
    </w:p>
    <w:p w14:paraId="29BE2797">
      <w:pPr>
        <w:pageBreakBefore w:val="0"/>
        <w:widowControl w:val="0"/>
        <w:kinsoku/>
        <w:wordWrap/>
        <w:overflowPunct w:val="0"/>
        <w:topLinePunct w:val="0"/>
        <w:autoSpaceDE w:val="0"/>
        <w:autoSpaceDN w:val="0"/>
        <w:bidi w:val="0"/>
        <w:adjustRightInd/>
        <w:snapToGrid/>
        <w:spacing w:line="560" w:lineRule="exac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（3）氢能产业新业态</w:t>
      </w:r>
    </w:p>
    <w:p w14:paraId="7BA44E88">
      <w:pPr>
        <w:pageBreakBefore w:val="0"/>
        <w:widowControl w:val="0"/>
        <w:kinsoku/>
        <w:wordWrap/>
        <w:overflowPunct w:val="0"/>
        <w:topLinePunct w:val="0"/>
        <w:autoSpaceDE w:val="0"/>
        <w:autoSpaceDN w:val="0"/>
        <w:bidi w:val="0"/>
        <w:adjustRightInd/>
        <w:snapToGrid/>
        <w:spacing w:line="560" w:lineRule="exac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将氢能与其他可再生能源相结合，探索多种业态融合发展“氢能+”新路径，促进“钢铁+氢能”融合发展。</w:t>
      </w:r>
    </w:p>
    <w:p w14:paraId="673EC080">
      <w:pPr>
        <w:pageBreakBefore w:val="0"/>
        <w:widowControl w:val="0"/>
        <w:kinsoku/>
        <w:wordWrap/>
        <w:overflowPunct w:val="0"/>
        <w:topLinePunct w:val="0"/>
        <w:autoSpaceDE w:val="0"/>
        <w:autoSpaceDN w:val="0"/>
        <w:bidi w:val="0"/>
        <w:adjustRightInd/>
        <w:snapToGrid/>
        <w:spacing w:line="560" w:lineRule="exac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有序推进交通领域示范应用。加快推进车辆领域示范应用，拓展氢燃料电池公交车、客车等市场空间，研究开设城际氢燃料电池客车运行示范线路；推广氢燃料电池重型车辆应用，探索打造氢能重型车辆应用示范点；推进氢燃料电池物流车市场化应用，打造京津冀氢能物流示范线路；探索开展氢能轨道车辆示范应用。积极探索船舶领域示范应用，推动氢能船舶的示范应用。探索航空领域示范应用，推动氢能在飞行器、航空器等领域的示范应用。</w:t>
      </w:r>
    </w:p>
    <w:p w14:paraId="3C3023ED">
      <w:pPr>
        <w:pageBreakBefore w:val="0"/>
        <w:widowControl w:val="0"/>
        <w:kinsoku/>
        <w:wordWrap/>
        <w:overflowPunct w:val="0"/>
        <w:topLinePunct w:val="0"/>
        <w:autoSpaceDE w:val="0"/>
        <w:autoSpaceDN w:val="0"/>
        <w:bidi w:val="0"/>
        <w:adjustRightInd/>
        <w:snapToGrid/>
        <w:spacing w:line="560" w:lineRule="exac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探索工业领域示范应用。推进钢铁冶金行业氢能替代，鼓励钢铁冶金企业探索开展氢冶金示范应用，探索钢铁冶金行业实现深度降碳的可行路径。推进石化、化工行业氢能替代，针对石油化工、煤化工等高碳排放化工生产流程，鼓励石化、化工企业加大氢能替代化石能源力度。推进建材、水泥行业氢能替代，鼓励建材、水泥企业探索开展煅烧流程氢能应用，建设低碳工业流程再造示范工程。</w:t>
      </w:r>
    </w:p>
    <w:p w14:paraId="6891C6F6">
      <w:pPr>
        <w:pageBreakBefore w:val="0"/>
        <w:widowControl w:val="0"/>
        <w:kinsoku/>
        <w:wordWrap/>
        <w:overflowPunct w:val="0"/>
        <w:topLinePunct w:val="0"/>
        <w:autoSpaceDE w:val="0"/>
        <w:autoSpaceDN w:val="0"/>
        <w:bidi w:val="0"/>
        <w:adjustRightInd/>
        <w:snapToGrid/>
        <w:spacing w:line="560" w:lineRule="exact"/>
        <w:ind w:firstLine="640" w:firstLineChars="200"/>
        <w:textAlignment w:val="auto"/>
        <w:rPr>
          <w:rFonts w:hint="eastAsia" w:ascii="仿宋_GB2312" w:hAnsi="仿宋_GB2312" w:eastAsia="仿宋_GB2312" w:cs="仿宋_GB2312"/>
          <w:b/>
          <w:bCs/>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b/>
          <w:bCs/>
          <w:color w:val="000000" w:themeColor="text1"/>
          <w:kern w:val="2"/>
          <w:sz w:val="32"/>
          <w:szCs w:val="32"/>
          <w:lang w:val="en-US" w:eastAsia="zh-CN" w:bidi="ar-SA"/>
          <w14:textFill>
            <w14:solidFill>
              <w14:schemeClr w14:val="tx1"/>
            </w14:solidFill>
          </w14:textFill>
        </w:rPr>
        <w:t>5.现代物流</w:t>
      </w:r>
    </w:p>
    <w:p w14:paraId="7E1196CF">
      <w:pPr>
        <w:pageBreakBefore w:val="0"/>
        <w:widowControl w:val="0"/>
        <w:kinsoku/>
        <w:wordWrap/>
        <w:overflowPunct w:val="0"/>
        <w:topLinePunct w:val="0"/>
        <w:autoSpaceDE w:val="0"/>
        <w:autoSpaceDN w:val="0"/>
        <w:bidi w:val="0"/>
        <w:adjustRightInd/>
        <w:snapToGrid/>
        <w:spacing w:line="560" w:lineRule="exac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（1）智慧物流</w:t>
      </w:r>
    </w:p>
    <w:p w14:paraId="10E6EBF9">
      <w:pPr>
        <w:pageBreakBefore w:val="0"/>
        <w:widowControl w:val="0"/>
        <w:kinsoku/>
        <w:wordWrap/>
        <w:overflowPunct w:val="0"/>
        <w:topLinePunct w:val="0"/>
        <w:autoSpaceDE w:val="0"/>
        <w:autoSpaceDN w:val="0"/>
        <w:bidi w:val="0"/>
        <w:adjustRightInd/>
        <w:snapToGrid/>
        <w:spacing w:line="560" w:lineRule="exac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积极推广“云平台”，全力做好全行业全产业链智慧物流。以河北钢谷物联科技股份有限公司中鑫联云商平台为抓手，鼓励物流企业采用先进适用技术和装备，着力推进企业生产经营实现智能化、自动化、无人化升级改造，建设供应链智能体系。围绕平台线下物流，全力支持企业拓展智慧物流业务，发展智能仓储和仓配一体化服务。提高电子商务企业与物流企业供应链协同效率，做大做强智慧物流平台经济，以中鑫联云商平台为依托，形成以大数据为支撑的智能化、系统化、链条化的物流经济，为整个产业提供现代化的信息服务，打造迁安乃至北方地区现代化的电子商务交易平台网络。</w:t>
      </w:r>
    </w:p>
    <w:p w14:paraId="4DAB18B3">
      <w:pPr>
        <w:pageBreakBefore w:val="0"/>
        <w:widowControl w:val="0"/>
        <w:kinsoku/>
        <w:wordWrap/>
        <w:overflowPunct w:val="0"/>
        <w:topLinePunct w:val="0"/>
        <w:autoSpaceDE w:val="0"/>
        <w:autoSpaceDN w:val="0"/>
        <w:bidi w:val="0"/>
        <w:adjustRightInd/>
        <w:snapToGrid/>
        <w:spacing w:line="560" w:lineRule="exac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（2）大宗货物物流</w:t>
      </w:r>
    </w:p>
    <w:p w14:paraId="67199EC9">
      <w:pPr>
        <w:pageBreakBefore w:val="0"/>
        <w:widowControl w:val="0"/>
        <w:kinsoku/>
        <w:wordWrap/>
        <w:overflowPunct w:val="0"/>
        <w:topLinePunct w:val="0"/>
        <w:autoSpaceDE w:val="0"/>
        <w:autoSpaceDN w:val="0"/>
        <w:bidi w:val="0"/>
        <w:adjustRightInd/>
        <w:snapToGrid/>
        <w:spacing w:line="560" w:lineRule="exac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依托开发区精品钢铁、高端装备制造、现代化工等规模优势和智能物流与供应链综合服务平台功能，加快资源型产品物流集散中心和物流平台建设，推动物流业与制造业融合发展，形成集原材料供应、研发生产、生产销售物流、仓储配送、展销贸易、供应链综合服务等于一体的全产业链条，为大宗商品交易主体量身定制物流服务模式，根据个性化需求，开展仓储、物流、金融、集采招标、大数据平台等业务，提供多样化、全方位的综合物流服务解决方案。逐步完善面向大宗商品产业链的多式联运物流体系，打造大宗货物物流产业集群。</w:t>
      </w:r>
    </w:p>
    <w:p w14:paraId="525FF777">
      <w:pPr>
        <w:pageBreakBefore w:val="0"/>
        <w:widowControl w:val="0"/>
        <w:kinsoku/>
        <w:wordWrap/>
        <w:overflowPunct w:val="0"/>
        <w:topLinePunct w:val="0"/>
        <w:autoSpaceDE w:val="0"/>
        <w:autoSpaceDN w:val="0"/>
        <w:bidi w:val="0"/>
        <w:adjustRightInd/>
        <w:snapToGrid/>
        <w:spacing w:line="560" w:lineRule="exac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重点打造钢铁和装备制造物流产业集群，打造钢铁产业物流加工配送平台。建设一批物流加工配送中心，开展从矿粉、焦煤、焦炭等原材料供应到钢材产成品销售的一站式交易，与下游用户建立更加紧密协作关系，为下游企业提供个性化、便捷化、专业化服务。同时，形成焊管加工、钢钉加工、镀锌拔丝、废旧钢材回收加工、汽车拆解中心等一批符合国家绿色物流标准的项目，加大对钢铁企业产业链的整合，进一步延伸钢铁和装备制造产业链条，提升产品附加值和产业经济效益。</w:t>
      </w:r>
    </w:p>
    <w:p w14:paraId="20564C61">
      <w:pPr>
        <w:pageBreakBefore w:val="0"/>
        <w:widowControl w:val="0"/>
        <w:numPr>
          <w:ilvl w:val="0"/>
          <w:numId w:val="0"/>
        </w:numPr>
        <w:kinsoku/>
        <w:wordWrap/>
        <w:overflowPunct w:val="0"/>
        <w:topLinePunct w:val="0"/>
        <w:autoSpaceDE w:val="0"/>
        <w:autoSpaceDN w:val="0"/>
        <w:bidi w:val="0"/>
        <w:adjustRightInd/>
        <w:snapToGrid/>
        <w:spacing w:line="560" w:lineRule="exac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（3）期货物流</w:t>
      </w:r>
    </w:p>
    <w:p w14:paraId="43CC9D33">
      <w:pPr>
        <w:pageBreakBefore w:val="0"/>
        <w:widowControl w:val="0"/>
        <w:numPr>
          <w:ilvl w:val="0"/>
          <w:numId w:val="0"/>
        </w:numPr>
        <w:kinsoku/>
        <w:wordWrap/>
        <w:overflowPunct w:val="0"/>
        <w:topLinePunct w:val="0"/>
        <w:autoSpaceDE w:val="0"/>
        <w:autoSpaceDN w:val="0"/>
        <w:bidi w:val="0"/>
        <w:adjustRightInd/>
        <w:snapToGrid/>
        <w:spacing w:line="560" w:lineRule="exac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依托天津物产进出口贸易有限公司焦炭、焦煤基准指定交割仓库和中铝内蒙古国贸有限公司焦炭、焦煤基准指定交割仓库等2个交割仓储库，扩大期货交割规模效应，进一步加强与上海期交所、大连期交所的合作关系，加快推进煤炭焦炭等大宗产品期货交割库项目建设，努力建成标准化大宗“期货物流”的示范园区。</w:t>
      </w:r>
    </w:p>
    <w:p w14:paraId="584DE600">
      <w:pPr>
        <w:pageBreakBefore w:val="0"/>
        <w:widowControl w:val="0"/>
        <w:kinsoku/>
        <w:wordWrap/>
        <w:overflowPunct w:val="0"/>
        <w:topLinePunct w:val="0"/>
        <w:autoSpaceDE w:val="0"/>
        <w:autoSpaceDN w:val="0"/>
        <w:bidi w:val="0"/>
        <w:adjustRightInd/>
        <w:snapToGrid/>
        <w:spacing w:line="560" w:lineRule="exac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（4）贸易物流</w:t>
      </w:r>
    </w:p>
    <w:p w14:paraId="2E22206A">
      <w:pPr>
        <w:pageBreakBefore w:val="0"/>
        <w:widowControl w:val="0"/>
        <w:kinsoku/>
        <w:wordWrap/>
        <w:overflowPunct w:val="0"/>
        <w:topLinePunct w:val="0"/>
        <w:autoSpaceDE w:val="0"/>
        <w:autoSpaceDN w:val="0"/>
        <w:bidi w:val="0"/>
        <w:adjustRightInd/>
        <w:snapToGrid/>
        <w:spacing w:line="560" w:lineRule="exac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积极寻求与钢铁贸易商合作，通过优质服务、优惠政策、优良环境，依托天道物流等一批占地少、效益高、税收能力强的贸易结算中心项目，扩大贸易结算中心规模，打造北方地区重要的贸易结算中心。</w:t>
      </w:r>
    </w:p>
    <w:p w14:paraId="31C612B5">
      <w:pPr>
        <w:pageBreakBefore w:val="0"/>
        <w:widowControl w:val="0"/>
        <w:kinsoku/>
        <w:wordWrap/>
        <w:overflowPunct w:val="0"/>
        <w:topLinePunct w:val="0"/>
        <w:autoSpaceDE w:val="0"/>
        <w:autoSpaceDN w:val="0"/>
        <w:bidi w:val="0"/>
        <w:adjustRightInd/>
        <w:snapToGrid/>
        <w:spacing w:line="560" w:lineRule="exac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（5）保税物流</w:t>
      </w:r>
    </w:p>
    <w:p w14:paraId="3B997A17">
      <w:pPr>
        <w:pageBreakBefore w:val="0"/>
        <w:widowControl w:val="0"/>
        <w:kinsoku/>
        <w:wordWrap/>
        <w:overflowPunct w:val="0"/>
        <w:topLinePunct w:val="0"/>
        <w:autoSpaceDE w:val="0"/>
        <w:autoSpaceDN w:val="0"/>
        <w:bidi w:val="0"/>
        <w:adjustRightInd/>
        <w:snapToGrid/>
        <w:spacing w:line="560" w:lineRule="exac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依托迁曹铁路、水曹铁路两大出海大动脉，以国内产业向沿海地区转移和“公转铁”的加快实施为契机，以秦皇岛港、曹妃甸港、京唐港和天津港等为合作对象，重点抓好鑫达荣信铁路分拨港、迁安首钢设备结构公司专用线改造工程等重点项目建设，进一步优化货物运输布局。争取纳入河北自贸试验区开放政策范围，探索金融、保险、物流等领域开放试点政策，促进国际知名金融、贸易服务类企业集聚。</w:t>
      </w:r>
    </w:p>
    <w:p w14:paraId="112009AB">
      <w:pPr>
        <w:pageBreakBefore w:val="0"/>
        <w:widowControl w:val="0"/>
        <w:kinsoku/>
        <w:wordWrap/>
        <w:overflowPunct w:val="0"/>
        <w:topLinePunct w:val="0"/>
        <w:autoSpaceDE w:val="0"/>
        <w:autoSpaceDN w:val="0"/>
        <w:bidi w:val="0"/>
        <w:adjustRightInd/>
        <w:snapToGrid/>
        <w:spacing w:line="560" w:lineRule="exact"/>
        <w:ind w:firstLine="640" w:firstLineChars="200"/>
        <w:textAlignment w:val="auto"/>
        <w:rPr>
          <w:rFonts w:hint="eastAsia" w:ascii="仿宋_GB2312" w:hAnsi="仿宋_GB2312" w:eastAsia="仿宋_GB2312" w:cs="仿宋_GB2312"/>
          <w:b/>
          <w:bCs/>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b/>
          <w:bCs/>
          <w:color w:val="000000" w:themeColor="text1"/>
          <w:kern w:val="2"/>
          <w:sz w:val="32"/>
          <w:szCs w:val="32"/>
          <w:lang w:val="en-US" w:eastAsia="zh-CN" w:bidi="ar-SA"/>
          <w14:textFill>
            <w14:solidFill>
              <w14:schemeClr w14:val="tx1"/>
            </w14:solidFill>
          </w14:textFill>
        </w:rPr>
        <w:t>6.现代化工</w:t>
      </w:r>
    </w:p>
    <w:p w14:paraId="052EC585">
      <w:pPr>
        <w:pStyle w:val="17"/>
        <w:keepNext w:val="0"/>
        <w:keepLines w:val="0"/>
        <w:pageBreakBefore w:val="0"/>
        <w:widowControl w:val="0"/>
        <w:kinsoku/>
        <w:wordWrap/>
        <w:topLinePunct w:val="0"/>
        <w:bidi w:val="0"/>
        <w:adjustRightInd/>
        <w:snapToGrid/>
        <w:spacing w:after="0" w:line="560" w:lineRule="exac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（1）基础化工原料</w:t>
      </w:r>
    </w:p>
    <w:p w14:paraId="392CF2FB">
      <w:pPr>
        <w:pStyle w:val="17"/>
        <w:keepNext w:val="0"/>
        <w:keepLines w:val="0"/>
        <w:pageBreakBefore w:val="0"/>
        <w:widowControl w:val="0"/>
        <w:kinsoku/>
        <w:wordWrap/>
        <w:topLinePunct w:val="0"/>
        <w:bidi w:val="0"/>
        <w:adjustRightInd/>
        <w:snapToGrid/>
        <w:spacing w:after="0" w:line="560" w:lineRule="exac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立足现有产业基础，依托翅冀天然气、怡蕙达、中溶科技等龙头企业，提升焦炉气制LNG、焦炉气制乙醇等特色产业竞争力，将焦化副产物转化为高端材料和清洁能源，实现“焦—化—氢”一体化发展，稳步发展焦炉煤气制甲醇、乙醇、LNG、醋酸、聚甲醛等基础化工原料。</w:t>
      </w:r>
    </w:p>
    <w:p w14:paraId="6AC9EE14">
      <w:pPr>
        <w:pStyle w:val="17"/>
        <w:keepNext w:val="0"/>
        <w:keepLines w:val="0"/>
        <w:pageBreakBefore w:val="0"/>
        <w:widowControl w:val="0"/>
        <w:kinsoku/>
        <w:wordWrap/>
        <w:topLinePunct w:val="0"/>
        <w:bidi w:val="0"/>
        <w:adjustRightInd/>
        <w:snapToGrid/>
        <w:spacing w:after="0" w:line="560" w:lineRule="exac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（2）化工新材料</w:t>
      </w:r>
    </w:p>
    <w:p w14:paraId="05C279F3">
      <w:pPr>
        <w:pStyle w:val="17"/>
        <w:keepNext w:val="0"/>
        <w:keepLines w:val="0"/>
        <w:pageBreakBefore w:val="0"/>
        <w:widowControl w:val="0"/>
        <w:kinsoku/>
        <w:wordWrap/>
        <w:topLinePunct w:val="0"/>
        <w:bidi w:val="0"/>
        <w:adjustRightInd/>
        <w:snapToGrid/>
        <w:spacing w:after="0" w:line="560" w:lineRule="exac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强化产用结合，促进上下游协作配套，着力突破一批新材料品种、关键工艺技术与专用装备。重点发展高性能树脂、高性能环保聚酯材料、特种合成橡胶及弹性体、功能性膜材料、高性能纤维及复合材料、电子化学品、新型能源材料和生物医用材料等化工新材料。</w:t>
      </w:r>
    </w:p>
    <w:p w14:paraId="4B4DBB68">
      <w:pPr>
        <w:pStyle w:val="17"/>
        <w:keepNext w:val="0"/>
        <w:keepLines w:val="0"/>
        <w:pageBreakBefore w:val="0"/>
        <w:widowControl w:val="0"/>
        <w:kinsoku/>
        <w:wordWrap/>
        <w:topLinePunct w:val="0"/>
        <w:bidi w:val="0"/>
        <w:adjustRightInd/>
        <w:snapToGrid/>
        <w:spacing w:after="0" w:line="560" w:lineRule="exac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紧紧围绕轨道交通装备、新能源汽车、电子及智能仪器等新兴优势产业需求，依托中溶科技、宏奥工贸等企业，加力推动先进基础材料工业转型升级，以可降解塑料、高端聚烯烃、工程塑料等高性能树脂和特种合成橡胶及弹性体等先进化工材料为重点，大力推进材料生产过程的智能化和绿色化改造，重点突破材料性能及成分控制、生产加工及应用等工艺技术，不断优化品种结构，提高质量稳定性和服役寿命，降低生产成本，提高先进基础材料国际竞争力。</w:t>
      </w:r>
    </w:p>
    <w:p w14:paraId="19A4FF8D">
      <w:pPr>
        <w:pStyle w:val="17"/>
        <w:keepNext w:val="0"/>
        <w:keepLines w:val="0"/>
        <w:pageBreakBefore w:val="0"/>
        <w:widowControl w:val="0"/>
        <w:kinsoku/>
        <w:wordWrap/>
        <w:topLinePunct w:val="0"/>
        <w:bidi w:val="0"/>
        <w:adjustRightInd/>
        <w:snapToGrid/>
        <w:spacing w:after="0" w:line="560" w:lineRule="exac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紧紧围绕新一代信息技术产业、高端装备制造业等重大需求，以中高端锂离子电池隔膜、软包装膜材料等功能性膜材料，高性能碳纤维等高性能纤维及复合材料和电子化学品，以及新型能源材料、生物医用材料等为重点，突破材料及器件的技术关和市场关，完善原辅料配套体系，提高材料成品率和性能稳定性，实现产业化和规模应用。</w:t>
      </w:r>
    </w:p>
    <w:p w14:paraId="35B9896F">
      <w:pPr>
        <w:pStyle w:val="17"/>
        <w:keepNext w:val="0"/>
        <w:keepLines w:val="0"/>
        <w:pageBreakBefore w:val="0"/>
        <w:widowControl w:val="0"/>
        <w:kinsoku/>
        <w:wordWrap/>
        <w:topLinePunct w:val="0"/>
        <w:bidi w:val="0"/>
        <w:adjustRightInd/>
        <w:snapToGrid/>
        <w:spacing w:after="0" w:line="560" w:lineRule="exac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（3）精细化工</w:t>
      </w:r>
    </w:p>
    <w:p w14:paraId="4BFA2B4D">
      <w:pPr>
        <w:pStyle w:val="17"/>
        <w:keepNext w:val="0"/>
        <w:keepLines w:val="0"/>
        <w:pageBreakBefore w:val="0"/>
        <w:widowControl w:val="0"/>
        <w:kinsoku/>
        <w:wordWrap/>
        <w:topLinePunct w:val="0"/>
        <w:bidi w:val="0"/>
        <w:adjustRightInd/>
        <w:snapToGrid/>
        <w:spacing w:after="0" w:line="560" w:lineRule="exac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鼓励中溶科技和宏奥工贸等企业，以专用化、功能化、高性能化为导向，大力发展高效绿色表面活性剂、胶粘剂、化学助剂、涂料、油漆、催化剂、农药、特种肥料等特色专用精细化学品。鼓励发展新型高档活性燃料。积极采用合成技术、催化技术、近代高精分析技术、生物工程技术、新型分离与加工技术、香精新工艺、新剂型技术、高效气液反应技术、低温氧化还原聚合、超低温回用等核心技术。积极推动智能控制连续化提取生产线、连续精馏装置、干式真空精馏装置、缓存储料仓及提升控料装置等新装备应用。加快推动产品向终端商品化发展，提高产品综合性能与质量稳定性。</w:t>
      </w:r>
    </w:p>
    <w:p w14:paraId="7E8222BC">
      <w:pPr>
        <w:pStyle w:val="17"/>
        <w:keepNext w:val="0"/>
        <w:keepLines w:val="0"/>
        <w:pageBreakBefore w:val="0"/>
        <w:widowControl w:val="0"/>
        <w:kinsoku/>
        <w:wordWrap/>
        <w:topLinePunct w:val="0"/>
        <w:bidi w:val="0"/>
        <w:adjustRightInd/>
        <w:snapToGrid/>
        <w:spacing w:after="0" w:line="560" w:lineRule="exac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（4）生物化工</w:t>
      </w:r>
    </w:p>
    <w:p w14:paraId="4CB95EF9">
      <w:pPr>
        <w:pStyle w:val="17"/>
        <w:keepNext w:val="0"/>
        <w:keepLines w:val="0"/>
        <w:pageBreakBefore w:val="0"/>
        <w:widowControl w:val="0"/>
        <w:kinsoku/>
        <w:wordWrap/>
        <w:topLinePunct w:val="0"/>
        <w:bidi w:val="0"/>
        <w:adjustRightInd/>
        <w:snapToGrid/>
        <w:spacing w:after="0" w:line="560" w:lineRule="exac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提升秸秆的资源化、商品化、高值化利用水平，以生物质资源为原料，利用生物转化技术和工艺，生产能源、化工产品和材料，替代或部分替代以化石为原料的化工加工过程成为研究和投资的新发展方向，重点打造生物质资源利用的生物燃料乙醇和生物基材料体系。以生物燃料乙醇为代表的生物能源是国家战略性新兴产业，扩大生物燃料乙醇生产和推广使用车用乙醇汽油具有重要的现实意义和战略意义。强化与煤化工等产业耦合，发展乳酸、1,3-丙二醇、丙烯酸、丁二酸、反式乌头酸、戊二胺、呋喃等生物基化学品，聚乳酸、聚氨酯、聚呋喃二甲酸乙二醇酯、聚碳酸酯、尼龙、特种橡胶等生物基聚合物等，形成对现有化工材料的有效补充。</w:t>
      </w:r>
    </w:p>
    <w:p w14:paraId="78C9EA80">
      <w:pPr>
        <w:pStyle w:val="4"/>
        <w:keepNext/>
        <w:keepLines/>
        <w:pageBreakBefore w:val="0"/>
        <w:widowControl w:val="0"/>
        <w:kinsoku/>
        <w:wordWrap/>
        <w:overflowPunct/>
        <w:topLinePunct w:val="0"/>
        <w:autoSpaceDE/>
        <w:autoSpaceDN/>
        <w:bidi w:val="0"/>
        <w:adjustRightInd/>
        <w:snapToGrid/>
        <w:spacing w:before="0" w:after="0" w:line="560" w:lineRule="exact"/>
        <w:ind w:left="0" w:leftChars="0"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7.生物医药</w:t>
      </w:r>
    </w:p>
    <w:p w14:paraId="352B71A2">
      <w:pPr>
        <w:pStyle w:val="17"/>
        <w:keepNext w:val="0"/>
        <w:keepLines w:val="0"/>
        <w:pageBreakBefore w:val="0"/>
        <w:widowControl w:val="0"/>
        <w:kinsoku/>
        <w:wordWrap/>
        <w:overflowPunct/>
        <w:topLinePunct w:val="0"/>
        <w:autoSpaceDE/>
        <w:autoSpaceDN/>
        <w:bidi w:val="0"/>
        <w:adjustRightInd/>
        <w:snapToGrid/>
        <w:spacing w:after="0" w:line="560" w:lineRule="exac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（1）生物制药</w:t>
      </w:r>
    </w:p>
    <w:p w14:paraId="1AB2DCE2">
      <w:pPr>
        <w:pStyle w:val="17"/>
        <w:keepNext w:val="0"/>
        <w:keepLines w:val="0"/>
        <w:pageBreakBefore w:val="0"/>
        <w:widowControl w:val="0"/>
        <w:kinsoku/>
        <w:wordWrap/>
        <w:overflowPunct/>
        <w:topLinePunct w:val="0"/>
        <w:autoSpaceDE/>
        <w:autoSpaceDN/>
        <w:bidi w:val="0"/>
        <w:adjustRightInd/>
        <w:snapToGrid/>
        <w:spacing w:after="0" w:line="560" w:lineRule="exac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遵循“超前布局、批量转化、规模应用、智慧提升”的思路，加强与京津生物医药企业和科研机构对接，积极承接京津产业转移和科研成果转化，重点培育发展抗体类药物、基因重组蛋白质及多肽药物、基因治疗药物、新型疫苗等先进生物技术药物产业，鼓励临床需求大、疗效显著的生物类似药、仿制药产品研发及产业化发展。</w:t>
      </w:r>
    </w:p>
    <w:p w14:paraId="70CA4E12">
      <w:pPr>
        <w:pStyle w:val="17"/>
        <w:keepNext w:val="0"/>
        <w:keepLines w:val="0"/>
        <w:pageBreakBefore w:val="0"/>
        <w:widowControl w:val="0"/>
        <w:kinsoku/>
        <w:wordWrap/>
        <w:overflowPunct/>
        <w:topLinePunct w:val="0"/>
        <w:autoSpaceDE/>
        <w:autoSpaceDN/>
        <w:bidi w:val="0"/>
        <w:adjustRightInd/>
        <w:snapToGrid/>
        <w:spacing w:after="0" w:line="560" w:lineRule="exac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抗体药物。加大对新靶点的跟踪，重点研发肿瘤、免疫系统、血液疾病的单抗、双抗、抗体偶联药物。</w:t>
      </w:r>
    </w:p>
    <w:p w14:paraId="5568FECB">
      <w:pPr>
        <w:pStyle w:val="17"/>
        <w:keepNext w:val="0"/>
        <w:keepLines w:val="0"/>
        <w:pageBreakBefore w:val="0"/>
        <w:widowControl w:val="0"/>
        <w:kinsoku/>
        <w:wordWrap/>
        <w:overflowPunct/>
        <w:topLinePunct w:val="0"/>
        <w:autoSpaceDE/>
        <w:autoSpaceDN/>
        <w:bidi w:val="0"/>
        <w:adjustRightInd/>
        <w:snapToGrid/>
        <w:spacing w:after="0" w:line="560" w:lineRule="exac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重组蛋白及多肽药物。重点研发新一代重组胰岛素、重组凝血因子、酶替代重组蛋白药物，以及多肽疫苗、抗肿瘤多肽、细胞因子模拟肽等创新型多肽药物，加快突破给药途径优化、多肽药物稳定性、药物缓控释、蛋白质纯化、细胞大规模培养等技术。</w:t>
      </w:r>
    </w:p>
    <w:p w14:paraId="16A4FFC0">
      <w:pPr>
        <w:pStyle w:val="17"/>
        <w:keepNext w:val="0"/>
        <w:keepLines w:val="0"/>
        <w:pageBreakBefore w:val="0"/>
        <w:widowControl w:val="0"/>
        <w:kinsoku/>
        <w:wordWrap/>
        <w:overflowPunct/>
        <w:topLinePunct w:val="0"/>
        <w:autoSpaceDE/>
        <w:autoSpaceDN/>
        <w:bidi w:val="0"/>
        <w:adjustRightInd/>
        <w:snapToGrid/>
        <w:spacing w:after="0" w:line="560" w:lineRule="exac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基因及细胞治疗。加大细胞治疗和基因工程药物融合发展新技术的研发，重点开发一批以嵌合抗原受体T细胞（CAR-T）为代表的免疫细胞治疗、干细胞治疗以及核糖核酸（RNA）干扰等基因治疗药物。</w:t>
      </w:r>
    </w:p>
    <w:p w14:paraId="1684B8B2">
      <w:pPr>
        <w:pStyle w:val="17"/>
        <w:keepNext w:val="0"/>
        <w:keepLines w:val="0"/>
        <w:pageBreakBefore w:val="0"/>
        <w:widowControl w:val="0"/>
        <w:kinsoku/>
        <w:wordWrap/>
        <w:overflowPunct/>
        <w:topLinePunct w:val="0"/>
        <w:autoSpaceDE/>
        <w:autoSpaceDN/>
        <w:bidi w:val="0"/>
        <w:adjustRightInd/>
        <w:snapToGrid/>
        <w:spacing w:after="0" w:line="560" w:lineRule="exac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新型疫苗。围绕新冠肺炎、肝炎、禽流感、狂犬病等重大传染病及肿瘤、心脑血管等重大疾病，加快预防性和治疗性疫苗产品孵化和产业化。鼓励开发重组亚单位疫苗、合成肽疫苗、基因工程疫苗等新型疫苗产品，以及市场需求量大的高端常规疫苗、多联多价疫苗等。</w:t>
      </w:r>
    </w:p>
    <w:p w14:paraId="1326690A">
      <w:pPr>
        <w:pStyle w:val="17"/>
        <w:keepNext w:val="0"/>
        <w:keepLines w:val="0"/>
        <w:pageBreakBefore w:val="0"/>
        <w:widowControl w:val="0"/>
        <w:kinsoku/>
        <w:wordWrap/>
        <w:overflowPunct/>
        <w:topLinePunct w:val="0"/>
        <w:autoSpaceDE/>
        <w:autoSpaceDN/>
        <w:bidi w:val="0"/>
        <w:adjustRightInd/>
        <w:snapToGrid/>
        <w:spacing w:after="0" w:line="560" w:lineRule="exac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（2）现代中药及健康食品</w:t>
      </w:r>
    </w:p>
    <w:p w14:paraId="48F9C161">
      <w:pPr>
        <w:pStyle w:val="17"/>
        <w:keepNext w:val="0"/>
        <w:keepLines w:val="0"/>
        <w:pageBreakBefore w:val="0"/>
        <w:widowControl w:val="0"/>
        <w:kinsoku/>
        <w:wordWrap/>
        <w:overflowPunct/>
        <w:topLinePunct w:val="0"/>
        <w:autoSpaceDE/>
        <w:autoSpaceDN/>
        <w:bidi w:val="0"/>
        <w:adjustRightInd/>
        <w:snapToGrid/>
        <w:spacing w:after="0" w:line="560" w:lineRule="exac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围绕老年性疾病、妇科、儿科等领域，以及防治重大、新发突发传染病等新需求领域，加强优势中药复方与活性成分研究，打造经典中医药文化品牌。</w:t>
      </w:r>
    </w:p>
    <w:p w14:paraId="02676111">
      <w:pPr>
        <w:pStyle w:val="17"/>
        <w:keepNext w:val="0"/>
        <w:keepLines w:val="0"/>
        <w:pageBreakBefore w:val="0"/>
        <w:widowControl w:val="0"/>
        <w:kinsoku/>
        <w:wordWrap/>
        <w:overflowPunct/>
        <w:topLinePunct w:val="0"/>
        <w:autoSpaceDE/>
        <w:autoSpaceDN/>
        <w:bidi w:val="0"/>
        <w:adjustRightInd/>
        <w:snapToGrid/>
        <w:spacing w:after="0" w:line="560" w:lineRule="exac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中成药。依托葵花药业，针对心脑血管疾病、自身免疫性疾病、妇儿科疾病、老年性疾病、病毒感染性疾病、肾脏病等中医优势病种，加速疗效确切、剂型先进、临床价值高的特色中成药研发和产业化，培育名优中成药大品种，加快中药产业标准化、国际化、规模化发展。</w:t>
      </w:r>
    </w:p>
    <w:p w14:paraId="53318CD8">
      <w:pPr>
        <w:pStyle w:val="17"/>
        <w:keepNext w:val="0"/>
        <w:keepLines w:val="0"/>
        <w:pageBreakBefore w:val="0"/>
        <w:widowControl w:val="0"/>
        <w:kinsoku/>
        <w:wordWrap/>
        <w:overflowPunct/>
        <w:topLinePunct w:val="0"/>
        <w:autoSpaceDE/>
        <w:autoSpaceDN/>
        <w:bidi w:val="0"/>
        <w:adjustRightInd/>
        <w:snapToGrid/>
        <w:spacing w:after="0" w:line="560" w:lineRule="exac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中药饮片。依托中诚嘉鑫，支持中药配方颗粒、冻干饮片、破壁饮片等特色饮片开发。鼓励企业参与中药行业国家标准制定，推动中药配方颗粒、传统中药饮片的规范化与标准化生产，鼓励与国际接轨的天然药物（植物药）研发。</w:t>
      </w:r>
    </w:p>
    <w:p w14:paraId="45889AC1">
      <w:pPr>
        <w:pStyle w:val="17"/>
        <w:keepNext w:val="0"/>
        <w:keepLines w:val="0"/>
        <w:pageBreakBefore w:val="0"/>
        <w:widowControl w:val="0"/>
        <w:kinsoku/>
        <w:wordWrap/>
        <w:overflowPunct/>
        <w:topLinePunct w:val="0"/>
        <w:autoSpaceDE/>
        <w:autoSpaceDN/>
        <w:bidi w:val="0"/>
        <w:adjustRightInd/>
        <w:snapToGrid/>
        <w:spacing w:after="0" w:line="560" w:lineRule="exac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中药材。依托迁安市中药材种植产业，鼓励医药企业采用“公司+基地+农户”模式，建立稳定的药材供应基地、建立规范化种植养殖、规模化加工一体化基地，构建药材种植养殖完整产业链，满足企业中药材原料供应，同时带动当地中药材种植业发展。引导企业优化中药材生产基地布局，应用信息技术完善中药材生产流通全过程质量管理和可追溯体系建设。</w:t>
      </w:r>
    </w:p>
    <w:p w14:paraId="57A4095A">
      <w:pPr>
        <w:pStyle w:val="17"/>
        <w:keepNext w:val="0"/>
        <w:keepLines w:val="0"/>
        <w:pageBreakBefore w:val="0"/>
        <w:widowControl w:val="0"/>
        <w:kinsoku/>
        <w:wordWrap/>
        <w:overflowPunct/>
        <w:topLinePunct w:val="0"/>
        <w:autoSpaceDE/>
        <w:autoSpaceDN/>
        <w:bidi w:val="0"/>
        <w:adjustRightInd/>
        <w:snapToGrid/>
        <w:spacing w:after="0" w:line="560" w:lineRule="exac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保健食品。依托百善药业，积极对接京津冀医疗及健康服务机构，向药食同源保健食品、特殊医学用途配方食品及保健、预防、治未病等领域延伸，鼓励食品加工企业和医药研发企业合作，加快开发符合新消费趋势的健康食品、膳食添加剂、养生膏方等新产品。大力扶持以乐丫为代表的以农产品为原料、科技含量高、市场前景好的农业龙头企业，扩大企业规模，拉长产业链条，打响产品品牌，不断提高产品附加值和市场竞争力，加快发展无公害食品、绿色食品和有机食品及果蔬提取食品加工业。</w:t>
      </w:r>
    </w:p>
    <w:p w14:paraId="5548C341">
      <w:pPr>
        <w:pStyle w:val="17"/>
        <w:keepNext w:val="0"/>
        <w:keepLines w:val="0"/>
        <w:pageBreakBefore w:val="0"/>
        <w:widowControl w:val="0"/>
        <w:kinsoku/>
        <w:wordWrap/>
        <w:overflowPunct/>
        <w:topLinePunct w:val="0"/>
        <w:autoSpaceDE/>
        <w:autoSpaceDN/>
        <w:bidi w:val="0"/>
        <w:adjustRightInd/>
        <w:snapToGrid/>
        <w:spacing w:after="0" w:line="560" w:lineRule="exac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（3）检验检测试剂</w:t>
      </w:r>
    </w:p>
    <w:p w14:paraId="58E44E4B">
      <w:pPr>
        <w:pStyle w:val="17"/>
        <w:keepNext w:val="0"/>
        <w:keepLines w:val="0"/>
        <w:pageBreakBefore w:val="0"/>
        <w:widowControl w:val="0"/>
        <w:kinsoku/>
        <w:wordWrap/>
        <w:overflowPunct/>
        <w:topLinePunct w:val="0"/>
        <w:autoSpaceDE/>
        <w:autoSpaceDN/>
        <w:bidi w:val="0"/>
        <w:adjustRightInd/>
        <w:snapToGrid/>
        <w:spacing w:after="0" w:line="560" w:lineRule="exac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依托英诺特呼吸道诊断试剂方面的技术优势，围绕传染病、血液病、肿瘤等检验检测需求，加快发展特异性诊断试剂、新型生物反应器和佐剂，支持与仪器配套使用检测产品的研发和产业化；鼓励开发免疫诊断、分子诊断、流式细胞试剂、基因测序产品等中高端体外诊断产品；支持运用传感器技术、生物芯片技术、微流控技术、红外和远红外分光光度技术等，开发即时诊断试剂产品，提升诊断检验范围和精度。</w:t>
      </w:r>
    </w:p>
    <w:p w14:paraId="16AD93FD">
      <w:pPr>
        <w:pStyle w:val="17"/>
        <w:keepNext w:val="0"/>
        <w:keepLines w:val="0"/>
        <w:pageBreakBefore w:val="0"/>
        <w:widowControl w:val="0"/>
        <w:kinsoku/>
        <w:wordWrap/>
        <w:overflowPunct/>
        <w:topLinePunct w:val="0"/>
        <w:autoSpaceDE/>
        <w:autoSpaceDN/>
        <w:bidi w:val="0"/>
        <w:adjustRightInd/>
        <w:snapToGrid/>
        <w:spacing w:after="0" w:line="560" w:lineRule="exac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（4）医疗器械</w:t>
      </w:r>
    </w:p>
    <w:p w14:paraId="1EBE361F">
      <w:pPr>
        <w:pStyle w:val="17"/>
        <w:keepNext w:val="0"/>
        <w:keepLines w:val="0"/>
        <w:pageBreakBefore w:val="0"/>
        <w:widowControl w:val="0"/>
        <w:kinsoku/>
        <w:wordWrap/>
        <w:overflowPunct/>
        <w:topLinePunct w:val="0"/>
        <w:autoSpaceDE/>
        <w:autoSpaceDN/>
        <w:bidi w:val="0"/>
        <w:adjustRightInd/>
        <w:snapToGrid/>
        <w:spacing w:after="0" w:line="560" w:lineRule="exac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支持新型基因测序仪、高通量生化分析仪、新型血红蛋白仪、可穿戴智能医疗设备等智能化、自动化、便携式的中高端医疗器械产品发展；积极发展医用机器人、手术导航设备、医用内窥镜及配套设备、微创诊疗器械等智能治疗装备，加快新型成像技术、辅助诊断算法等关键技术突破；加快心脑血管植（介）入器械及人工器官等植（介）入新产品开发，强化与数据芯片、增材制造等技术联合应用，协同发展新型修复材料和智能康复用具。</w:t>
      </w:r>
    </w:p>
    <w:p w14:paraId="78747AA9">
      <w:pPr>
        <w:pStyle w:val="17"/>
        <w:keepNext w:val="0"/>
        <w:keepLines w:val="0"/>
        <w:pageBreakBefore w:val="0"/>
        <w:widowControl w:val="0"/>
        <w:kinsoku/>
        <w:wordWrap/>
        <w:overflowPunct/>
        <w:topLinePunct w:val="0"/>
        <w:autoSpaceDE/>
        <w:autoSpaceDN/>
        <w:bidi w:val="0"/>
        <w:adjustRightInd/>
        <w:snapToGrid/>
        <w:spacing w:after="0" w:line="560" w:lineRule="exac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（5）医用新材料</w:t>
      </w:r>
    </w:p>
    <w:p w14:paraId="3682AC98">
      <w:pPr>
        <w:pStyle w:val="17"/>
        <w:keepNext w:val="0"/>
        <w:keepLines w:val="0"/>
        <w:pageBreakBefore w:val="0"/>
        <w:widowControl w:val="0"/>
        <w:kinsoku/>
        <w:wordWrap/>
        <w:overflowPunct/>
        <w:topLinePunct w:val="0"/>
        <w:autoSpaceDE/>
        <w:autoSpaceDN/>
        <w:bidi w:val="0"/>
        <w:adjustRightInd/>
        <w:snapToGrid/>
        <w:spacing w:after="0" w:line="560" w:lineRule="exac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积极引进行业龙头企业，大力发展医用防护材料、植入材料、医药包装材料等医用新材料，依托安卓医用材料，聚焦高性能、智能化方向，加快研发具有高效过滤、持久抗菌、透气舒适等特性的新型防护材料，重点突破纳米纤维膜、石墨烯复合抗菌材料等关键技术，发展医用耗材、渗透膜、医用防护材料、可降解器械等医用原材料。重点关注应用于骨、皮肤、神经等组织再生修复的再生医学产品，应用于心血管、人工关节、种植牙、视觉恢复等临床治疗的功能性植/介入产品。依托九维包装制品，加快包装系统产品升级，开发应用安全性高、质量性能好的新型包材，重点鼓励药物友好型、环境友好型、使用方便和质量过硬的包装系统和给药装置的研究开发。</w:t>
      </w:r>
    </w:p>
    <w:p w14:paraId="651BCFE7">
      <w:pPr>
        <w:pStyle w:val="17"/>
        <w:keepNext w:val="0"/>
        <w:keepLines w:val="0"/>
        <w:pageBreakBefore w:val="0"/>
        <w:widowControl w:val="0"/>
        <w:kinsoku/>
        <w:wordWrap/>
        <w:overflowPunct/>
        <w:topLinePunct w:val="0"/>
        <w:autoSpaceDE/>
        <w:autoSpaceDN/>
        <w:bidi w:val="0"/>
        <w:adjustRightInd/>
        <w:snapToGrid/>
        <w:spacing w:after="0" w:line="560" w:lineRule="exac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（6）特医食品</w:t>
      </w:r>
    </w:p>
    <w:p w14:paraId="122AD5BF">
      <w:pPr>
        <w:pStyle w:val="17"/>
        <w:keepNext w:val="0"/>
        <w:keepLines w:val="0"/>
        <w:pageBreakBefore w:val="0"/>
        <w:widowControl w:val="0"/>
        <w:kinsoku/>
        <w:wordWrap/>
        <w:overflowPunct/>
        <w:topLinePunct w:val="0"/>
        <w:autoSpaceDE/>
        <w:autoSpaceDN/>
        <w:bidi w:val="0"/>
        <w:adjustRightInd/>
        <w:snapToGrid/>
        <w:spacing w:after="0" w:line="560" w:lineRule="exac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开发母乳营养补充剂，糖尿病、呼吸系统疾病、肾病、肿瘤、肝病、肌肉衰减综合征、炎性肠病、食物蛋白过敏、难治性癫痫、胃肠道吸收障碍、胰腺炎、脂肪酸代谢异常、肥胖、减脂手术以及创伤、感染、手术应激状态等不同类型的特医食品，拓展适合中老年人抗衰老、增强免疫力、心脑血管及减肥增肌、儿童益智等功能性食品。</w:t>
      </w:r>
    </w:p>
    <w:p w14:paraId="7BC89864">
      <w:pPr>
        <w:pStyle w:val="17"/>
        <w:keepNext w:val="0"/>
        <w:keepLines w:val="0"/>
        <w:pageBreakBefore w:val="0"/>
        <w:widowControl w:val="0"/>
        <w:kinsoku/>
        <w:wordWrap/>
        <w:overflowPunct/>
        <w:topLinePunct w:val="0"/>
        <w:autoSpaceDE/>
        <w:autoSpaceDN/>
        <w:bidi w:val="0"/>
        <w:adjustRightInd/>
        <w:snapToGrid/>
        <w:spacing w:after="0" w:line="560" w:lineRule="exac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（7）健康服务</w:t>
      </w:r>
    </w:p>
    <w:p w14:paraId="1F42FCB8">
      <w:pPr>
        <w:pStyle w:val="17"/>
        <w:keepNext w:val="0"/>
        <w:keepLines w:val="0"/>
        <w:pageBreakBefore w:val="0"/>
        <w:widowControl w:val="0"/>
        <w:kinsoku/>
        <w:wordWrap/>
        <w:overflowPunct/>
        <w:topLinePunct w:val="0"/>
        <w:autoSpaceDE/>
        <w:autoSpaceDN/>
        <w:bidi w:val="0"/>
        <w:adjustRightInd/>
        <w:snapToGrid/>
        <w:spacing w:after="0" w:line="560" w:lineRule="exac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医疗美容。探索发展医美产业，重点发展中高端医美仪器和医美护肤产品；支持填充、除皱、瘦身、美肤等注射类医美产品及高端医美原材料、辅料的创新研发；发展规范化、精细化运营的医美服务，培育医美终端诊疗机构总部和新兴品牌。</w:t>
      </w:r>
    </w:p>
    <w:p w14:paraId="56F6F571">
      <w:pPr>
        <w:pStyle w:val="17"/>
        <w:keepNext w:val="0"/>
        <w:keepLines w:val="0"/>
        <w:pageBreakBefore w:val="0"/>
        <w:widowControl w:val="0"/>
        <w:kinsoku/>
        <w:wordWrap/>
        <w:overflowPunct/>
        <w:topLinePunct w:val="0"/>
        <w:autoSpaceDE/>
        <w:autoSpaceDN/>
        <w:bidi w:val="0"/>
        <w:adjustRightInd/>
        <w:snapToGrid/>
        <w:spacing w:after="0" w:line="560" w:lineRule="exac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中医药特色服务。鼓励中医药服务模式创新，在项目立项、土地审批等方面给予扶持，探索建设中医药文化展示体验馆、国医馆及中医药养生、康体保健、家庭药膳等延伸业态，搭建中医药健康文化综合推广平台。充分发挥开发区和唐山花海的联动作用，集聚更多优质的中医药企业，打造具有迁安特色，集中医药文化科普教育、中医问诊、药膳食疗、中药材与健康产品交易等多种功能于一体的中医药文化体验载体。</w:t>
      </w:r>
    </w:p>
    <w:p w14:paraId="46671038">
      <w:pPr>
        <w:pStyle w:val="17"/>
        <w:keepNext w:val="0"/>
        <w:keepLines w:val="0"/>
        <w:pageBreakBefore w:val="0"/>
        <w:widowControl w:val="0"/>
        <w:kinsoku/>
        <w:wordWrap/>
        <w:overflowPunct/>
        <w:topLinePunct w:val="0"/>
        <w:autoSpaceDE/>
        <w:autoSpaceDN/>
        <w:bidi w:val="0"/>
        <w:adjustRightInd/>
        <w:snapToGrid/>
        <w:spacing w:after="0" w:line="560" w:lineRule="exac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数字医疗服务。积极发展“互联网+生命健康”新业态，积极发展医药研发大数据平台、健康管理大数据平台、远程健康服务等共享平台，支持建设医药供应链追溯平台、“互联网+”医药流通平台等全周期数字化体系；探索构建精准诊断技术、精准治疗、精准药物有机结合的精准医疗服务体系，在肿瘤、慢性疾病、精神疾病、遗传性疾病等方面发展精准预防、诊断及治疗服务新业态。</w:t>
      </w:r>
    </w:p>
    <w:p w14:paraId="6282DF60">
      <w:pPr>
        <w:pStyle w:val="4"/>
        <w:keepNext/>
        <w:keepLines/>
        <w:pageBreakBefore w:val="0"/>
        <w:widowControl w:val="0"/>
        <w:kinsoku/>
        <w:wordWrap/>
        <w:overflowPunct/>
        <w:topLinePunct w:val="0"/>
        <w:autoSpaceDE/>
        <w:autoSpaceDN/>
        <w:bidi w:val="0"/>
        <w:adjustRightInd/>
        <w:snapToGrid/>
        <w:spacing w:before="0" w:after="0" w:line="560" w:lineRule="exact"/>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8.节能环保</w:t>
      </w:r>
    </w:p>
    <w:p w14:paraId="66E21CE8">
      <w:pPr>
        <w:pageBreakBefore w:val="0"/>
        <w:widowControl w:val="0"/>
        <w:kinsoku/>
        <w:wordWrap/>
        <w:overflowPunct w:val="0"/>
        <w:topLinePunct w:val="0"/>
        <w:autoSpaceDE w:val="0"/>
        <w:autoSpaceDN w:val="0"/>
        <w:bidi w:val="0"/>
        <w:adjustRightInd/>
        <w:snapToGrid/>
        <w:spacing w:line="560" w:lineRule="exac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构建“矿山—冶金—建材—装备制造—清洁能源—工业固废—市政废物处置”大循环经济产业链，固体废物实现“减量化、资源化、无害化、产业化”。</w:t>
      </w:r>
    </w:p>
    <w:p w14:paraId="7917441F">
      <w:pPr>
        <w:pageBreakBefore w:val="0"/>
        <w:widowControl w:val="0"/>
        <w:kinsoku/>
        <w:wordWrap/>
        <w:overflowPunct w:val="0"/>
        <w:topLinePunct w:val="0"/>
        <w:autoSpaceDE w:val="0"/>
        <w:autoSpaceDN w:val="0"/>
        <w:bidi w:val="0"/>
        <w:adjustRightInd/>
        <w:snapToGrid/>
        <w:spacing w:line="560" w:lineRule="exac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（1）大宗工业固体废弃物综合利用</w:t>
      </w:r>
    </w:p>
    <w:p w14:paraId="546D0D3B">
      <w:pPr>
        <w:pageBreakBefore w:val="0"/>
        <w:widowControl w:val="0"/>
        <w:kinsoku/>
        <w:wordWrap/>
        <w:overflowPunct w:val="0"/>
        <w:topLinePunct w:val="0"/>
        <w:autoSpaceDE w:val="0"/>
        <w:autoSpaceDN w:val="0"/>
        <w:bidi w:val="0"/>
        <w:adjustRightInd/>
        <w:snapToGrid/>
        <w:spacing w:line="560" w:lineRule="exac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深入推进国家大宗固废综合利用基地建设，基于迁安市矿山、钢铁等企业的大宗一般工业固体废物，结合周边煤矸石、粉煤灰等资源，对废石、尾砂、钢渣、水渣、脱硫石膏等大宗一般工业固体废物进行综合利用，加快工业资源综合利用技术和装备研发，开发资源高效化、高值化利用技术与工艺。推广粉煤灰提取矿物、粉煤灰碳回收、尾矿再选、尾矿制建筑材料等工艺技术。鼓励大宗固废替代水泥熟料、固废基胶凝材料替代水泥等低碳化利用方式，加大铁矿尾矿全流程一体化处置新工艺、钢渣矿渣全固废胶凝材料技术等工业固废规模化利用技术研发水平，并加快推进成熟技术的推广应用。支持利用不同工业固体废物生产高性能混凝土和混凝土制品技术。</w:t>
      </w:r>
    </w:p>
    <w:p w14:paraId="1B2CAB54">
      <w:pPr>
        <w:keepNext w:val="0"/>
        <w:keepLines w:val="0"/>
        <w:pageBreakBefore w:val="0"/>
        <w:widowControl w:val="0"/>
        <w:kinsoku/>
        <w:wordWrap/>
        <w:overflowPunct w:val="0"/>
        <w:topLinePunct w:val="0"/>
        <w:autoSpaceDE w:val="0"/>
        <w:autoSpaceDN w:val="0"/>
        <w:bidi w:val="0"/>
        <w:adjustRightInd/>
        <w:snapToGrid/>
        <w:spacing w:line="560" w:lineRule="exac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（2）废钢铁回收加工</w:t>
      </w:r>
    </w:p>
    <w:p w14:paraId="6D2292D7">
      <w:pPr>
        <w:keepNext w:val="0"/>
        <w:keepLines w:val="0"/>
        <w:pageBreakBefore w:val="0"/>
        <w:widowControl w:val="0"/>
        <w:kinsoku/>
        <w:wordWrap/>
        <w:overflowPunct w:val="0"/>
        <w:topLinePunct w:val="0"/>
        <w:autoSpaceDE w:val="0"/>
        <w:autoSpaceDN w:val="0"/>
        <w:bidi w:val="0"/>
        <w:adjustRightInd/>
        <w:snapToGrid/>
        <w:spacing w:line="560" w:lineRule="exac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依托钢铁产业优势，建设废旧钢铁加工利用基地，推动打造“钢铁产品—废旧钢铁—钢铁原料”闭路循环模式，建设欧冶链金（迁安）金瑞隆废金属回收加工配送产业园，积极推进废钢智能检测、智慧安全系统和业务信息化系统的研发测试，打造智能化废钢加工利用基地。积极推进废钢期货交割库、全智慧废钢交易中心、废钢人工智能检测定级系统建设。推广松汀钢铁利用高炉煤气加吹氧工艺建设废钢烘烤预热系统新技术，降低利用废钢铁的能源消耗和生产成本。</w:t>
      </w:r>
    </w:p>
    <w:p w14:paraId="3BA68506">
      <w:pPr>
        <w:keepNext w:val="0"/>
        <w:keepLines w:val="0"/>
        <w:pageBreakBefore w:val="0"/>
        <w:widowControl w:val="0"/>
        <w:kinsoku/>
        <w:wordWrap/>
        <w:overflowPunct w:val="0"/>
        <w:topLinePunct w:val="0"/>
        <w:autoSpaceDE w:val="0"/>
        <w:autoSpaceDN w:val="0"/>
        <w:bidi w:val="0"/>
        <w:adjustRightInd/>
        <w:snapToGrid/>
        <w:spacing w:line="560" w:lineRule="exac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（3）再生资源循环利用</w:t>
      </w:r>
    </w:p>
    <w:p w14:paraId="2998976E">
      <w:pPr>
        <w:keepNext w:val="0"/>
        <w:keepLines w:val="0"/>
        <w:pageBreakBefore w:val="0"/>
        <w:widowControl w:val="0"/>
        <w:kinsoku/>
        <w:wordWrap/>
        <w:overflowPunct w:val="0"/>
        <w:topLinePunct w:val="0"/>
        <w:autoSpaceDE w:val="0"/>
        <w:autoSpaceDN w:val="0"/>
        <w:bidi w:val="0"/>
        <w:adjustRightInd/>
        <w:snapToGrid/>
        <w:spacing w:line="560" w:lineRule="exac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汽车回收拆解。依托鑫旺达汽车拆解和翅冀再生资源年拆解2万辆废旧车辆项目，推进报废机动车回收拆解行业市场化、专业化、集聚化发展。鼓励报废机动车发动机、方向机、变速器、前后桥、车架等“五大总成”具备再制造条件的，可以按照国家有关规定出售给具有再制造能力的企业经过再制造予以循环利用；不具备再制造条件的，应当作为废金属供给钢铁企业作为冶炼原料。</w:t>
      </w:r>
    </w:p>
    <w:p w14:paraId="181829B7">
      <w:pPr>
        <w:keepNext w:val="0"/>
        <w:keepLines w:val="0"/>
        <w:pageBreakBefore w:val="0"/>
        <w:widowControl w:val="0"/>
        <w:kinsoku/>
        <w:wordWrap/>
        <w:overflowPunct w:val="0"/>
        <w:topLinePunct w:val="0"/>
        <w:autoSpaceDE w:val="0"/>
        <w:autoSpaceDN w:val="0"/>
        <w:bidi w:val="0"/>
        <w:adjustRightInd/>
        <w:snapToGrid/>
        <w:spacing w:line="560" w:lineRule="exac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废旧塑料橡胶加工利用。围绕塑料薄膜、农用薄膜等废弃塑料和废旧橡胶，依托跃洋材料科技等企业，推广规模化的废塑料橡胶破碎—分选—改性—造粒先进高效生产线，支持不同品质废塑料橡胶的多元化、高值化利用，再生产为生物降解塑料及制品、水溶性塑料及制品、热塑性弹性体及制品、高熔指聚烯烃以及基于此材料的改性塑料及制品和PVC/CPVC管材等。</w:t>
      </w:r>
    </w:p>
    <w:p w14:paraId="0D423852">
      <w:pPr>
        <w:keepNext w:val="0"/>
        <w:keepLines w:val="0"/>
        <w:pageBreakBefore w:val="0"/>
        <w:widowControl w:val="0"/>
        <w:kinsoku/>
        <w:wordWrap/>
        <w:overflowPunct w:val="0"/>
        <w:topLinePunct w:val="0"/>
        <w:autoSpaceDE w:val="0"/>
        <w:autoSpaceDN w:val="0"/>
        <w:bidi w:val="0"/>
        <w:adjustRightInd/>
        <w:snapToGrid/>
        <w:spacing w:line="560" w:lineRule="exac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废电池加工利用行业。以威盛固废环保实业为重点，打通废旧动力电池全资源绿色环保循环利用通道，推进废旧动力电池在备电、充换电等领域安全梯次应用，解决京津冀地区新能源汽车大规模应用的后顾之忧。</w:t>
      </w:r>
    </w:p>
    <w:p w14:paraId="3B6BC588">
      <w:pPr>
        <w:keepNext w:val="0"/>
        <w:keepLines w:val="0"/>
        <w:pageBreakBefore w:val="0"/>
        <w:widowControl w:val="0"/>
        <w:kinsoku/>
        <w:wordWrap/>
        <w:topLinePunct w:val="0"/>
        <w:bidi w:val="0"/>
        <w:adjustRightInd/>
        <w:snapToGrid/>
        <w:spacing w:line="560" w:lineRule="exac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废弃电器电子产品回收加工行业。以上诚再生资源有限公司为重点，引进废旧洗衣机、电视机、电脑、空调、冰箱、抽油烟机、手机及线路板等先进加工拆解设备和工艺技术。通过技术升级和设备更新，提高废弃电器电子产品处理的机械化、自动化和智能化水平，重点加强电路板处置、元器件无损化高效处理、稀贵金属提取等无害化、高值化利用技术研发与应用。</w:t>
      </w:r>
    </w:p>
    <w:p w14:paraId="1918ED0A">
      <w:pPr>
        <w:keepNext w:val="0"/>
        <w:keepLines w:val="0"/>
        <w:pageBreakBefore w:val="0"/>
        <w:widowControl w:val="0"/>
        <w:kinsoku/>
        <w:wordWrap/>
        <w:overflowPunct w:val="0"/>
        <w:topLinePunct w:val="0"/>
        <w:autoSpaceDE w:val="0"/>
        <w:autoSpaceDN w:val="0"/>
        <w:bidi w:val="0"/>
        <w:adjustRightInd/>
        <w:snapToGrid/>
        <w:spacing w:line="560" w:lineRule="exac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（4）废旧物资循环利用回收网络</w:t>
      </w:r>
    </w:p>
    <w:p w14:paraId="64663275">
      <w:pPr>
        <w:keepNext w:val="0"/>
        <w:keepLines w:val="0"/>
        <w:pageBreakBefore w:val="0"/>
        <w:widowControl w:val="0"/>
        <w:kinsoku/>
        <w:wordWrap/>
        <w:overflowPunct w:val="0"/>
        <w:topLinePunct w:val="0"/>
        <w:autoSpaceDE w:val="0"/>
        <w:autoSpaceDN w:val="0"/>
        <w:bidi w:val="0"/>
        <w:adjustRightInd/>
        <w:snapToGrid/>
        <w:spacing w:line="560" w:lineRule="exac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鼓励企业建立规模化、专业化回收、分拣、加工配送中心。引导回收企业按照下游再生原料、再生产品相关标准要求，提升废旧物资回收环节预处理能力。培育多元化回收主体，鼓励各类市场主体积极参与废旧物资回收体系建设；鼓励回收企业与物业企业、环卫单位、利用企业等单位建立长效合作机制，畅通回收利用渠道，形成规范有序的回收利用产业链条。推行“互联网+回收”模式，支持废旧物资网络回收平台发展，运用手机APP、微信小程序等移动互联网媒介，实现网上预约、上门回收，推动线上线下协同发展。支持回收企业运用互联网、物联网、大数据和云计算等现代信息技术，构建全链条业务信息平台和回收追溯系统。</w:t>
      </w:r>
    </w:p>
    <w:p w14:paraId="64F1DDCA">
      <w:pPr>
        <w:keepNext w:val="0"/>
        <w:keepLines w:val="0"/>
        <w:pageBreakBefore w:val="0"/>
        <w:widowControl w:val="0"/>
        <w:kinsoku/>
        <w:wordWrap/>
        <w:overflowPunct w:val="0"/>
        <w:topLinePunct w:val="0"/>
        <w:autoSpaceDE w:val="0"/>
        <w:autoSpaceDN w:val="0"/>
        <w:bidi w:val="0"/>
        <w:adjustRightInd/>
        <w:snapToGrid/>
        <w:spacing w:line="560" w:lineRule="exact"/>
        <w:textAlignment w:val="auto"/>
        <w:rPr>
          <w:rFonts w:hint="eastAsia" w:ascii="仿宋_GB2312" w:hAnsi="仿宋_GB2312" w:eastAsia="仿宋_GB2312" w:cs="仿宋_GB2312"/>
          <w:b/>
          <w:bCs/>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b/>
          <w:bCs/>
          <w:color w:val="000000" w:themeColor="text1"/>
          <w:kern w:val="2"/>
          <w:sz w:val="32"/>
          <w:szCs w:val="32"/>
          <w:lang w:val="en-US" w:eastAsia="zh-CN" w:bidi="ar-SA"/>
          <w14:textFill>
            <w14:solidFill>
              <w14:schemeClr w14:val="tx1"/>
            </w14:solidFill>
          </w14:textFill>
        </w:rPr>
        <w:t>9.传统产业</w:t>
      </w:r>
    </w:p>
    <w:p w14:paraId="0700A950">
      <w:pPr>
        <w:keepNext w:val="0"/>
        <w:keepLines w:val="0"/>
        <w:pageBreakBefore w:val="0"/>
        <w:widowControl w:val="0"/>
        <w:kinsoku/>
        <w:wordWrap/>
        <w:overflowPunct w:val="0"/>
        <w:topLinePunct w:val="0"/>
        <w:autoSpaceDE w:val="0"/>
        <w:autoSpaceDN w:val="0"/>
        <w:bidi w:val="0"/>
        <w:adjustRightInd/>
        <w:snapToGrid/>
        <w:spacing w:line="560" w:lineRule="exac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（1）食品饮料精深加工</w:t>
      </w:r>
    </w:p>
    <w:p w14:paraId="25A0D7EA">
      <w:pPr>
        <w:keepNext w:val="0"/>
        <w:keepLines w:val="0"/>
        <w:pageBreakBefore w:val="0"/>
        <w:widowControl w:val="0"/>
        <w:kinsoku/>
        <w:wordWrap/>
        <w:overflowPunct w:val="0"/>
        <w:topLinePunct w:val="0"/>
        <w:autoSpaceDE w:val="0"/>
        <w:autoSpaceDN w:val="0"/>
        <w:bidi w:val="0"/>
        <w:adjustRightInd/>
        <w:snapToGrid/>
        <w:spacing w:line="560" w:lineRule="exac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发挥迁安特色农产品优势，积极承接京津食品加工产业转移，在现有乳制品、饮料和酒制造的基础上，培育发展益生菌乳制品、大众厨房食品、调理食品、健康饮料产品等，推广应用先进加工装备、工艺技术，提高加工效率、提升工艺水平、保障产品质量，推进食品饮料加工向专业化、特色化、品牌化方向发展。</w:t>
      </w:r>
    </w:p>
    <w:p w14:paraId="6B1622DF">
      <w:pPr>
        <w:pStyle w:val="17"/>
        <w:keepNext w:val="0"/>
        <w:keepLines w:val="0"/>
        <w:pageBreakBefore w:val="0"/>
        <w:widowControl w:val="0"/>
        <w:kinsoku/>
        <w:wordWrap/>
        <w:topLinePunct w:val="0"/>
        <w:bidi w:val="0"/>
        <w:adjustRightInd/>
        <w:snapToGrid/>
        <w:spacing w:after="0" w:line="560" w:lineRule="exac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（2）高端造纸</w:t>
      </w:r>
    </w:p>
    <w:p w14:paraId="2C76DCAE">
      <w:pPr>
        <w:pStyle w:val="17"/>
        <w:keepNext w:val="0"/>
        <w:keepLines w:val="0"/>
        <w:pageBreakBefore w:val="0"/>
        <w:widowControl w:val="0"/>
        <w:kinsoku/>
        <w:wordWrap/>
        <w:topLinePunct w:val="0"/>
        <w:bidi w:val="0"/>
        <w:adjustRightInd/>
        <w:snapToGrid/>
        <w:spacing w:after="0" w:line="560" w:lineRule="exact"/>
        <w:ind w:firstLine="640" w:firstLineChars="200"/>
        <w:textAlignment w:val="auto"/>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依托美特好纸业，推动生活用纸绿色可持续转型，优化原料结构，加速竹浆、甘蔗渣等可再生纤维替代原生木浆，推动农业秸秆资源化利用技术突破，提升再生纤维在卫生级纸品中的应用比例，拓展湿厕纸、厨房专用清洁纸、医用消毒湿巾等高增长品类，满足母婴、银发群体及户外场景的差异化需求。依托博达纸业、正昊纸业等企业，推动文化用纸品质升级，提升高档文化纸占比，推广非木纤维清洁制浆技术，开发艺术纸、环保手账纸等品类，契合文创消费升级。</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引进包装印刷、纸塑制品等产业，培育发展</w:t>
      </w:r>
      <w:r>
        <w:rPr>
          <w:rFonts w:hint="eastAsia" w:ascii="仿宋_GB2312" w:hAnsi="仿宋_GB2312" w:eastAsia="仿宋_GB2312" w:cs="仿宋_GB2312"/>
          <w:color w:val="000000" w:themeColor="text1"/>
          <w:sz w:val="32"/>
          <w:szCs w:val="32"/>
          <w14:textFill>
            <w14:solidFill>
              <w14:schemeClr w14:val="tx1"/>
            </w14:solidFill>
          </w14:textFill>
        </w:rPr>
        <w:t>绿色化、可复用、高性能包装新材料，发展低克重、高强度、功能化</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纸塑制品</w:t>
      </w:r>
      <w:r>
        <w:rPr>
          <w:rFonts w:hint="eastAsia" w:ascii="仿宋_GB2312" w:hAnsi="仿宋_GB2312" w:eastAsia="仿宋_GB2312" w:cs="仿宋_GB2312"/>
          <w:color w:val="000000" w:themeColor="text1"/>
          <w:sz w:val="32"/>
          <w:szCs w:val="32"/>
          <w14:textFill>
            <w14:solidFill>
              <w14:schemeClr w14:val="tx1"/>
            </w14:solidFill>
          </w14:textFill>
        </w:rPr>
        <w:t>，大力发展功能化、个性化、定制化的中高端印刷包装产品。</w:t>
      </w:r>
    </w:p>
    <w:p w14:paraId="0FB046DC">
      <w:pPr>
        <w:keepNext w:val="0"/>
        <w:keepLines w:val="0"/>
        <w:pageBreakBefore w:val="0"/>
        <w:widowControl w:val="0"/>
        <w:kinsoku/>
        <w:wordWrap/>
        <w:overflowPunct w:val="0"/>
        <w:topLinePunct w:val="0"/>
        <w:autoSpaceDE w:val="0"/>
        <w:autoSpaceDN w:val="0"/>
        <w:bidi w:val="0"/>
        <w:adjustRightInd/>
        <w:snapToGrid/>
        <w:spacing w:line="560" w:lineRule="exact"/>
        <w:ind w:firstLine="640" w:firstLineChars="200"/>
        <w:textAlignment w:val="auto"/>
        <w:rPr>
          <w:rFonts w:hint="eastAsia" w:ascii="仿宋_GB2312" w:hAnsi="仿宋_GB2312" w:eastAsia="仿宋_GB2312" w:cs="仿宋_GB2312"/>
          <w:b/>
          <w:bCs w:val="0"/>
          <w:sz w:val="32"/>
          <w:szCs w:val="32"/>
          <w:highlight w:val="none"/>
          <w:lang w:val="en-US" w:eastAsia="zh-CN"/>
        </w:rPr>
      </w:pPr>
    </w:p>
    <w:sectPr>
      <w:headerReference r:id="rId5" w:type="default"/>
      <w:footerReference r:id="rId6" w:type="default"/>
      <w:type w:val="continuous"/>
      <w:pgSz w:w="11906" w:h="16838"/>
      <w:pgMar w:top="1440" w:right="1803" w:bottom="1440" w:left="1803" w:header="851" w:footer="992" w:gutter="0"/>
      <w:pgBorders>
        <w:top w:val="none" w:sz="0" w:space="0"/>
        <w:left w:val="none" w:sz="0" w:space="0"/>
        <w:bottom w:val="none" w:sz="0" w:space="0"/>
        <w:right w:val="none" w:sz="0" w:space="0"/>
      </w:pgBorders>
      <w:cols w:space="425" w:num="1"/>
      <w:docGrid w:type="linesAndChars" w:linePitch="381"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560"/>
      </w:pPr>
      <w:r>
        <w:separator/>
      </w:r>
    </w:p>
  </w:endnote>
  <w:endnote w:type="continuationSeparator" w:id="1">
    <w:p>
      <w:pPr>
        <w:spacing w:line="240" w:lineRule="auto"/>
        <w:ind w:firstLine="56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D3152CB9-5D25-4B14-B413-4DAC6B6BDEF6}"/>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Calibri Light">
    <w:panose1 w:val="020F0302020204030204"/>
    <w:charset w:val="00"/>
    <w:family w:val="swiss"/>
    <w:pitch w:val="default"/>
    <w:sig w:usb0="E4002EFF" w:usb1="C200247B" w:usb2="00000009" w:usb3="00000000" w:csb0="200001FF" w:csb1="00000000"/>
  </w:font>
  <w:font w:name="楷体">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embedRegular r:id="rId2" w:fontKey="{A70D1649-ECFC-435F-A7CC-CD6B5BAFBD93}"/>
  </w:font>
  <w:font w:name="Microsoft YaHei UI">
    <w:panose1 w:val="020B0503020204020204"/>
    <w:charset w:val="86"/>
    <w:family w:val="swiss"/>
    <w:pitch w:val="default"/>
    <w:sig w:usb0="80000287" w:usb1="2ACF3C50" w:usb2="00000016" w:usb3="00000000" w:csb0="0004001F" w:csb1="00000000"/>
  </w:font>
  <w:font w:name="方正小标宋简体">
    <w:altName w:val="方正舒体"/>
    <w:panose1 w:val="03000509000000000000"/>
    <w:charset w:val="86"/>
    <w:family w:val="auto"/>
    <w:pitch w:val="default"/>
    <w:sig w:usb0="00000000" w:usb1="00000000" w:usb2="00000000" w:usb3="00000000" w:csb0="00040000" w:csb1="00000000"/>
    <w:embedRegular r:id="rId3" w:fontKey="{2F80BA48-C9D8-4006-8B49-DBC68539CB5E}"/>
  </w:font>
  <w:font w:name="方正小标宋_GBK">
    <w:panose1 w:val="02000000000000000000"/>
    <w:charset w:val="86"/>
    <w:family w:val="script"/>
    <w:pitch w:val="default"/>
    <w:sig w:usb0="A00002BF" w:usb1="38CF7CFA" w:usb2="00082016" w:usb3="00000000" w:csb0="00040001" w:csb1="00000000"/>
    <w:embedRegular r:id="rId4" w:fontKey="{CF4A3772-C4B9-40E1-B9F0-5980E73491FE}"/>
  </w:font>
  <w:font w:name="方正舒体">
    <w:panose1 w:val="02010601030101010101"/>
    <w:charset w:val="86"/>
    <w:family w:val="auto"/>
    <w:pitch w:val="default"/>
    <w:sig w:usb0="00000003"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47454728"/>
      <w:docPartObj>
        <w:docPartGallery w:val="autotext"/>
      </w:docPartObj>
    </w:sdtPr>
    <w:sdtContent>
      <w:p w14:paraId="50A26543">
        <w:pPr>
          <w:pStyle w:val="11"/>
          <w:ind w:firstLine="360"/>
          <w:jc w:val="center"/>
        </w:pPr>
        <w:r>
          <w:fldChar w:fldCharType="begin"/>
        </w:r>
        <w:r>
          <w:instrText xml:space="preserve">PAGE   \* MERGEFORMAT</w:instrText>
        </w:r>
        <w:r>
          <w:fldChar w:fldCharType="separate"/>
        </w:r>
        <w:r>
          <w:rPr>
            <w:lang w:val="zh-CN"/>
          </w:rPr>
          <w:t>124</w:t>
        </w:r>
        <w:r>
          <w:rPr>
            <w:lang w:val="zh-CN"/>
          </w:rPr>
          <w:fldChar w:fldCharType="end"/>
        </w:r>
      </w:p>
    </w:sdtContent>
  </w:sdt>
  <w:p w14:paraId="15482154">
    <w:pPr>
      <w:pStyle w:val="11"/>
      <w:ind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560"/>
      </w:pPr>
      <w:r>
        <w:separator/>
      </w:r>
    </w:p>
  </w:footnote>
  <w:footnote w:type="continuationSeparator" w:id="1">
    <w:p>
      <w:pPr>
        <w:spacing w:line="240" w:lineRule="auto"/>
        <w:ind w:firstLine="56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776171">
    <w:pPr>
      <w:ind w:left="560" w:firstLine="0" w:firstLineChars="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hideSpellingErrors/>
  <w:documentProtection w:enforcement="0"/>
  <w:defaultTabStop w:val="420"/>
  <w:drawingGridHorizontalSpacing w:val="140"/>
  <w:drawingGridVerticalSpacing w:val="381"/>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Dk5NGE3OGNjZWZiNTczZWYwOTYxNWFmYjI0ODY5ZGUifQ=="/>
  </w:docVars>
  <w:rsids>
    <w:rsidRoot w:val="00000000"/>
    <w:rsid w:val="00143372"/>
    <w:rsid w:val="0050638A"/>
    <w:rsid w:val="0078143C"/>
    <w:rsid w:val="00A65FA9"/>
    <w:rsid w:val="00D40D69"/>
    <w:rsid w:val="00EE7C99"/>
    <w:rsid w:val="0134755F"/>
    <w:rsid w:val="01623198"/>
    <w:rsid w:val="0166457E"/>
    <w:rsid w:val="01910159"/>
    <w:rsid w:val="02050E58"/>
    <w:rsid w:val="02BA41A0"/>
    <w:rsid w:val="02F850CA"/>
    <w:rsid w:val="03140A3C"/>
    <w:rsid w:val="03241ACB"/>
    <w:rsid w:val="03351867"/>
    <w:rsid w:val="039974D7"/>
    <w:rsid w:val="04272E41"/>
    <w:rsid w:val="042B5630"/>
    <w:rsid w:val="04762137"/>
    <w:rsid w:val="04980584"/>
    <w:rsid w:val="04CA514B"/>
    <w:rsid w:val="05B22607"/>
    <w:rsid w:val="067A2703"/>
    <w:rsid w:val="06835CAA"/>
    <w:rsid w:val="06CD10FE"/>
    <w:rsid w:val="06F603FE"/>
    <w:rsid w:val="07244BB0"/>
    <w:rsid w:val="078E2CDD"/>
    <w:rsid w:val="086603AD"/>
    <w:rsid w:val="08767256"/>
    <w:rsid w:val="08E7698C"/>
    <w:rsid w:val="09727F2D"/>
    <w:rsid w:val="097E3F67"/>
    <w:rsid w:val="098D7D07"/>
    <w:rsid w:val="09C3197A"/>
    <w:rsid w:val="0A1026E6"/>
    <w:rsid w:val="0A2C5771"/>
    <w:rsid w:val="0A2F1A08"/>
    <w:rsid w:val="0AAD0CA0"/>
    <w:rsid w:val="0ADD6A6C"/>
    <w:rsid w:val="0B56202D"/>
    <w:rsid w:val="0BBA591E"/>
    <w:rsid w:val="0BC32105"/>
    <w:rsid w:val="0C104C1F"/>
    <w:rsid w:val="0C28767C"/>
    <w:rsid w:val="0CD873D0"/>
    <w:rsid w:val="0D2A2DFF"/>
    <w:rsid w:val="0D454998"/>
    <w:rsid w:val="0E19600D"/>
    <w:rsid w:val="0E1D181C"/>
    <w:rsid w:val="0E4B0190"/>
    <w:rsid w:val="0E772D33"/>
    <w:rsid w:val="0E7771D7"/>
    <w:rsid w:val="0E7927E1"/>
    <w:rsid w:val="0EB91D4D"/>
    <w:rsid w:val="0EEF792D"/>
    <w:rsid w:val="0EF72F47"/>
    <w:rsid w:val="0FA85E1A"/>
    <w:rsid w:val="106C28D1"/>
    <w:rsid w:val="10921CFB"/>
    <w:rsid w:val="10B745E0"/>
    <w:rsid w:val="10E45A56"/>
    <w:rsid w:val="113B1EDA"/>
    <w:rsid w:val="115050FF"/>
    <w:rsid w:val="11B169B0"/>
    <w:rsid w:val="11F47F60"/>
    <w:rsid w:val="122D1466"/>
    <w:rsid w:val="12355743"/>
    <w:rsid w:val="12887440"/>
    <w:rsid w:val="12EF1BF6"/>
    <w:rsid w:val="13631AD8"/>
    <w:rsid w:val="13EE3B54"/>
    <w:rsid w:val="13FE460F"/>
    <w:rsid w:val="14024E31"/>
    <w:rsid w:val="14045C26"/>
    <w:rsid w:val="14A95C11"/>
    <w:rsid w:val="14C56525"/>
    <w:rsid w:val="14D0319D"/>
    <w:rsid w:val="14D42C8D"/>
    <w:rsid w:val="1537537D"/>
    <w:rsid w:val="156C76B7"/>
    <w:rsid w:val="156F18A7"/>
    <w:rsid w:val="159E65A2"/>
    <w:rsid w:val="16215613"/>
    <w:rsid w:val="16331C36"/>
    <w:rsid w:val="165322D8"/>
    <w:rsid w:val="169B736F"/>
    <w:rsid w:val="1723614E"/>
    <w:rsid w:val="172F064F"/>
    <w:rsid w:val="17584751"/>
    <w:rsid w:val="17792810"/>
    <w:rsid w:val="18277E53"/>
    <w:rsid w:val="183C2484"/>
    <w:rsid w:val="18896025"/>
    <w:rsid w:val="18B105F4"/>
    <w:rsid w:val="18CC17EB"/>
    <w:rsid w:val="190F1931"/>
    <w:rsid w:val="194B43FA"/>
    <w:rsid w:val="199417FA"/>
    <w:rsid w:val="19DD776C"/>
    <w:rsid w:val="1A435EB9"/>
    <w:rsid w:val="1A6A74CD"/>
    <w:rsid w:val="1B18764C"/>
    <w:rsid w:val="1B1F6388"/>
    <w:rsid w:val="1B5468D6"/>
    <w:rsid w:val="1B6B0257"/>
    <w:rsid w:val="1C2312C1"/>
    <w:rsid w:val="1C5841A4"/>
    <w:rsid w:val="1C710E65"/>
    <w:rsid w:val="1CB14F59"/>
    <w:rsid w:val="1CDF4618"/>
    <w:rsid w:val="1D374356"/>
    <w:rsid w:val="1D7414B2"/>
    <w:rsid w:val="1D8316F5"/>
    <w:rsid w:val="1DA82F09"/>
    <w:rsid w:val="1DB15930"/>
    <w:rsid w:val="1E62755C"/>
    <w:rsid w:val="1E673561"/>
    <w:rsid w:val="1F0A4DEF"/>
    <w:rsid w:val="1F225BA0"/>
    <w:rsid w:val="1F645272"/>
    <w:rsid w:val="1F72463A"/>
    <w:rsid w:val="1FCA53B9"/>
    <w:rsid w:val="1FD16DFB"/>
    <w:rsid w:val="20252EEB"/>
    <w:rsid w:val="20603314"/>
    <w:rsid w:val="20656507"/>
    <w:rsid w:val="209E05F3"/>
    <w:rsid w:val="20B7775D"/>
    <w:rsid w:val="20CA3197"/>
    <w:rsid w:val="20D91840"/>
    <w:rsid w:val="218A31FD"/>
    <w:rsid w:val="21E408A9"/>
    <w:rsid w:val="21FE57EE"/>
    <w:rsid w:val="22A83F6B"/>
    <w:rsid w:val="22C2681B"/>
    <w:rsid w:val="22E35789"/>
    <w:rsid w:val="230865C2"/>
    <w:rsid w:val="23307C29"/>
    <w:rsid w:val="2338088B"/>
    <w:rsid w:val="23767606"/>
    <w:rsid w:val="23B07E0C"/>
    <w:rsid w:val="23BC6B63"/>
    <w:rsid w:val="23FD1838"/>
    <w:rsid w:val="242517C3"/>
    <w:rsid w:val="242B05E3"/>
    <w:rsid w:val="24417C14"/>
    <w:rsid w:val="24A50092"/>
    <w:rsid w:val="250964CC"/>
    <w:rsid w:val="256E4A38"/>
    <w:rsid w:val="25C00E04"/>
    <w:rsid w:val="26312DF6"/>
    <w:rsid w:val="26455665"/>
    <w:rsid w:val="26B47A3B"/>
    <w:rsid w:val="26B66697"/>
    <w:rsid w:val="2761728D"/>
    <w:rsid w:val="27E83399"/>
    <w:rsid w:val="27FB6601"/>
    <w:rsid w:val="28047562"/>
    <w:rsid w:val="28505B55"/>
    <w:rsid w:val="286861C3"/>
    <w:rsid w:val="28F624B8"/>
    <w:rsid w:val="29114058"/>
    <w:rsid w:val="296F240F"/>
    <w:rsid w:val="29D55086"/>
    <w:rsid w:val="2A4405ED"/>
    <w:rsid w:val="2A7D7370"/>
    <w:rsid w:val="2AE01EFD"/>
    <w:rsid w:val="2B6272EE"/>
    <w:rsid w:val="2B821C36"/>
    <w:rsid w:val="2BBD471E"/>
    <w:rsid w:val="2BCF1785"/>
    <w:rsid w:val="2C2B5431"/>
    <w:rsid w:val="2CC509FC"/>
    <w:rsid w:val="2D41674C"/>
    <w:rsid w:val="2D5A4251"/>
    <w:rsid w:val="2D957987"/>
    <w:rsid w:val="2E314855"/>
    <w:rsid w:val="2E5F5A71"/>
    <w:rsid w:val="2E641395"/>
    <w:rsid w:val="2E642CEF"/>
    <w:rsid w:val="2E666BF4"/>
    <w:rsid w:val="2FCC2A87"/>
    <w:rsid w:val="302C73AD"/>
    <w:rsid w:val="305111DE"/>
    <w:rsid w:val="305F7062"/>
    <w:rsid w:val="31083063"/>
    <w:rsid w:val="31665B97"/>
    <w:rsid w:val="31F271B2"/>
    <w:rsid w:val="32017EB4"/>
    <w:rsid w:val="322C2045"/>
    <w:rsid w:val="32470AEB"/>
    <w:rsid w:val="325C7196"/>
    <w:rsid w:val="326C552C"/>
    <w:rsid w:val="327E4372"/>
    <w:rsid w:val="32870530"/>
    <w:rsid w:val="32F62995"/>
    <w:rsid w:val="33802E43"/>
    <w:rsid w:val="3388644C"/>
    <w:rsid w:val="33B272A3"/>
    <w:rsid w:val="343214C7"/>
    <w:rsid w:val="34B06964"/>
    <w:rsid w:val="34EE67C5"/>
    <w:rsid w:val="350B22A4"/>
    <w:rsid w:val="35213875"/>
    <w:rsid w:val="353C2E8A"/>
    <w:rsid w:val="356163BD"/>
    <w:rsid w:val="35B22880"/>
    <w:rsid w:val="35BC70FA"/>
    <w:rsid w:val="35C6441D"/>
    <w:rsid w:val="35E420FB"/>
    <w:rsid w:val="3624731C"/>
    <w:rsid w:val="36545584"/>
    <w:rsid w:val="365668FE"/>
    <w:rsid w:val="36A4058B"/>
    <w:rsid w:val="36F05BAE"/>
    <w:rsid w:val="378105FB"/>
    <w:rsid w:val="37A46DC7"/>
    <w:rsid w:val="37AD4EFB"/>
    <w:rsid w:val="37C815BB"/>
    <w:rsid w:val="388C36FB"/>
    <w:rsid w:val="38A40A85"/>
    <w:rsid w:val="38BA6FA4"/>
    <w:rsid w:val="38C75EA8"/>
    <w:rsid w:val="39437C06"/>
    <w:rsid w:val="39491861"/>
    <w:rsid w:val="396B7EF6"/>
    <w:rsid w:val="39700927"/>
    <w:rsid w:val="39B46066"/>
    <w:rsid w:val="39FF1CFC"/>
    <w:rsid w:val="3ADF4044"/>
    <w:rsid w:val="3B2A0FAA"/>
    <w:rsid w:val="3BAB4D14"/>
    <w:rsid w:val="3BE86E9B"/>
    <w:rsid w:val="3C35395A"/>
    <w:rsid w:val="3C605616"/>
    <w:rsid w:val="3C94492D"/>
    <w:rsid w:val="3CC449FF"/>
    <w:rsid w:val="3DAE017A"/>
    <w:rsid w:val="3DC567BC"/>
    <w:rsid w:val="3E18158D"/>
    <w:rsid w:val="3E276AFF"/>
    <w:rsid w:val="3E2F4943"/>
    <w:rsid w:val="3E4C1002"/>
    <w:rsid w:val="3E864749"/>
    <w:rsid w:val="3EB43FF8"/>
    <w:rsid w:val="3F0E3630"/>
    <w:rsid w:val="3F204B9E"/>
    <w:rsid w:val="3F7D78FA"/>
    <w:rsid w:val="3FA66883"/>
    <w:rsid w:val="3FD01F04"/>
    <w:rsid w:val="3FD67B39"/>
    <w:rsid w:val="40552AF5"/>
    <w:rsid w:val="40A62FAE"/>
    <w:rsid w:val="4167271B"/>
    <w:rsid w:val="417B60BB"/>
    <w:rsid w:val="41B20CD4"/>
    <w:rsid w:val="41DE4D1B"/>
    <w:rsid w:val="41E2613A"/>
    <w:rsid w:val="42295B17"/>
    <w:rsid w:val="424D30EF"/>
    <w:rsid w:val="426621C4"/>
    <w:rsid w:val="42C615B8"/>
    <w:rsid w:val="42D73F8A"/>
    <w:rsid w:val="42F810EF"/>
    <w:rsid w:val="43295F3C"/>
    <w:rsid w:val="43686B13"/>
    <w:rsid w:val="439B29AD"/>
    <w:rsid w:val="43C7033C"/>
    <w:rsid w:val="43DF40B4"/>
    <w:rsid w:val="4406550C"/>
    <w:rsid w:val="44170FF9"/>
    <w:rsid w:val="443C120E"/>
    <w:rsid w:val="459C29C3"/>
    <w:rsid w:val="45A66BA0"/>
    <w:rsid w:val="45A77CCD"/>
    <w:rsid w:val="45AA674B"/>
    <w:rsid w:val="45AF0908"/>
    <w:rsid w:val="45E36925"/>
    <w:rsid w:val="46556111"/>
    <w:rsid w:val="465A2DAD"/>
    <w:rsid w:val="469C498B"/>
    <w:rsid w:val="46A460B4"/>
    <w:rsid w:val="46EB5A91"/>
    <w:rsid w:val="46FE1798"/>
    <w:rsid w:val="47AA14A8"/>
    <w:rsid w:val="47FC5A7C"/>
    <w:rsid w:val="47FC782A"/>
    <w:rsid w:val="48E96B78"/>
    <w:rsid w:val="490D6395"/>
    <w:rsid w:val="494E0559"/>
    <w:rsid w:val="495B14C0"/>
    <w:rsid w:val="4962490E"/>
    <w:rsid w:val="49A727F1"/>
    <w:rsid w:val="49B36DD7"/>
    <w:rsid w:val="4A0D21F0"/>
    <w:rsid w:val="4A452632"/>
    <w:rsid w:val="4A9D2C6A"/>
    <w:rsid w:val="4ACD2B47"/>
    <w:rsid w:val="4B2C1A1D"/>
    <w:rsid w:val="4B34618F"/>
    <w:rsid w:val="4B563973"/>
    <w:rsid w:val="4B7B1575"/>
    <w:rsid w:val="4B7E4554"/>
    <w:rsid w:val="4BA426B2"/>
    <w:rsid w:val="4BA56B1E"/>
    <w:rsid w:val="4BBD078F"/>
    <w:rsid w:val="4C884019"/>
    <w:rsid w:val="4C9036F0"/>
    <w:rsid w:val="4C957630"/>
    <w:rsid w:val="4CAB763C"/>
    <w:rsid w:val="4CF66F3E"/>
    <w:rsid w:val="4D810633"/>
    <w:rsid w:val="4DC4703C"/>
    <w:rsid w:val="4DEF6177"/>
    <w:rsid w:val="4E263853"/>
    <w:rsid w:val="4E3063B0"/>
    <w:rsid w:val="4E481A1B"/>
    <w:rsid w:val="4ECC5AFD"/>
    <w:rsid w:val="4F267465"/>
    <w:rsid w:val="4F62701A"/>
    <w:rsid w:val="4F9F3933"/>
    <w:rsid w:val="505475F5"/>
    <w:rsid w:val="50BA3C11"/>
    <w:rsid w:val="50F04D94"/>
    <w:rsid w:val="51453FF0"/>
    <w:rsid w:val="517338F9"/>
    <w:rsid w:val="52756B57"/>
    <w:rsid w:val="52CF34D4"/>
    <w:rsid w:val="52E76D06"/>
    <w:rsid w:val="530028C4"/>
    <w:rsid w:val="53353DEC"/>
    <w:rsid w:val="533802B0"/>
    <w:rsid w:val="534A3B3F"/>
    <w:rsid w:val="535610C9"/>
    <w:rsid w:val="53685179"/>
    <w:rsid w:val="53CC5D27"/>
    <w:rsid w:val="53F9569A"/>
    <w:rsid w:val="53FE0402"/>
    <w:rsid w:val="54183680"/>
    <w:rsid w:val="54327FFE"/>
    <w:rsid w:val="546463D8"/>
    <w:rsid w:val="54D16AA7"/>
    <w:rsid w:val="54EA382C"/>
    <w:rsid w:val="55E9126C"/>
    <w:rsid w:val="56565961"/>
    <w:rsid w:val="56813763"/>
    <w:rsid w:val="56C1236A"/>
    <w:rsid w:val="56FE7F16"/>
    <w:rsid w:val="570D22CE"/>
    <w:rsid w:val="571C3A45"/>
    <w:rsid w:val="57511940"/>
    <w:rsid w:val="577B3BB7"/>
    <w:rsid w:val="57A53F53"/>
    <w:rsid w:val="57D05964"/>
    <w:rsid w:val="57DF6DD5"/>
    <w:rsid w:val="58134E48"/>
    <w:rsid w:val="588367BD"/>
    <w:rsid w:val="589F0257"/>
    <w:rsid w:val="58BE4CB1"/>
    <w:rsid w:val="58DD0FB2"/>
    <w:rsid w:val="593132EC"/>
    <w:rsid w:val="59A7084E"/>
    <w:rsid w:val="59D80FE8"/>
    <w:rsid w:val="5AC30A03"/>
    <w:rsid w:val="5AD85ED5"/>
    <w:rsid w:val="5B0E0818"/>
    <w:rsid w:val="5B25673D"/>
    <w:rsid w:val="5B90055D"/>
    <w:rsid w:val="5C056EF0"/>
    <w:rsid w:val="5C6300BB"/>
    <w:rsid w:val="5C78171D"/>
    <w:rsid w:val="5C894B1F"/>
    <w:rsid w:val="5C8F6C7E"/>
    <w:rsid w:val="5CFC4881"/>
    <w:rsid w:val="5CFD425D"/>
    <w:rsid w:val="5CFF3BED"/>
    <w:rsid w:val="5D0E5BDE"/>
    <w:rsid w:val="5D177744"/>
    <w:rsid w:val="5D577585"/>
    <w:rsid w:val="5DAD3649"/>
    <w:rsid w:val="5DCB0318"/>
    <w:rsid w:val="5E0302A0"/>
    <w:rsid w:val="5E62059E"/>
    <w:rsid w:val="5EE96601"/>
    <w:rsid w:val="5FB137C1"/>
    <w:rsid w:val="5FC355B0"/>
    <w:rsid w:val="5FD21C77"/>
    <w:rsid w:val="60654551"/>
    <w:rsid w:val="609252E7"/>
    <w:rsid w:val="61EC3CCE"/>
    <w:rsid w:val="62390C3F"/>
    <w:rsid w:val="62E55633"/>
    <w:rsid w:val="630C2BBF"/>
    <w:rsid w:val="63480784"/>
    <w:rsid w:val="63654AA2"/>
    <w:rsid w:val="6392134D"/>
    <w:rsid w:val="63974B7F"/>
    <w:rsid w:val="63F25C8A"/>
    <w:rsid w:val="63FE4BFE"/>
    <w:rsid w:val="6429154F"/>
    <w:rsid w:val="642A1A86"/>
    <w:rsid w:val="64944DD6"/>
    <w:rsid w:val="64E2007C"/>
    <w:rsid w:val="65593C2E"/>
    <w:rsid w:val="659B1574"/>
    <w:rsid w:val="660979AD"/>
    <w:rsid w:val="668524C1"/>
    <w:rsid w:val="66CC2AA0"/>
    <w:rsid w:val="673E54E3"/>
    <w:rsid w:val="67A26B47"/>
    <w:rsid w:val="683F31DB"/>
    <w:rsid w:val="688E42B7"/>
    <w:rsid w:val="68D51CA5"/>
    <w:rsid w:val="68D93544"/>
    <w:rsid w:val="69114EF8"/>
    <w:rsid w:val="69784594"/>
    <w:rsid w:val="69CC3379"/>
    <w:rsid w:val="69D67D96"/>
    <w:rsid w:val="6A1E3383"/>
    <w:rsid w:val="6A1E78CE"/>
    <w:rsid w:val="6A6D1C85"/>
    <w:rsid w:val="6A86139C"/>
    <w:rsid w:val="6AAC348B"/>
    <w:rsid w:val="6B5B0B88"/>
    <w:rsid w:val="6BF56E08"/>
    <w:rsid w:val="6C543A21"/>
    <w:rsid w:val="6C8B7568"/>
    <w:rsid w:val="6C97799E"/>
    <w:rsid w:val="6CE22475"/>
    <w:rsid w:val="6CF03A37"/>
    <w:rsid w:val="6D4573FA"/>
    <w:rsid w:val="6D967C55"/>
    <w:rsid w:val="6D9E6B0A"/>
    <w:rsid w:val="6E002E86"/>
    <w:rsid w:val="6E142EBC"/>
    <w:rsid w:val="6E677844"/>
    <w:rsid w:val="6E954194"/>
    <w:rsid w:val="6F345978"/>
    <w:rsid w:val="6F94592E"/>
    <w:rsid w:val="6FB67594"/>
    <w:rsid w:val="6FD04172"/>
    <w:rsid w:val="70076BE8"/>
    <w:rsid w:val="702B1923"/>
    <w:rsid w:val="704437FC"/>
    <w:rsid w:val="70A71BC5"/>
    <w:rsid w:val="723802B6"/>
    <w:rsid w:val="724B7271"/>
    <w:rsid w:val="724E26A6"/>
    <w:rsid w:val="725E2DC6"/>
    <w:rsid w:val="72AA7F3D"/>
    <w:rsid w:val="72F84566"/>
    <w:rsid w:val="73214465"/>
    <w:rsid w:val="732D3C85"/>
    <w:rsid w:val="73564E58"/>
    <w:rsid w:val="73612AB3"/>
    <w:rsid w:val="738642C8"/>
    <w:rsid w:val="74207B19"/>
    <w:rsid w:val="742E7572"/>
    <w:rsid w:val="743261FE"/>
    <w:rsid w:val="747F368A"/>
    <w:rsid w:val="74820F33"/>
    <w:rsid w:val="74D5053C"/>
    <w:rsid w:val="754E12AC"/>
    <w:rsid w:val="75864A53"/>
    <w:rsid w:val="759E6086"/>
    <w:rsid w:val="75AB00FD"/>
    <w:rsid w:val="763508E5"/>
    <w:rsid w:val="76533F9E"/>
    <w:rsid w:val="76892DF8"/>
    <w:rsid w:val="76900126"/>
    <w:rsid w:val="769700AB"/>
    <w:rsid w:val="76E9529A"/>
    <w:rsid w:val="76EF17E4"/>
    <w:rsid w:val="76F65C09"/>
    <w:rsid w:val="771A3308"/>
    <w:rsid w:val="774E15A1"/>
    <w:rsid w:val="77A13DC6"/>
    <w:rsid w:val="785C6CF5"/>
    <w:rsid w:val="787212BF"/>
    <w:rsid w:val="78B90A2B"/>
    <w:rsid w:val="79102FB2"/>
    <w:rsid w:val="79330A4E"/>
    <w:rsid w:val="798303FC"/>
    <w:rsid w:val="79C16683"/>
    <w:rsid w:val="79EF706B"/>
    <w:rsid w:val="7A306423"/>
    <w:rsid w:val="7A3126BD"/>
    <w:rsid w:val="7AAC0AB8"/>
    <w:rsid w:val="7AAE25CB"/>
    <w:rsid w:val="7AAF7775"/>
    <w:rsid w:val="7ADA33C0"/>
    <w:rsid w:val="7B127A01"/>
    <w:rsid w:val="7B61087B"/>
    <w:rsid w:val="7B826770"/>
    <w:rsid w:val="7B9A4DB4"/>
    <w:rsid w:val="7BC10593"/>
    <w:rsid w:val="7BE25BDD"/>
    <w:rsid w:val="7C7878C2"/>
    <w:rsid w:val="7E0871BD"/>
    <w:rsid w:val="7E506650"/>
    <w:rsid w:val="7E74183B"/>
    <w:rsid w:val="7ED24865"/>
    <w:rsid w:val="7ED74076"/>
    <w:rsid w:val="7F62208D"/>
    <w:rsid w:val="7F827F1F"/>
    <w:rsid w:val="7FBB248D"/>
    <w:rsid w:val="7FC2258E"/>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qFormat="1" w:unhideWhenUsed="0" w:uiPriority="0" w:semiHidden="0"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560" w:lineRule="exact"/>
      <w:ind w:firstLine="560" w:firstLineChars="200"/>
      <w:jc w:val="both"/>
    </w:pPr>
    <w:rPr>
      <w:rFonts w:ascii="Times New Roman" w:hAnsi="Times New Roman" w:eastAsia="仿宋" w:cstheme="minorBidi"/>
      <w:kern w:val="2"/>
      <w:sz w:val="28"/>
      <w:szCs w:val="22"/>
      <w:lang w:val="en-US" w:eastAsia="zh-CN" w:bidi="ar-SA"/>
    </w:rPr>
  </w:style>
  <w:style w:type="paragraph" w:styleId="2">
    <w:name w:val="heading 1"/>
    <w:next w:val="1"/>
    <w:link w:val="25"/>
    <w:qFormat/>
    <w:uiPriority w:val="9"/>
    <w:pPr>
      <w:keepNext/>
      <w:keepLines/>
      <w:spacing w:before="340" w:after="330" w:line="578" w:lineRule="auto"/>
      <w:jc w:val="center"/>
      <w:outlineLvl w:val="0"/>
    </w:pPr>
    <w:rPr>
      <w:rFonts w:eastAsia="黑体" w:asciiTheme="minorHAnsi" w:hAnsiTheme="minorHAnsi" w:cstheme="minorBidi"/>
      <w:b/>
      <w:bCs/>
      <w:kern w:val="44"/>
      <w:sz w:val="32"/>
      <w:szCs w:val="44"/>
      <w:lang w:val="en-US" w:eastAsia="zh-CN" w:bidi="ar-SA"/>
    </w:rPr>
  </w:style>
  <w:style w:type="paragraph" w:styleId="3">
    <w:name w:val="heading 2"/>
    <w:next w:val="1"/>
    <w:link w:val="30"/>
    <w:unhideWhenUsed/>
    <w:qFormat/>
    <w:uiPriority w:val="9"/>
    <w:pPr>
      <w:keepNext/>
      <w:keepLines/>
      <w:spacing w:before="260" w:after="260" w:line="415" w:lineRule="auto"/>
      <w:jc w:val="center"/>
      <w:outlineLvl w:val="1"/>
    </w:pPr>
    <w:rPr>
      <w:rFonts w:eastAsia="楷体" w:asciiTheme="majorHAnsi" w:hAnsiTheme="majorHAnsi" w:cstheme="majorBidi"/>
      <w:bCs/>
      <w:kern w:val="2"/>
      <w:sz w:val="32"/>
      <w:szCs w:val="32"/>
      <w:lang w:val="en-US" w:eastAsia="zh-CN" w:bidi="ar-SA"/>
    </w:rPr>
  </w:style>
  <w:style w:type="paragraph" w:styleId="4">
    <w:name w:val="heading 3"/>
    <w:basedOn w:val="1"/>
    <w:next w:val="1"/>
    <w:link w:val="29"/>
    <w:unhideWhenUsed/>
    <w:qFormat/>
    <w:uiPriority w:val="9"/>
    <w:pPr>
      <w:keepNext/>
      <w:keepLines/>
      <w:spacing w:before="260" w:after="260" w:line="416" w:lineRule="atLeast"/>
      <w:outlineLvl w:val="2"/>
    </w:pPr>
    <w:rPr>
      <w:b/>
      <w:bCs/>
      <w:sz w:val="32"/>
      <w:szCs w:val="32"/>
    </w:rPr>
  </w:style>
  <w:style w:type="character" w:default="1" w:styleId="20">
    <w:name w:val="Default Paragraph Font"/>
    <w:semiHidden/>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5">
    <w:name w:val="Normal Indent"/>
    <w:basedOn w:val="1"/>
    <w:link w:val="38"/>
    <w:qFormat/>
    <w:uiPriority w:val="0"/>
    <w:pPr>
      <w:spacing w:line="240" w:lineRule="auto"/>
      <w:ind w:firstLine="420" w:firstLineChars="0"/>
    </w:pPr>
    <w:rPr>
      <w:rFonts w:eastAsia="宋体" w:cs="Times New Roman"/>
      <w:sz w:val="21"/>
      <w:szCs w:val="20"/>
    </w:rPr>
  </w:style>
  <w:style w:type="paragraph" w:styleId="6">
    <w:name w:val="annotation text"/>
    <w:basedOn w:val="1"/>
    <w:link w:val="45"/>
    <w:unhideWhenUsed/>
    <w:qFormat/>
    <w:uiPriority w:val="99"/>
    <w:pPr>
      <w:jc w:val="left"/>
    </w:pPr>
  </w:style>
  <w:style w:type="paragraph" w:styleId="7">
    <w:name w:val="Body Text"/>
    <w:basedOn w:val="1"/>
    <w:semiHidden/>
    <w:unhideWhenUsed/>
    <w:qFormat/>
    <w:uiPriority w:val="99"/>
    <w:pPr>
      <w:spacing w:after="120"/>
    </w:pPr>
  </w:style>
  <w:style w:type="paragraph" w:styleId="8">
    <w:name w:val="toc 3"/>
    <w:basedOn w:val="1"/>
    <w:next w:val="1"/>
    <w:autoRedefine/>
    <w:unhideWhenUsed/>
    <w:qFormat/>
    <w:uiPriority w:val="39"/>
    <w:pPr>
      <w:widowControl/>
      <w:spacing w:after="100" w:line="259" w:lineRule="auto"/>
      <w:ind w:left="440" w:firstLine="0" w:firstLineChars="0"/>
      <w:jc w:val="left"/>
    </w:pPr>
    <w:rPr>
      <w:rFonts w:cs="Times New Roman" w:asciiTheme="minorHAnsi" w:hAnsiTheme="minorHAnsi" w:eastAsiaTheme="minorEastAsia"/>
      <w:kern w:val="0"/>
      <w:sz w:val="22"/>
    </w:rPr>
  </w:style>
  <w:style w:type="paragraph" w:styleId="9">
    <w:name w:val="Date"/>
    <w:basedOn w:val="1"/>
    <w:next w:val="1"/>
    <w:link w:val="59"/>
    <w:semiHidden/>
    <w:unhideWhenUsed/>
    <w:qFormat/>
    <w:uiPriority w:val="99"/>
    <w:pPr>
      <w:ind w:left="100" w:leftChars="2500"/>
    </w:pPr>
  </w:style>
  <w:style w:type="paragraph" w:styleId="10">
    <w:name w:val="Balloon Text"/>
    <w:basedOn w:val="1"/>
    <w:link w:val="28"/>
    <w:semiHidden/>
    <w:unhideWhenUsed/>
    <w:qFormat/>
    <w:uiPriority w:val="99"/>
    <w:pPr>
      <w:spacing w:line="240" w:lineRule="auto"/>
    </w:pPr>
    <w:rPr>
      <w:sz w:val="18"/>
      <w:szCs w:val="18"/>
    </w:rPr>
  </w:style>
  <w:style w:type="paragraph" w:styleId="11">
    <w:name w:val="footer"/>
    <w:basedOn w:val="1"/>
    <w:link w:val="37"/>
    <w:unhideWhenUsed/>
    <w:qFormat/>
    <w:uiPriority w:val="99"/>
    <w:pPr>
      <w:tabs>
        <w:tab w:val="center" w:pos="4153"/>
        <w:tab w:val="right" w:pos="8306"/>
      </w:tabs>
      <w:snapToGrid w:val="0"/>
      <w:spacing w:line="240" w:lineRule="atLeast"/>
      <w:jc w:val="left"/>
    </w:pPr>
    <w:rPr>
      <w:sz w:val="18"/>
      <w:szCs w:val="18"/>
    </w:rPr>
  </w:style>
  <w:style w:type="paragraph" w:styleId="12">
    <w:name w:val="header"/>
    <w:basedOn w:val="1"/>
    <w:link w:val="36"/>
    <w:unhideWhenUsed/>
    <w:qFormat/>
    <w:uiPriority w:val="99"/>
    <w:pPr>
      <w:pBdr>
        <w:bottom w:val="single" w:color="auto" w:sz="6" w:space="1"/>
      </w:pBdr>
      <w:tabs>
        <w:tab w:val="center" w:pos="4153"/>
        <w:tab w:val="right" w:pos="8306"/>
      </w:tabs>
      <w:snapToGrid w:val="0"/>
      <w:spacing w:line="240" w:lineRule="atLeast"/>
      <w:jc w:val="center"/>
    </w:pPr>
    <w:rPr>
      <w:sz w:val="18"/>
      <w:szCs w:val="18"/>
    </w:rPr>
  </w:style>
  <w:style w:type="paragraph" w:styleId="13">
    <w:name w:val="toc 1"/>
    <w:basedOn w:val="1"/>
    <w:next w:val="1"/>
    <w:unhideWhenUsed/>
    <w:qFormat/>
    <w:uiPriority w:val="39"/>
    <w:pPr>
      <w:tabs>
        <w:tab w:val="left" w:pos="1120"/>
        <w:tab w:val="left" w:pos="1680"/>
        <w:tab w:val="right" w:leader="dot" w:pos="8296"/>
      </w:tabs>
      <w:ind w:firstLine="0" w:firstLineChars="0"/>
    </w:pPr>
    <w:rPr>
      <w:rFonts w:ascii="黑体" w:hAnsi="黑体" w:eastAsia="黑体" w:cs="黑体"/>
      <w:b/>
      <w:sz w:val="32"/>
      <w:szCs w:val="32"/>
    </w:rPr>
  </w:style>
  <w:style w:type="paragraph" w:styleId="14">
    <w:name w:val="toc 2"/>
    <w:basedOn w:val="1"/>
    <w:next w:val="1"/>
    <w:unhideWhenUsed/>
    <w:qFormat/>
    <w:uiPriority w:val="39"/>
    <w:pPr>
      <w:tabs>
        <w:tab w:val="left" w:pos="1680"/>
        <w:tab w:val="right" w:leader="dot" w:pos="8296"/>
      </w:tabs>
    </w:pPr>
    <w:rPr>
      <w:sz w:val="24"/>
    </w:rPr>
  </w:style>
  <w:style w:type="paragraph" w:styleId="15">
    <w:name w:val="Normal (Web)"/>
    <w:basedOn w:val="1"/>
    <w:unhideWhenUsed/>
    <w:qFormat/>
    <w:uiPriority w:val="99"/>
    <w:pPr>
      <w:widowControl/>
      <w:spacing w:before="100" w:beforeAutospacing="1" w:after="100" w:afterAutospacing="1" w:line="240" w:lineRule="auto"/>
      <w:ind w:firstLine="0" w:firstLineChars="0"/>
      <w:jc w:val="left"/>
    </w:pPr>
    <w:rPr>
      <w:rFonts w:ascii="宋体" w:hAnsi="宋体" w:eastAsia="宋体" w:cs="宋体"/>
      <w:kern w:val="0"/>
      <w:sz w:val="24"/>
      <w:szCs w:val="24"/>
    </w:rPr>
  </w:style>
  <w:style w:type="paragraph" w:styleId="16">
    <w:name w:val="annotation subject"/>
    <w:basedOn w:val="6"/>
    <w:next w:val="6"/>
    <w:link w:val="46"/>
    <w:semiHidden/>
    <w:unhideWhenUsed/>
    <w:qFormat/>
    <w:uiPriority w:val="99"/>
    <w:rPr>
      <w:b/>
      <w:bCs/>
    </w:rPr>
  </w:style>
  <w:style w:type="paragraph" w:styleId="17">
    <w:name w:val="Body Text First Indent"/>
    <w:basedOn w:val="7"/>
    <w:qFormat/>
    <w:uiPriority w:val="0"/>
    <w:pPr>
      <w:ind w:firstLine="420" w:firstLineChars="100"/>
    </w:pPr>
    <w:rPr>
      <w:sz w:val="28"/>
    </w:rPr>
  </w:style>
  <w:style w:type="table" w:styleId="19">
    <w:name w:val="Table Grid"/>
    <w:basedOn w:val="18"/>
    <w:qFormat/>
    <w:uiPriority w:val="39"/>
    <w:rPr>
      <w:rFonts w:ascii="Times New Roman" w:hAnsi="Times New Roman" w:eastAsia="宋体"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1">
    <w:name w:val="FollowedHyperlink"/>
    <w:basedOn w:val="20"/>
    <w:semiHidden/>
    <w:unhideWhenUsed/>
    <w:qFormat/>
    <w:uiPriority w:val="99"/>
    <w:rPr>
      <w:color w:val="954F72"/>
      <w:u w:val="single"/>
    </w:rPr>
  </w:style>
  <w:style w:type="character" w:styleId="22">
    <w:name w:val="Emphasis"/>
    <w:basedOn w:val="20"/>
    <w:qFormat/>
    <w:uiPriority w:val="20"/>
    <w:rPr>
      <w:i/>
    </w:rPr>
  </w:style>
  <w:style w:type="character" w:styleId="23">
    <w:name w:val="Hyperlink"/>
    <w:basedOn w:val="20"/>
    <w:unhideWhenUsed/>
    <w:qFormat/>
    <w:uiPriority w:val="99"/>
    <w:rPr>
      <w:color w:val="0563C1" w:themeColor="hyperlink"/>
      <w:u w:val="single"/>
      <w14:textFill>
        <w14:solidFill>
          <w14:schemeClr w14:val="hlink"/>
        </w14:solidFill>
      </w14:textFill>
    </w:rPr>
  </w:style>
  <w:style w:type="character" w:styleId="24">
    <w:name w:val="annotation reference"/>
    <w:basedOn w:val="20"/>
    <w:semiHidden/>
    <w:unhideWhenUsed/>
    <w:qFormat/>
    <w:uiPriority w:val="99"/>
    <w:rPr>
      <w:sz w:val="21"/>
      <w:szCs w:val="21"/>
    </w:rPr>
  </w:style>
  <w:style w:type="character" w:customStyle="1" w:styleId="25">
    <w:name w:val="标题 1 字符"/>
    <w:basedOn w:val="20"/>
    <w:link w:val="2"/>
    <w:qFormat/>
    <w:uiPriority w:val="9"/>
    <w:rPr>
      <w:rFonts w:eastAsia="黑体"/>
      <w:b/>
      <w:bCs/>
      <w:kern w:val="44"/>
      <w:sz w:val="32"/>
      <w:szCs w:val="44"/>
    </w:rPr>
  </w:style>
  <w:style w:type="paragraph" w:customStyle="1" w:styleId="26">
    <w:name w:val="表格"/>
    <w:link w:val="27"/>
    <w:qFormat/>
    <w:uiPriority w:val="0"/>
    <w:pPr>
      <w:jc w:val="center"/>
    </w:pPr>
    <w:rPr>
      <w:rFonts w:ascii="仿宋" w:hAnsi="仿宋" w:eastAsia="仿宋" w:cstheme="minorBidi"/>
      <w:bCs/>
      <w:color w:val="000000"/>
      <w:kern w:val="0"/>
      <w:sz w:val="21"/>
      <w:szCs w:val="21"/>
      <w:lang w:val="en-US" w:eastAsia="zh-CN" w:bidi="ar-SA"/>
    </w:rPr>
  </w:style>
  <w:style w:type="character" w:customStyle="1" w:styleId="27">
    <w:name w:val="表格 Char Char"/>
    <w:link w:val="26"/>
    <w:qFormat/>
    <w:uiPriority w:val="0"/>
    <w:rPr>
      <w:rFonts w:ascii="仿宋" w:hAnsi="仿宋" w:eastAsia="仿宋"/>
      <w:bCs/>
      <w:color w:val="000000"/>
      <w:kern w:val="0"/>
      <w:szCs w:val="21"/>
    </w:rPr>
  </w:style>
  <w:style w:type="character" w:customStyle="1" w:styleId="28">
    <w:name w:val="批注框文本 字符"/>
    <w:basedOn w:val="20"/>
    <w:link w:val="10"/>
    <w:semiHidden/>
    <w:qFormat/>
    <w:uiPriority w:val="99"/>
    <w:rPr>
      <w:rFonts w:ascii="Times New Roman" w:hAnsi="Times New Roman" w:eastAsia="仿宋"/>
      <w:sz w:val="18"/>
      <w:szCs w:val="18"/>
    </w:rPr>
  </w:style>
  <w:style w:type="character" w:customStyle="1" w:styleId="29">
    <w:name w:val="标题 3 字符"/>
    <w:basedOn w:val="20"/>
    <w:link w:val="4"/>
    <w:qFormat/>
    <w:uiPriority w:val="9"/>
    <w:rPr>
      <w:rFonts w:ascii="Times New Roman" w:hAnsi="Times New Roman" w:eastAsia="仿宋"/>
      <w:b/>
      <w:bCs/>
      <w:sz w:val="32"/>
      <w:szCs w:val="32"/>
    </w:rPr>
  </w:style>
  <w:style w:type="character" w:customStyle="1" w:styleId="30">
    <w:name w:val="标题 2 字符"/>
    <w:basedOn w:val="20"/>
    <w:link w:val="3"/>
    <w:qFormat/>
    <w:uiPriority w:val="9"/>
    <w:rPr>
      <w:rFonts w:eastAsia="楷体" w:asciiTheme="majorHAnsi" w:hAnsiTheme="majorHAnsi" w:cstheme="majorBidi"/>
      <w:bCs/>
      <w:sz w:val="32"/>
      <w:szCs w:val="32"/>
    </w:rPr>
  </w:style>
  <w:style w:type="paragraph" w:styleId="31">
    <w:name w:val="List Paragraph"/>
    <w:basedOn w:val="1"/>
    <w:qFormat/>
    <w:uiPriority w:val="34"/>
    <w:pPr>
      <w:spacing w:line="240" w:lineRule="auto"/>
      <w:ind w:firstLine="420"/>
    </w:pPr>
    <w:rPr>
      <w:rFonts w:asciiTheme="minorHAnsi" w:hAnsiTheme="minorHAnsi" w:eastAsiaTheme="minorEastAsia"/>
      <w:sz w:val="21"/>
    </w:rPr>
  </w:style>
  <w:style w:type="paragraph" w:customStyle="1" w:styleId="32">
    <w:name w:val="标题 2-节-zh"/>
    <w:basedOn w:val="3"/>
    <w:link w:val="33"/>
    <w:qFormat/>
    <w:uiPriority w:val="99"/>
    <w:pPr>
      <w:keepLines w:val="0"/>
      <w:widowControl w:val="0"/>
      <w:adjustRightInd w:val="0"/>
      <w:spacing w:beforeLines="150" w:afterLines="150" w:line="240" w:lineRule="auto"/>
      <w:ind w:left="7796"/>
    </w:pPr>
    <w:rPr>
      <w:rFonts w:ascii="仿宋_GB2312" w:eastAsiaTheme="majorEastAsia"/>
      <w:b/>
      <w:bCs w:val="0"/>
      <w:sz w:val="36"/>
      <w:szCs w:val="36"/>
      <w:lang w:val="zh-CN"/>
    </w:rPr>
  </w:style>
  <w:style w:type="character" w:customStyle="1" w:styleId="33">
    <w:name w:val="标题 2-节-zh 字符"/>
    <w:basedOn w:val="30"/>
    <w:link w:val="32"/>
    <w:qFormat/>
    <w:uiPriority w:val="99"/>
    <w:rPr>
      <w:rFonts w:ascii="仿宋_GB2312" w:hAnsiTheme="majorHAnsi" w:eastAsiaTheme="majorEastAsia" w:cstheme="majorBidi"/>
      <w:b/>
      <w:bCs w:val="0"/>
      <w:sz w:val="36"/>
      <w:szCs w:val="36"/>
      <w:lang w:val="zh-CN"/>
    </w:rPr>
  </w:style>
  <w:style w:type="paragraph" w:customStyle="1" w:styleId="34">
    <w:name w:val="正文内容-zh"/>
    <w:basedOn w:val="1"/>
    <w:link w:val="35"/>
    <w:qFormat/>
    <w:uiPriority w:val="0"/>
    <w:pPr>
      <w:tabs>
        <w:tab w:val="left" w:pos="1440"/>
      </w:tabs>
      <w:spacing w:line="240" w:lineRule="auto"/>
      <w:ind w:firstLine="496" w:firstLineChars="177"/>
    </w:pPr>
    <w:rPr>
      <w:rFonts w:ascii="仿宋" w:hAnsi="仿宋" w:cs="Times New Roman"/>
      <w:szCs w:val="28"/>
    </w:rPr>
  </w:style>
  <w:style w:type="character" w:customStyle="1" w:styleId="35">
    <w:name w:val="正文内容-zh 字符"/>
    <w:basedOn w:val="20"/>
    <w:link w:val="34"/>
    <w:qFormat/>
    <w:uiPriority w:val="0"/>
    <w:rPr>
      <w:rFonts w:ascii="仿宋" w:hAnsi="仿宋" w:eastAsia="仿宋" w:cs="Times New Roman"/>
      <w:sz w:val="28"/>
      <w:szCs w:val="28"/>
    </w:rPr>
  </w:style>
  <w:style w:type="character" w:customStyle="1" w:styleId="36">
    <w:name w:val="页眉 字符"/>
    <w:basedOn w:val="20"/>
    <w:link w:val="12"/>
    <w:qFormat/>
    <w:uiPriority w:val="99"/>
    <w:rPr>
      <w:rFonts w:ascii="Times New Roman" w:hAnsi="Times New Roman" w:eastAsia="仿宋"/>
      <w:sz w:val="18"/>
      <w:szCs w:val="18"/>
    </w:rPr>
  </w:style>
  <w:style w:type="character" w:customStyle="1" w:styleId="37">
    <w:name w:val="页脚 字符"/>
    <w:basedOn w:val="20"/>
    <w:link w:val="11"/>
    <w:qFormat/>
    <w:uiPriority w:val="99"/>
    <w:rPr>
      <w:rFonts w:ascii="Times New Roman" w:hAnsi="Times New Roman" w:eastAsia="仿宋"/>
      <w:sz w:val="18"/>
      <w:szCs w:val="18"/>
    </w:rPr>
  </w:style>
  <w:style w:type="character" w:customStyle="1" w:styleId="38">
    <w:name w:val="正文缩进 字符"/>
    <w:link w:val="5"/>
    <w:qFormat/>
    <w:uiPriority w:val="0"/>
    <w:rPr>
      <w:rFonts w:ascii="Times New Roman" w:hAnsi="Times New Roman" w:eastAsia="宋体" w:cs="Times New Roman"/>
      <w:szCs w:val="20"/>
    </w:rPr>
  </w:style>
  <w:style w:type="paragraph" w:customStyle="1" w:styleId="39">
    <w:name w:val="Revision"/>
    <w:hidden/>
    <w:semiHidden/>
    <w:qFormat/>
    <w:uiPriority w:val="99"/>
    <w:rPr>
      <w:rFonts w:ascii="Times New Roman" w:hAnsi="Times New Roman" w:eastAsia="仿宋" w:cstheme="minorBidi"/>
      <w:kern w:val="2"/>
      <w:sz w:val="28"/>
      <w:szCs w:val="22"/>
      <w:lang w:val="en-US" w:eastAsia="zh-CN" w:bidi="ar-SA"/>
    </w:rPr>
  </w:style>
  <w:style w:type="character" w:customStyle="1" w:styleId="40">
    <w:name w:val="ql-author-40380213"/>
    <w:basedOn w:val="20"/>
    <w:qFormat/>
    <w:uiPriority w:val="0"/>
  </w:style>
  <w:style w:type="paragraph" w:customStyle="1" w:styleId="41">
    <w:name w:val="xl65"/>
    <w:basedOn w:val="1"/>
    <w:qFormat/>
    <w:uiPriority w:val="0"/>
    <w:pPr>
      <w:widowControl/>
      <w:pBdr>
        <w:top w:val="single" w:color="auto" w:sz="8" w:space="0"/>
        <w:left w:val="single" w:color="auto" w:sz="8" w:space="0"/>
        <w:bottom w:val="single" w:color="auto" w:sz="8" w:space="0"/>
        <w:right w:val="single" w:color="auto" w:sz="8" w:space="0"/>
      </w:pBdr>
      <w:spacing w:before="100" w:beforeAutospacing="1" w:after="100" w:afterAutospacing="1" w:line="240" w:lineRule="auto"/>
      <w:ind w:firstLine="0" w:firstLineChars="0"/>
    </w:pPr>
    <w:rPr>
      <w:rFonts w:ascii="仿宋" w:hAnsi="仿宋" w:cs="宋体"/>
      <w:kern w:val="0"/>
      <w:sz w:val="24"/>
      <w:szCs w:val="24"/>
    </w:rPr>
  </w:style>
  <w:style w:type="paragraph" w:customStyle="1" w:styleId="42">
    <w:name w:val="xl66"/>
    <w:basedOn w:val="1"/>
    <w:qFormat/>
    <w:uiPriority w:val="0"/>
    <w:pPr>
      <w:widowControl/>
      <w:pBdr>
        <w:top w:val="single" w:color="auto" w:sz="8" w:space="0"/>
        <w:bottom w:val="single" w:color="auto" w:sz="8" w:space="0"/>
        <w:right w:val="single" w:color="auto" w:sz="8" w:space="0"/>
      </w:pBdr>
      <w:spacing w:before="100" w:beforeAutospacing="1" w:after="100" w:afterAutospacing="1" w:line="240" w:lineRule="auto"/>
      <w:ind w:firstLine="0" w:firstLineChars="0"/>
    </w:pPr>
    <w:rPr>
      <w:rFonts w:ascii="仿宋" w:hAnsi="仿宋" w:cs="宋体"/>
      <w:kern w:val="0"/>
      <w:sz w:val="24"/>
      <w:szCs w:val="24"/>
    </w:rPr>
  </w:style>
  <w:style w:type="paragraph" w:customStyle="1" w:styleId="43">
    <w:name w:val="xl67"/>
    <w:basedOn w:val="1"/>
    <w:qFormat/>
    <w:uiPriority w:val="0"/>
    <w:pPr>
      <w:widowControl/>
      <w:pBdr>
        <w:top w:val="single" w:color="auto" w:sz="8" w:space="0"/>
        <w:bottom w:val="single" w:color="auto" w:sz="8" w:space="0"/>
        <w:right w:val="single" w:color="auto" w:sz="8" w:space="0"/>
      </w:pBdr>
      <w:spacing w:before="100" w:beforeAutospacing="1" w:after="100" w:afterAutospacing="1" w:line="240" w:lineRule="auto"/>
      <w:ind w:firstLine="0" w:firstLineChars="0"/>
      <w:jc w:val="center"/>
    </w:pPr>
    <w:rPr>
      <w:rFonts w:ascii="仿宋" w:hAnsi="仿宋" w:cs="宋体"/>
      <w:kern w:val="0"/>
      <w:sz w:val="24"/>
      <w:szCs w:val="24"/>
    </w:rPr>
  </w:style>
  <w:style w:type="paragraph" w:customStyle="1" w:styleId="44">
    <w:name w:val="样式 首行缩进:  2 字符1"/>
    <w:basedOn w:val="1"/>
    <w:qFormat/>
    <w:uiPriority w:val="0"/>
    <w:pPr>
      <w:spacing w:after="156" w:afterLines="50" w:line="360" w:lineRule="auto"/>
    </w:pPr>
    <w:rPr>
      <w:rFonts w:ascii="仿宋_GB2312" w:hAnsi="仿宋_GB2312" w:eastAsia="仿宋_GB2312" w:cs="宋体"/>
      <w:sz w:val="30"/>
      <w:szCs w:val="20"/>
    </w:rPr>
  </w:style>
  <w:style w:type="character" w:customStyle="1" w:styleId="45">
    <w:name w:val="批注文字 字符"/>
    <w:basedOn w:val="20"/>
    <w:link w:val="6"/>
    <w:qFormat/>
    <w:uiPriority w:val="99"/>
    <w:rPr>
      <w:rFonts w:ascii="Times New Roman" w:hAnsi="Times New Roman" w:eastAsia="仿宋"/>
      <w:sz w:val="28"/>
    </w:rPr>
  </w:style>
  <w:style w:type="character" w:customStyle="1" w:styleId="46">
    <w:name w:val="批注主题 字符"/>
    <w:basedOn w:val="45"/>
    <w:link w:val="16"/>
    <w:semiHidden/>
    <w:qFormat/>
    <w:uiPriority w:val="99"/>
    <w:rPr>
      <w:rFonts w:ascii="Times New Roman" w:hAnsi="Times New Roman" w:eastAsia="仿宋"/>
      <w:b/>
      <w:bCs/>
      <w:sz w:val="28"/>
    </w:rPr>
  </w:style>
  <w:style w:type="paragraph" w:customStyle="1" w:styleId="47">
    <w:name w:val="font5"/>
    <w:basedOn w:val="1"/>
    <w:qFormat/>
    <w:uiPriority w:val="0"/>
    <w:pPr>
      <w:widowControl/>
      <w:spacing w:before="100" w:beforeAutospacing="1" w:after="100" w:afterAutospacing="1" w:line="240" w:lineRule="auto"/>
      <w:ind w:firstLine="0" w:firstLineChars="0"/>
      <w:jc w:val="left"/>
    </w:pPr>
    <w:rPr>
      <w:rFonts w:ascii="宋体" w:hAnsi="宋体" w:eastAsia="宋体" w:cs="宋体"/>
      <w:kern w:val="0"/>
      <w:sz w:val="18"/>
      <w:szCs w:val="18"/>
    </w:rPr>
  </w:style>
  <w:style w:type="paragraph" w:customStyle="1" w:styleId="48">
    <w:name w:val="xl6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240" w:lineRule="auto"/>
      <w:ind w:firstLine="0" w:firstLineChars="0"/>
      <w:jc w:val="left"/>
      <w:textAlignment w:val="center"/>
    </w:pPr>
    <w:rPr>
      <w:rFonts w:ascii="宋体" w:hAnsi="宋体" w:eastAsia="宋体" w:cs="宋体"/>
      <w:b/>
      <w:bCs/>
      <w:color w:val="494949"/>
      <w:kern w:val="0"/>
      <w:sz w:val="24"/>
      <w:szCs w:val="24"/>
    </w:rPr>
  </w:style>
  <w:style w:type="paragraph" w:customStyle="1" w:styleId="49">
    <w:name w:val="xl64"/>
    <w:basedOn w:val="1"/>
    <w:qFormat/>
    <w:uiPriority w:val="0"/>
    <w:pPr>
      <w:widowControl/>
      <w:pBdr>
        <w:top w:val="single" w:color="auto" w:sz="4" w:space="0"/>
        <w:left w:val="single" w:color="auto" w:sz="4" w:space="0"/>
        <w:bottom w:val="single" w:color="auto" w:sz="4" w:space="0"/>
        <w:right w:val="single" w:color="auto" w:sz="4" w:space="0"/>
      </w:pBdr>
      <w:shd w:val="clear" w:color="000000" w:fill="92D050"/>
      <w:spacing w:before="100" w:beforeAutospacing="1" w:after="100" w:afterAutospacing="1" w:line="240" w:lineRule="auto"/>
      <w:ind w:firstLine="0" w:firstLineChars="0"/>
      <w:jc w:val="left"/>
      <w:textAlignment w:val="center"/>
    </w:pPr>
    <w:rPr>
      <w:rFonts w:ascii="宋体" w:hAnsi="宋体" w:eastAsia="宋体" w:cs="宋体"/>
      <w:color w:val="494949"/>
      <w:kern w:val="0"/>
      <w:sz w:val="24"/>
      <w:szCs w:val="24"/>
    </w:rPr>
  </w:style>
  <w:style w:type="paragraph" w:customStyle="1" w:styleId="50">
    <w:name w:val="xl68"/>
    <w:basedOn w:val="1"/>
    <w:qFormat/>
    <w:uiPriority w:val="0"/>
    <w:pPr>
      <w:widowControl/>
      <w:pBdr>
        <w:top w:val="single" w:color="auto" w:sz="4" w:space="0"/>
        <w:left w:val="single" w:color="auto" w:sz="4" w:space="0"/>
        <w:right w:val="single" w:color="auto" w:sz="4" w:space="0"/>
      </w:pBdr>
      <w:spacing w:before="100" w:beforeAutospacing="1" w:after="100" w:afterAutospacing="1" w:line="240" w:lineRule="auto"/>
      <w:ind w:firstLine="0" w:firstLineChars="0"/>
      <w:jc w:val="left"/>
      <w:textAlignment w:val="center"/>
    </w:pPr>
    <w:rPr>
      <w:rFonts w:ascii="宋体" w:hAnsi="宋体" w:eastAsia="宋体" w:cs="宋体"/>
      <w:color w:val="494949"/>
      <w:kern w:val="0"/>
      <w:sz w:val="24"/>
      <w:szCs w:val="24"/>
    </w:rPr>
  </w:style>
  <w:style w:type="paragraph" w:customStyle="1" w:styleId="51">
    <w:name w:val="xl6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240" w:lineRule="auto"/>
      <w:ind w:firstLine="0" w:firstLineChars="0"/>
      <w:jc w:val="center"/>
      <w:textAlignment w:val="center"/>
    </w:pPr>
    <w:rPr>
      <w:rFonts w:ascii="宋体" w:hAnsi="宋体" w:eastAsia="宋体" w:cs="宋体"/>
      <w:b/>
      <w:bCs/>
      <w:color w:val="494949"/>
      <w:kern w:val="0"/>
      <w:sz w:val="24"/>
      <w:szCs w:val="24"/>
    </w:rPr>
  </w:style>
  <w:style w:type="paragraph" w:customStyle="1" w:styleId="52">
    <w:name w:val="xl70"/>
    <w:basedOn w:val="1"/>
    <w:qFormat/>
    <w:uiPriority w:val="0"/>
    <w:pPr>
      <w:widowControl/>
      <w:spacing w:before="100" w:beforeAutospacing="1" w:after="100" w:afterAutospacing="1" w:line="240" w:lineRule="auto"/>
      <w:ind w:firstLine="0" w:firstLineChars="0"/>
      <w:jc w:val="center"/>
    </w:pPr>
    <w:rPr>
      <w:rFonts w:ascii="宋体" w:hAnsi="宋体" w:eastAsia="宋体" w:cs="宋体"/>
      <w:kern w:val="0"/>
      <w:sz w:val="24"/>
      <w:szCs w:val="24"/>
    </w:rPr>
  </w:style>
  <w:style w:type="paragraph" w:customStyle="1" w:styleId="53">
    <w:name w:val="xl71"/>
    <w:basedOn w:val="1"/>
    <w:qFormat/>
    <w:uiPriority w:val="0"/>
    <w:pPr>
      <w:widowControl/>
      <w:pBdr>
        <w:top w:val="single" w:color="auto" w:sz="4" w:space="0"/>
        <w:left w:val="single" w:color="auto" w:sz="4" w:space="0"/>
        <w:bottom w:val="single" w:color="auto" w:sz="4" w:space="0"/>
        <w:right w:val="single" w:color="auto" w:sz="4" w:space="0"/>
      </w:pBdr>
      <w:shd w:val="clear" w:color="000000" w:fill="FFFF00"/>
      <w:spacing w:before="100" w:beforeAutospacing="1" w:after="100" w:afterAutospacing="1" w:line="240" w:lineRule="auto"/>
      <w:ind w:firstLine="0" w:firstLineChars="0"/>
      <w:jc w:val="left"/>
      <w:textAlignment w:val="center"/>
    </w:pPr>
    <w:rPr>
      <w:rFonts w:ascii="宋体" w:hAnsi="宋体" w:eastAsia="宋体" w:cs="宋体"/>
      <w:color w:val="494949"/>
      <w:kern w:val="0"/>
      <w:sz w:val="24"/>
      <w:szCs w:val="24"/>
    </w:rPr>
  </w:style>
  <w:style w:type="paragraph" w:customStyle="1" w:styleId="54">
    <w:name w:val="xl72"/>
    <w:basedOn w:val="1"/>
    <w:qFormat/>
    <w:uiPriority w:val="0"/>
    <w:pPr>
      <w:widowControl/>
      <w:shd w:val="clear" w:color="000000" w:fill="FFFF00"/>
      <w:spacing w:before="100" w:beforeAutospacing="1" w:after="100" w:afterAutospacing="1" w:line="240" w:lineRule="auto"/>
      <w:ind w:firstLine="0" w:firstLineChars="0"/>
      <w:jc w:val="left"/>
    </w:pPr>
    <w:rPr>
      <w:rFonts w:ascii="宋体" w:hAnsi="宋体" w:eastAsia="宋体" w:cs="宋体"/>
      <w:kern w:val="0"/>
      <w:sz w:val="24"/>
      <w:szCs w:val="24"/>
    </w:rPr>
  </w:style>
  <w:style w:type="paragraph" w:customStyle="1" w:styleId="55">
    <w:name w:val="xl73"/>
    <w:basedOn w:val="1"/>
    <w:qFormat/>
    <w:uiPriority w:val="0"/>
    <w:pPr>
      <w:widowControl/>
      <w:pBdr>
        <w:top w:val="single" w:color="auto" w:sz="4" w:space="0"/>
        <w:left w:val="single" w:color="auto" w:sz="4" w:space="0"/>
        <w:bottom w:val="single" w:color="auto" w:sz="4" w:space="0"/>
        <w:right w:val="single" w:color="auto" w:sz="4" w:space="0"/>
      </w:pBdr>
      <w:shd w:val="clear" w:color="000000" w:fill="FFFF00"/>
      <w:spacing w:before="100" w:beforeAutospacing="1" w:after="100" w:afterAutospacing="1" w:line="240" w:lineRule="auto"/>
      <w:ind w:firstLine="0" w:firstLineChars="0"/>
      <w:jc w:val="left"/>
      <w:textAlignment w:val="center"/>
    </w:pPr>
    <w:rPr>
      <w:rFonts w:ascii="宋体" w:hAnsi="宋体" w:eastAsia="宋体" w:cs="宋体"/>
      <w:color w:val="494949"/>
      <w:kern w:val="0"/>
      <w:sz w:val="24"/>
      <w:szCs w:val="24"/>
    </w:rPr>
  </w:style>
  <w:style w:type="paragraph" w:customStyle="1" w:styleId="56">
    <w:name w:val="xl74"/>
    <w:basedOn w:val="1"/>
    <w:qFormat/>
    <w:uiPriority w:val="0"/>
    <w:pPr>
      <w:widowControl/>
      <w:shd w:val="clear" w:color="000000" w:fill="92D050"/>
      <w:spacing w:before="100" w:beforeAutospacing="1" w:after="100" w:afterAutospacing="1" w:line="240" w:lineRule="auto"/>
      <w:ind w:firstLine="0" w:firstLineChars="0"/>
      <w:jc w:val="left"/>
    </w:pPr>
    <w:rPr>
      <w:rFonts w:ascii="宋体" w:hAnsi="宋体" w:eastAsia="宋体" w:cs="宋体"/>
      <w:kern w:val="0"/>
      <w:sz w:val="24"/>
      <w:szCs w:val="24"/>
    </w:rPr>
  </w:style>
  <w:style w:type="paragraph" w:customStyle="1" w:styleId="57">
    <w:name w:val="xl75"/>
    <w:basedOn w:val="1"/>
    <w:qFormat/>
    <w:uiPriority w:val="0"/>
    <w:pPr>
      <w:widowControl/>
      <w:pBdr>
        <w:top w:val="single" w:color="auto" w:sz="4" w:space="0"/>
        <w:left w:val="single" w:color="auto" w:sz="4" w:space="0"/>
        <w:right w:val="single" w:color="auto" w:sz="4" w:space="0"/>
      </w:pBdr>
      <w:shd w:val="clear" w:color="000000" w:fill="92D050"/>
      <w:spacing w:before="100" w:beforeAutospacing="1" w:after="100" w:afterAutospacing="1" w:line="240" w:lineRule="auto"/>
      <w:ind w:firstLine="0" w:firstLineChars="0"/>
      <w:jc w:val="left"/>
      <w:textAlignment w:val="center"/>
    </w:pPr>
    <w:rPr>
      <w:rFonts w:ascii="宋体" w:hAnsi="宋体" w:eastAsia="宋体" w:cs="宋体"/>
      <w:color w:val="494949"/>
      <w:kern w:val="0"/>
      <w:sz w:val="24"/>
      <w:szCs w:val="24"/>
    </w:rPr>
  </w:style>
  <w:style w:type="character" w:customStyle="1" w:styleId="58">
    <w:name w:val="正文缩进 Char"/>
    <w:qFormat/>
    <w:uiPriority w:val="0"/>
    <w:rPr>
      <w:rFonts w:ascii="Times New Roman" w:hAnsi="Times New Roman"/>
      <w:kern w:val="2"/>
      <w:sz w:val="24"/>
      <w:szCs w:val="24"/>
    </w:rPr>
  </w:style>
  <w:style w:type="character" w:customStyle="1" w:styleId="59">
    <w:name w:val="日期 字符"/>
    <w:basedOn w:val="20"/>
    <w:link w:val="9"/>
    <w:semiHidden/>
    <w:qFormat/>
    <w:uiPriority w:val="99"/>
    <w:rPr>
      <w:rFonts w:ascii="Times New Roman" w:hAnsi="Times New Roman" w:eastAsia="仿宋"/>
      <w:sz w:val="28"/>
    </w:rPr>
  </w:style>
  <w:style w:type="paragraph" w:customStyle="1" w:styleId="60">
    <w:name w:val="pf0"/>
    <w:basedOn w:val="1"/>
    <w:qFormat/>
    <w:uiPriority w:val="0"/>
    <w:pPr>
      <w:widowControl/>
      <w:spacing w:before="100" w:beforeAutospacing="1" w:after="100" w:afterAutospacing="1" w:line="240" w:lineRule="auto"/>
      <w:ind w:firstLine="0" w:firstLineChars="0"/>
      <w:jc w:val="left"/>
    </w:pPr>
    <w:rPr>
      <w:rFonts w:ascii="宋体" w:hAnsi="宋体" w:eastAsia="宋体" w:cs="宋体"/>
      <w:kern w:val="0"/>
      <w:sz w:val="24"/>
      <w:szCs w:val="24"/>
    </w:rPr>
  </w:style>
  <w:style w:type="character" w:customStyle="1" w:styleId="61">
    <w:name w:val="cf01"/>
    <w:basedOn w:val="20"/>
    <w:qFormat/>
    <w:uiPriority w:val="0"/>
    <w:rPr>
      <w:rFonts w:hint="eastAsia" w:ascii="Microsoft YaHei UI" w:hAnsi="Microsoft YaHei UI" w:eastAsia="Microsoft YaHei UI"/>
      <w:sz w:val="18"/>
      <w:szCs w:val="18"/>
    </w:rPr>
  </w:style>
  <w:style w:type="paragraph" w:customStyle="1" w:styleId="62">
    <w:name w:val="附录表标题"/>
    <w:next w:val="1"/>
    <w:qFormat/>
    <w:uiPriority w:val="0"/>
    <w:pPr>
      <w:tabs>
        <w:tab w:val="left" w:pos="360"/>
      </w:tabs>
      <w:jc w:val="center"/>
      <w:textAlignment w:val="baseline"/>
    </w:pPr>
    <w:rPr>
      <w:rFonts w:ascii="黑体" w:hAnsi="Times New Roman" w:eastAsia="黑体" w:cs="Times New Roman"/>
      <w:kern w:val="21"/>
      <w:sz w:val="21"/>
      <w:szCs w:val="20"/>
      <w:lang w:val="en-US" w:eastAsia="zh-CN" w:bidi="ar-SA"/>
    </w:rPr>
  </w:style>
  <w:style w:type="paragraph" w:customStyle="1" w:styleId="63">
    <w:name w:val="TOC Heading"/>
    <w:basedOn w:val="2"/>
    <w:next w:val="1"/>
    <w:unhideWhenUsed/>
    <w:qFormat/>
    <w:uiPriority w:val="39"/>
    <w:pPr>
      <w:spacing w:before="240" w:after="0" w:line="259" w:lineRule="auto"/>
      <w:jc w:val="left"/>
      <w:outlineLvl w:val="9"/>
    </w:pPr>
    <w:rPr>
      <w:rFonts w:asciiTheme="majorHAnsi" w:hAnsiTheme="majorHAnsi" w:eastAsiaTheme="majorEastAsia" w:cstheme="majorBidi"/>
      <w:b w:val="0"/>
      <w:bCs w:val="0"/>
      <w:color w:val="2E75B6" w:themeColor="accent1" w:themeShade="BF"/>
      <w:kern w:val="0"/>
      <w:szCs w:val="32"/>
    </w:rPr>
  </w:style>
  <w:style w:type="paragraph" w:customStyle="1" w:styleId="64">
    <w:name w:val="前言及目录"/>
    <w:basedOn w:val="13"/>
    <w:link w:val="65"/>
    <w:qFormat/>
    <w:uiPriority w:val="0"/>
    <w:pPr>
      <w:widowControl/>
      <w:tabs>
        <w:tab w:val="right" w:leader="dot" w:pos="9072"/>
        <w:tab w:val="clear" w:pos="1120"/>
        <w:tab w:val="clear" w:pos="8296"/>
      </w:tabs>
      <w:spacing w:before="624" w:beforeLines="200" w:after="468" w:afterLines="150" w:line="240" w:lineRule="auto"/>
      <w:jc w:val="center"/>
    </w:pPr>
    <w:rPr>
      <w:rFonts w:ascii="方正小标宋简体" w:hAnsi="Times New Roman" w:eastAsia="方正小标宋简体" w:cs="Times New Roman"/>
      <w:b w:val="0"/>
      <w:sz w:val="44"/>
      <w:szCs w:val="44"/>
    </w:rPr>
  </w:style>
  <w:style w:type="character" w:customStyle="1" w:styleId="65">
    <w:name w:val="前言及目录 Char"/>
    <w:basedOn w:val="20"/>
    <w:link w:val="64"/>
    <w:qFormat/>
    <w:uiPriority w:val="0"/>
    <w:rPr>
      <w:rFonts w:ascii="方正小标宋简体" w:hAnsi="Times New Roman" w:eastAsia="方正小标宋简体" w:cs="Times New Roman"/>
      <w:sz w:val="44"/>
      <w:szCs w:val="44"/>
    </w:rPr>
  </w:style>
  <w:style w:type="paragraph" w:customStyle="1" w:styleId="66">
    <w:name w:val="新附表附图"/>
    <w:basedOn w:val="1"/>
    <w:next w:val="1"/>
    <w:link w:val="67"/>
    <w:qFormat/>
    <w:uiPriority w:val="0"/>
    <w:pPr>
      <w:spacing w:before="1333" w:beforeLines="350" w:after="381" w:afterLines="100" w:line="360" w:lineRule="auto"/>
      <w:ind w:firstLine="0" w:firstLineChars="0"/>
      <w:jc w:val="center"/>
      <w:outlineLvl w:val="0"/>
    </w:pPr>
    <w:rPr>
      <w:rFonts w:ascii="方正小标宋简体" w:eastAsia="方正小标宋简体" w:cs="Times New Roman"/>
      <w:sz w:val="40"/>
      <w:szCs w:val="40"/>
    </w:rPr>
  </w:style>
  <w:style w:type="character" w:customStyle="1" w:styleId="67">
    <w:name w:val="新附表附图 Char"/>
    <w:basedOn w:val="20"/>
    <w:link w:val="66"/>
    <w:qFormat/>
    <w:uiPriority w:val="0"/>
    <w:rPr>
      <w:rFonts w:ascii="方正小标宋简体" w:hAnsi="Times New Roman" w:eastAsia="方正小标宋简体" w:cs="Times New Roman"/>
      <w:sz w:val="40"/>
      <w:szCs w:val="40"/>
    </w:rPr>
  </w:style>
  <w:style w:type="paragraph" w:customStyle="1" w:styleId="68">
    <w:name w:val="正文首行缩进 21"/>
    <w:qFormat/>
    <w:uiPriority w:val="0"/>
    <w:pPr>
      <w:widowControl w:val="0"/>
      <w:spacing w:after="120"/>
      <w:ind w:left="420" w:leftChars="200" w:firstLine="420" w:firstLineChars="200"/>
      <w:jc w:val="both"/>
    </w:pPr>
    <w:rPr>
      <w:rFonts w:hint="eastAsia" w:ascii="宋体" w:hAnsi="宋体" w:eastAsia="宋体" w:cs="宋体"/>
      <w:kern w:val="2"/>
      <w:sz w:val="32"/>
      <w:szCs w:val="24"/>
      <w:lang w:val="en-US" w:eastAsia="zh-CN"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theme" Target="theme/theme1.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27</Pages>
  <Words>13728</Words>
  <Characters>13839</Characters>
  <Lines>703</Lines>
  <Paragraphs>198</Paragraphs>
  <TotalTime>1</TotalTime>
  <ScaleCrop>false</ScaleCrop>
  <LinksUpToDate>false</LinksUpToDate>
  <CharactersWithSpaces>13839</CharactersWithSpaces>
  <Application>WPS Office_12.1.0.22089_F1E327BC-269C-435d-A152-05C5408002CA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2024-01-26T06:27:00Z</dcterms:created>
  <dc:creator>祖建</dc:creator>
  <cp:lastModifiedBy>WPS_1601342214</cp:lastModifiedBy>
  <cp:lastPrinted>2025-05-23T08:39:00Z</cp:lastPrinted>
  <dcterms:modified xsi:type="dcterms:W3CDTF">2025-10-20T02:36:10Z</dcterms:modified>
  <cp:revision>94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2052-12.1.0.22089</vt:lpwstr>
  </property>
  <property fmtid="{D5CDD505-2E9C-101B-9397-08002B2CF9AE}" pid="3" name="ICV">
    <vt:lpwstr>6A15ECAC33144F199EDA10B5937802EA_13</vt:lpwstr>
  </property>
  <property fmtid="{D5CDD505-2E9C-101B-9397-08002B2CF9AE}" pid="4" name="KSOTemplateDocerSaveRecord">
    <vt:lpwstr>eyJoZGlkIjoiODJhOGJmZGM3MjI3NTgyNDllODQyODdiOWM3ZWJjYzkiLCJ1c2VySWQiOiIxMTI1MzQ1NjQ1In0=</vt:lpwstr>
  </property>
</Properties>
</file>