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r>
        <w:t>为深入贯彻落实党中央、国务院关于规范涉企行政执法的决策部署，根据省、市相关要求，规范行政执法行为，现将我局涉企行政执法检查主体公告如下：</w:t>
      </w:r>
    </w:p>
    <w:p/>
    <w:p>
      <w:r>
        <w:t>迁安市民族宗教事务局涉企行政检查主体为：迁安</w:t>
      </w:r>
      <w:bookmarkStart w:id="0" w:name="_GoBack"/>
      <w:bookmarkEnd w:id="0"/>
      <w:r>
        <w:t>市民族宗教事务</w:t>
      </w:r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48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2047BB58-0D98-4AED-9DC5-8F774171502C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</TotalTime>
  <Application>Yozo_Office27021597764231189</Application>
  <Pages>1</Pages>
  <Words>0</Words>
  <Characters>75</Characters>
  <Lines>0</Lines>
  <Paragraphs>3</Paragraphs>
  <CharactersWithSpaces>100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Administrator</cp:lastModifiedBy>
  <cp:revision>1</cp:revision>
  <dcterms:created xsi:type="dcterms:W3CDTF">2021-05-08T07:28:00Z</dcterms:created>
  <dcterms:modified xsi:type="dcterms:W3CDTF">2025-10-28T02:14:39Z</dcterms:modified>
</cp:coreProperties>
</file>