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E3A0B9">
      <w:pPr>
        <w:spacing w:line="560" w:lineRule="exact"/>
        <w:rPr>
          <w:rFonts w:hint="eastAsia" w:ascii="方正仿宋简体" w:eastAsia="方正仿宋简体"/>
          <w:vanish w:val="0"/>
          <w:kern w:val="2"/>
          <w:sz w:val="32"/>
          <w:szCs w:val="32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附件2：</w:t>
      </w:r>
    </w:p>
    <w:p w14:paraId="18A47212">
      <w:pPr>
        <w:spacing w:line="560" w:lineRule="exact"/>
        <w:jc w:val="center"/>
        <w:rPr>
          <w:rFonts w:hint="eastAsia" w:ascii="方正小标宋简体" w:eastAsia="方正小标宋简体"/>
          <w:vanish w:val="0"/>
          <w:kern w:val="2"/>
          <w:sz w:val="40"/>
          <w:szCs w:val="40"/>
        </w:rPr>
      </w:pPr>
      <w:r>
        <w:rPr>
          <w:rFonts w:hint="eastAsia" w:ascii="方正小标宋简体" w:eastAsia="方正小标宋简体"/>
          <w:vanish w:val="0"/>
          <w:kern w:val="2"/>
          <w:sz w:val="40"/>
          <w:szCs w:val="40"/>
        </w:rPr>
        <w:t>迁安市2026年度省级农业优势产业融合发展</w:t>
      </w:r>
    </w:p>
    <w:p w14:paraId="7025D03F">
      <w:pPr>
        <w:spacing w:line="560" w:lineRule="exact"/>
        <w:jc w:val="center"/>
        <w:rPr>
          <w:rFonts w:ascii="方正小标宋简体" w:eastAsia="方正小标宋简体"/>
          <w:vanish w:val="0"/>
          <w:kern w:val="2"/>
          <w:sz w:val="40"/>
          <w:szCs w:val="40"/>
        </w:rPr>
      </w:pPr>
      <w:r>
        <w:rPr>
          <w:rFonts w:hint="eastAsia" w:ascii="方正小标宋简体" w:eastAsia="方正小标宋简体"/>
          <w:vanish w:val="0"/>
          <w:kern w:val="2"/>
          <w:sz w:val="40"/>
          <w:szCs w:val="40"/>
        </w:rPr>
        <w:t>项目建设方案（模板）</w:t>
      </w:r>
    </w:p>
    <w:p w14:paraId="66094045">
      <w:pPr>
        <w:spacing w:line="560" w:lineRule="exact"/>
        <w:jc w:val="center"/>
        <w:rPr>
          <w:rFonts w:ascii="方正仿宋简体" w:eastAsia="方正仿宋简体"/>
          <w:b/>
          <w:bCs/>
          <w:sz w:val="32"/>
          <w:szCs w:val="32"/>
        </w:rPr>
      </w:pPr>
    </w:p>
    <w:p w14:paraId="51F0F9DF">
      <w:pPr>
        <w:spacing w:line="560" w:lineRule="exact"/>
        <w:ind w:firstLine="640" w:firstLineChars="200"/>
        <w:rPr>
          <w:rFonts w:hint="eastAsia" w:ascii="方正黑体简体" w:eastAsia="方正黑体简体"/>
          <w:vanish w:val="0"/>
          <w:kern w:val="2"/>
          <w:sz w:val="32"/>
          <w:szCs w:val="32"/>
        </w:rPr>
      </w:pPr>
      <w:r>
        <w:rPr>
          <w:rFonts w:hint="eastAsia" w:ascii="方正黑体简体" w:eastAsia="方正黑体简体"/>
          <w:vanish w:val="0"/>
          <w:kern w:val="2"/>
          <w:sz w:val="32"/>
          <w:szCs w:val="32"/>
        </w:rPr>
        <w:t>一、****基本情况：</w:t>
      </w:r>
    </w:p>
    <w:p w14:paraId="327F86ED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（重点说明申报主体名称、位于***镇（街）***村、基地规模、种植品种、年产量、主要销售区域、上年度销售额、主要设施设备、人员情况、获得相关荣誉等）</w:t>
      </w:r>
    </w:p>
    <w:p w14:paraId="3E516E13">
      <w:pPr>
        <w:spacing w:line="560" w:lineRule="exact"/>
        <w:ind w:firstLine="640" w:firstLineChars="200"/>
        <w:rPr>
          <w:rFonts w:hint="eastAsia" w:ascii="方正黑体简体" w:eastAsia="方正黑体简体"/>
          <w:vanish w:val="0"/>
          <w:kern w:val="2"/>
          <w:sz w:val="32"/>
          <w:szCs w:val="32"/>
        </w:rPr>
      </w:pPr>
      <w:r>
        <w:rPr>
          <w:rFonts w:hint="eastAsia" w:ascii="方正黑体简体" w:eastAsia="方正黑体简体"/>
          <w:vanish w:val="0"/>
          <w:kern w:val="2"/>
          <w:sz w:val="32"/>
          <w:szCs w:val="32"/>
        </w:rPr>
        <w:t>二、建设思路与总体目标</w:t>
      </w:r>
    </w:p>
    <w:p w14:paraId="6BEDD24C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（围绕“全链融合、提质增效、联农带农”， 聚焦短板弱项，提出建设思路。预期实现的全产业链产值和年度产值，以及产业链竞争能力和重要农产品供给保障能力提升情况等，尽量量化指标。）</w:t>
      </w:r>
    </w:p>
    <w:p w14:paraId="4B1E0E8C">
      <w:pPr>
        <w:spacing w:line="560" w:lineRule="exact"/>
        <w:ind w:firstLine="640" w:firstLineChars="200"/>
        <w:rPr>
          <w:rFonts w:hint="eastAsia" w:ascii="方正黑体简体" w:eastAsia="方正黑体简体"/>
          <w:vanish w:val="0"/>
          <w:kern w:val="2"/>
          <w:sz w:val="32"/>
          <w:szCs w:val="32"/>
        </w:rPr>
      </w:pPr>
      <w:r>
        <w:rPr>
          <w:rFonts w:hint="eastAsia" w:ascii="方正黑体简体" w:eastAsia="方正黑体简体"/>
          <w:vanish w:val="0"/>
          <w:kern w:val="2"/>
          <w:sz w:val="32"/>
          <w:szCs w:val="32"/>
        </w:rPr>
        <w:t>三、建设内容</w:t>
      </w:r>
    </w:p>
    <w:p w14:paraId="048BD91A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（根据储备通知要求明确细化各环节建设内容，相关建设内容要有估算数值支撑，如：实施水肥一体技术，铺设直径**毫米***材质主管道**延长米，购买**型号滴灌管**延长米，**型号水肥混合设备**台（套）等；如：优新品种示范推广，引进****选育的***桃新品种，引进接穗****个、成品苗***株等）</w:t>
      </w:r>
    </w:p>
    <w:p w14:paraId="73AD01A5">
      <w:pPr>
        <w:spacing w:line="560" w:lineRule="exact"/>
        <w:ind w:firstLine="640" w:firstLineChars="200"/>
        <w:rPr>
          <w:rFonts w:hint="eastAsia" w:ascii="方正黑体简体" w:eastAsia="方正黑体简体"/>
          <w:vanish w:val="0"/>
          <w:kern w:val="2"/>
          <w:sz w:val="32"/>
          <w:szCs w:val="32"/>
        </w:rPr>
      </w:pPr>
      <w:r>
        <w:rPr>
          <w:rFonts w:hint="eastAsia" w:ascii="方正黑体简体" w:eastAsia="方正黑体简体"/>
          <w:vanish w:val="0"/>
          <w:kern w:val="2"/>
          <w:sz w:val="32"/>
          <w:szCs w:val="32"/>
        </w:rPr>
        <w:t>四、资金预算情况</w:t>
      </w:r>
    </w:p>
    <w:p w14:paraId="09D9C573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（重点说明项目计划总投资额，拟申请财政扶持资金额、自筹资金额。省级财政资金拟支持金额使用方向，按照项目建设内容分项说明各环节资金预算金额）</w:t>
      </w:r>
    </w:p>
    <w:p w14:paraId="1853B314">
      <w:pPr>
        <w:spacing w:line="560" w:lineRule="exact"/>
        <w:ind w:firstLine="640" w:firstLineChars="200"/>
        <w:rPr>
          <w:rFonts w:hint="eastAsia" w:ascii="方正黑体简体" w:eastAsia="方正黑体简体"/>
          <w:vanish w:val="0"/>
          <w:kern w:val="2"/>
          <w:sz w:val="32"/>
          <w:szCs w:val="32"/>
        </w:rPr>
      </w:pPr>
      <w:r>
        <w:rPr>
          <w:rFonts w:hint="eastAsia" w:ascii="方正黑体简体" w:eastAsia="方正黑体简体"/>
          <w:vanish w:val="0"/>
          <w:kern w:val="2"/>
          <w:sz w:val="32"/>
          <w:szCs w:val="32"/>
        </w:rPr>
        <w:t>五、效益分析</w:t>
      </w:r>
    </w:p>
    <w:p w14:paraId="14EBD6E7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（主要包括经济效益、社会效益、生态效益分析等）</w:t>
      </w:r>
    </w:p>
    <w:p w14:paraId="2F093680">
      <w:pPr>
        <w:spacing w:line="560" w:lineRule="exact"/>
        <w:ind w:firstLine="640" w:firstLineChars="200"/>
        <w:rPr>
          <w:rFonts w:hint="eastAsia" w:ascii="方正黑体简体" w:eastAsia="方正黑体简体"/>
          <w:vanish w:val="0"/>
          <w:kern w:val="2"/>
          <w:sz w:val="32"/>
          <w:szCs w:val="32"/>
        </w:rPr>
      </w:pPr>
      <w:r>
        <w:rPr>
          <w:rFonts w:hint="eastAsia" w:ascii="方正黑体简体" w:eastAsia="方正黑体简体"/>
          <w:vanish w:val="0"/>
          <w:kern w:val="2"/>
          <w:sz w:val="32"/>
          <w:szCs w:val="32"/>
        </w:rPr>
        <w:t>六、组织实施</w:t>
      </w:r>
    </w:p>
    <w:p w14:paraId="3AD1732B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（重点从加强组织领导、强化资金保障、严格监督考核、完善技术支撑等方面表述）</w:t>
      </w:r>
    </w:p>
    <w:p w14:paraId="04BB6763">
      <w:pPr>
        <w:spacing w:line="560" w:lineRule="exact"/>
        <w:ind w:firstLine="640" w:firstLineChars="200"/>
        <w:rPr>
          <w:rFonts w:hint="eastAsia" w:ascii="方正黑体简体" w:eastAsia="方正黑体简体"/>
          <w:vanish w:val="0"/>
          <w:kern w:val="2"/>
          <w:sz w:val="32"/>
          <w:szCs w:val="32"/>
        </w:rPr>
      </w:pPr>
      <w:bookmarkStart w:id="0" w:name="_GoBack"/>
      <w:bookmarkEnd w:id="0"/>
      <w:r>
        <w:rPr>
          <w:rFonts w:hint="eastAsia" w:ascii="方正黑体简体" w:eastAsia="方正黑体简体"/>
          <w:vanish w:val="0"/>
          <w:kern w:val="2"/>
          <w:sz w:val="32"/>
          <w:szCs w:val="32"/>
        </w:rPr>
        <w:t>七、附件</w:t>
      </w:r>
    </w:p>
    <w:p w14:paraId="0228E78A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  <w:lang w:val="en-US" w:eastAsia="zh-CN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1、项目主体</w:t>
      </w:r>
      <w:r>
        <w:rPr>
          <w:rFonts w:hint="eastAsia" w:ascii="方正仿宋简体" w:eastAsia="方正仿宋简体"/>
          <w:vanish w:val="0"/>
          <w:kern w:val="2"/>
          <w:sz w:val="32"/>
          <w:szCs w:val="32"/>
          <w:lang w:val="en-US" w:eastAsia="zh-CN"/>
        </w:rPr>
        <w:t>营业</w:t>
      </w: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执照</w:t>
      </w:r>
      <w:r>
        <w:rPr>
          <w:rFonts w:hint="eastAsia" w:ascii="方正仿宋简体" w:eastAsia="方正仿宋简体"/>
          <w:vanish w:val="0"/>
          <w:kern w:val="2"/>
          <w:sz w:val="32"/>
          <w:szCs w:val="32"/>
          <w:lang w:val="en-US" w:eastAsia="zh-CN"/>
        </w:rPr>
        <w:t>复印件</w:t>
      </w:r>
    </w:p>
    <w:p w14:paraId="718DD218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2、项目负责人身份证（正反面）</w:t>
      </w:r>
      <w:r>
        <w:rPr>
          <w:rFonts w:hint="eastAsia" w:ascii="方正仿宋简体" w:eastAsia="方正仿宋简体"/>
          <w:vanish w:val="0"/>
          <w:kern w:val="2"/>
          <w:sz w:val="32"/>
          <w:szCs w:val="32"/>
          <w:lang w:val="en-US" w:eastAsia="zh-CN"/>
        </w:rPr>
        <w:t>复印件</w:t>
      </w: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加注联系方式</w:t>
      </w:r>
    </w:p>
    <w:p w14:paraId="460F4E75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  <w:lang w:val="en-US" w:eastAsia="zh-CN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3、相关荣誉</w:t>
      </w:r>
      <w:r>
        <w:rPr>
          <w:rFonts w:hint="eastAsia" w:ascii="方正仿宋简体" w:eastAsia="方正仿宋简体"/>
          <w:vanish w:val="0"/>
          <w:kern w:val="2"/>
          <w:sz w:val="32"/>
          <w:szCs w:val="32"/>
          <w:lang w:val="en-US" w:eastAsia="zh-CN"/>
        </w:rPr>
        <w:t>复印件</w:t>
      </w:r>
    </w:p>
    <w:p w14:paraId="59D73358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  <w:lang w:val="en-US" w:eastAsia="zh-CN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4、相关土地手续</w:t>
      </w:r>
      <w:r>
        <w:rPr>
          <w:rFonts w:hint="eastAsia" w:ascii="方正仿宋简体" w:eastAsia="方正仿宋简体"/>
          <w:vanish w:val="0"/>
          <w:kern w:val="2"/>
          <w:sz w:val="32"/>
          <w:szCs w:val="32"/>
          <w:lang w:val="en-US" w:eastAsia="zh-CN"/>
        </w:rPr>
        <w:t>复印件</w:t>
      </w:r>
    </w:p>
    <w:p w14:paraId="12C7D2F4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</w:rPr>
      </w:pPr>
      <w:r>
        <w:rPr>
          <w:rFonts w:hint="eastAsia" w:ascii="方正仿宋简体" w:eastAsia="方正仿宋简体"/>
          <w:vanish w:val="0"/>
          <w:kern w:val="2"/>
          <w:sz w:val="32"/>
          <w:szCs w:val="32"/>
        </w:rPr>
        <w:t>5、其他证明材料</w:t>
      </w:r>
    </w:p>
    <w:p w14:paraId="0A6F9971">
      <w:pPr>
        <w:spacing w:line="560" w:lineRule="exact"/>
        <w:ind w:firstLine="640" w:firstLineChars="200"/>
        <w:rPr>
          <w:rFonts w:hint="eastAsia" w:ascii="方正仿宋简体" w:eastAsia="方正仿宋简体"/>
          <w:vanish w:val="0"/>
          <w:kern w:val="2"/>
          <w:sz w:val="32"/>
          <w:szCs w:val="32"/>
        </w:rPr>
      </w:pPr>
    </w:p>
    <w:p w14:paraId="7841F1DF"/>
    <w:sectPr>
      <w:pgSz w:w="11907" w:h="16839"/>
      <w:pgMar w:top="1440" w:right="1800" w:bottom="1440" w:left="1800" w:header="851" w:footer="992" w:gutter="0"/>
      <w:cols w:space="720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03DE78EB"/>
    <w:rsid w:val="05812B41"/>
    <w:rsid w:val="07B74F40"/>
    <w:rsid w:val="13FD3CDB"/>
    <w:rsid w:val="1B2E0C1E"/>
    <w:rsid w:val="1F1F544D"/>
    <w:rsid w:val="281212FD"/>
    <w:rsid w:val="552E31B7"/>
    <w:rsid w:val="68C06926"/>
    <w:rsid w:val="6ECC76A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pageBreakBefore w:val="0"/>
      <w:widowControl w:val="0"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240" w:lineRule="auto"/>
      <w:ind w:left="0" w:right="0" w:firstLine="0"/>
      <w:contextualSpacing w:val="0"/>
      <w:jc w:val="both"/>
      <w:textAlignment w:val="auto"/>
      <w:outlineLvl w:val="9"/>
    </w:pPr>
    <w:rPr>
      <w:rFonts w:ascii="等线" w:hAnsi="等线" w:eastAsia="等线" w:cs="Arial"/>
      <w:snapToGrid/>
      <w:color w:val="auto"/>
      <w:spacing w:val="0"/>
      <w:w w:val="100"/>
      <w:kern w:val="2"/>
      <w:position w:val="0"/>
      <w:sz w:val="21"/>
      <w:szCs w:val="21"/>
      <w:u w:val="none" w:color="auto"/>
      <w:shd w:val="clear" w:color="auto" w:fill="auto"/>
      <w:vertAlign w:val="baseline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able of figures"/>
    <w:basedOn w:val="1"/>
    <w:next w:val="1"/>
    <w:qFormat/>
    <w:uiPriority w:val="0"/>
    <w:pPr>
      <w:ind w:left="400" w:leftChars="200" w:hanging="200" w:hangingChars="200"/>
    </w:pPr>
  </w:style>
  <w:style w:type="character" w:customStyle="1" w:styleId="8">
    <w:name w:val="heading 1 Char"/>
    <w:basedOn w:val="7"/>
    <w:link w:val="2"/>
    <w:uiPriority w:val="0"/>
    <w:rPr>
      <w:rFonts w:ascii="等线" w:hAnsi="等线" w:eastAsia="等线"/>
      <w:b/>
      <w:bCs/>
      <w:snapToGrid/>
      <w:color w:val="auto"/>
      <w:spacing w:val="0"/>
      <w:w w:val="100"/>
      <w:kern w:val="44"/>
      <w:position w:val="0"/>
      <w:sz w:val="44"/>
      <w:szCs w:val="44"/>
      <w:u w:val="none" w:color="auto"/>
      <w:shd w:val="clear" w:color="auto" w:fill="auto"/>
      <w:vertAlign w:val="baseline"/>
      <w:lang w:val="en-US" w:eastAsia="zh-CN"/>
    </w:rPr>
  </w:style>
  <w:style w:type="character" w:customStyle="1" w:styleId="9">
    <w:name w:val="heading 2 Char"/>
    <w:basedOn w:val="7"/>
    <w:link w:val="3"/>
    <w:uiPriority w:val="0"/>
    <w:rPr>
      <w:rFonts w:ascii="Times New Roman" w:hAnsi="等线" w:eastAsia="黑体"/>
      <w:b/>
      <w:bCs/>
      <w:snapToGrid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lang w:val="en-US" w:eastAsia="zh-CN"/>
    </w:rPr>
  </w:style>
  <w:style w:type="character" w:customStyle="1" w:styleId="10">
    <w:name w:val="heading 3 Char"/>
    <w:basedOn w:val="7"/>
    <w:link w:val="4"/>
    <w:uiPriority w:val="0"/>
    <w:rPr>
      <w:rFonts w:ascii="等线" w:hAnsi="等线" w:eastAsia="等线"/>
      <w:b/>
      <w:bCs/>
      <w:snapToGrid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Props1.xml><?xml version="1.0" encoding="utf-8"?>
<ds:datastoreItem xmlns:ds="http://schemas.openxmlformats.org/officeDocument/2006/customXml" ds:itemID="{D9F39338-77F1-4F19-BC07-5649D3214F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555</Words>
  <Characters>583</Characters>
  <Lines>0</Lines>
  <Paragraphs>27</Paragraphs>
  <TotalTime>4</TotalTime>
  <ScaleCrop>false</ScaleCrop>
  <LinksUpToDate>false</LinksUpToDate>
  <CharactersWithSpaces>584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2025-11-04T00:48:00Z</dcterms:created>
  <dc:creator>Administrator</dc:creator>
  <cp:lastModifiedBy>爱无来生</cp:lastModifiedBy>
  <cp:lastPrinted>2025-11-05T05:15:34Z</cp:lastPrinted>
  <dcterms:modified xsi:type="dcterms:W3CDTF">2025-11-05T05:21:27Z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eyJoZGlkIjoiNWYwMjQ3MzA4MjY2OTA4ZmE3ZDA1NWZlOTQ0YTM1ZmEiLCJ1c2VySWQiOiIzMTYzMDI0MDIifQ==</vt:lpwstr>
  </property>
  <property fmtid="{D5CDD505-2E9C-101B-9397-08002B2CF9AE}" pid="3" name="KSOProductBuildVer">
    <vt:lpwstr>2052-12.1.0.23542</vt:lpwstr>
  </property>
  <property fmtid="{D5CDD505-2E9C-101B-9397-08002B2CF9AE}" pid="4" name="ICV">
    <vt:lpwstr>D318E0F4D0E64F6AA5621AEB5A4EE488_12</vt:lpwstr>
  </property>
</Properties>
</file>