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40"/>
          <w:szCs w:val="40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z w:val="40"/>
          <w:szCs w:val="40"/>
        </w:rPr>
        <w:t>迁安市发展和改革局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0"/>
          <w:szCs w:val="40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</w:rPr>
        <w:t>202</w:t>
      </w:r>
      <w:r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  <w:t>5</w:t>
      </w:r>
      <w:r>
        <w:rPr>
          <w:rFonts w:hint="eastAsia" w:ascii="方正小标宋简体" w:hAnsi="方正小标宋简体" w:eastAsia="方正小标宋简体" w:cs="方正小标宋简体"/>
          <w:sz w:val="40"/>
          <w:szCs w:val="40"/>
        </w:rPr>
        <w:t>年度政府信息公开工作报告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0"/>
          <w:szCs w:val="4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方正黑体_GBK" w:hAnsi="方正黑体_GBK" w:eastAsia="方正黑体_GBK" w:cs="方正黑体_GBK"/>
          <w:i w:val="0"/>
          <w:caps w:val="0"/>
          <w:color w:val="2B2B2B"/>
          <w:spacing w:val="0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i w:val="0"/>
          <w:caps w:val="0"/>
          <w:color w:val="2B2B2B"/>
          <w:spacing w:val="0"/>
          <w:sz w:val="32"/>
          <w:szCs w:val="32"/>
          <w:lang w:val="en-US" w:eastAsia="zh-CN"/>
        </w:rPr>
        <w:t>一、总体情况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i w:val="0"/>
          <w:caps w:val="0"/>
          <w:color w:val="2B2B2B"/>
          <w:spacing w:val="0"/>
          <w:sz w:val="32"/>
          <w:szCs w:val="32"/>
          <w:lang w:val="en-US" w:eastAsia="zh-CN"/>
        </w:rPr>
        <w:t>2025年，我局坚持以习近平新时代中国特色社会主义思想为指导，深入贯彻党的二十大及二十届历次全会精神，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按照《政府信息公开条例》和国办政务公开办《关于印发〈中华人民共和国政府信息公开工作年度报告格式〉的通知》（国办公开办函〔2021〕30号）相关要求，结合我局政府信息公开工作实际，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现将情况汇报如下：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方正楷体_GBK" w:hAnsi="方正楷体_GBK" w:eastAsia="方正楷体_GBK" w:cs="方正楷体_GBK"/>
          <w:i w:val="0"/>
          <w:iCs w:val="0"/>
          <w:caps w:val="0"/>
          <w:color w:val="222222"/>
          <w:spacing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方正楷体_GBK" w:hAnsi="方正楷体_GBK" w:eastAsia="方正楷体_GBK" w:cs="方正楷体_GBK"/>
          <w:i w:val="0"/>
          <w:iCs w:val="0"/>
          <w:caps w:val="0"/>
          <w:color w:val="222222"/>
          <w:spacing w:val="0"/>
          <w:sz w:val="32"/>
          <w:szCs w:val="32"/>
          <w:shd w:val="clear" w:color="auto" w:fill="FFFFFF"/>
          <w:lang w:eastAsia="zh-CN"/>
        </w:rPr>
        <w:t>（一）加强组织领导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方正楷体简体" w:hAnsi="方正楷体简体" w:eastAsia="方正楷体简体" w:cs="方正楷体简体"/>
          <w:i w:val="0"/>
          <w:caps w:val="0"/>
          <w:color w:val="333333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222222"/>
          <w:spacing w:val="0"/>
          <w:sz w:val="32"/>
          <w:szCs w:val="32"/>
          <w:shd w:val="clear" w:color="auto" w:fill="FFFFFF"/>
        </w:rPr>
        <w:t>根据全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222222"/>
          <w:spacing w:val="0"/>
          <w:sz w:val="32"/>
          <w:szCs w:val="32"/>
          <w:shd w:val="clear" w:color="auto" w:fill="FFFFFF"/>
          <w:lang w:eastAsia="zh-CN"/>
        </w:rPr>
        <w:t>市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222222"/>
          <w:spacing w:val="0"/>
          <w:sz w:val="32"/>
          <w:szCs w:val="32"/>
          <w:shd w:val="clear" w:color="auto" w:fill="FFFFFF"/>
        </w:rPr>
        <w:t>政府信息公开工作统一部署和要求，我局把政府信息公开工作列入重要议事日程，及时调整信息公开工作领导小组，成立由局长任组长的政府信息公开工作领导小组，明确各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222222"/>
          <w:spacing w:val="0"/>
          <w:sz w:val="32"/>
          <w:szCs w:val="32"/>
          <w:shd w:val="clear" w:color="auto" w:fill="FFFFFF"/>
          <w:lang w:eastAsia="zh-CN"/>
        </w:rPr>
        <w:t>股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222222"/>
          <w:spacing w:val="0"/>
          <w:sz w:val="32"/>
          <w:szCs w:val="32"/>
          <w:shd w:val="clear" w:color="auto" w:fill="FFFFFF"/>
        </w:rPr>
        <w:t>室职责分工，将信息公开工作纳入年度绩效考核体系。</w:t>
      </w:r>
      <w:r>
        <w:rPr>
          <w:rFonts w:hint="eastAsia" w:ascii="方正仿宋_GBK" w:hAnsi="方正仿宋_GBK" w:eastAsia="方正仿宋_GBK" w:cs="方正仿宋_GBK"/>
          <w:i w:val="0"/>
          <w:caps w:val="0"/>
          <w:color w:val="2B2B2B"/>
          <w:spacing w:val="0"/>
          <w:sz w:val="32"/>
          <w:szCs w:val="32"/>
          <w:lang w:val="en-US" w:eastAsia="zh-CN"/>
        </w:rPr>
        <w:t>紧扣全市经济社会高质量发展主线，将政府信息公开作为推进依法行政、优化营商环境、保障群众知情权的重要抓手，严格落实“以公开为常态、不公开为例外”原则，统筹推进主动公开、依申请公开、平台建设、监督保障等各项工作，实现政府信息公开工作制度化、规范化、常态化发展。</w:t>
      </w:r>
    </w:p>
    <w:p>
      <w:pPr>
        <w:numPr>
          <w:ilvl w:val="0"/>
          <w:numId w:val="0"/>
        </w:numPr>
        <w:ind w:firstLine="640" w:firstLineChars="200"/>
        <w:jc w:val="left"/>
        <w:rPr>
          <w:rFonts w:hint="eastAsia" w:ascii="方正楷体简体" w:hAnsi="方正楷体简体" w:eastAsia="方正楷体简体" w:cs="方正楷体简体"/>
          <w:i w:val="0"/>
          <w:caps w:val="0"/>
          <w:color w:val="333333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i w:val="0"/>
          <w:caps w:val="0"/>
          <w:color w:val="333333"/>
          <w:spacing w:val="0"/>
          <w:sz w:val="32"/>
          <w:szCs w:val="32"/>
          <w:shd w:val="clear" w:color="auto" w:fill="FFFFFF"/>
          <w:lang w:val="en-US" w:eastAsia="zh-CN"/>
        </w:rPr>
        <w:t>（二）落实政务公开</w:t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222222"/>
          <w:spacing w:val="0"/>
          <w:sz w:val="32"/>
          <w:szCs w:val="32"/>
          <w:shd w:val="clear" w:color="auto" w:fill="FFFFFF"/>
        </w:rPr>
        <w:t>为全面提高政务公开工作质量，同时在重点环节上有创新和突破，我局规范制度，以制度管人管事，高度重视政务公开工作，要求全体干部职工严格执行</w:t>
      </w: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222222"/>
          <w:spacing w:val="0"/>
          <w:sz w:val="32"/>
          <w:szCs w:val="32"/>
          <w:shd w:val="clear" w:color="auto" w:fill="FFFFFF"/>
          <w:lang w:eastAsia="zh-CN"/>
        </w:rPr>
        <w:t>上级和局机关</w:t>
      </w: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222222"/>
          <w:spacing w:val="0"/>
          <w:sz w:val="32"/>
          <w:szCs w:val="32"/>
          <w:shd w:val="clear" w:color="auto" w:fill="FFFFFF"/>
        </w:rPr>
        <w:t>制定的各项政务公开工作措施，不允许出现违反</w:t>
      </w: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222222"/>
          <w:spacing w:val="0"/>
          <w:sz w:val="32"/>
          <w:szCs w:val="32"/>
          <w:shd w:val="clear" w:color="auto" w:fill="FFFFFF"/>
          <w:lang w:eastAsia="zh-CN"/>
        </w:rPr>
        <w:t>上级</w:t>
      </w: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222222"/>
          <w:spacing w:val="0"/>
          <w:sz w:val="32"/>
          <w:szCs w:val="32"/>
          <w:shd w:val="clear" w:color="auto" w:fill="FFFFFF"/>
        </w:rPr>
        <w:t>有关政务公开政策文件的规定的事件，</w:t>
      </w: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222222"/>
          <w:spacing w:val="0"/>
          <w:sz w:val="32"/>
          <w:szCs w:val="32"/>
          <w:shd w:val="clear" w:color="auto" w:fill="FFFFFF"/>
          <w:lang w:eastAsia="zh-CN"/>
        </w:rPr>
        <w:t>积极</w:t>
      </w: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222222"/>
          <w:spacing w:val="0"/>
          <w:sz w:val="32"/>
          <w:szCs w:val="32"/>
          <w:shd w:val="clear" w:color="auto" w:fill="FFFFFF"/>
        </w:rPr>
        <w:t>推进网上政务公开，及时、全面地向群众和社会公开。</w:t>
      </w: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333333"/>
          <w:spacing w:val="0"/>
          <w:sz w:val="32"/>
          <w:szCs w:val="32"/>
        </w:rPr>
        <w:t>加强政务公开平台建设，优化基层公开效果，着力提升信息发布的“含金量”，提高政策举措的“到达率”，打通群众获取政府信息的“最后一公里”，进一步提升政务公开质效。</w:t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方正楷体_GBK" w:hAnsi="方正楷体_GBK" w:eastAsia="方正楷体_GBK" w:cs="方正楷体_GBK"/>
          <w:i w:val="0"/>
          <w:iCs w:val="0"/>
          <w:caps w:val="0"/>
          <w:color w:val="333333"/>
          <w:spacing w:val="0"/>
          <w:sz w:val="32"/>
          <w:szCs w:val="32"/>
          <w:lang w:eastAsia="zh-CN"/>
        </w:rPr>
      </w:pPr>
      <w:r>
        <w:rPr>
          <w:rFonts w:hint="eastAsia" w:ascii="方正楷体_GBK" w:hAnsi="方正楷体_GBK" w:eastAsia="方正楷体_GBK" w:cs="方正楷体_GBK"/>
          <w:i w:val="0"/>
          <w:iCs w:val="0"/>
          <w:caps w:val="0"/>
          <w:color w:val="333333"/>
          <w:spacing w:val="0"/>
          <w:sz w:val="32"/>
          <w:szCs w:val="32"/>
        </w:rPr>
        <w:t>（三）强化</w:t>
      </w:r>
      <w:r>
        <w:rPr>
          <w:rFonts w:hint="eastAsia" w:ascii="方正楷体_GBK" w:hAnsi="方正楷体_GBK" w:eastAsia="方正楷体_GBK" w:cs="方正楷体_GBK"/>
          <w:i w:val="0"/>
          <w:iCs w:val="0"/>
          <w:caps w:val="0"/>
          <w:color w:val="333333"/>
          <w:spacing w:val="0"/>
          <w:sz w:val="32"/>
          <w:szCs w:val="32"/>
          <w:lang w:eastAsia="zh-CN"/>
        </w:rPr>
        <w:t>信息管理</w:t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333333"/>
          <w:spacing w:val="0"/>
          <w:sz w:val="32"/>
          <w:szCs w:val="32"/>
        </w:rPr>
        <w:t>完善信息发布审核机制，制定</w:t>
      </w: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333333"/>
          <w:spacing w:val="0"/>
          <w:sz w:val="32"/>
          <w:szCs w:val="32"/>
          <w:lang w:eastAsia="zh-CN"/>
        </w:rPr>
        <w:t>管理审核办法</w:t>
      </w: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333333"/>
          <w:spacing w:val="0"/>
          <w:sz w:val="32"/>
          <w:szCs w:val="32"/>
        </w:rPr>
        <w:t>，明确“</w:t>
      </w: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333333"/>
          <w:spacing w:val="0"/>
          <w:sz w:val="32"/>
          <w:szCs w:val="32"/>
          <w:lang w:eastAsia="zh-CN"/>
        </w:rPr>
        <w:t>股</w:t>
      </w: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333333"/>
          <w:spacing w:val="0"/>
          <w:sz w:val="32"/>
          <w:szCs w:val="32"/>
        </w:rPr>
        <w:t>室初审、办公室复审、分管领导终审”三级审核流程，确保公开信息内容准确、表述规范、符合保密要求。建立政府信息分类归档制度，按政策文件、行政</w:t>
      </w: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333333"/>
          <w:spacing w:val="0"/>
          <w:sz w:val="32"/>
          <w:szCs w:val="32"/>
          <w:lang w:eastAsia="zh-CN"/>
        </w:rPr>
        <w:t>执法</w:t>
      </w: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333333"/>
          <w:spacing w:val="0"/>
          <w:sz w:val="32"/>
          <w:szCs w:val="32"/>
        </w:rPr>
        <w:t>、价格监管等类别进行系统化管理</w:t>
      </w: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333333"/>
          <w:spacing w:val="0"/>
          <w:sz w:val="32"/>
          <w:szCs w:val="32"/>
          <w:lang w:eastAsia="zh-CN"/>
        </w:rPr>
        <w:t>，</w:t>
      </w: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333333"/>
          <w:spacing w:val="0"/>
          <w:sz w:val="32"/>
          <w:szCs w:val="32"/>
        </w:rPr>
        <w:t>提升信息资源利用效率。</w:t>
      </w:r>
    </w:p>
    <w:p>
      <w:pPr>
        <w:widowControl/>
        <w:numPr>
          <w:ilvl w:val="0"/>
          <w:numId w:val="0"/>
        </w:numPr>
        <w:shd w:val="clear" w:color="auto" w:fill="FFFFFF"/>
        <w:ind w:firstLine="640" w:firstLineChars="200"/>
        <w:rPr>
          <w:rFonts w:hint="eastAsia" w:ascii="方正黑体_GBK" w:hAnsi="方正黑体_GBK" w:eastAsia="方正黑体_GBK" w:cs="方正黑体_GBK"/>
          <w:b w:val="0"/>
          <w:bCs w:val="0"/>
          <w:color w:val="333333"/>
          <w:kern w:val="0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color w:val="333333"/>
          <w:kern w:val="0"/>
          <w:sz w:val="32"/>
          <w:szCs w:val="32"/>
        </w:rPr>
        <w:t>二、主动公开政府信息情况</w:t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b w:val="0"/>
          <w:bCs w:val="0"/>
          <w:color w:val="333333"/>
          <w:kern w:val="0"/>
          <w:sz w:val="32"/>
          <w:szCs w:val="32"/>
          <w:lang w:val="en-US" w:eastAsia="zh-CN"/>
        </w:rPr>
        <w:t>为贯彻落实中央及省市降低企业用电价格、屋顶分布式光伏发电及“双随机、一公开”等相关政策，2025年累计发布政务信息35条，涉及政策文件、重点公开、行政执法等多项内容，使社会各界对发展和改革工作进一步深入了解，在全社会营造了关心发展和改革工作、支持发展和改革工作的良好氛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方正仿宋_GBK" w:hAnsi="方正仿宋_GBK" w:eastAsia="方正仿宋_GBK" w:cs="方正仿宋_GBK"/>
          <w:i w:val="0"/>
          <w:caps w:val="0"/>
          <w:color w:val="2B2B2B"/>
          <w:spacing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i w:val="0"/>
          <w:caps w:val="0"/>
          <w:color w:val="2B2B2B"/>
          <w:spacing w:val="0"/>
          <w:sz w:val="32"/>
          <w:szCs w:val="32"/>
          <w:lang w:val="en-US" w:eastAsia="zh-CN"/>
        </w:rPr>
        <w:drawing>
          <wp:inline distT="0" distB="0" distL="114300" distR="114300">
            <wp:extent cx="5266690" cy="9364980"/>
            <wp:effectExtent l="0" t="0" r="10160" b="7620"/>
            <wp:docPr id="1" name="图片 1" descr="6da978d276ba959e53680ddedefe66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da978d276ba959e53680ddedefe66e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36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240"/>
        <w:ind w:firstLine="480"/>
        <w:rPr>
          <w:rFonts w:hint="eastAsia" w:ascii="方正黑体_GBK" w:hAnsi="方正黑体_GBK" w:eastAsia="方正黑体_GBK" w:cs="方正黑体_GBK"/>
          <w:b w:val="0"/>
          <w:bCs w:val="0"/>
          <w:color w:val="333333"/>
          <w:kern w:val="0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color w:val="333333"/>
          <w:kern w:val="0"/>
          <w:sz w:val="32"/>
          <w:szCs w:val="32"/>
        </w:rPr>
        <w:t>三、收到和处理政府信息公开申请情况</w:t>
      </w:r>
    </w:p>
    <w:tbl>
      <w:tblPr>
        <w:tblStyle w:val="3"/>
        <w:tblW w:w="9071" w:type="dxa"/>
        <w:jc w:val="cente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616"/>
        <w:gridCol w:w="854"/>
        <w:gridCol w:w="2086"/>
        <w:gridCol w:w="813"/>
        <w:gridCol w:w="755"/>
        <w:gridCol w:w="755"/>
        <w:gridCol w:w="813"/>
        <w:gridCol w:w="973"/>
        <w:gridCol w:w="711"/>
        <w:gridCol w:w="695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3479" w:type="dxa"/>
            <w:gridSpan w:val="3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（本列数据的勾稽关系为：第一项加第二项之和，等于第三项加第四项之和）</w:t>
            </w:r>
          </w:p>
        </w:tc>
        <w:tc>
          <w:tcPr>
            <w:tcW w:w="5592" w:type="dxa"/>
            <w:gridSpan w:val="7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申请人情况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0" w:type="auto"/>
            <w:gridSpan w:val="3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</w:p>
        </w:tc>
        <w:tc>
          <w:tcPr>
            <w:tcW w:w="825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自然人</w:t>
            </w:r>
          </w:p>
        </w:tc>
        <w:tc>
          <w:tcPr>
            <w:tcW w:w="4065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法人或其他组织</w:t>
            </w:r>
          </w:p>
        </w:tc>
        <w:tc>
          <w:tcPr>
            <w:tcW w:w="702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总计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0" w:type="auto"/>
            <w:gridSpan w:val="3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商业企业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科研机构</w:t>
            </w:r>
          </w:p>
        </w:tc>
        <w:tc>
          <w:tcPr>
            <w:tcW w:w="82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社会公益组织</w:t>
            </w:r>
          </w:p>
        </w:tc>
        <w:tc>
          <w:tcPr>
            <w:tcW w:w="99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法律服务机构</w:t>
            </w:r>
          </w:p>
        </w:tc>
        <w:tc>
          <w:tcPr>
            <w:tcW w:w="72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其他</w:t>
            </w:r>
          </w:p>
        </w:tc>
        <w:tc>
          <w:tcPr>
            <w:tcW w:w="0" w:type="auto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3479" w:type="dxa"/>
            <w:gridSpan w:val="3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一、本年新收政府信息公开申请数量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eastAsia="宋体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  <w:r>
              <w:rPr>
                <w:rFonts w:hint="eastAsia" w:cs="Times New Roman"/>
                <w:kern w:val="0"/>
                <w:sz w:val="20"/>
                <w:szCs w:val="20"/>
                <w:lang w:val="en-US" w:eastAsia="zh-CN"/>
              </w:rPr>
              <w:t>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3479" w:type="dxa"/>
            <w:gridSpan w:val="3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二、上年结转政府信息公开申请数量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  <w:r>
              <w:rPr>
                <w:kern w:val="0"/>
                <w:sz w:val="20"/>
                <w:szCs w:val="20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94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三、本年度办理结果</w:t>
            </w:r>
          </w:p>
        </w:tc>
        <w:tc>
          <w:tcPr>
            <w:tcW w:w="2985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楷体" w:hAnsi="宋体" w:eastAsia="楷体" w:cs="楷体"/>
                <w:kern w:val="0"/>
                <w:sz w:val="20"/>
                <w:szCs w:val="20"/>
              </w:rPr>
              <w:t>（一）予以公开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7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  <w:r>
              <w:rPr>
                <w:kern w:val="0"/>
                <w:sz w:val="20"/>
                <w:szCs w:val="20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</w:p>
        </w:tc>
        <w:tc>
          <w:tcPr>
            <w:tcW w:w="2985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楷体" w:hAnsi="宋体" w:eastAsia="楷体" w:cs="楷体"/>
                <w:kern w:val="0"/>
                <w:sz w:val="20"/>
                <w:szCs w:val="20"/>
              </w:rPr>
              <w:t>（二）部分公开（区分处理的，只计这一情形，不计其他情形）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  <w:r>
              <w:rPr>
                <w:kern w:val="0"/>
                <w:sz w:val="20"/>
                <w:szCs w:val="20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</w:p>
        </w:tc>
        <w:tc>
          <w:tcPr>
            <w:tcW w:w="855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楷体" w:hAnsi="宋体" w:eastAsia="楷体" w:cs="楷体"/>
                <w:kern w:val="0"/>
                <w:sz w:val="20"/>
                <w:szCs w:val="20"/>
              </w:rPr>
              <w:t>（三）不予公开</w:t>
            </w:r>
          </w:p>
        </w:tc>
        <w:tc>
          <w:tcPr>
            <w:tcW w:w="21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ascii="楷体" w:hAnsi="宋体" w:eastAsia="楷体" w:cs="楷体"/>
                <w:kern w:val="0"/>
                <w:sz w:val="20"/>
                <w:szCs w:val="20"/>
              </w:rPr>
              <w:t>1.</w:t>
            </w:r>
            <w:r>
              <w:rPr>
                <w:rFonts w:hint="eastAsia" w:ascii="楷体" w:hAnsi="宋体" w:eastAsia="楷体" w:cs="楷体"/>
                <w:kern w:val="0"/>
                <w:sz w:val="20"/>
                <w:szCs w:val="20"/>
              </w:rPr>
              <w:t>属于国家秘密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7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  <w:r>
              <w:rPr>
                <w:kern w:val="0"/>
                <w:sz w:val="20"/>
                <w:szCs w:val="20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tLeast"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ascii="楷体" w:hAnsi="宋体" w:eastAsia="楷体" w:cs="楷体"/>
                <w:kern w:val="0"/>
                <w:sz w:val="20"/>
                <w:szCs w:val="20"/>
              </w:rPr>
              <w:t>2.</w:t>
            </w:r>
            <w:r>
              <w:rPr>
                <w:rFonts w:hint="eastAsia" w:ascii="楷体" w:hAnsi="宋体" w:eastAsia="楷体" w:cs="楷体"/>
                <w:kern w:val="0"/>
                <w:sz w:val="20"/>
                <w:szCs w:val="20"/>
              </w:rPr>
              <w:t>其他法律行政法规禁止公开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  <w:r>
              <w:rPr>
                <w:kern w:val="0"/>
                <w:sz w:val="20"/>
                <w:szCs w:val="20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tLeast"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ascii="楷体" w:hAnsi="宋体" w:eastAsia="楷体" w:cs="楷体"/>
                <w:kern w:val="0"/>
                <w:sz w:val="20"/>
                <w:szCs w:val="20"/>
              </w:rPr>
              <w:t>3.</w:t>
            </w:r>
            <w:r>
              <w:rPr>
                <w:rFonts w:hint="eastAsia" w:ascii="楷体" w:hAnsi="宋体" w:eastAsia="楷体" w:cs="楷体"/>
                <w:kern w:val="0"/>
                <w:sz w:val="20"/>
                <w:szCs w:val="20"/>
              </w:rPr>
              <w:t>危及“三安全一稳定”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  <w:r>
              <w:rPr>
                <w:kern w:val="0"/>
                <w:sz w:val="20"/>
                <w:szCs w:val="20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tLeast"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ascii="楷体" w:hAnsi="宋体" w:eastAsia="楷体" w:cs="楷体"/>
                <w:kern w:val="0"/>
                <w:sz w:val="20"/>
                <w:szCs w:val="20"/>
              </w:rPr>
              <w:t>4.</w:t>
            </w:r>
            <w:r>
              <w:rPr>
                <w:rFonts w:hint="eastAsia" w:ascii="楷体" w:hAnsi="宋体" w:eastAsia="楷体" w:cs="楷体"/>
                <w:kern w:val="0"/>
                <w:sz w:val="20"/>
                <w:szCs w:val="20"/>
              </w:rPr>
              <w:t>保护第三方合法权益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eastAsia="宋体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  <w:r>
              <w:rPr>
                <w:rFonts w:hint="eastAsia" w:cs="Times New Roman"/>
                <w:kern w:val="0"/>
                <w:sz w:val="20"/>
                <w:szCs w:val="20"/>
                <w:lang w:val="en-US" w:eastAsia="zh-CN"/>
              </w:rPr>
              <w:t>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tLeast"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ascii="楷体" w:hAnsi="宋体" w:eastAsia="楷体" w:cs="楷体"/>
                <w:kern w:val="0"/>
                <w:sz w:val="20"/>
                <w:szCs w:val="20"/>
              </w:rPr>
              <w:t>5.</w:t>
            </w:r>
            <w:r>
              <w:rPr>
                <w:rFonts w:hint="eastAsia" w:ascii="楷体" w:hAnsi="宋体" w:eastAsia="楷体" w:cs="楷体"/>
                <w:kern w:val="0"/>
                <w:sz w:val="20"/>
                <w:szCs w:val="20"/>
              </w:rPr>
              <w:t>属于三类内部事务信息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  <w:r>
              <w:rPr>
                <w:kern w:val="0"/>
                <w:sz w:val="20"/>
                <w:szCs w:val="20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tLeast"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ascii="楷体" w:hAnsi="宋体" w:eastAsia="楷体" w:cs="楷体"/>
                <w:kern w:val="0"/>
                <w:sz w:val="20"/>
                <w:szCs w:val="20"/>
              </w:rPr>
              <w:t>6.</w:t>
            </w:r>
            <w:r>
              <w:rPr>
                <w:rFonts w:hint="eastAsia" w:ascii="楷体" w:hAnsi="宋体" w:eastAsia="楷体" w:cs="楷体"/>
                <w:kern w:val="0"/>
                <w:sz w:val="20"/>
                <w:szCs w:val="20"/>
              </w:rPr>
              <w:t>属于四类过程性信息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  <w:r>
              <w:rPr>
                <w:kern w:val="0"/>
                <w:sz w:val="20"/>
                <w:szCs w:val="20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tLeast"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ascii="楷体" w:hAnsi="宋体" w:eastAsia="楷体" w:cs="楷体"/>
                <w:kern w:val="0"/>
                <w:sz w:val="20"/>
                <w:szCs w:val="20"/>
              </w:rPr>
              <w:t>7.</w:t>
            </w:r>
            <w:r>
              <w:rPr>
                <w:rFonts w:hint="eastAsia" w:ascii="楷体" w:hAnsi="宋体" w:eastAsia="楷体" w:cs="楷体"/>
                <w:kern w:val="0"/>
                <w:sz w:val="20"/>
                <w:szCs w:val="20"/>
              </w:rPr>
              <w:t>属于行政执法案卷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  <w:r>
              <w:rPr>
                <w:kern w:val="0"/>
                <w:sz w:val="20"/>
                <w:szCs w:val="20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tLeast"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ascii="楷体" w:hAnsi="宋体" w:eastAsia="楷体" w:cs="楷体"/>
                <w:kern w:val="0"/>
                <w:sz w:val="20"/>
                <w:szCs w:val="20"/>
              </w:rPr>
              <w:t>8.</w:t>
            </w:r>
            <w:r>
              <w:rPr>
                <w:rFonts w:hint="eastAsia" w:ascii="楷体" w:hAnsi="宋体" w:eastAsia="楷体" w:cs="楷体"/>
                <w:kern w:val="0"/>
                <w:sz w:val="20"/>
                <w:szCs w:val="20"/>
              </w:rPr>
              <w:t>属于行政查询事项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  <w:r>
              <w:rPr>
                <w:kern w:val="0"/>
                <w:sz w:val="20"/>
                <w:szCs w:val="20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</w:p>
        </w:tc>
        <w:tc>
          <w:tcPr>
            <w:tcW w:w="855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楷体" w:hAnsi="宋体" w:eastAsia="楷体" w:cs="楷体"/>
                <w:kern w:val="0"/>
                <w:sz w:val="20"/>
                <w:szCs w:val="20"/>
              </w:rPr>
              <w:t>（四）无法提供</w:t>
            </w:r>
          </w:p>
        </w:tc>
        <w:tc>
          <w:tcPr>
            <w:tcW w:w="21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tLeast"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ascii="楷体" w:hAnsi="宋体" w:eastAsia="楷体" w:cs="楷体"/>
                <w:kern w:val="0"/>
                <w:sz w:val="20"/>
                <w:szCs w:val="20"/>
              </w:rPr>
              <w:t>1.</w:t>
            </w:r>
            <w:r>
              <w:rPr>
                <w:rFonts w:hint="eastAsia" w:ascii="楷体" w:hAnsi="宋体" w:eastAsia="楷体" w:cs="楷体"/>
                <w:kern w:val="0"/>
                <w:sz w:val="20"/>
                <w:szCs w:val="20"/>
              </w:rPr>
              <w:t>本机关不掌握相关政府信息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  <w:r>
              <w:rPr>
                <w:kern w:val="0"/>
                <w:sz w:val="20"/>
                <w:szCs w:val="20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tLeast"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ascii="楷体" w:hAnsi="宋体" w:eastAsia="楷体" w:cs="楷体"/>
                <w:kern w:val="0"/>
                <w:sz w:val="20"/>
                <w:szCs w:val="20"/>
              </w:rPr>
              <w:t>2.</w:t>
            </w:r>
            <w:r>
              <w:rPr>
                <w:rFonts w:hint="eastAsia" w:ascii="楷体" w:hAnsi="宋体" w:eastAsia="楷体" w:cs="楷体"/>
                <w:kern w:val="0"/>
                <w:sz w:val="20"/>
                <w:szCs w:val="20"/>
              </w:rPr>
              <w:t>没有现成信息需要另行制作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  <w:r>
              <w:rPr>
                <w:kern w:val="0"/>
                <w:sz w:val="20"/>
                <w:szCs w:val="20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tLeast"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ascii="楷体" w:hAnsi="宋体" w:eastAsia="楷体" w:cs="楷体"/>
                <w:kern w:val="0"/>
                <w:sz w:val="20"/>
                <w:szCs w:val="20"/>
              </w:rPr>
              <w:t>3.</w:t>
            </w:r>
            <w:r>
              <w:rPr>
                <w:rFonts w:hint="eastAsia" w:ascii="楷体" w:hAnsi="宋体" w:eastAsia="楷体" w:cs="楷体"/>
                <w:kern w:val="0"/>
                <w:sz w:val="20"/>
                <w:szCs w:val="20"/>
              </w:rPr>
              <w:t>补正后申请内容仍不明确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  <w:r>
              <w:rPr>
                <w:kern w:val="0"/>
                <w:sz w:val="20"/>
                <w:szCs w:val="20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</w:p>
        </w:tc>
        <w:tc>
          <w:tcPr>
            <w:tcW w:w="855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楷体" w:hAnsi="宋体" w:eastAsia="楷体" w:cs="楷体"/>
                <w:kern w:val="0"/>
                <w:sz w:val="20"/>
                <w:szCs w:val="20"/>
              </w:rPr>
              <w:t>（五）不予处理</w:t>
            </w:r>
          </w:p>
        </w:tc>
        <w:tc>
          <w:tcPr>
            <w:tcW w:w="21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tLeast"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ascii="楷体" w:hAnsi="宋体" w:eastAsia="楷体" w:cs="楷体"/>
                <w:kern w:val="0"/>
                <w:sz w:val="20"/>
                <w:szCs w:val="20"/>
              </w:rPr>
              <w:t>1.</w:t>
            </w:r>
            <w:r>
              <w:rPr>
                <w:rFonts w:hint="eastAsia" w:ascii="楷体" w:hAnsi="宋体" w:eastAsia="楷体" w:cs="楷体"/>
                <w:kern w:val="0"/>
                <w:sz w:val="20"/>
                <w:szCs w:val="20"/>
              </w:rPr>
              <w:t>信访举报投诉类申请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  <w:r>
              <w:rPr>
                <w:kern w:val="0"/>
                <w:sz w:val="20"/>
                <w:szCs w:val="20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tLeast"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ascii="楷体" w:hAnsi="宋体" w:eastAsia="楷体" w:cs="楷体"/>
                <w:kern w:val="0"/>
                <w:sz w:val="20"/>
                <w:szCs w:val="20"/>
              </w:rPr>
              <w:t>2.</w:t>
            </w:r>
            <w:r>
              <w:rPr>
                <w:rFonts w:hint="eastAsia" w:ascii="楷体" w:hAnsi="宋体" w:eastAsia="楷体" w:cs="楷体"/>
                <w:kern w:val="0"/>
                <w:sz w:val="20"/>
                <w:szCs w:val="20"/>
              </w:rPr>
              <w:t>重复申请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  <w:r>
              <w:rPr>
                <w:kern w:val="0"/>
                <w:sz w:val="20"/>
                <w:szCs w:val="20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tLeast"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ascii="楷体" w:hAnsi="宋体" w:eastAsia="楷体" w:cs="楷体"/>
                <w:kern w:val="0"/>
                <w:sz w:val="20"/>
                <w:szCs w:val="20"/>
              </w:rPr>
              <w:t>3.</w:t>
            </w:r>
            <w:r>
              <w:rPr>
                <w:rFonts w:hint="eastAsia" w:ascii="楷体" w:hAnsi="宋体" w:eastAsia="楷体" w:cs="楷体"/>
                <w:kern w:val="0"/>
                <w:sz w:val="20"/>
                <w:szCs w:val="20"/>
              </w:rPr>
              <w:t>要求提供公开出版物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  <w:r>
              <w:rPr>
                <w:kern w:val="0"/>
                <w:sz w:val="20"/>
                <w:szCs w:val="20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tLeast"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ascii="楷体" w:hAnsi="宋体" w:eastAsia="楷体" w:cs="楷体"/>
                <w:kern w:val="0"/>
                <w:sz w:val="20"/>
                <w:szCs w:val="20"/>
              </w:rPr>
              <w:t>4.</w:t>
            </w:r>
            <w:r>
              <w:rPr>
                <w:rFonts w:hint="eastAsia" w:ascii="楷体" w:hAnsi="宋体" w:eastAsia="楷体" w:cs="楷体"/>
                <w:kern w:val="0"/>
                <w:sz w:val="20"/>
                <w:szCs w:val="20"/>
              </w:rPr>
              <w:t>无正当理由大量反复申请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  <w:r>
              <w:rPr>
                <w:kern w:val="0"/>
                <w:sz w:val="20"/>
                <w:szCs w:val="20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tLeast"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ascii="楷体" w:hAnsi="宋体" w:eastAsia="楷体" w:cs="楷体"/>
                <w:kern w:val="0"/>
                <w:sz w:val="20"/>
                <w:szCs w:val="20"/>
              </w:rPr>
              <w:t>5.</w:t>
            </w:r>
            <w:r>
              <w:rPr>
                <w:rFonts w:hint="eastAsia" w:ascii="楷体" w:hAnsi="宋体" w:eastAsia="楷体" w:cs="楷体"/>
                <w:kern w:val="0"/>
                <w:sz w:val="20"/>
                <w:szCs w:val="20"/>
              </w:rPr>
              <w:t>要求行政机关确认或重新出具已获取信息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  <w:r>
              <w:rPr>
                <w:kern w:val="0"/>
                <w:sz w:val="20"/>
                <w:szCs w:val="20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</w:p>
        </w:tc>
        <w:tc>
          <w:tcPr>
            <w:tcW w:w="2985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楷体" w:hAnsi="宋体" w:eastAsia="楷体" w:cs="楷体"/>
                <w:kern w:val="0"/>
                <w:sz w:val="20"/>
                <w:szCs w:val="20"/>
              </w:rPr>
              <w:t>（六）其他处理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  <w:r>
              <w:rPr>
                <w:kern w:val="0"/>
                <w:sz w:val="20"/>
                <w:szCs w:val="20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</w:p>
        </w:tc>
        <w:tc>
          <w:tcPr>
            <w:tcW w:w="2985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楷体" w:hAnsi="宋体" w:eastAsia="楷体" w:cs="楷体"/>
                <w:kern w:val="0"/>
                <w:sz w:val="20"/>
                <w:szCs w:val="20"/>
              </w:rPr>
              <w:t>（七）总计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eastAsia="宋体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  <w:r>
              <w:rPr>
                <w:rFonts w:hint="eastAsia" w:cs="Times New Roman"/>
                <w:kern w:val="0"/>
                <w:sz w:val="20"/>
                <w:szCs w:val="20"/>
                <w:lang w:val="en-US" w:eastAsia="zh-CN"/>
              </w:rPr>
              <w:t>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3479" w:type="dxa"/>
            <w:gridSpan w:val="3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四、结转下年度继续办理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kern w:val="0"/>
                <w:sz w:val="20"/>
                <w:szCs w:val="20"/>
              </w:rPr>
              <w:t>0</w:t>
            </w:r>
          </w:p>
        </w:tc>
      </w:tr>
    </w:tbl>
    <w:p>
      <w:pPr>
        <w:widowControl/>
        <w:shd w:val="clear" w:color="auto" w:fill="FFFFFF"/>
        <w:ind w:firstLine="640" w:firstLineChars="200"/>
        <w:rPr>
          <w:rFonts w:hint="eastAsia" w:ascii="方正黑体_GBK" w:hAnsi="方正黑体_GBK" w:eastAsia="方正黑体_GBK" w:cs="方正黑体_GBK"/>
          <w:b w:val="0"/>
          <w:bCs w:val="0"/>
          <w:color w:val="333333"/>
          <w:kern w:val="0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color w:val="333333"/>
          <w:kern w:val="0"/>
          <w:sz w:val="32"/>
          <w:szCs w:val="32"/>
        </w:rPr>
        <w:t>四、政府信息公开行政复议、行政诉讼情况</w:t>
      </w:r>
    </w:p>
    <w:tbl>
      <w:tblPr>
        <w:tblStyle w:val="3"/>
        <w:tblW w:w="9071" w:type="dxa"/>
        <w:jc w:val="cente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604"/>
        <w:gridCol w:w="604"/>
        <w:gridCol w:w="604"/>
        <w:gridCol w:w="604"/>
        <w:gridCol w:w="658"/>
        <w:gridCol w:w="550"/>
        <w:gridCol w:w="605"/>
        <w:gridCol w:w="605"/>
        <w:gridCol w:w="605"/>
        <w:gridCol w:w="605"/>
        <w:gridCol w:w="605"/>
        <w:gridCol w:w="605"/>
        <w:gridCol w:w="605"/>
        <w:gridCol w:w="606"/>
        <w:gridCol w:w="606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3074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行政复议</w:t>
            </w:r>
          </w:p>
        </w:tc>
        <w:tc>
          <w:tcPr>
            <w:tcW w:w="5997" w:type="dxa"/>
            <w:gridSpan w:val="10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行政诉讼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04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结果维持</w:t>
            </w:r>
          </w:p>
        </w:tc>
        <w:tc>
          <w:tcPr>
            <w:tcW w:w="604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结果纠正</w:t>
            </w:r>
          </w:p>
        </w:tc>
        <w:tc>
          <w:tcPr>
            <w:tcW w:w="604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其他结果</w:t>
            </w:r>
          </w:p>
        </w:tc>
        <w:tc>
          <w:tcPr>
            <w:tcW w:w="604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尚未审结</w:t>
            </w:r>
          </w:p>
        </w:tc>
        <w:tc>
          <w:tcPr>
            <w:tcW w:w="658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总计</w:t>
            </w:r>
          </w:p>
        </w:tc>
        <w:tc>
          <w:tcPr>
            <w:tcW w:w="2970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未经复议直接起诉</w:t>
            </w:r>
          </w:p>
        </w:tc>
        <w:tc>
          <w:tcPr>
            <w:tcW w:w="3027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复议后起诉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结果维持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结果纠正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其他结果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尚未审结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总计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结果维持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结果纠正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其他结果</w:t>
            </w:r>
          </w:p>
        </w:tc>
        <w:tc>
          <w:tcPr>
            <w:tcW w:w="60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尚未审结</w:t>
            </w:r>
          </w:p>
        </w:tc>
        <w:tc>
          <w:tcPr>
            <w:tcW w:w="60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总计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0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60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60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60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ascii="宋体"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ascii="宋体"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ascii="宋体"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ascii="宋体"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ascii="宋体" w:cs="Times New Roman"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ascii="宋体"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ascii="宋体"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ascii="宋体" w:cs="Times New Roman"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ascii="宋体"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ascii="宋体" w:cs="宋体"/>
                <w:kern w:val="0"/>
                <w:sz w:val="24"/>
                <w:szCs w:val="24"/>
              </w:rPr>
              <w:t>0</w:t>
            </w:r>
          </w:p>
        </w:tc>
      </w:tr>
    </w:tbl>
    <w:p>
      <w:pPr>
        <w:widowControl/>
        <w:shd w:val="clear" w:color="auto" w:fill="FFFFFF"/>
        <w:ind w:firstLine="640" w:firstLineChars="200"/>
        <w:rPr>
          <w:rFonts w:hint="eastAsia" w:ascii="方正黑体_GBK" w:hAnsi="方正黑体_GBK" w:eastAsia="方正黑体_GBK" w:cs="方正黑体_GBK"/>
          <w:b w:val="0"/>
          <w:bCs w:val="0"/>
          <w:color w:val="333333"/>
          <w:kern w:val="0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color w:val="333333"/>
          <w:kern w:val="0"/>
          <w:sz w:val="32"/>
          <w:szCs w:val="32"/>
        </w:rPr>
        <w:t>五、存在的主要问题及改进情况</w:t>
      </w: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i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eastAsia" w:ascii="方正仿宋简体" w:hAnsi="方正仿宋简体" w:eastAsia="方正仿宋简体" w:cs="方正仿宋简体"/>
          <w:i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2025年，我局的政务公开工作在完善政府信息公开机制、提高政务公开信息质量等方面有较大进展，取得了较好的效果。</w:t>
      </w: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333333"/>
          <w:spacing w:val="0"/>
          <w:sz w:val="32"/>
          <w:szCs w:val="32"/>
          <w:shd w:val="clear" w:color="auto" w:fill="FFFFFF"/>
        </w:rPr>
        <w:t>由于多种因素的影响，政务公开工作</w:t>
      </w: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333333"/>
          <w:spacing w:val="0"/>
          <w:sz w:val="32"/>
          <w:szCs w:val="32"/>
          <w:shd w:val="clear" w:color="auto" w:fill="FFFFFF"/>
          <w:lang w:eastAsia="zh-CN"/>
        </w:rPr>
        <w:t>个别环节仍然存在一些不足</w:t>
      </w: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333333"/>
          <w:spacing w:val="0"/>
          <w:sz w:val="32"/>
          <w:szCs w:val="32"/>
          <w:shd w:val="clear" w:color="auto" w:fill="FFFFFF"/>
        </w:rPr>
        <w:t>，离</w:t>
      </w: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333333"/>
          <w:spacing w:val="0"/>
          <w:sz w:val="32"/>
          <w:szCs w:val="32"/>
          <w:shd w:val="clear" w:color="auto" w:fill="FFFFFF"/>
          <w:lang w:eastAsia="zh-CN"/>
        </w:rPr>
        <w:t>上级和</w:t>
      </w: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333333"/>
          <w:spacing w:val="0"/>
          <w:sz w:val="32"/>
          <w:szCs w:val="32"/>
          <w:shd w:val="clear" w:color="auto" w:fill="FFFFFF"/>
        </w:rPr>
        <w:t>人民群众的需求还有一定距离。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下一阶段我局将采取以下措施进行改进：</w:t>
      </w:r>
    </w:p>
    <w:p>
      <w:pPr>
        <w:numPr>
          <w:ilvl w:val="0"/>
          <w:numId w:val="0"/>
        </w:numPr>
        <w:ind w:firstLine="640" w:firstLineChars="200"/>
        <w:rPr>
          <w:rFonts w:hint="eastAsia" w:ascii="方正楷体_GBK" w:hAnsi="方正楷体_GBK" w:eastAsia="方正楷体_GBK" w:cs="方正楷体_GBK"/>
          <w:i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eastAsia" w:ascii="方正楷体_GBK" w:hAnsi="方正楷体_GBK" w:eastAsia="方正楷体_GBK" w:cs="方正楷体_GBK"/>
          <w:i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（一）强化政务公开时效性</w:t>
      </w:r>
    </w:p>
    <w:p>
      <w:pPr>
        <w:numPr>
          <w:ilvl w:val="0"/>
          <w:numId w:val="0"/>
        </w:numPr>
        <w:ind w:firstLine="640" w:firstLineChars="200"/>
        <w:rPr>
          <w:rFonts w:hint="eastAsia" w:ascii="方正仿宋简体" w:hAnsi="方正仿宋简体" w:eastAsia="方正仿宋简体" w:cs="方正仿宋简体"/>
          <w:i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eastAsia" w:ascii="方正仿宋简体" w:hAnsi="方正仿宋简体" w:eastAsia="方正仿宋简体" w:cs="方正仿宋简体"/>
          <w:i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优化信息公开流程，将公开审核嵌入业务办理环节，明确信息公开时限要求，一般类信息在形成后2个工作日内公开，紧急类信息即时公开。建立信息更新提醒机制，通过系统自动预警未及时公开的信息，督促相关股室限期整改。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0" w:lineRule="exact"/>
        <w:ind w:right="0" w:rightChars="0" w:firstLine="640" w:firstLineChars="200"/>
        <w:jc w:val="both"/>
        <w:textAlignment w:val="auto"/>
        <w:rPr>
          <w:rFonts w:hint="eastAsia" w:ascii="方正楷体简体" w:hAnsi="方正楷体简体" w:eastAsia="方正楷体简体" w:cs="方正楷体简体"/>
          <w:i w:val="0"/>
          <w:iCs w:val="0"/>
          <w:caps w:val="0"/>
          <w:color w:val="222222"/>
          <w:spacing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方正楷体简体" w:hAnsi="方正楷体简体" w:eastAsia="方正楷体简体" w:cs="方正楷体简体"/>
          <w:i w:val="0"/>
          <w:iCs w:val="0"/>
          <w:caps w:val="0"/>
          <w:color w:val="222222"/>
          <w:spacing w:val="0"/>
          <w:sz w:val="32"/>
          <w:szCs w:val="32"/>
          <w:shd w:val="clear" w:color="auto" w:fill="FFFFFF"/>
          <w:lang w:eastAsia="zh-CN"/>
        </w:rPr>
        <w:t>（二）加强政务公开规范化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0" w:lineRule="exact"/>
        <w:ind w:right="0" w:rightChars="0" w:firstLine="640" w:firstLineChars="200"/>
        <w:jc w:val="both"/>
        <w:textAlignment w:val="auto"/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333333"/>
          <w:spacing w:val="0"/>
          <w:sz w:val="32"/>
          <w:szCs w:val="32"/>
          <w:shd w:val="clear" w:color="auto" w:fill="FFFFFF"/>
        </w:rPr>
      </w:pP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333333"/>
          <w:spacing w:val="0"/>
          <w:sz w:val="32"/>
          <w:szCs w:val="32"/>
          <w:shd w:val="clear" w:color="auto" w:fill="FFFFFF"/>
        </w:rPr>
        <w:t>力促基层政务公开标准化规范化建设，提高公开水平。修订完善决策预公开、政策解读、依申请公开等相关制度，制定政策解读、意见征集、意见反馈、会议开放等栏目规范模板，统一依申请公开答复格式文本，在全市推广运用。</w:t>
      </w:r>
    </w:p>
    <w:p>
      <w:pPr>
        <w:numPr>
          <w:ilvl w:val="0"/>
          <w:numId w:val="0"/>
        </w:numPr>
        <w:ind w:firstLine="640" w:firstLineChars="200"/>
        <w:rPr>
          <w:rFonts w:hint="eastAsia" w:ascii="方正楷体_GBK" w:hAnsi="方正楷体_GBK" w:eastAsia="方正楷体_GBK" w:cs="方正楷体_GBK"/>
          <w:i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eastAsia" w:ascii="方正楷体_GBK" w:hAnsi="方正楷体_GBK" w:eastAsia="方正楷体_GBK" w:cs="方正楷体_GBK"/>
          <w:i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（三）提升队伍素养专业性</w:t>
      </w:r>
    </w:p>
    <w:p>
      <w:pPr>
        <w:numPr>
          <w:ilvl w:val="0"/>
          <w:numId w:val="0"/>
        </w:numPr>
        <w:ind w:firstLine="640" w:firstLineChars="200"/>
        <w:rPr>
          <w:rFonts w:hint="eastAsia" w:ascii="方正仿宋简体" w:hAnsi="方正仿宋简体" w:eastAsia="方正仿宋简体" w:cs="方正仿宋简体"/>
          <w:i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eastAsia" w:ascii="方正仿宋简体" w:hAnsi="方正仿宋简体" w:eastAsia="方正仿宋简体" w:cs="方正仿宋简体"/>
          <w:i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将政府信息公开培训纳入年度培训计划，采取“线上+线下”“案例教学+实操演练”相结合的方式，开展专题培训。建立业务骨干帮扶机制，组织经验丰富的工作人员对新手进行指导，提升整体业务能力。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0" w:lineRule="exact"/>
        <w:ind w:right="0" w:rightChars="0" w:firstLine="640" w:firstLineChars="200"/>
        <w:jc w:val="both"/>
        <w:textAlignment w:val="auto"/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333333"/>
          <w:spacing w:val="0"/>
          <w:sz w:val="32"/>
          <w:szCs w:val="32"/>
          <w:shd w:val="clear" w:color="auto" w:fill="FFFFFF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0" w:lineRule="exact"/>
        <w:ind w:right="0" w:rightChars="0" w:firstLine="480" w:firstLineChars="200"/>
        <w:jc w:val="both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0" w:lineRule="exact"/>
        <w:ind w:right="0" w:rightChars="0" w:firstLine="480" w:firstLineChars="200"/>
        <w:jc w:val="both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0" w:lineRule="exact"/>
        <w:ind w:right="0" w:rightChars="0" w:firstLine="480" w:firstLineChars="200"/>
        <w:jc w:val="both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0" w:lineRule="exact"/>
        <w:ind w:right="0" w:rightChars="0" w:firstLine="480" w:firstLineChars="200"/>
        <w:jc w:val="both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0" w:lineRule="exact"/>
        <w:ind w:right="0" w:rightChars="0" w:firstLine="480" w:firstLineChars="200"/>
        <w:jc w:val="both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0" w:lineRule="exact"/>
        <w:ind w:right="0" w:rightChars="0" w:firstLine="640" w:firstLineChars="200"/>
        <w:jc w:val="right"/>
        <w:textAlignment w:val="auto"/>
        <w:rPr>
          <w:rFonts w:hint="eastAsia" w:ascii="方正仿宋_GBK" w:hAnsi="方正仿宋_GBK" w:eastAsia="方正仿宋_GBK" w:cs="方正仿宋_GBK"/>
          <w:i w:val="0"/>
          <w:iCs w:val="0"/>
          <w:caps w:val="0"/>
          <w:color w:val="333333"/>
          <w:spacing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333333"/>
          <w:spacing w:val="0"/>
          <w:sz w:val="32"/>
          <w:szCs w:val="32"/>
          <w:shd w:val="clear" w:color="auto" w:fill="FFFFFF"/>
          <w:lang w:eastAsia="zh-CN"/>
        </w:rPr>
        <w:t>迁安市发展和改革局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0" w:lineRule="exact"/>
        <w:ind w:right="0" w:rightChars="0" w:firstLine="640" w:firstLineChars="200"/>
        <w:jc w:val="right"/>
        <w:textAlignment w:val="auto"/>
        <w:rPr>
          <w:rFonts w:hint="eastAsia" w:ascii="方正仿宋_GBK" w:hAnsi="方正仿宋_GBK" w:eastAsia="方正仿宋_GBK" w:cs="方正仿宋_GBK"/>
          <w:i w:val="0"/>
          <w:iCs w:val="0"/>
          <w:caps w:val="0"/>
          <w:color w:val="333333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333333"/>
          <w:spacing w:val="0"/>
          <w:sz w:val="32"/>
          <w:szCs w:val="32"/>
          <w:shd w:val="clear" w:color="auto" w:fill="FFFFFF"/>
          <w:lang w:val="en-US" w:eastAsia="zh-CN"/>
        </w:rPr>
        <w:t>2026年1月21日</w:t>
      </w:r>
    </w:p>
    <w:p>
      <w:pPr>
        <w:numPr>
          <w:ilvl w:val="0"/>
          <w:numId w:val="0"/>
        </w:numPr>
        <w:ind w:firstLine="640" w:firstLineChars="200"/>
        <w:rPr>
          <w:rFonts w:hint="eastAsia" w:ascii="方正仿宋简体" w:hAnsi="方正仿宋简体" w:eastAsia="方正仿宋简体" w:cs="方正仿宋简体"/>
          <w:i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Wingdings">
    <w:altName w:val="MathJax_Vector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MathJax_Vector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MathJax_Vector">
    <w:panose1 w:val="02000603000000000000"/>
    <w:charset w:val="00"/>
    <w:family w:val="auto"/>
    <w:pitch w:val="default"/>
    <w:sig w:usb0="00000001" w:usb1="00000020" w:usb2="00000000" w:usb3="00000000" w:csb0="00000001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楷体简体">
    <w:altName w:val="方正楷体_GBK"/>
    <w:panose1 w:val="03000509000000000000"/>
    <w:charset w:val="00"/>
    <w:family w:val="auto"/>
    <w:pitch w:val="default"/>
    <w:sig w:usb0="00000000" w:usb1="00000000" w:usb2="00000000" w:usb3="00000000" w:csb0="00040000" w:csb1="00000000"/>
  </w:font>
  <w:font w:name="方正仿宋简体">
    <w:altName w:val="方正仿宋_GBK"/>
    <w:panose1 w:val="03000509000000000000"/>
    <w:charset w:val="00"/>
    <w:family w:val="auto"/>
    <w:pitch w:val="default"/>
    <w:sig w:usb0="00000000" w:usb1="00000000" w:usb2="00000000" w:usb3="00000000" w:csb0="00040000" w:csb1="00000000"/>
  </w:font>
  <w:font w:name="楷体">
    <w:altName w:val="方正楷体_GBK"/>
    <w:panose1 w:val="02010609060101010101"/>
    <w:charset w:val="00"/>
    <w:family w:val="modern"/>
    <w:pitch w:val="default"/>
    <w:sig w:usb0="00000000" w:usb1="00000000" w:usb2="00000016" w:usb3="00000000" w:csb0="00040001" w:csb1="00000000"/>
  </w:font>
  <w:font w:name="微软雅黑">
    <w:altName w:val="方正黑体_GBK"/>
    <w:panose1 w:val="020B0503020204020204"/>
    <w:charset w:val="00"/>
    <w:family w:val="auto"/>
    <w:pitch w:val="default"/>
    <w:sig w:usb0="00000000" w:usb1="0000000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F7DA5E7"/>
    <w:rsid w:val="77DF52A3"/>
    <w:rsid w:val="7BEF2B1D"/>
    <w:rsid w:val="9FBE0AFC"/>
    <w:rsid w:val="BBFFED21"/>
    <w:rsid w:val="EFFC7B0F"/>
    <w:rsid w:val="FF0B820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Style w:val="3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7.66666666666667</TotalTime>
  <ScaleCrop>false</ScaleCrop>
  <LinksUpToDate>false</LinksUpToDate>
  <CharactersWithSpaces>0</CharactersWithSpaces>
  <Application>WPS Office_11.8.2.12065_F1E327BC-269C-435d-A152-05C5408002CA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2026-01-22T01:53:13Z</dcterms:created>
  <dc:creator>baixin</dc:creator>
  <cp:lastModifiedBy>baixin</cp:lastModifiedBy>
  <dcterms:modified xsi:type="dcterms:W3CDTF">2026-01-26T14:30:33Z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2052-11.8.2.12065</vt:lpwstr>
  </property>
  <property fmtid="{D5CDD505-2E9C-101B-9397-08002B2CF9AE}" pid="3" name="ICV">
    <vt:lpwstr>6675DA021EAFA0F3090A7769ADF85D79</vt:lpwstr>
  </property>
</Properties>
</file>