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F44401">
      <w:pPr>
        <w:spacing w:line="560" w:lineRule="exact"/>
        <w:ind w:firstLine="888"/>
        <w:jc w:val="center"/>
        <w:rPr>
          <w:rFonts w:hint="eastAsia" w:ascii="方正小标宋简体" w:hAnsi="方正小标宋简体" w:eastAsia="方正小标宋简体" w:cs="方正小标宋简体"/>
          <w:sz w:val="44"/>
          <w:szCs w:val="44"/>
        </w:rPr>
      </w:pPr>
    </w:p>
    <w:p w14:paraId="2FE1B45A">
      <w:pPr>
        <w:pStyle w:val="18"/>
        <w:ind w:firstLine="888"/>
        <w:rPr>
          <w:rFonts w:hint="eastAsia" w:ascii="方正小标宋简体" w:hAnsi="方正小标宋简体" w:eastAsia="方正小标宋简体" w:cs="方正小标宋简体"/>
          <w:sz w:val="44"/>
          <w:szCs w:val="44"/>
        </w:rPr>
      </w:pPr>
    </w:p>
    <w:p w14:paraId="00D0C04F">
      <w:pPr>
        <w:spacing w:line="560" w:lineRule="exact"/>
        <w:ind w:firstLine="888"/>
        <w:jc w:val="center"/>
        <w:rPr>
          <w:rFonts w:hint="eastAsia" w:ascii="方正小标宋简体" w:hAnsi="方正小标宋简体" w:eastAsia="方正小标宋简体" w:cs="方正小标宋简体"/>
          <w:sz w:val="44"/>
          <w:szCs w:val="44"/>
        </w:rPr>
      </w:pPr>
    </w:p>
    <w:p w14:paraId="636E417B">
      <w:pPr>
        <w:spacing w:line="560" w:lineRule="exact"/>
        <w:ind w:firstLine="888"/>
        <w:jc w:val="center"/>
        <w:rPr>
          <w:rFonts w:hint="eastAsia" w:ascii="方正小标宋简体" w:hAnsi="方正小标宋简体" w:eastAsia="方正小标宋简体" w:cs="方正小标宋简体"/>
          <w:sz w:val="44"/>
          <w:szCs w:val="44"/>
        </w:rPr>
      </w:pPr>
    </w:p>
    <w:p w14:paraId="17D30106">
      <w:pPr>
        <w:spacing w:line="560" w:lineRule="exact"/>
        <w:ind w:firstLine="888"/>
        <w:jc w:val="center"/>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迁安赵店子河北燕山钢铁集团有限公司</w:t>
      </w:r>
    </w:p>
    <w:p w14:paraId="14DB135B">
      <w:pPr>
        <w:spacing w:line="560" w:lineRule="exact"/>
        <w:ind w:firstLine="888"/>
        <w:jc w:val="center"/>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“4·4”一般中毒窒息事故</w:t>
      </w:r>
    </w:p>
    <w:p w14:paraId="33824B2C">
      <w:pPr>
        <w:spacing w:line="560" w:lineRule="exact"/>
        <w:ind w:firstLine="888"/>
        <w:jc w:val="center"/>
        <w:rPr>
          <w:rFonts w:hint="eastAsia" w:ascii="方正小标宋简体" w:hAnsi="方正小标宋简体" w:eastAsia="方正小标宋简体" w:cs="方正小标宋简体"/>
          <w:color w:val="000000" w:themeColor="text1"/>
          <w:sz w:val="44"/>
          <w:szCs w:val="44"/>
          <w14:textFill>
            <w14:solidFill>
              <w14:schemeClr w14:val="tx1"/>
            </w14:solidFill>
          </w14:textFill>
        </w:rPr>
      </w:pPr>
      <w:r>
        <w:rPr>
          <w:rFonts w:hint="eastAsia" w:ascii="方正小标宋简体" w:hAnsi="方正小标宋简体" w:eastAsia="方正小标宋简体" w:cs="方正小标宋简体"/>
          <w:color w:val="000000" w:themeColor="text1"/>
          <w:sz w:val="44"/>
          <w:szCs w:val="44"/>
          <w14:textFill>
            <w14:solidFill>
              <w14:schemeClr w14:val="tx1"/>
            </w14:solidFill>
          </w14:textFill>
        </w:rPr>
        <w:t>调查报告</w:t>
      </w:r>
    </w:p>
    <w:p w14:paraId="288AAAE8">
      <w:pPr>
        <w:pStyle w:val="4"/>
        <w:ind w:firstLine="888"/>
        <w:rPr>
          <w:rFonts w:hint="eastAsia" w:ascii="方正小标宋简体" w:hAnsi="方正小标宋简体" w:eastAsia="方正小标宋简体" w:cs="方正小标宋简体"/>
          <w:sz w:val="44"/>
          <w:szCs w:val="44"/>
        </w:rPr>
      </w:pPr>
    </w:p>
    <w:p w14:paraId="6ACB4A8A">
      <w:pPr>
        <w:ind w:firstLine="888"/>
        <w:rPr>
          <w:rFonts w:hint="eastAsia" w:ascii="方正小标宋简体" w:hAnsi="方正小标宋简体" w:eastAsia="方正小标宋简体" w:cs="方正小标宋简体"/>
          <w:sz w:val="44"/>
          <w:szCs w:val="44"/>
        </w:rPr>
      </w:pPr>
    </w:p>
    <w:p w14:paraId="13F77C2F">
      <w:pPr>
        <w:pStyle w:val="4"/>
        <w:ind w:firstLine="888"/>
        <w:rPr>
          <w:rFonts w:hint="eastAsia" w:ascii="方正小标宋简体" w:hAnsi="方正小标宋简体" w:eastAsia="方正小标宋简体" w:cs="方正小标宋简体"/>
          <w:sz w:val="44"/>
          <w:szCs w:val="44"/>
        </w:rPr>
      </w:pPr>
    </w:p>
    <w:p w14:paraId="1863C7DB">
      <w:pPr>
        <w:ind w:firstLine="888"/>
        <w:rPr>
          <w:rFonts w:hint="eastAsia" w:ascii="方正小标宋简体" w:hAnsi="方正小标宋简体" w:eastAsia="方正小标宋简体" w:cs="方正小标宋简体"/>
          <w:sz w:val="44"/>
          <w:szCs w:val="44"/>
        </w:rPr>
      </w:pPr>
    </w:p>
    <w:p w14:paraId="46F6D98D">
      <w:pPr>
        <w:pStyle w:val="4"/>
        <w:rPr>
          <w:rFonts w:hint="eastAsia"/>
        </w:rPr>
      </w:pPr>
    </w:p>
    <w:p w14:paraId="0704CA85">
      <w:pPr>
        <w:pStyle w:val="16"/>
        <w:spacing w:line="560" w:lineRule="exact"/>
        <w:ind w:firstLine="480"/>
      </w:pPr>
    </w:p>
    <w:p w14:paraId="5DDA110E">
      <w:pPr>
        <w:pStyle w:val="16"/>
        <w:spacing w:line="560" w:lineRule="exact"/>
        <w:ind w:firstLine="480"/>
      </w:pPr>
    </w:p>
    <w:p w14:paraId="11CD1D88">
      <w:pPr>
        <w:pStyle w:val="16"/>
        <w:spacing w:line="560" w:lineRule="exact"/>
        <w:ind w:left="0" w:leftChars="0" w:firstLine="0" w:firstLineChars="0"/>
      </w:pPr>
    </w:p>
    <w:p w14:paraId="04F29CE9">
      <w:pPr>
        <w:pStyle w:val="16"/>
        <w:spacing w:line="560" w:lineRule="exact"/>
        <w:ind w:firstLine="480"/>
      </w:pPr>
    </w:p>
    <w:p w14:paraId="6A7A5A74">
      <w:pPr>
        <w:pStyle w:val="16"/>
        <w:spacing w:line="560" w:lineRule="exact"/>
        <w:ind w:firstLine="480"/>
        <w:rPr>
          <w:color w:val="000000" w:themeColor="text1"/>
          <w14:textFill>
            <w14:solidFill>
              <w14:schemeClr w14:val="tx1"/>
            </w14:solidFill>
          </w14:textFill>
        </w:rPr>
      </w:pPr>
    </w:p>
    <w:p w14:paraId="72ECFCBD">
      <w:pPr>
        <w:spacing w:line="560" w:lineRule="exact"/>
        <w:jc w:val="center"/>
        <w:rPr>
          <w:rFonts w:hint="eastAsia" w:ascii="方正黑体简体" w:hAnsi="方正黑体简体" w:eastAsia="方正黑体简体" w:cs="方正黑体简体"/>
          <w:color w:val="000000" w:themeColor="text1"/>
          <w:sz w:val="32"/>
          <w:szCs w:val="32"/>
          <w14:textFill>
            <w14:solidFill>
              <w14:schemeClr w14:val="tx1"/>
            </w14:solidFill>
          </w14:textFill>
        </w:rPr>
      </w:pPr>
      <w:r>
        <w:rPr>
          <w:rFonts w:hint="eastAsia" w:ascii="方正黑体简体" w:hAnsi="方正黑体简体" w:eastAsia="方正黑体简体" w:cs="方正黑体简体"/>
          <w:color w:val="000000" w:themeColor="text1"/>
          <w:sz w:val="32"/>
          <w:szCs w:val="32"/>
          <w14:textFill>
            <w14:solidFill>
              <w14:schemeClr w14:val="tx1"/>
            </w14:solidFill>
          </w14:textFill>
        </w:rPr>
        <w:t>迁安市人民政府事故调查组</w:t>
      </w:r>
    </w:p>
    <w:p w14:paraId="08A8CE62">
      <w:pPr>
        <w:spacing w:line="560" w:lineRule="exact"/>
        <w:jc w:val="center"/>
        <w:rPr>
          <w:rFonts w:hint="eastAsia" w:ascii="方正黑体简体" w:hAnsi="方正黑体简体" w:eastAsia="方正黑体简体" w:cs="方正黑体简体"/>
          <w:color w:val="000000" w:themeColor="text1"/>
          <w:sz w:val="32"/>
          <w:szCs w:val="32"/>
          <w14:textFill>
            <w14:solidFill>
              <w14:schemeClr w14:val="tx1"/>
            </w14:solidFill>
          </w14:textFill>
        </w:rPr>
      </w:pPr>
      <w:r>
        <w:rPr>
          <w:rFonts w:hint="eastAsia" w:ascii="方正黑体简体" w:hAnsi="方正黑体简体" w:eastAsia="方正黑体简体" w:cs="方正黑体简体"/>
          <w:color w:val="000000" w:themeColor="text1"/>
          <w:sz w:val="32"/>
          <w:szCs w:val="32"/>
          <w14:textFill>
            <w14:solidFill>
              <w14:schemeClr w14:val="tx1"/>
            </w14:solidFill>
          </w14:textFill>
        </w:rPr>
        <w:t>2025年2月18日</w:t>
      </w:r>
    </w:p>
    <w:p w14:paraId="2593084C">
      <w:pPr>
        <w:pStyle w:val="16"/>
        <w:spacing w:line="560" w:lineRule="exact"/>
        <w:ind w:firstLine="480"/>
        <w:rPr>
          <w:color w:val="FF0000"/>
        </w:rPr>
        <w:sectPr>
          <w:pgSz w:w="11906" w:h="16838"/>
          <w:pgMar w:top="2098" w:right="1474" w:bottom="1984" w:left="1587" w:header="851" w:footer="992" w:gutter="0"/>
          <w:pgNumType w:fmt="numberInDash"/>
          <w:cols w:space="425" w:num="1"/>
          <w:docGrid w:type="lines" w:linePitch="312" w:charSpace="0"/>
        </w:sectPr>
      </w:pPr>
    </w:p>
    <w:p w14:paraId="22579152">
      <w:pPr>
        <w:widowControl/>
        <w:tabs>
          <w:tab w:val="right" w:leader="dot" w:pos="8845"/>
        </w:tabs>
        <w:spacing w:line="360" w:lineRule="auto"/>
        <w:ind w:firstLine="651"/>
        <w:jc w:val="center"/>
        <w:rPr>
          <w:sz w:val="32"/>
          <w:szCs w:val="32"/>
        </w:rPr>
      </w:pPr>
      <w:r>
        <w:rPr>
          <w:rFonts w:hint="eastAsia" w:ascii="宋体" w:hAnsi="宋体" w:eastAsia="宋体" w:cs="宋体"/>
          <w:b/>
          <w:bCs/>
          <w:sz w:val="32"/>
          <w:szCs w:val="32"/>
        </w:rPr>
        <w:t>目  录</w:t>
      </w:r>
    </w:p>
    <w:p w14:paraId="146EBB34">
      <w:pPr>
        <w:pStyle w:val="7"/>
        <w:tabs>
          <w:tab w:val="right" w:leader="dot" w:pos="8845"/>
        </w:tabs>
        <w:spacing w:line="440" w:lineRule="exact"/>
        <w:ind w:firstLine="488"/>
        <w:rPr>
          <w:rFonts w:hint="eastAsia" w:ascii="宋体" w:hAnsi="宋体" w:eastAsia="宋体" w:cs="宋体"/>
          <w:sz w:val="24"/>
        </w:rPr>
      </w:pPr>
    </w:p>
    <w:p w14:paraId="7898B7A7">
      <w:pPr>
        <w:pStyle w:val="7"/>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黑体" w:hAnsi="黑体" w:eastAsia="黑体" w:cs="黑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TOC \o "1-2" \h \u </w:instrText>
      </w:r>
      <w:r>
        <w:rPr>
          <w:rFonts w:hint="eastAsia" w:ascii="宋体" w:hAnsi="宋体" w:eastAsia="宋体" w:cs="宋体"/>
          <w:sz w:val="24"/>
          <w:szCs w:val="24"/>
        </w:rPr>
        <w:fldChar w:fldCharType="separate"/>
      </w: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_Toc19421 </w:instrText>
      </w:r>
      <w:r>
        <w:rPr>
          <w:rFonts w:hint="eastAsia" w:ascii="黑体" w:hAnsi="黑体" w:eastAsia="黑体" w:cs="黑体"/>
          <w:sz w:val="24"/>
          <w:szCs w:val="24"/>
        </w:rPr>
        <w:fldChar w:fldCharType="separate"/>
      </w:r>
      <w:r>
        <w:rPr>
          <w:rFonts w:hint="eastAsia" w:ascii="黑体" w:hAnsi="黑体" w:eastAsia="黑体" w:cs="黑体"/>
          <w:sz w:val="24"/>
          <w:szCs w:val="24"/>
        </w:rPr>
        <w:t>一、事故基本情况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_Toc19421 \h </w:instrText>
      </w:r>
      <w:r>
        <w:rPr>
          <w:rFonts w:hint="eastAsia" w:ascii="宋体" w:hAnsi="宋体" w:eastAsia="宋体" w:cs="宋体"/>
          <w:sz w:val="24"/>
          <w:szCs w:val="24"/>
        </w:rPr>
        <w:fldChar w:fldCharType="separate"/>
      </w:r>
      <w:r>
        <w:rPr>
          <w:rFonts w:hint="eastAsia" w:ascii="宋体" w:hAnsi="宋体" w:eastAsia="宋体" w:cs="宋体"/>
          <w:sz w:val="24"/>
          <w:szCs w:val="24"/>
        </w:rPr>
        <w:t>- 2 -</w:t>
      </w:r>
      <w:r>
        <w:rPr>
          <w:rFonts w:hint="eastAsia" w:ascii="宋体" w:hAnsi="宋体" w:eastAsia="宋体" w:cs="宋体"/>
          <w:sz w:val="24"/>
          <w:szCs w:val="24"/>
        </w:rPr>
        <w:fldChar w:fldCharType="end"/>
      </w:r>
      <w:r>
        <w:rPr>
          <w:rFonts w:hint="eastAsia" w:ascii="黑体" w:hAnsi="黑体" w:eastAsia="黑体" w:cs="黑体"/>
          <w:sz w:val="24"/>
          <w:szCs w:val="24"/>
        </w:rPr>
        <w:fldChar w:fldCharType="end"/>
      </w:r>
    </w:p>
    <w:p w14:paraId="01635F61">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_Toc17084 </w:instrText>
      </w:r>
      <w:r>
        <w:rPr>
          <w:rFonts w:hint="eastAsia" w:ascii="宋体" w:hAnsi="宋体" w:eastAsia="宋体" w:cs="宋体"/>
          <w:sz w:val="24"/>
          <w:szCs w:val="24"/>
        </w:rPr>
        <w:fldChar w:fldCharType="separate"/>
      </w:r>
      <w:r>
        <w:rPr>
          <w:rFonts w:hint="eastAsia" w:ascii="宋体" w:hAnsi="宋体" w:eastAsia="宋体" w:cs="宋体"/>
          <w:sz w:val="24"/>
          <w:szCs w:val="24"/>
        </w:rPr>
        <w:t>（一）事故发生单位概况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_Toc17084 \h </w:instrText>
      </w:r>
      <w:r>
        <w:rPr>
          <w:rFonts w:hint="eastAsia" w:ascii="宋体" w:hAnsi="宋体" w:eastAsia="宋体" w:cs="宋体"/>
          <w:sz w:val="24"/>
          <w:szCs w:val="24"/>
        </w:rPr>
        <w:fldChar w:fldCharType="separate"/>
      </w:r>
      <w:r>
        <w:rPr>
          <w:rFonts w:hint="eastAsia" w:ascii="宋体" w:hAnsi="宋体" w:eastAsia="宋体" w:cs="宋体"/>
          <w:sz w:val="24"/>
          <w:szCs w:val="24"/>
        </w:rPr>
        <w:t>- 2 -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0529C583">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_Toc24537 </w:instrText>
      </w:r>
      <w:r>
        <w:rPr>
          <w:rFonts w:hint="eastAsia" w:ascii="宋体" w:hAnsi="宋体" w:eastAsia="宋体" w:cs="宋体"/>
          <w:sz w:val="24"/>
          <w:szCs w:val="24"/>
        </w:rPr>
        <w:fldChar w:fldCharType="separate"/>
      </w:r>
      <w:r>
        <w:rPr>
          <w:rFonts w:hint="eastAsia" w:ascii="宋体" w:hAnsi="宋体" w:eastAsia="宋体" w:cs="宋体"/>
          <w:sz w:val="24"/>
          <w:szCs w:val="24"/>
        </w:rPr>
        <w:t>（二）事故发生单位安全管理情况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_Toc24537 \h </w:instrText>
      </w:r>
      <w:r>
        <w:rPr>
          <w:rFonts w:hint="eastAsia" w:ascii="宋体" w:hAnsi="宋体" w:eastAsia="宋体" w:cs="宋体"/>
          <w:sz w:val="24"/>
          <w:szCs w:val="24"/>
        </w:rPr>
        <w:fldChar w:fldCharType="separate"/>
      </w:r>
      <w:r>
        <w:rPr>
          <w:rFonts w:hint="eastAsia" w:ascii="宋体" w:hAnsi="宋体" w:eastAsia="宋体" w:cs="宋体"/>
          <w:sz w:val="24"/>
          <w:szCs w:val="24"/>
        </w:rPr>
        <w:t>- 3 -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3233EF7E">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_Toc32136 </w:instrText>
      </w:r>
      <w:r>
        <w:rPr>
          <w:rFonts w:hint="eastAsia" w:ascii="宋体" w:hAnsi="宋体" w:eastAsia="宋体" w:cs="宋体"/>
          <w:sz w:val="24"/>
          <w:szCs w:val="24"/>
        </w:rPr>
        <w:fldChar w:fldCharType="separate"/>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三</w:t>
      </w:r>
      <w:r>
        <w:rPr>
          <w:rFonts w:hint="eastAsia" w:ascii="宋体" w:hAnsi="宋体" w:eastAsia="宋体" w:cs="宋体"/>
          <w:sz w:val="24"/>
          <w:szCs w:val="24"/>
          <w:lang w:eastAsia="zh-CN"/>
        </w:rPr>
        <w:t>）安全监管部门、属地政府履职情况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_Toc32136 \h </w:instrText>
      </w:r>
      <w:r>
        <w:rPr>
          <w:rFonts w:hint="eastAsia" w:ascii="宋体" w:hAnsi="宋体" w:eastAsia="宋体" w:cs="宋体"/>
          <w:sz w:val="24"/>
          <w:szCs w:val="24"/>
        </w:rPr>
        <w:fldChar w:fldCharType="separate"/>
      </w:r>
      <w:r>
        <w:rPr>
          <w:rFonts w:hint="eastAsia" w:ascii="宋体" w:hAnsi="宋体" w:eastAsia="宋体" w:cs="宋体"/>
          <w:sz w:val="24"/>
          <w:szCs w:val="24"/>
        </w:rPr>
        <w:t>- 4 -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AA5BCC4">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_Toc5850 </w:instrText>
      </w:r>
      <w:r>
        <w:rPr>
          <w:rFonts w:hint="eastAsia" w:ascii="宋体" w:hAnsi="宋体" w:eastAsia="宋体" w:cs="宋体"/>
          <w:sz w:val="24"/>
          <w:szCs w:val="24"/>
        </w:rPr>
        <w:fldChar w:fldCharType="separate"/>
      </w:r>
      <w:r>
        <w:rPr>
          <w:rFonts w:hint="eastAsia" w:ascii="宋体" w:hAnsi="宋体" w:eastAsia="宋体" w:cs="宋体"/>
          <w:sz w:val="24"/>
          <w:szCs w:val="24"/>
        </w:rPr>
        <w:t>（</w:t>
      </w:r>
      <w:r>
        <w:rPr>
          <w:rFonts w:hint="eastAsia" w:ascii="宋体" w:hAnsi="宋体" w:eastAsia="宋体" w:cs="宋体"/>
          <w:sz w:val="24"/>
          <w:szCs w:val="24"/>
          <w:lang w:val="en-US" w:eastAsia="zh-CN"/>
        </w:rPr>
        <w:t>四</w:t>
      </w:r>
      <w:r>
        <w:rPr>
          <w:rFonts w:hint="eastAsia" w:ascii="宋体" w:hAnsi="宋体" w:eastAsia="宋体" w:cs="宋体"/>
          <w:sz w:val="24"/>
          <w:szCs w:val="24"/>
        </w:rPr>
        <w:t>）事故发生经过</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_Toc5850 \h </w:instrText>
      </w:r>
      <w:r>
        <w:rPr>
          <w:rFonts w:hint="eastAsia" w:ascii="宋体" w:hAnsi="宋体" w:eastAsia="宋体" w:cs="宋体"/>
          <w:sz w:val="24"/>
          <w:szCs w:val="24"/>
        </w:rPr>
        <w:fldChar w:fldCharType="separate"/>
      </w:r>
      <w:r>
        <w:rPr>
          <w:rFonts w:hint="eastAsia" w:ascii="宋体" w:hAnsi="宋体" w:eastAsia="宋体" w:cs="宋体"/>
          <w:sz w:val="24"/>
          <w:szCs w:val="24"/>
        </w:rPr>
        <w:t>- 5 -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F76C282">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_Toc16245 </w:instrText>
      </w:r>
      <w:r>
        <w:rPr>
          <w:rFonts w:hint="eastAsia" w:ascii="宋体" w:hAnsi="宋体" w:eastAsia="宋体" w:cs="宋体"/>
          <w:sz w:val="24"/>
          <w:szCs w:val="24"/>
        </w:rPr>
        <w:fldChar w:fldCharType="separate"/>
      </w:r>
      <w:r>
        <w:rPr>
          <w:rFonts w:hint="eastAsia" w:ascii="宋体" w:hAnsi="宋体" w:eastAsia="宋体" w:cs="宋体"/>
          <w:sz w:val="24"/>
          <w:szCs w:val="24"/>
        </w:rPr>
        <w:t>（</w:t>
      </w:r>
      <w:r>
        <w:rPr>
          <w:rFonts w:hint="eastAsia" w:ascii="宋体" w:hAnsi="宋体" w:eastAsia="宋体" w:cs="宋体"/>
          <w:sz w:val="24"/>
          <w:szCs w:val="24"/>
          <w:lang w:val="en-US" w:eastAsia="zh-CN"/>
        </w:rPr>
        <w:t>五</w:t>
      </w:r>
      <w:r>
        <w:rPr>
          <w:rFonts w:hint="eastAsia" w:ascii="宋体" w:hAnsi="宋体" w:eastAsia="宋体" w:cs="宋体"/>
          <w:sz w:val="24"/>
          <w:szCs w:val="24"/>
        </w:rPr>
        <w:t>）事故现场勘验情况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_Toc16245 \h </w:instrText>
      </w:r>
      <w:r>
        <w:rPr>
          <w:rFonts w:hint="eastAsia" w:ascii="宋体" w:hAnsi="宋体" w:eastAsia="宋体" w:cs="宋体"/>
          <w:sz w:val="24"/>
          <w:szCs w:val="24"/>
        </w:rPr>
        <w:fldChar w:fldCharType="separate"/>
      </w:r>
      <w:r>
        <w:rPr>
          <w:rFonts w:hint="eastAsia" w:ascii="宋体" w:hAnsi="宋体" w:eastAsia="宋体" w:cs="宋体"/>
          <w:sz w:val="24"/>
          <w:szCs w:val="24"/>
        </w:rPr>
        <w:t>- 6 -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20996B82">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_Toc17630 </w:instrText>
      </w:r>
      <w:r>
        <w:rPr>
          <w:rFonts w:hint="eastAsia" w:ascii="宋体" w:hAnsi="宋体" w:eastAsia="宋体" w:cs="宋体"/>
          <w:sz w:val="24"/>
          <w:szCs w:val="24"/>
        </w:rPr>
        <w:fldChar w:fldCharType="separate"/>
      </w:r>
      <w:r>
        <w:rPr>
          <w:rFonts w:hint="eastAsia" w:ascii="宋体" w:hAnsi="宋体" w:eastAsia="宋体" w:cs="宋体"/>
          <w:sz w:val="24"/>
          <w:szCs w:val="24"/>
        </w:rPr>
        <w:t>（</w:t>
      </w:r>
      <w:r>
        <w:rPr>
          <w:rFonts w:hint="eastAsia" w:ascii="宋体" w:hAnsi="宋体" w:eastAsia="宋体" w:cs="宋体"/>
          <w:sz w:val="24"/>
          <w:szCs w:val="24"/>
          <w:lang w:val="en-US" w:eastAsia="zh-CN"/>
        </w:rPr>
        <w:t>六</w:t>
      </w:r>
      <w:r>
        <w:rPr>
          <w:rFonts w:hint="eastAsia" w:ascii="宋体" w:hAnsi="宋体" w:eastAsia="宋体" w:cs="宋体"/>
          <w:sz w:val="24"/>
          <w:szCs w:val="24"/>
        </w:rPr>
        <w:t>）人员伤亡和直接经济损失情况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_Toc17630 \h </w:instrText>
      </w:r>
      <w:r>
        <w:rPr>
          <w:rFonts w:hint="eastAsia" w:ascii="宋体" w:hAnsi="宋体" w:eastAsia="宋体" w:cs="宋体"/>
          <w:sz w:val="24"/>
          <w:szCs w:val="24"/>
        </w:rPr>
        <w:fldChar w:fldCharType="separate"/>
      </w:r>
      <w:r>
        <w:rPr>
          <w:rFonts w:hint="eastAsia" w:ascii="宋体" w:hAnsi="宋体" w:eastAsia="宋体" w:cs="宋体"/>
          <w:sz w:val="24"/>
          <w:szCs w:val="24"/>
        </w:rPr>
        <w:t>- 7 -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16C2493">
      <w:pPr>
        <w:pStyle w:val="7"/>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黑体" w:hAnsi="黑体" w:eastAsia="黑体" w:cs="黑体"/>
          <w:sz w:val="24"/>
          <w:szCs w:val="24"/>
        </w:rPr>
      </w:pP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_Toc24617 </w:instrText>
      </w:r>
      <w:r>
        <w:rPr>
          <w:rFonts w:hint="eastAsia" w:ascii="黑体" w:hAnsi="黑体" w:eastAsia="黑体" w:cs="黑体"/>
          <w:sz w:val="24"/>
          <w:szCs w:val="24"/>
        </w:rPr>
        <w:fldChar w:fldCharType="separate"/>
      </w:r>
      <w:r>
        <w:rPr>
          <w:rFonts w:hint="eastAsia" w:ascii="黑体" w:hAnsi="黑体" w:eastAsia="黑体" w:cs="黑体"/>
          <w:sz w:val="24"/>
          <w:szCs w:val="24"/>
        </w:rPr>
        <w:t>二、事故应急处置及评估情况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_Toc24617 \h </w:instrText>
      </w:r>
      <w:r>
        <w:rPr>
          <w:rFonts w:hint="eastAsia" w:ascii="宋体" w:hAnsi="宋体" w:eastAsia="宋体" w:cs="宋体"/>
          <w:sz w:val="24"/>
          <w:szCs w:val="24"/>
        </w:rPr>
        <w:fldChar w:fldCharType="separate"/>
      </w:r>
      <w:r>
        <w:rPr>
          <w:rFonts w:hint="eastAsia" w:ascii="宋体" w:hAnsi="宋体" w:eastAsia="宋体" w:cs="宋体"/>
          <w:sz w:val="24"/>
          <w:szCs w:val="24"/>
        </w:rPr>
        <w:t>- 7 -</w:t>
      </w:r>
      <w:r>
        <w:rPr>
          <w:rFonts w:hint="eastAsia" w:ascii="宋体" w:hAnsi="宋体" w:eastAsia="宋体" w:cs="宋体"/>
          <w:sz w:val="24"/>
          <w:szCs w:val="24"/>
        </w:rPr>
        <w:fldChar w:fldCharType="end"/>
      </w:r>
      <w:r>
        <w:rPr>
          <w:rFonts w:hint="eastAsia" w:ascii="黑体" w:hAnsi="黑体" w:eastAsia="黑体" w:cs="黑体"/>
          <w:sz w:val="24"/>
          <w:szCs w:val="24"/>
        </w:rPr>
        <w:fldChar w:fldCharType="end"/>
      </w:r>
    </w:p>
    <w:p w14:paraId="604528A7">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_Toc20517 </w:instrText>
      </w:r>
      <w:r>
        <w:rPr>
          <w:rFonts w:hint="eastAsia" w:ascii="宋体" w:hAnsi="宋体" w:eastAsia="宋体" w:cs="宋体"/>
          <w:sz w:val="24"/>
          <w:szCs w:val="24"/>
        </w:rPr>
        <w:fldChar w:fldCharType="separate"/>
      </w:r>
      <w:r>
        <w:rPr>
          <w:rFonts w:hint="eastAsia" w:ascii="宋体" w:hAnsi="宋体" w:eastAsia="宋体" w:cs="宋体"/>
          <w:sz w:val="24"/>
          <w:szCs w:val="24"/>
        </w:rPr>
        <w:t>（一）事故信息接报及响应情况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_Toc20517 \h </w:instrText>
      </w:r>
      <w:r>
        <w:rPr>
          <w:rFonts w:hint="eastAsia" w:ascii="宋体" w:hAnsi="宋体" w:eastAsia="宋体" w:cs="宋体"/>
          <w:sz w:val="24"/>
          <w:szCs w:val="24"/>
        </w:rPr>
        <w:fldChar w:fldCharType="separate"/>
      </w:r>
      <w:r>
        <w:rPr>
          <w:rFonts w:hint="eastAsia" w:ascii="宋体" w:hAnsi="宋体" w:eastAsia="宋体" w:cs="宋体"/>
          <w:sz w:val="24"/>
          <w:szCs w:val="24"/>
        </w:rPr>
        <w:t>- 7 -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5E3683D3">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_Toc11595 </w:instrText>
      </w:r>
      <w:r>
        <w:rPr>
          <w:rFonts w:hint="eastAsia" w:ascii="宋体" w:hAnsi="宋体" w:eastAsia="宋体" w:cs="宋体"/>
          <w:sz w:val="24"/>
          <w:szCs w:val="24"/>
        </w:rPr>
        <w:fldChar w:fldCharType="separate"/>
      </w:r>
      <w:r>
        <w:rPr>
          <w:rFonts w:hint="eastAsia" w:ascii="宋体" w:hAnsi="宋体" w:eastAsia="宋体" w:cs="宋体"/>
          <w:sz w:val="24"/>
          <w:szCs w:val="24"/>
        </w:rPr>
        <w:t>（二）事故现场应急处置情况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_Toc11595 \h </w:instrText>
      </w:r>
      <w:r>
        <w:rPr>
          <w:rFonts w:hint="eastAsia" w:ascii="宋体" w:hAnsi="宋体" w:eastAsia="宋体" w:cs="宋体"/>
          <w:sz w:val="24"/>
          <w:szCs w:val="24"/>
        </w:rPr>
        <w:fldChar w:fldCharType="separate"/>
      </w:r>
      <w:r>
        <w:rPr>
          <w:rFonts w:hint="eastAsia" w:ascii="宋体" w:hAnsi="宋体" w:eastAsia="宋体" w:cs="宋体"/>
          <w:sz w:val="24"/>
          <w:szCs w:val="24"/>
        </w:rPr>
        <w:t>- 8 -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B042C9B">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_Toc30332 </w:instrText>
      </w:r>
      <w:r>
        <w:rPr>
          <w:rFonts w:hint="eastAsia" w:ascii="宋体" w:hAnsi="宋体" w:eastAsia="宋体" w:cs="宋体"/>
          <w:sz w:val="24"/>
          <w:szCs w:val="24"/>
        </w:rPr>
        <w:fldChar w:fldCharType="separate"/>
      </w:r>
      <w:r>
        <w:rPr>
          <w:rFonts w:hint="eastAsia" w:ascii="宋体" w:hAnsi="宋体" w:eastAsia="宋体" w:cs="宋体"/>
          <w:sz w:val="24"/>
          <w:szCs w:val="24"/>
        </w:rPr>
        <w:t>（三）医疗救治和善后情况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_Toc30332 \h </w:instrText>
      </w:r>
      <w:r>
        <w:rPr>
          <w:rFonts w:hint="eastAsia" w:ascii="宋体" w:hAnsi="宋体" w:eastAsia="宋体" w:cs="宋体"/>
          <w:sz w:val="24"/>
          <w:szCs w:val="24"/>
        </w:rPr>
        <w:fldChar w:fldCharType="separate"/>
      </w:r>
      <w:r>
        <w:rPr>
          <w:rFonts w:hint="eastAsia" w:ascii="宋体" w:hAnsi="宋体" w:eastAsia="宋体" w:cs="宋体"/>
          <w:sz w:val="24"/>
          <w:szCs w:val="24"/>
        </w:rPr>
        <w:t>- 8 -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60C1155A">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_Toc300 </w:instrText>
      </w:r>
      <w:r>
        <w:rPr>
          <w:rFonts w:hint="eastAsia" w:ascii="宋体" w:hAnsi="宋体" w:eastAsia="宋体" w:cs="宋体"/>
          <w:sz w:val="24"/>
          <w:szCs w:val="24"/>
        </w:rPr>
        <w:fldChar w:fldCharType="separate"/>
      </w:r>
      <w:r>
        <w:rPr>
          <w:rFonts w:hint="eastAsia" w:ascii="宋体" w:hAnsi="宋体" w:eastAsia="宋体" w:cs="宋体"/>
          <w:sz w:val="24"/>
          <w:szCs w:val="24"/>
        </w:rPr>
        <w:t>（四）事故应急处置评估情况</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_Toc300 \h </w:instrText>
      </w:r>
      <w:r>
        <w:rPr>
          <w:rFonts w:hint="eastAsia" w:ascii="宋体" w:hAnsi="宋体" w:eastAsia="宋体" w:cs="宋体"/>
          <w:sz w:val="24"/>
          <w:szCs w:val="24"/>
        </w:rPr>
        <w:fldChar w:fldCharType="separate"/>
      </w:r>
      <w:r>
        <w:rPr>
          <w:rFonts w:hint="eastAsia" w:ascii="宋体" w:hAnsi="宋体" w:eastAsia="宋体" w:cs="宋体"/>
          <w:sz w:val="24"/>
          <w:szCs w:val="24"/>
        </w:rPr>
        <w:t>- 9 -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19A501A0">
      <w:pPr>
        <w:pStyle w:val="7"/>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黑体" w:hAnsi="黑体" w:eastAsia="黑体" w:cs="黑体"/>
          <w:sz w:val="24"/>
          <w:szCs w:val="24"/>
        </w:rPr>
      </w:pP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_Toc21955 </w:instrText>
      </w:r>
      <w:r>
        <w:rPr>
          <w:rFonts w:hint="eastAsia" w:ascii="黑体" w:hAnsi="黑体" w:eastAsia="黑体" w:cs="黑体"/>
          <w:sz w:val="24"/>
          <w:szCs w:val="24"/>
        </w:rPr>
        <w:fldChar w:fldCharType="separate"/>
      </w:r>
      <w:r>
        <w:rPr>
          <w:rFonts w:hint="eastAsia" w:ascii="黑体" w:hAnsi="黑体" w:eastAsia="黑体" w:cs="黑体"/>
          <w:sz w:val="24"/>
          <w:szCs w:val="24"/>
        </w:rPr>
        <w:t>三、 事故原因分析</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_Toc21955 \h </w:instrText>
      </w:r>
      <w:r>
        <w:rPr>
          <w:rFonts w:hint="eastAsia" w:ascii="宋体" w:hAnsi="宋体" w:eastAsia="宋体" w:cs="宋体"/>
          <w:sz w:val="24"/>
          <w:szCs w:val="24"/>
        </w:rPr>
        <w:fldChar w:fldCharType="separate"/>
      </w:r>
      <w:r>
        <w:rPr>
          <w:rFonts w:hint="eastAsia" w:ascii="宋体" w:hAnsi="宋体" w:eastAsia="宋体" w:cs="宋体"/>
          <w:sz w:val="24"/>
          <w:szCs w:val="24"/>
        </w:rPr>
        <w:t>- 9 -</w:t>
      </w:r>
      <w:r>
        <w:rPr>
          <w:rFonts w:hint="eastAsia" w:ascii="宋体" w:hAnsi="宋体" w:eastAsia="宋体" w:cs="宋体"/>
          <w:sz w:val="24"/>
          <w:szCs w:val="24"/>
        </w:rPr>
        <w:fldChar w:fldCharType="end"/>
      </w:r>
      <w:r>
        <w:rPr>
          <w:rFonts w:hint="eastAsia" w:ascii="黑体" w:hAnsi="黑体" w:eastAsia="黑体" w:cs="黑体"/>
          <w:sz w:val="24"/>
          <w:szCs w:val="24"/>
        </w:rPr>
        <w:fldChar w:fldCharType="end"/>
      </w:r>
    </w:p>
    <w:p w14:paraId="7AC68DBE">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_Toc17337 </w:instrText>
      </w:r>
      <w:r>
        <w:rPr>
          <w:rFonts w:hint="eastAsia" w:ascii="宋体" w:hAnsi="宋体" w:eastAsia="宋体" w:cs="宋体"/>
          <w:sz w:val="24"/>
          <w:szCs w:val="24"/>
        </w:rPr>
        <w:fldChar w:fldCharType="separate"/>
      </w:r>
      <w:r>
        <w:rPr>
          <w:rFonts w:hint="eastAsia" w:ascii="宋体" w:hAnsi="宋体" w:eastAsia="宋体" w:cs="宋体"/>
          <w:sz w:val="24"/>
          <w:szCs w:val="24"/>
        </w:rPr>
        <w:t>（一）直接原因</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_Toc17337 \h </w:instrText>
      </w:r>
      <w:r>
        <w:rPr>
          <w:rFonts w:hint="eastAsia" w:ascii="宋体" w:hAnsi="宋体" w:eastAsia="宋体" w:cs="宋体"/>
          <w:sz w:val="24"/>
          <w:szCs w:val="24"/>
        </w:rPr>
        <w:fldChar w:fldCharType="separate"/>
      </w:r>
      <w:r>
        <w:rPr>
          <w:rFonts w:hint="eastAsia" w:ascii="宋体" w:hAnsi="宋体" w:eastAsia="宋体" w:cs="宋体"/>
          <w:sz w:val="24"/>
          <w:szCs w:val="24"/>
        </w:rPr>
        <w:t>- 9 -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79A1ED73">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_Toc6548 </w:instrText>
      </w:r>
      <w:r>
        <w:rPr>
          <w:rFonts w:hint="eastAsia" w:ascii="宋体" w:hAnsi="宋体" w:eastAsia="宋体" w:cs="宋体"/>
          <w:sz w:val="24"/>
          <w:szCs w:val="24"/>
        </w:rPr>
        <w:fldChar w:fldCharType="separate"/>
      </w:r>
      <w:r>
        <w:rPr>
          <w:rFonts w:hint="eastAsia" w:ascii="宋体" w:hAnsi="宋体" w:eastAsia="宋体" w:cs="宋体"/>
          <w:sz w:val="24"/>
          <w:szCs w:val="24"/>
        </w:rPr>
        <w:t>（二）间接原因</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_Toc6548 \h </w:instrText>
      </w:r>
      <w:r>
        <w:rPr>
          <w:rFonts w:hint="eastAsia" w:ascii="宋体" w:hAnsi="宋体" w:eastAsia="宋体" w:cs="宋体"/>
          <w:sz w:val="24"/>
          <w:szCs w:val="24"/>
        </w:rPr>
        <w:fldChar w:fldCharType="separate"/>
      </w:r>
      <w:r>
        <w:rPr>
          <w:rFonts w:hint="eastAsia" w:ascii="宋体" w:hAnsi="宋体" w:eastAsia="宋体" w:cs="宋体"/>
          <w:sz w:val="24"/>
          <w:szCs w:val="24"/>
        </w:rPr>
        <w:t>- 10 -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402FECAB">
      <w:pPr>
        <w:pStyle w:val="7"/>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黑体" w:hAnsi="黑体" w:eastAsia="黑体" w:cs="黑体"/>
          <w:sz w:val="24"/>
          <w:szCs w:val="24"/>
        </w:rPr>
      </w:pP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_Toc20479 </w:instrText>
      </w:r>
      <w:r>
        <w:rPr>
          <w:rFonts w:hint="eastAsia" w:ascii="黑体" w:hAnsi="黑体" w:eastAsia="黑体" w:cs="黑体"/>
          <w:sz w:val="24"/>
          <w:szCs w:val="24"/>
        </w:rPr>
        <w:fldChar w:fldCharType="separate"/>
      </w:r>
      <w:r>
        <w:rPr>
          <w:rFonts w:hint="eastAsia" w:ascii="黑体" w:hAnsi="黑体" w:eastAsia="黑体" w:cs="黑体"/>
          <w:sz w:val="24"/>
          <w:szCs w:val="24"/>
        </w:rPr>
        <w:t>四、对有关责任人员和责任单位的处理建议</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_Toc20479 \h </w:instrText>
      </w:r>
      <w:r>
        <w:rPr>
          <w:rFonts w:hint="eastAsia" w:ascii="宋体" w:hAnsi="宋体" w:eastAsia="宋体" w:cs="宋体"/>
          <w:sz w:val="24"/>
          <w:szCs w:val="24"/>
        </w:rPr>
        <w:fldChar w:fldCharType="separate"/>
      </w:r>
      <w:r>
        <w:rPr>
          <w:rFonts w:hint="eastAsia" w:ascii="宋体" w:hAnsi="宋体" w:eastAsia="宋体" w:cs="宋体"/>
          <w:sz w:val="24"/>
          <w:szCs w:val="24"/>
        </w:rPr>
        <w:t>- 12 -</w:t>
      </w:r>
      <w:r>
        <w:rPr>
          <w:rFonts w:hint="eastAsia" w:ascii="宋体" w:hAnsi="宋体" w:eastAsia="宋体" w:cs="宋体"/>
          <w:sz w:val="24"/>
          <w:szCs w:val="24"/>
        </w:rPr>
        <w:fldChar w:fldCharType="end"/>
      </w:r>
      <w:r>
        <w:rPr>
          <w:rFonts w:hint="eastAsia" w:ascii="黑体" w:hAnsi="黑体" w:eastAsia="黑体" w:cs="黑体"/>
          <w:sz w:val="24"/>
          <w:szCs w:val="24"/>
        </w:rPr>
        <w:fldChar w:fldCharType="end"/>
      </w:r>
    </w:p>
    <w:p w14:paraId="443A1E48">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_Toc32569 </w:instrText>
      </w:r>
      <w:r>
        <w:rPr>
          <w:rFonts w:hint="eastAsia" w:ascii="宋体" w:hAnsi="宋体" w:eastAsia="宋体" w:cs="宋体"/>
          <w:sz w:val="24"/>
          <w:szCs w:val="24"/>
        </w:rPr>
        <w:fldChar w:fldCharType="separate"/>
      </w:r>
      <w:r>
        <w:rPr>
          <w:rFonts w:hint="eastAsia" w:ascii="宋体" w:hAnsi="宋体" w:eastAsia="宋体" w:cs="宋体"/>
          <w:sz w:val="24"/>
          <w:szCs w:val="24"/>
        </w:rPr>
        <w:t>（一）不予追究责任人员（2人）</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_Toc32569 \h </w:instrText>
      </w:r>
      <w:r>
        <w:rPr>
          <w:rFonts w:hint="eastAsia" w:ascii="宋体" w:hAnsi="宋体" w:eastAsia="宋体" w:cs="宋体"/>
          <w:sz w:val="24"/>
          <w:szCs w:val="24"/>
        </w:rPr>
        <w:fldChar w:fldCharType="separate"/>
      </w:r>
      <w:r>
        <w:rPr>
          <w:rFonts w:hint="eastAsia" w:ascii="宋体" w:hAnsi="宋体" w:eastAsia="宋体" w:cs="宋体"/>
          <w:sz w:val="24"/>
          <w:szCs w:val="24"/>
        </w:rPr>
        <w:t>- 12 -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3B289C7C">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_Toc19144 </w:instrText>
      </w:r>
      <w:r>
        <w:rPr>
          <w:rFonts w:hint="eastAsia" w:ascii="宋体" w:hAnsi="宋体" w:eastAsia="宋体" w:cs="宋体"/>
          <w:sz w:val="24"/>
          <w:szCs w:val="24"/>
        </w:rPr>
        <w:fldChar w:fldCharType="separate"/>
      </w:r>
      <w:r>
        <w:rPr>
          <w:rFonts w:hint="eastAsia" w:ascii="宋体" w:hAnsi="宋体" w:eastAsia="宋体" w:cs="宋体"/>
          <w:sz w:val="24"/>
          <w:szCs w:val="24"/>
        </w:rPr>
        <w:t>（二）对有关公职人员的处理建议（3人）</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_Toc19144 \h </w:instrText>
      </w:r>
      <w:r>
        <w:rPr>
          <w:rFonts w:hint="eastAsia" w:ascii="宋体" w:hAnsi="宋体" w:eastAsia="宋体" w:cs="宋体"/>
          <w:sz w:val="24"/>
          <w:szCs w:val="24"/>
        </w:rPr>
        <w:fldChar w:fldCharType="separate"/>
      </w:r>
      <w:r>
        <w:rPr>
          <w:rFonts w:hint="eastAsia" w:ascii="宋体" w:hAnsi="宋体" w:eastAsia="宋体" w:cs="宋体"/>
          <w:sz w:val="24"/>
          <w:szCs w:val="24"/>
        </w:rPr>
        <w:t>- 12 -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5B6FFCBC">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_Toc10842 </w:instrText>
      </w:r>
      <w:r>
        <w:rPr>
          <w:rFonts w:hint="eastAsia" w:ascii="宋体" w:hAnsi="宋体" w:eastAsia="宋体" w:cs="宋体"/>
          <w:sz w:val="24"/>
          <w:szCs w:val="24"/>
        </w:rPr>
        <w:fldChar w:fldCharType="separate"/>
      </w:r>
      <w:r>
        <w:rPr>
          <w:rFonts w:hint="eastAsia" w:ascii="宋体" w:hAnsi="宋体" w:eastAsia="宋体" w:cs="宋体"/>
          <w:sz w:val="24"/>
          <w:szCs w:val="24"/>
        </w:rPr>
        <w:t>（三）建议给予行政处罚人员（4人）</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_Toc10842 \h </w:instrText>
      </w:r>
      <w:r>
        <w:rPr>
          <w:rFonts w:hint="eastAsia" w:ascii="宋体" w:hAnsi="宋体" w:eastAsia="宋体" w:cs="宋体"/>
          <w:sz w:val="24"/>
          <w:szCs w:val="24"/>
        </w:rPr>
        <w:fldChar w:fldCharType="separate"/>
      </w:r>
      <w:r>
        <w:rPr>
          <w:rFonts w:hint="eastAsia" w:ascii="宋体" w:hAnsi="宋体" w:eastAsia="宋体" w:cs="宋体"/>
          <w:sz w:val="24"/>
          <w:szCs w:val="24"/>
        </w:rPr>
        <w:t>- 13 -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3C9C8E5B">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_Toc6931 </w:instrText>
      </w:r>
      <w:r>
        <w:rPr>
          <w:rFonts w:hint="eastAsia" w:ascii="宋体" w:hAnsi="宋体" w:eastAsia="宋体" w:cs="宋体"/>
          <w:sz w:val="24"/>
          <w:szCs w:val="24"/>
        </w:rPr>
        <w:fldChar w:fldCharType="separate"/>
      </w:r>
      <w:r>
        <w:rPr>
          <w:rFonts w:hint="eastAsia" w:ascii="宋体" w:hAnsi="宋体" w:eastAsia="宋体" w:cs="宋体"/>
          <w:sz w:val="24"/>
          <w:szCs w:val="24"/>
        </w:rPr>
        <w:t>（四）建议企业内部处理人员（</w:t>
      </w:r>
      <w:r>
        <w:rPr>
          <w:rFonts w:hint="eastAsia" w:ascii="宋体" w:hAnsi="宋体" w:eastAsia="宋体" w:cs="宋体"/>
          <w:sz w:val="24"/>
          <w:szCs w:val="24"/>
          <w:lang w:val="en-US" w:eastAsia="zh-CN"/>
        </w:rPr>
        <w:t>4</w:t>
      </w:r>
      <w:r>
        <w:rPr>
          <w:rFonts w:hint="eastAsia" w:ascii="宋体" w:hAnsi="宋体" w:eastAsia="宋体" w:cs="宋体"/>
          <w:sz w:val="24"/>
          <w:szCs w:val="24"/>
        </w:rPr>
        <w:t>人）</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_Toc6931 \h </w:instrText>
      </w:r>
      <w:r>
        <w:rPr>
          <w:rFonts w:hint="eastAsia" w:ascii="宋体" w:hAnsi="宋体" w:eastAsia="宋体" w:cs="宋体"/>
          <w:sz w:val="24"/>
          <w:szCs w:val="24"/>
        </w:rPr>
        <w:fldChar w:fldCharType="separate"/>
      </w:r>
      <w:r>
        <w:rPr>
          <w:rFonts w:hint="eastAsia" w:ascii="宋体" w:hAnsi="宋体" w:eastAsia="宋体" w:cs="宋体"/>
          <w:sz w:val="24"/>
          <w:szCs w:val="24"/>
        </w:rPr>
        <w:t>- 15 -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4876897E">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_Toc22535 </w:instrText>
      </w:r>
      <w:r>
        <w:rPr>
          <w:rFonts w:hint="eastAsia" w:ascii="宋体" w:hAnsi="宋体" w:eastAsia="宋体" w:cs="宋体"/>
          <w:sz w:val="24"/>
          <w:szCs w:val="24"/>
        </w:rPr>
        <w:fldChar w:fldCharType="separate"/>
      </w:r>
      <w:r>
        <w:rPr>
          <w:rFonts w:hint="eastAsia" w:ascii="宋体" w:hAnsi="宋体" w:eastAsia="宋体" w:cs="宋体"/>
          <w:sz w:val="24"/>
          <w:szCs w:val="24"/>
        </w:rPr>
        <w:t>（五）对事故责任单位的处理建议</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_Toc22535 \h </w:instrText>
      </w:r>
      <w:r>
        <w:rPr>
          <w:rFonts w:hint="eastAsia" w:ascii="宋体" w:hAnsi="宋体" w:eastAsia="宋体" w:cs="宋体"/>
          <w:sz w:val="24"/>
          <w:szCs w:val="24"/>
        </w:rPr>
        <w:fldChar w:fldCharType="separate"/>
      </w:r>
      <w:r>
        <w:rPr>
          <w:rFonts w:hint="eastAsia" w:ascii="宋体" w:hAnsi="宋体" w:eastAsia="宋体" w:cs="宋体"/>
          <w:sz w:val="24"/>
          <w:szCs w:val="24"/>
        </w:rPr>
        <w:t>- 16 -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46BB9579">
      <w:pPr>
        <w:pStyle w:val="9"/>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宋体" w:hAnsi="宋体" w:eastAsia="宋体" w:cs="宋体"/>
          <w:sz w:val="24"/>
          <w:szCs w:val="24"/>
        </w:rPr>
      </w:pP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HYPERLINK \l _Toc31618 </w:instrText>
      </w:r>
      <w:r>
        <w:rPr>
          <w:rFonts w:hint="eastAsia" w:ascii="宋体" w:hAnsi="宋体" w:eastAsia="宋体" w:cs="宋体"/>
          <w:sz w:val="24"/>
          <w:szCs w:val="24"/>
        </w:rPr>
        <w:fldChar w:fldCharType="separate"/>
      </w:r>
      <w:r>
        <w:rPr>
          <w:rFonts w:hint="eastAsia" w:ascii="宋体" w:hAnsi="宋体" w:eastAsia="宋体" w:cs="宋体"/>
          <w:sz w:val="24"/>
          <w:szCs w:val="24"/>
        </w:rPr>
        <w:t>（六）其他处理建议</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_Toc31618 \h </w:instrText>
      </w:r>
      <w:r>
        <w:rPr>
          <w:rFonts w:hint="eastAsia" w:ascii="宋体" w:hAnsi="宋体" w:eastAsia="宋体" w:cs="宋体"/>
          <w:sz w:val="24"/>
          <w:szCs w:val="24"/>
        </w:rPr>
        <w:fldChar w:fldCharType="separate"/>
      </w:r>
      <w:r>
        <w:rPr>
          <w:rFonts w:hint="eastAsia" w:ascii="宋体" w:hAnsi="宋体" w:eastAsia="宋体" w:cs="宋体"/>
          <w:sz w:val="24"/>
          <w:szCs w:val="24"/>
        </w:rPr>
        <w:t>- 17 -</w:t>
      </w:r>
      <w:r>
        <w:rPr>
          <w:rFonts w:hint="eastAsia" w:ascii="宋体" w:hAnsi="宋体" w:eastAsia="宋体" w:cs="宋体"/>
          <w:sz w:val="24"/>
          <w:szCs w:val="24"/>
        </w:rPr>
        <w:fldChar w:fldCharType="end"/>
      </w:r>
      <w:r>
        <w:rPr>
          <w:rFonts w:hint="eastAsia" w:ascii="宋体" w:hAnsi="宋体" w:eastAsia="宋体" w:cs="宋体"/>
          <w:sz w:val="24"/>
          <w:szCs w:val="24"/>
        </w:rPr>
        <w:fldChar w:fldCharType="end"/>
      </w:r>
    </w:p>
    <w:p w14:paraId="7B040963">
      <w:pPr>
        <w:pStyle w:val="7"/>
        <w:keepNext w:val="0"/>
        <w:keepLines w:val="0"/>
        <w:pageBreakBefore w:val="0"/>
        <w:widowControl w:val="0"/>
        <w:tabs>
          <w:tab w:val="right" w:leader="dot" w:pos="8845"/>
        </w:tabs>
        <w:kinsoku/>
        <w:wordWrap/>
        <w:overflowPunct/>
        <w:topLinePunct w:val="0"/>
        <w:autoSpaceDE/>
        <w:autoSpaceDN/>
        <w:bidi w:val="0"/>
        <w:adjustRightInd/>
        <w:snapToGrid/>
        <w:spacing w:line="480" w:lineRule="exact"/>
        <w:textAlignment w:val="auto"/>
        <w:rPr>
          <w:rFonts w:hint="eastAsia" w:ascii="黑体" w:hAnsi="黑体" w:eastAsia="黑体" w:cs="黑体"/>
          <w:sz w:val="24"/>
          <w:szCs w:val="24"/>
        </w:rPr>
      </w:pPr>
      <w:r>
        <w:rPr>
          <w:rFonts w:hint="eastAsia" w:ascii="黑体" w:hAnsi="黑体" w:eastAsia="黑体" w:cs="黑体"/>
          <w:sz w:val="24"/>
          <w:szCs w:val="24"/>
        </w:rPr>
        <w:fldChar w:fldCharType="begin"/>
      </w:r>
      <w:r>
        <w:rPr>
          <w:rFonts w:hint="eastAsia" w:ascii="黑体" w:hAnsi="黑体" w:eastAsia="黑体" w:cs="黑体"/>
          <w:sz w:val="24"/>
          <w:szCs w:val="24"/>
        </w:rPr>
        <w:instrText xml:space="preserve"> HYPERLINK \l _Toc11007 </w:instrText>
      </w:r>
      <w:r>
        <w:rPr>
          <w:rFonts w:hint="eastAsia" w:ascii="黑体" w:hAnsi="黑体" w:eastAsia="黑体" w:cs="黑体"/>
          <w:sz w:val="24"/>
          <w:szCs w:val="24"/>
        </w:rPr>
        <w:fldChar w:fldCharType="separate"/>
      </w:r>
      <w:r>
        <w:rPr>
          <w:rFonts w:hint="eastAsia" w:ascii="黑体" w:hAnsi="黑体" w:eastAsia="黑体" w:cs="黑体"/>
          <w:sz w:val="24"/>
          <w:szCs w:val="24"/>
        </w:rPr>
        <w:t>五、事故防范和整改措施建议</w:t>
      </w:r>
      <w:r>
        <w:rPr>
          <w:rFonts w:hint="eastAsia" w:ascii="宋体" w:hAnsi="宋体" w:eastAsia="宋体" w:cs="宋体"/>
          <w:sz w:val="24"/>
          <w:szCs w:val="24"/>
        </w:rPr>
        <w:tab/>
      </w:r>
      <w:r>
        <w:rPr>
          <w:rFonts w:hint="eastAsia" w:ascii="宋体" w:hAnsi="宋体" w:eastAsia="宋体" w:cs="宋体"/>
          <w:sz w:val="24"/>
          <w:szCs w:val="24"/>
        </w:rPr>
        <w:fldChar w:fldCharType="begin"/>
      </w:r>
      <w:r>
        <w:rPr>
          <w:rFonts w:hint="eastAsia" w:ascii="宋体" w:hAnsi="宋体" w:eastAsia="宋体" w:cs="宋体"/>
          <w:sz w:val="24"/>
          <w:szCs w:val="24"/>
        </w:rPr>
        <w:instrText xml:space="preserve"> PAGEREF _Toc11007 \h </w:instrText>
      </w:r>
      <w:r>
        <w:rPr>
          <w:rFonts w:hint="eastAsia" w:ascii="宋体" w:hAnsi="宋体" w:eastAsia="宋体" w:cs="宋体"/>
          <w:sz w:val="24"/>
          <w:szCs w:val="24"/>
        </w:rPr>
        <w:fldChar w:fldCharType="separate"/>
      </w:r>
      <w:r>
        <w:rPr>
          <w:rFonts w:hint="eastAsia" w:ascii="宋体" w:hAnsi="宋体" w:eastAsia="宋体" w:cs="宋体"/>
          <w:sz w:val="24"/>
          <w:szCs w:val="24"/>
        </w:rPr>
        <w:t>- 18 -</w:t>
      </w:r>
      <w:r>
        <w:rPr>
          <w:rFonts w:hint="eastAsia" w:ascii="宋体" w:hAnsi="宋体" w:eastAsia="宋体" w:cs="宋体"/>
          <w:sz w:val="24"/>
          <w:szCs w:val="24"/>
        </w:rPr>
        <w:fldChar w:fldCharType="end"/>
      </w:r>
      <w:r>
        <w:rPr>
          <w:rFonts w:hint="eastAsia" w:ascii="黑体" w:hAnsi="黑体" w:eastAsia="黑体" w:cs="黑体"/>
          <w:sz w:val="24"/>
          <w:szCs w:val="24"/>
        </w:rPr>
        <w:fldChar w:fldCharType="end"/>
      </w:r>
    </w:p>
    <w:p w14:paraId="335C1F46">
      <w:pPr>
        <w:keepNext w:val="0"/>
        <w:keepLines w:val="0"/>
        <w:pageBreakBefore w:val="0"/>
        <w:widowControl w:val="0"/>
        <w:kinsoku/>
        <w:wordWrap/>
        <w:overflowPunct/>
        <w:topLinePunct w:val="0"/>
        <w:autoSpaceDE/>
        <w:autoSpaceDN/>
        <w:bidi w:val="0"/>
        <w:adjustRightInd/>
        <w:snapToGrid/>
        <w:spacing w:line="480" w:lineRule="exact"/>
        <w:ind w:firstLine="640"/>
        <w:textAlignment w:val="auto"/>
        <w:sectPr>
          <w:pgSz w:w="11906" w:h="16838"/>
          <w:pgMar w:top="2098" w:right="1474" w:bottom="1984" w:left="1587" w:header="851" w:footer="992" w:gutter="0"/>
          <w:pgNumType w:fmt="numberInDash"/>
          <w:cols w:space="425" w:num="1"/>
          <w:docGrid w:type="lines" w:linePitch="312" w:charSpace="0"/>
        </w:sectPr>
      </w:pPr>
      <w:r>
        <w:rPr>
          <w:rFonts w:hint="eastAsia" w:ascii="宋体" w:hAnsi="宋体" w:eastAsia="宋体" w:cs="宋体"/>
          <w:sz w:val="24"/>
          <w:szCs w:val="24"/>
        </w:rPr>
        <w:fldChar w:fldCharType="end"/>
      </w:r>
    </w:p>
    <w:p w14:paraId="50A3622C">
      <w:pPr>
        <w:spacing w:line="560" w:lineRule="exact"/>
        <w:ind w:firstLine="648" w:firstLineChars="200"/>
        <w:rPr>
          <w:rFonts w:ascii="Times New Roman" w:hAnsi="Times New Roman" w:eastAsia="仿宋_GB2312" w:cs="仿宋_GB2312"/>
          <w:color w:val="000000" w:themeColor="text1"/>
          <w:spacing w:val="2"/>
          <w:sz w:val="32"/>
          <w:szCs w:val="32"/>
          <w14:textFill>
            <w14:solidFill>
              <w14:schemeClr w14:val="tx1"/>
            </w14:solidFill>
          </w14:textFill>
        </w:rPr>
      </w:pPr>
      <w:r>
        <w:rPr>
          <w:rFonts w:hint="eastAsia" w:ascii="Times New Roman" w:hAnsi="Times New Roman" w:eastAsia="仿宋_GB2312" w:cs="仿宋_GB2312"/>
          <w:color w:val="000000" w:themeColor="text1"/>
          <w:spacing w:val="2"/>
          <w:sz w:val="32"/>
          <w:szCs w:val="32"/>
          <w14:textFill>
            <w14:solidFill>
              <w14:schemeClr w14:val="tx1"/>
            </w14:solidFill>
          </w14:textFill>
        </w:rPr>
        <w:t>2024年4月4日22时40分左右，河北燕山钢铁集团有限公司炼钢二厂精炼段精炼工人使用风镐在电极旋转臂底座处挖水泵坑过程中发生一起中毒窒息事故，造成2人死亡，直接经济损失380万元。</w:t>
      </w:r>
    </w:p>
    <w:p w14:paraId="75D195BB">
      <w:pPr>
        <w:pStyle w:val="16"/>
        <w:spacing w:after="0" w:line="560" w:lineRule="exact"/>
        <w:ind w:left="0" w:leftChars="0" w:firstLine="656" w:firstLineChars="0"/>
        <w:rPr>
          <w:rFonts w:hint="eastAsia" w:ascii="Times New Roman" w:hAnsi="Times New Roman" w:eastAsia="仿宋_GB2312" w:cs="仿宋_GB2312"/>
          <w:color w:val="000000" w:themeColor="text1"/>
          <w:spacing w:val="2"/>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pacing w:val="2"/>
          <w:sz w:val="32"/>
          <w:szCs w:val="32"/>
          <w14:textFill>
            <w14:solidFill>
              <w14:schemeClr w14:val="tx1"/>
            </w14:solidFill>
          </w14:textFill>
        </w:rPr>
        <w:t>2024年9月2日，</w:t>
      </w:r>
      <w:r>
        <w:rPr>
          <w:rFonts w:hint="eastAsia" w:ascii="Times New Roman" w:hAnsi="Times New Roman" w:eastAsia="仿宋_GB2312" w:cs="仿宋_GB2312"/>
          <w:color w:val="000000" w:themeColor="text1"/>
          <w:spacing w:val="2"/>
          <w:sz w:val="32"/>
          <w:szCs w:val="32"/>
          <w:lang w:val="en-US" w:eastAsia="zh-CN"/>
          <w14:textFill>
            <w14:solidFill>
              <w14:schemeClr w14:val="tx1"/>
            </w14:solidFill>
          </w14:textFill>
        </w:rPr>
        <w:t>迁安市应急管理局</w:t>
      </w:r>
      <w:r>
        <w:rPr>
          <w:rFonts w:hint="eastAsia" w:ascii="Times New Roman" w:hAnsi="Times New Roman" w:eastAsia="仿宋_GB2312" w:cs="仿宋_GB2312"/>
          <w:color w:val="000000" w:themeColor="text1"/>
          <w:spacing w:val="2"/>
          <w:sz w:val="32"/>
          <w:szCs w:val="32"/>
          <w14:textFill>
            <w14:solidFill>
              <w14:schemeClr w14:val="tx1"/>
            </w14:solidFill>
          </w14:textFill>
        </w:rPr>
        <w:t>接到唐山市安委办《关于对群众举报河北燕山钢铁有限公司发生亡人事故进行核查的通知》（唐安办函〔2024〕127号）</w:t>
      </w:r>
      <w:r>
        <w:rPr>
          <w:rFonts w:hint="eastAsia" w:ascii="Times New Roman" w:hAnsi="Times New Roman" w:eastAsia="仿宋_GB2312" w:cs="仿宋_GB2312"/>
          <w:color w:val="000000" w:themeColor="text1"/>
          <w:spacing w:val="2"/>
          <w:sz w:val="32"/>
          <w:szCs w:val="32"/>
          <w:lang w:eastAsia="zh-CN"/>
          <w14:textFill>
            <w14:solidFill>
              <w14:schemeClr w14:val="tx1"/>
            </w14:solidFill>
          </w14:textFill>
        </w:rPr>
        <w:t>，</w:t>
      </w:r>
      <w:r>
        <w:rPr>
          <w:rFonts w:hint="eastAsia" w:ascii="Times New Roman" w:hAnsi="Times New Roman" w:eastAsia="仿宋_GB2312" w:cs="仿宋_GB2312"/>
          <w:color w:val="000000" w:themeColor="text1"/>
          <w:spacing w:val="2"/>
          <w:sz w:val="32"/>
          <w:szCs w:val="32"/>
          <w:lang w:val="en-US" w:eastAsia="zh-CN"/>
          <w14:textFill>
            <w14:solidFill>
              <w14:schemeClr w14:val="tx1"/>
            </w14:solidFill>
          </w14:textFill>
        </w:rPr>
        <w:t>迁安市人民政府立即成立了事故核查组对举报内容进行调查核实。2024年10月15日，经事故核查组核查认定：2024年4月4日，燕山钢铁公司炼钢二厂发生一起生产安全事故，造成刘志明、郑志全死亡，该起事故涉嫌瞒报。</w:t>
      </w:r>
    </w:p>
    <w:p w14:paraId="61EF2BF6">
      <w:pPr>
        <w:pStyle w:val="16"/>
        <w:spacing w:after="0" w:line="560" w:lineRule="exact"/>
        <w:ind w:left="0" w:leftChars="0" w:firstLine="656" w:firstLineChars="0"/>
        <w:rPr>
          <w:rFonts w:ascii="Times New Roman" w:hAnsi="Times New Roman" w:eastAsia="仿宋_GB2312" w:cs="仿宋_GB2312"/>
          <w:color w:val="000000" w:themeColor="text1"/>
          <w:spacing w:val="2"/>
          <w:sz w:val="32"/>
          <w:szCs w:val="32"/>
          <w14:textFill>
            <w14:solidFill>
              <w14:schemeClr w14:val="tx1"/>
            </w14:solidFill>
          </w14:textFill>
        </w:rPr>
      </w:pPr>
      <w:r>
        <w:rPr>
          <w:rFonts w:hint="eastAsia" w:ascii="Times New Roman" w:hAnsi="Times New Roman" w:eastAsia="仿宋_GB2312" w:cs="仿宋_GB2312"/>
          <w:color w:val="000000" w:themeColor="text1"/>
          <w:spacing w:val="2"/>
          <w:sz w:val="32"/>
          <w:szCs w:val="32"/>
          <w14:textFill>
            <w14:solidFill>
              <w14:schemeClr w14:val="tx1"/>
            </w14:solidFill>
          </w14:textFill>
        </w:rPr>
        <w:t>事故经查证属实后，唐山市安全生产委员会办公室对该起事故查处进行挂牌督办。依据《中华人民共和国安全生产法》和《生产安全事故报告和调查处理条例》（国务院令第493号）等法律法规规定，2024年10月22日，经迁安市人民政府批准，成立了由市应急管理局牵头，市公安局、市总工会参加的河北燕山钢铁集团有限公司“4·4”中毒窒息事故调查组（以下简称事故调查组），并聘请了2名专家组成专家组参与事故调查。迁安市纪委监委成立了事故追责问责组，依规依纪依法对有关责任单位和责任人员开展调查。</w:t>
      </w:r>
    </w:p>
    <w:p w14:paraId="2F765DB3">
      <w:pPr>
        <w:pStyle w:val="16"/>
        <w:spacing w:after="0" w:line="560" w:lineRule="exact"/>
        <w:ind w:left="0" w:leftChars="0" w:firstLine="656" w:firstLineChars="0"/>
        <w:rPr>
          <w:rFonts w:ascii="Times New Roman" w:hAnsi="Times New Roman" w:eastAsia="仿宋_GB2312" w:cs="仿宋_GB2312"/>
          <w:color w:val="000000" w:themeColor="text1"/>
          <w:spacing w:val="2"/>
          <w:sz w:val="32"/>
          <w:szCs w:val="32"/>
          <w14:textFill>
            <w14:solidFill>
              <w14:schemeClr w14:val="tx1"/>
            </w14:solidFill>
          </w14:textFill>
        </w:rPr>
      </w:pPr>
      <w:r>
        <w:rPr>
          <w:rFonts w:hint="eastAsia" w:ascii="Times New Roman" w:hAnsi="Times New Roman" w:eastAsia="仿宋_GB2312" w:cs="仿宋_GB2312"/>
          <w:color w:val="000000" w:themeColor="text1"/>
          <w:spacing w:val="2"/>
          <w:sz w:val="32"/>
          <w:szCs w:val="32"/>
          <w14:textFill>
            <w14:solidFill>
              <w14:schemeClr w14:val="tx1"/>
            </w14:solidFill>
          </w14:textFill>
        </w:rPr>
        <w:t>事故调查组按照“四不放过”和“科学严谨、依法依规、实事求是、注重实效”的原则，通过现场勘查、调查取证和科学分析，查明了事故发生经过、瞒报经过、事故发生原因、人员伤亡和直接经济损失情况，认定了事故性质和责任，提出了对有关责任单位和责任人员的处理建议和事故防范整改措施。迁安市纪委监委提出了对有关公职人员的处理建议。</w:t>
      </w:r>
    </w:p>
    <w:p w14:paraId="6AF573FE">
      <w:pPr>
        <w:pStyle w:val="23"/>
        <w:spacing w:line="560" w:lineRule="exact"/>
        <w:ind w:firstLine="640"/>
        <w:rPr>
          <w:rFonts w:ascii="Times New Roman" w:hAnsi="Times New Roman" w:eastAsia="仿宋_GB2312" w:cs="仿宋_GB2312"/>
          <w:color w:val="000000" w:themeColor="text1"/>
          <w:spacing w:val="2"/>
          <w:kern w:val="2"/>
          <w:sz w:val="32"/>
          <w:szCs w:val="32"/>
          <w14:textFill>
            <w14:solidFill>
              <w14:schemeClr w14:val="tx1"/>
            </w14:solidFill>
          </w14:textFill>
        </w:rPr>
      </w:pPr>
      <w:r>
        <w:rPr>
          <w:rFonts w:hint="eastAsia" w:ascii="Times New Roman" w:hAnsi="Times New Roman" w:eastAsia="仿宋_GB2312" w:cs="仿宋_GB2312"/>
          <w:color w:val="000000" w:themeColor="text1"/>
          <w:kern w:val="2"/>
          <w:sz w:val="32"/>
          <w:szCs w:val="32"/>
          <w14:textFill>
            <w14:solidFill>
              <w14:schemeClr w14:val="tx1"/>
            </w14:solidFill>
          </w14:textFill>
        </w:rPr>
        <w:t>经调查认定，河北燕山钢铁集团有限公司“4·4”中毒窒息事故是一起因工人违章作业、企业安全管理不到位造成的一般生产安全责任事故。</w:t>
      </w:r>
    </w:p>
    <w:p w14:paraId="656FBA8D">
      <w:pPr>
        <w:pStyle w:val="2"/>
        <w:ind w:firstLine="640"/>
        <w:rPr>
          <w:color w:val="000000" w:themeColor="text1"/>
          <w14:textFill>
            <w14:solidFill>
              <w14:schemeClr w14:val="tx1"/>
            </w14:solidFill>
          </w14:textFill>
        </w:rPr>
      </w:pPr>
      <w:bookmarkStart w:id="0" w:name="_Toc19421"/>
      <w:bookmarkStart w:id="1" w:name="_Toc25578"/>
      <w:r>
        <w:rPr>
          <w:rFonts w:hint="eastAsia"/>
          <w:color w:val="000000" w:themeColor="text1"/>
          <w14:textFill>
            <w14:solidFill>
              <w14:schemeClr w14:val="tx1"/>
            </w14:solidFill>
          </w14:textFill>
        </w:rPr>
        <w:t>一、事故基本情况</w:t>
      </w:r>
      <w:bookmarkEnd w:id="0"/>
      <w:bookmarkEnd w:id="1"/>
    </w:p>
    <w:p w14:paraId="0A54A6FE">
      <w:pPr>
        <w:pStyle w:val="3"/>
        <w:ind w:firstLine="643"/>
        <w:rPr>
          <w:color w:val="000000" w:themeColor="text1"/>
          <w14:textFill>
            <w14:solidFill>
              <w14:schemeClr w14:val="tx1"/>
            </w14:solidFill>
          </w14:textFill>
        </w:rPr>
      </w:pPr>
      <w:bookmarkStart w:id="2" w:name="_Toc31951"/>
      <w:bookmarkStart w:id="3" w:name="_Toc17084"/>
      <w:r>
        <w:rPr>
          <w:rFonts w:hint="eastAsia"/>
          <w:color w:val="000000" w:themeColor="text1"/>
          <w14:textFill>
            <w14:solidFill>
              <w14:schemeClr w14:val="tx1"/>
            </w14:solidFill>
          </w14:textFill>
        </w:rPr>
        <w:t>（一）事故发生单位概况</w:t>
      </w:r>
      <w:bookmarkEnd w:id="2"/>
      <w:bookmarkEnd w:id="3"/>
    </w:p>
    <w:p w14:paraId="6C9703BC">
      <w:pPr>
        <w:spacing w:line="560" w:lineRule="exact"/>
        <w:ind w:firstLine="640" w:firstLineChars="200"/>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河北燕山钢铁集团有限公司（以下简称燕山钢铁公司），企业类型：有限责任公司，注册地址：河北迁安经济开发区火车站西侧，法定代表人：王树立，总经理：任宝树，成立于2002年7月8日，注册资本叁拾叁亿陆仟万元整，统一社会信用代码为911302837401878353，经营范围：许可项目：危险化学品经营。（依法须经批准的项目，经相关部门批准后方可开展经营活动，具体经营项目以相关部门批准文件或许可证件为准）一般项目：钢铁冶炼；钢材轧制；矿渣微粉制造；铁精矿粉、黑色金属及金属矿批发；金属矿石进出口；货物进出口；技术进出口；普通货物道路运输。（除依法须经批准的项目外，凭营业执照依法自主开展经营活动）公司实际控制人为总经理任宝树，下设炼钢一厂、炼钢二厂、制氧厂等14个分厂，公司设有安全部、工程部、供应部等机构，现有职工9600余人，专职安全管理人员106人。</w:t>
      </w:r>
    </w:p>
    <w:p w14:paraId="78773C9A">
      <w:pPr>
        <w:pStyle w:val="3"/>
        <w:ind w:firstLine="643"/>
        <w:rPr>
          <w:color w:val="000000" w:themeColor="text1"/>
          <w14:textFill>
            <w14:solidFill>
              <w14:schemeClr w14:val="tx1"/>
            </w14:solidFill>
          </w14:textFill>
        </w:rPr>
      </w:pPr>
      <w:bookmarkStart w:id="4" w:name="_Toc24537"/>
      <w:bookmarkStart w:id="5" w:name="_Toc14209"/>
      <w:r>
        <w:rPr>
          <w:rFonts w:hint="eastAsia"/>
          <w:color w:val="000000" w:themeColor="text1"/>
          <w14:textFill>
            <w14:solidFill>
              <w14:schemeClr w14:val="tx1"/>
            </w14:solidFill>
          </w14:textFill>
        </w:rPr>
        <w:t>（二）事故发生单位安全管理情况</w:t>
      </w:r>
      <w:bookmarkEnd w:id="4"/>
      <w:bookmarkEnd w:id="5"/>
    </w:p>
    <w:p w14:paraId="115CE326">
      <w:pPr>
        <w:spacing w:line="560" w:lineRule="exact"/>
        <w:ind w:firstLine="643" w:firstLineChars="200"/>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宋体" w:hAnsi="宋体" w:eastAsia="仿宋_GB2312" w:cs="仿宋_GB2312"/>
          <w:b/>
          <w:bCs/>
          <w:color w:val="000000" w:themeColor="text1"/>
          <w:sz w:val="32"/>
          <w:szCs w:val="32"/>
          <w14:textFill>
            <w14:solidFill>
              <w14:schemeClr w14:val="tx1"/>
            </w14:solidFill>
          </w14:textFill>
        </w:rPr>
        <w:t>1.安全管理机构</w:t>
      </w:r>
      <w:r>
        <w:rPr>
          <w:rFonts w:hint="eastAsia" w:ascii="仿宋_GB2312" w:hAnsi="仿宋_GB2312" w:eastAsia="仿宋_GB2312" w:cs="仿宋_GB2312"/>
          <w:b/>
          <w:bCs/>
          <w:color w:val="000000" w:themeColor="text1"/>
          <w:sz w:val="32"/>
          <w:szCs w:val="32"/>
          <w14:textFill>
            <w14:solidFill>
              <w14:schemeClr w14:val="tx1"/>
            </w14:solidFill>
          </w14:textFill>
        </w:rPr>
        <w:t>情况</w:t>
      </w:r>
    </w:p>
    <w:p w14:paraId="3382DE61">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sz w:val="32"/>
          <w:szCs w:val="32"/>
        </w:rPr>
        <w:t>燕</w:t>
      </w:r>
      <w:r>
        <w:rPr>
          <w:rFonts w:hint="eastAsia" w:ascii="仿宋_GB2312" w:hAnsi="仿宋_GB2312" w:eastAsia="仿宋_GB2312" w:cs="仿宋_GB2312"/>
          <w:color w:val="000000" w:themeColor="text1"/>
          <w:sz w:val="32"/>
          <w:szCs w:val="32"/>
          <w14:textFill>
            <w14:solidFill>
              <w14:schemeClr w14:val="tx1"/>
            </w14:solidFill>
          </w14:textFill>
        </w:rPr>
        <w:t>山钢铁公司由总经理任宝树（持有主要负责人资格证书）负责公司全面管理工作</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总经理以下未设置副总</w:t>
      </w:r>
      <w:r>
        <w:rPr>
          <w:rFonts w:hint="eastAsia" w:ascii="仿宋_GB2312" w:hAnsi="仿宋_GB2312" w:eastAsia="仿宋_GB2312" w:cs="仿宋_GB2312"/>
          <w:color w:val="000000" w:themeColor="text1"/>
          <w:sz w:val="32"/>
          <w:szCs w:val="32"/>
          <w14:textFill>
            <w14:solidFill>
              <w14:schemeClr w14:val="tx1"/>
            </w14:solidFill>
          </w14:textFill>
        </w:rPr>
        <w:t>。燕山钢铁公司设有安全部，由部长李效杰负责安全部全面工作。燕山钢铁公司共有14个分厂，各分厂均设置了安全科并配备了专职</w:t>
      </w:r>
      <w:r>
        <w:rPr>
          <w:rFonts w:hint="eastAsia" w:ascii="仿宋_GB2312" w:hAnsi="仿宋_GB2312" w:eastAsia="仿宋_GB2312" w:cs="仿宋_GB2312"/>
          <w:sz w:val="32"/>
          <w:szCs w:val="32"/>
        </w:rPr>
        <w:t>安全管理人员。炼钢二厂由厂长夏春祥负责整个炼钢二厂的全面管理工作，炼钢二厂下设安全科，安全科长张建宇（持有安全管理人员资格证书）负责炼钢二厂的安全生产工作，安全员杨超（持有安全管理人员资格证书）负责</w:t>
      </w:r>
      <w:r>
        <w:rPr>
          <w:rFonts w:hint="eastAsia" w:ascii="仿宋_GB2312" w:hAnsi="仿宋_GB2312" w:eastAsia="仿宋_GB2312" w:cs="仿宋_GB2312"/>
          <w:color w:val="000000" w:themeColor="text1"/>
          <w:sz w:val="32"/>
          <w:szCs w:val="32"/>
          <w14:textFill>
            <w14:solidFill>
              <w14:schemeClr w14:val="tx1"/>
            </w14:solidFill>
          </w14:textFill>
        </w:rPr>
        <w:t>炼钢二厂乙班的安全管理工作。</w:t>
      </w:r>
    </w:p>
    <w:p w14:paraId="3E9A0435">
      <w:pPr>
        <w:spacing w:line="560" w:lineRule="exact"/>
        <w:ind w:firstLine="643" w:firstLineChars="200"/>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宋体" w:hAnsi="宋体" w:eastAsia="仿宋_GB2312" w:cs="仿宋_GB2312"/>
          <w:b/>
          <w:bCs/>
          <w:color w:val="000000" w:themeColor="text1"/>
          <w:sz w:val="32"/>
          <w:szCs w:val="32"/>
          <w14:textFill>
            <w14:solidFill>
              <w14:schemeClr w14:val="tx1"/>
            </w14:solidFill>
          </w14:textFill>
        </w:rPr>
        <w:t>2.安全管理</w:t>
      </w:r>
      <w:r>
        <w:rPr>
          <w:rFonts w:hint="eastAsia" w:ascii="仿宋_GB2312" w:hAnsi="仿宋_GB2312" w:eastAsia="仿宋_GB2312" w:cs="仿宋_GB2312"/>
          <w:b/>
          <w:bCs/>
          <w:color w:val="000000" w:themeColor="text1"/>
          <w:sz w:val="32"/>
          <w:szCs w:val="32"/>
          <w14:textFill>
            <w14:solidFill>
              <w14:schemeClr w14:val="tx1"/>
            </w14:solidFill>
          </w14:textFill>
        </w:rPr>
        <w:t>制度建立情况</w:t>
      </w:r>
    </w:p>
    <w:p w14:paraId="35A03E58">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燕山钢铁公司制定了全员安全生产责任制度、安全生产管理制度和安全操作规程，并将生产安全事故应急预案备案至迁安市应急管理局。</w:t>
      </w:r>
    </w:p>
    <w:p w14:paraId="5F848EAF">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燕山钢铁公司炼钢二厂拟定了厂级安全管理制度、安全操作规程、专项应急预案和现场处置方案，建立了厂级、工段级隐患排查治理台账。</w:t>
      </w:r>
    </w:p>
    <w:p w14:paraId="7B62ABCF">
      <w:pPr>
        <w:spacing w:line="560" w:lineRule="exact"/>
        <w:ind w:firstLine="643" w:firstLineChars="200"/>
        <w:rPr>
          <w:rFonts w:hint="eastAsia" w:ascii="仿宋_GB2312" w:hAnsi="仿宋_GB2312" w:eastAsia="仿宋_GB2312" w:cs="仿宋_GB2312"/>
          <w:b/>
          <w:bCs/>
          <w:color w:val="000000" w:themeColor="text1"/>
          <w:sz w:val="32"/>
          <w:szCs w:val="32"/>
          <w14:textFill>
            <w14:solidFill>
              <w14:schemeClr w14:val="tx1"/>
            </w14:solidFill>
          </w14:textFill>
        </w:rPr>
      </w:pPr>
      <w:r>
        <w:rPr>
          <w:rFonts w:hint="eastAsia" w:ascii="宋体" w:hAnsi="宋体" w:eastAsia="仿宋_GB2312" w:cs="仿宋_GB2312"/>
          <w:b/>
          <w:bCs/>
          <w:color w:val="000000" w:themeColor="text1"/>
          <w:sz w:val="32"/>
          <w:szCs w:val="32"/>
          <w14:textFill>
            <w14:solidFill>
              <w14:schemeClr w14:val="tx1"/>
            </w14:solidFill>
          </w14:textFill>
        </w:rPr>
        <w:t>3.员工安全教育培</w:t>
      </w:r>
      <w:r>
        <w:rPr>
          <w:rFonts w:hint="eastAsia" w:ascii="仿宋_GB2312" w:hAnsi="仿宋_GB2312" w:eastAsia="仿宋_GB2312" w:cs="仿宋_GB2312"/>
          <w:b/>
          <w:bCs/>
          <w:color w:val="000000" w:themeColor="text1"/>
          <w:sz w:val="32"/>
          <w:szCs w:val="32"/>
          <w14:textFill>
            <w14:solidFill>
              <w14:schemeClr w14:val="tx1"/>
            </w14:solidFill>
          </w14:textFill>
        </w:rPr>
        <w:t>训情况</w:t>
      </w:r>
    </w:p>
    <w:p w14:paraId="1366150B">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燕山钢铁公司制定了安全生产教育和培训计划，分别进行了厂级、车间级、班组级三级安全教育培训并为员工建立了培训档案，每年对员工进行再培训，员工经考试合格后上岗。</w:t>
      </w:r>
    </w:p>
    <w:p w14:paraId="4E420FC0">
      <w:pPr>
        <w:spacing w:line="560" w:lineRule="exact"/>
        <w:ind w:firstLine="643" w:firstLineChars="200"/>
        <w:rPr>
          <w:rFonts w:hint="eastAsia" w:ascii="宋体" w:hAnsi="宋体" w:eastAsia="仿宋_GB2312" w:cs="仿宋_GB2312"/>
          <w:b/>
          <w:bCs/>
          <w:color w:val="000000" w:themeColor="text1"/>
          <w:sz w:val="32"/>
          <w:szCs w:val="32"/>
          <w14:textFill>
            <w14:solidFill>
              <w14:schemeClr w14:val="tx1"/>
            </w14:solidFill>
          </w14:textFill>
        </w:rPr>
      </w:pPr>
      <w:r>
        <w:rPr>
          <w:rFonts w:hint="eastAsia" w:ascii="宋体" w:hAnsi="宋体" w:eastAsia="仿宋_GB2312" w:cs="仿宋_GB2312"/>
          <w:b/>
          <w:bCs/>
          <w:color w:val="000000" w:themeColor="text1"/>
          <w:sz w:val="32"/>
          <w:szCs w:val="32"/>
          <w14:textFill>
            <w14:solidFill>
              <w14:schemeClr w14:val="tx1"/>
            </w14:solidFill>
          </w14:textFill>
        </w:rPr>
        <w:t>4.风镐作业</w:t>
      </w:r>
      <w:r>
        <w:rPr>
          <w:rFonts w:hint="eastAsia" w:ascii="宋体" w:hAnsi="宋体" w:eastAsia="仿宋_GB2312" w:cs="仿宋_GB2312"/>
          <w:b/>
          <w:bCs/>
          <w:color w:val="000000" w:themeColor="text1"/>
          <w:sz w:val="32"/>
          <w:szCs w:val="32"/>
          <w:lang w:val="en-US" w:eastAsia="zh-CN"/>
          <w14:textFill>
            <w14:solidFill>
              <w14:schemeClr w14:val="tx1"/>
            </w14:solidFill>
          </w14:textFill>
        </w:rPr>
        <w:t>工艺</w:t>
      </w:r>
      <w:r>
        <w:rPr>
          <w:rFonts w:hint="eastAsia" w:ascii="宋体" w:hAnsi="宋体" w:eastAsia="仿宋_GB2312" w:cs="仿宋_GB2312"/>
          <w:b/>
          <w:bCs/>
          <w:color w:val="000000" w:themeColor="text1"/>
          <w:sz w:val="32"/>
          <w:szCs w:val="32"/>
          <w14:textFill>
            <w14:solidFill>
              <w14:schemeClr w14:val="tx1"/>
            </w14:solidFill>
          </w14:textFill>
        </w:rPr>
        <w:t>流程</w:t>
      </w:r>
    </w:p>
    <w:p w14:paraId="576320E6">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风镐作业流程：1.使用前检查机体有无裂纹、破损，气压管路接头是否正常；2.禁止使用有毒有害气体用作风镐动力气源；3.连接气管时，必须关闭气源操作；4.连接好后检查是否有漏气现象；5.作业时作业人员必须保证身体平衡，双脚与镐尖保持一定的安全距离；6.使用时要顶紧破损物体，防止风镐滑落伤人；7.使用完要先关闭动力气源，泄压后方可拆除气管；8.严禁直接触摸刚用完的风镐镐尖，防止烫伤。</w:t>
      </w:r>
    </w:p>
    <w:p w14:paraId="10F203D4">
      <w:pPr>
        <w:spacing w:line="560" w:lineRule="exact"/>
        <w:ind w:firstLine="640" w:firstLineChars="2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在实际作业过程中，作业人员应将风镐接在压缩空气管道上，但</w:t>
      </w:r>
      <w:bookmarkStart w:id="6" w:name="_Hlk191300303"/>
      <w:r>
        <w:rPr>
          <w:rFonts w:hint="eastAsia" w:ascii="仿宋_GB2312" w:hAnsi="仿宋_GB2312" w:eastAsia="仿宋_GB2312" w:cs="仿宋_GB2312"/>
          <w:color w:val="000000" w:themeColor="text1"/>
          <w:sz w:val="32"/>
          <w:szCs w:val="32"/>
          <w14:textFill>
            <w14:solidFill>
              <w14:schemeClr w14:val="tx1"/>
            </w14:solidFill>
          </w14:textFill>
        </w:rPr>
        <w:t>刘志明、郑志全为了方便作业违规将风镐气源接在靠近作业地点的氩气管道上，且作业前未检查接口是否存在漏气现象。</w:t>
      </w:r>
      <w:bookmarkEnd w:id="6"/>
    </w:p>
    <w:p w14:paraId="070C72DE">
      <w:pPr>
        <w:pStyle w:val="3"/>
        <w:keepNext/>
        <w:keepLines/>
        <w:pageBreakBefore w:val="0"/>
        <w:widowControl w:val="0"/>
        <w:numPr>
          <w:ilvl w:val="0"/>
          <w:numId w:val="0"/>
        </w:numPr>
        <w:kinsoku/>
        <w:wordWrap/>
        <w:overflowPunct/>
        <w:topLinePunct w:val="0"/>
        <w:autoSpaceDE/>
        <w:autoSpaceDN/>
        <w:bidi w:val="0"/>
        <w:adjustRightInd/>
        <w:snapToGrid/>
        <w:ind w:firstLine="643" w:firstLineChars="200"/>
        <w:textAlignment w:val="auto"/>
        <w:rPr>
          <w:rFonts w:hint="eastAsia"/>
          <w:color w:val="000000" w:themeColor="text1"/>
          <w:lang w:eastAsia="zh-CN"/>
          <w14:textFill>
            <w14:solidFill>
              <w14:schemeClr w14:val="tx1"/>
            </w14:solidFill>
          </w14:textFill>
        </w:rPr>
      </w:pPr>
      <w:bookmarkStart w:id="7" w:name="_Toc32136"/>
      <w:bookmarkStart w:id="8" w:name="_Toc26848"/>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三</w:t>
      </w:r>
      <w:r>
        <w:rPr>
          <w:rFonts w:hint="eastAsia"/>
          <w:color w:val="000000" w:themeColor="text1"/>
          <w:lang w:eastAsia="zh-CN"/>
          <w14:textFill>
            <w14:solidFill>
              <w14:schemeClr w14:val="tx1"/>
            </w14:solidFill>
          </w14:textFill>
        </w:rPr>
        <w:t>）安全监管部门、</w:t>
      </w:r>
      <w:r>
        <w:rPr>
          <w:rFonts w:hint="eastAsia"/>
          <w:color w:val="000000" w:themeColor="text1"/>
          <w:lang w:val="en-US" w:eastAsia="zh-CN"/>
          <w14:textFill>
            <w14:solidFill>
              <w14:schemeClr w14:val="tx1"/>
            </w14:solidFill>
          </w14:textFill>
        </w:rPr>
        <w:t>属地政府</w:t>
      </w:r>
      <w:r>
        <w:rPr>
          <w:rFonts w:hint="eastAsia"/>
          <w:color w:val="000000" w:themeColor="text1"/>
          <w:lang w:eastAsia="zh-CN"/>
          <w14:textFill>
            <w14:solidFill>
              <w14:schemeClr w14:val="tx1"/>
            </w14:solidFill>
          </w14:textFill>
        </w:rPr>
        <w:t>履职情况</w:t>
      </w:r>
      <w:bookmarkEnd w:id="7"/>
    </w:p>
    <w:p w14:paraId="2D54E0CF">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eastAsia="zh-CN"/>
          <w14:textFill>
            <w14:solidFill>
              <w14:schemeClr w14:val="tx1"/>
            </w14:solidFill>
          </w14:textFill>
        </w:rPr>
        <w:t>政府部门安全监管单位：主管部门为迁安市应急管理局，日常安全监管工作由迁安市应急管理局下属工商贸安全监督管理股</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负责</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属地管理部门为赵店子镇人民政府，日常安全监管工作由赵店子镇人民政府应急办负责。</w:t>
      </w:r>
    </w:p>
    <w:p w14:paraId="60BC2CEB">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截至事发当日，迁安市应急管理局工商贸安全监督管理股共召开5次工商贸行业安全生产专题部署会，1月16日组织燕山钢铁公司召开“双控”机制运行质量提升攻坚行动会议，对照《指导手册》开展风险辨识，逐条逐点完善管控措施，形成完善的风险辨识、管控措施清单，建立完善“双控”机制。2月6日对燕山钢铁公司执法检查1次，发现安全隐患7项，下达现场检查记录、责令限期整改指令书1份，所有安全隐患均在规定时限内整改完成。</w:t>
      </w:r>
    </w:p>
    <w:p w14:paraId="2DB2302D">
      <w:pPr>
        <w:spacing w:line="560" w:lineRule="exact"/>
        <w:ind w:firstLine="640" w:firstLineChars="200"/>
        <w:rPr>
          <w:rFonts w:hint="default"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迁安市赵店子镇人民政府应急办共召开5次辖区内企业安全生产部署会，赵店子镇人民政府应急办针对燕山钢铁公司开展了岁末年初重点行业领域安全生产专项检查、督导节后复产复工和全国两会期间安全生产工作。1-4月份赵店子镇应急部门对燕山钢铁有限公司共督导检查4次，发现安全隐患7项，下达现场检查记录、责令限期整改指令书1份，所有安全隐患均在规定时限内整改完成。</w:t>
      </w:r>
    </w:p>
    <w:p w14:paraId="2F89A18D">
      <w:pPr>
        <w:pStyle w:val="3"/>
        <w:ind w:firstLine="643"/>
        <w:rPr>
          <w:color w:val="000000" w:themeColor="text1"/>
          <w14:textFill>
            <w14:solidFill>
              <w14:schemeClr w14:val="tx1"/>
            </w14:solidFill>
          </w14:textFill>
        </w:rPr>
      </w:pPr>
      <w:bookmarkStart w:id="9" w:name="_Toc5850"/>
      <w:r>
        <w:rPr>
          <w:rFonts w:hint="eastAsia"/>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四</w:t>
      </w:r>
      <w:r>
        <w:rPr>
          <w:rFonts w:hint="eastAsia"/>
          <w:color w:val="000000" w:themeColor="text1"/>
          <w14:textFill>
            <w14:solidFill>
              <w14:schemeClr w14:val="tx1"/>
            </w14:solidFill>
          </w14:textFill>
        </w:rPr>
        <w:t>）事故发生经过</w:t>
      </w:r>
      <w:bookmarkEnd w:id="9"/>
    </w:p>
    <w:p w14:paraId="4E076747">
      <w:pPr>
        <w:widowControl/>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燕山钢铁公司炼钢二厂2#精炼工段按照计划于2024年4月4日完成停产检修，准备复产。精炼段长钱永胜安排甲班组（工作时间8时至20时）清理</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电极</w:t>
      </w:r>
      <w:r>
        <w:rPr>
          <w:rFonts w:hint="eastAsia" w:ascii="仿宋_GB2312" w:hAnsi="仿宋_GB2312" w:eastAsia="仿宋_GB2312" w:cs="仿宋_GB2312"/>
          <w:color w:val="000000" w:themeColor="text1"/>
          <w:spacing w:val="2"/>
          <w:sz w:val="32"/>
          <w:szCs w:val="32"/>
          <w14:textFill>
            <w14:solidFill>
              <w14:schemeClr w14:val="tx1"/>
            </w14:solidFill>
          </w14:textFill>
        </w:rPr>
        <w:t>旋转臂底座积水，乙班（工作时间20时至次日8时）接班后在电极旋转臂底座下进行挖水泵坑作业。</w:t>
      </w:r>
    </w:p>
    <w:p w14:paraId="47C6745D">
      <w:pPr>
        <w:widowControl/>
        <w:spacing w:line="560" w:lineRule="exact"/>
        <w:ind w:firstLine="648" w:firstLineChars="200"/>
        <w:rPr>
          <w:rFonts w:ascii="仿宋_GB2312" w:hAnsi="仿宋_GB2312" w:eastAsia="仿宋_GB2312" w:cs="仿宋_GB2312"/>
          <w:color w:val="000000" w:themeColor="text1"/>
          <w:spacing w:val="2"/>
          <w:sz w:val="32"/>
          <w:szCs w:val="32"/>
          <w14:textFill>
            <w14:solidFill>
              <w14:schemeClr w14:val="tx1"/>
            </w14:solidFill>
          </w14:textFill>
        </w:rPr>
      </w:pPr>
      <w:r>
        <w:rPr>
          <w:rFonts w:hint="eastAsia" w:eastAsia="仿宋_GB2312" w:cs="仿宋"/>
          <w:color w:val="000000" w:themeColor="text1"/>
          <w:spacing w:val="2"/>
          <w:sz w:val="32"/>
          <w:szCs w:val="32"/>
          <w14:textFill>
            <w14:solidFill>
              <w14:schemeClr w14:val="tx1"/>
            </w14:solidFill>
          </w14:textFill>
        </w:rPr>
        <w:t>电极旋转臂底座东、西、北侧为混凝土挡墙，</w:t>
      </w:r>
      <w:r>
        <w:rPr>
          <w:rFonts w:hint="eastAsia" w:ascii="仿宋_GB2312" w:hAnsi="仿宋_GB2312" w:eastAsia="仿宋_GB2312" w:cs="仿宋_GB2312"/>
          <w:color w:val="000000" w:themeColor="text1"/>
          <w:spacing w:val="2"/>
          <w:sz w:val="32"/>
          <w:szCs w:val="32"/>
          <w14:textFill>
            <w14:solidFill>
              <w14:schemeClr w14:val="tx1"/>
            </w14:solidFill>
          </w14:textFill>
        </w:rPr>
        <w:t>墙高分别为8.1米、7.2米、5.5米。</w:t>
      </w:r>
      <w:r>
        <w:rPr>
          <w:rFonts w:hint="eastAsia" w:eastAsia="仿宋_GB2312" w:cs="仿宋"/>
          <w:color w:val="000000" w:themeColor="text1"/>
          <w:spacing w:val="2"/>
          <w:sz w:val="32"/>
          <w:szCs w:val="32"/>
          <w14:textFill>
            <w14:solidFill>
              <w14:schemeClr w14:val="tx1"/>
            </w14:solidFill>
          </w14:textFill>
        </w:rPr>
        <w:t>南侧是</w:t>
      </w:r>
      <w:r>
        <w:rPr>
          <w:rFonts w:hint="eastAsia" w:ascii="仿宋_GB2312" w:hAnsi="仿宋_GB2312" w:eastAsia="仿宋_GB2312" w:cs="仿宋_GB2312"/>
          <w:color w:val="000000" w:themeColor="text1"/>
          <w:spacing w:val="2"/>
          <w:sz w:val="32"/>
          <w:szCs w:val="32"/>
          <w14:textFill>
            <w14:solidFill>
              <w14:schemeClr w14:val="tx1"/>
            </w14:solidFill>
          </w14:textFill>
        </w:rPr>
        <w:t>2#LF</w:t>
      </w:r>
      <w:r>
        <w:rPr>
          <w:rFonts w:hint="eastAsia" w:eastAsia="仿宋_GB2312" w:cs="仿宋"/>
          <w:color w:val="000000" w:themeColor="text1"/>
          <w:spacing w:val="2"/>
          <w:sz w:val="32"/>
          <w:szCs w:val="32"/>
          <w14:textFill>
            <w14:solidFill>
              <w14:schemeClr w14:val="tx1"/>
            </w14:solidFill>
          </w14:textFill>
        </w:rPr>
        <w:t>精炼供电</w:t>
      </w:r>
      <w:r>
        <w:rPr>
          <w:rFonts w:hint="eastAsia" w:ascii="仿宋_GB2312" w:hAnsi="仿宋_GB2312" w:eastAsia="仿宋_GB2312" w:cs="仿宋_GB2312"/>
          <w:color w:val="000000" w:themeColor="text1"/>
          <w:spacing w:val="2"/>
          <w:sz w:val="32"/>
          <w:szCs w:val="32"/>
          <w14:textFill>
            <w14:solidFill>
              <w14:schemeClr w14:val="tx1"/>
            </w14:solidFill>
          </w14:textFill>
        </w:rPr>
        <w:t>系统、液压系统主厂房。</w:t>
      </w:r>
    </w:p>
    <w:p w14:paraId="03A8F9EF">
      <w:pPr>
        <w:widowControl/>
        <w:spacing w:line="560" w:lineRule="exact"/>
        <w:ind w:firstLine="648" w:firstLineChars="200"/>
        <w:rPr>
          <w:rFonts w:hint="eastAsia" w:eastAsia="仿宋_GB2312" w:cs="仿宋"/>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2024年4月4日20时，乙班接班，精炼段长钱永胜安排乙班班长岳佳宾（2#LF精炼班长）、钱永龙清</w:t>
      </w:r>
      <w:r>
        <w:rPr>
          <w:rFonts w:hint="eastAsia" w:eastAsia="仿宋_GB2312" w:cs="仿宋"/>
          <w:color w:val="000000" w:themeColor="text1"/>
          <w:spacing w:val="2"/>
          <w:sz w:val="32"/>
          <w:szCs w:val="32"/>
          <w14:textFill>
            <w14:solidFill>
              <w14:schemeClr w14:val="tx1"/>
            </w14:solidFill>
          </w14:textFill>
        </w:rPr>
        <w:t>理皮带及喂丝平台卫生，安排郑志全、刘志明前往电极旋转臂底座处用风镐挖水泵坑。</w:t>
      </w:r>
    </w:p>
    <w:p w14:paraId="0488E67F">
      <w:pPr>
        <w:widowControl/>
        <w:spacing w:line="560" w:lineRule="exact"/>
        <w:ind w:firstLine="648" w:firstLineChars="200"/>
        <w:rPr>
          <w:rFonts w:ascii="Times New Roman" w:hAnsi="Times New Roman" w:eastAsia="仿宋_GB2312" w:cs="仿宋_GB2312"/>
          <w:color w:val="000000" w:themeColor="text1"/>
          <w:spacing w:val="2"/>
          <w:sz w:val="32"/>
          <w:szCs w:val="32"/>
          <w14:textFill>
            <w14:solidFill>
              <w14:schemeClr w14:val="tx1"/>
            </w14:solidFill>
          </w14:textFill>
        </w:rPr>
      </w:pPr>
      <w:r>
        <w:rPr>
          <w:rFonts w:hint="eastAsia" w:eastAsia="仿宋_GB2312" w:cs="仿宋"/>
          <w:color w:val="000000" w:themeColor="text1"/>
          <w:spacing w:val="2"/>
          <w:sz w:val="32"/>
          <w:szCs w:val="32"/>
          <w14:textFill>
            <w14:solidFill>
              <w14:schemeClr w14:val="tx1"/>
            </w14:solidFill>
          </w14:textFill>
        </w:rPr>
        <w:t>郑志全、刘志明先前往炼钢二厂库房支领风镐、金属软管等工</w:t>
      </w:r>
      <w:r>
        <w:rPr>
          <w:rFonts w:hint="eastAsia" w:ascii="仿宋_GB2312" w:hAnsi="仿宋_GB2312" w:eastAsia="仿宋_GB2312" w:cs="仿宋_GB2312"/>
          <w:color w:val="000000" w:themeColor="text1"/>
          <w:spacing w:val="2"/>
          <w:sz w:val="32"/>
          <w:szCs w:val="32"/>
          <w14:textFill>
            <w14:solidFill>
              <w14:schemeClr w14:val="tx1"/>
            </w14:solidFill>
          </w14:textFill>
        </w:rPr>
        <w:t>具，然后前往西侧2#冶炼工位操作平台处连接气源，在此过程中郑志全、刘志明为了方便作业违规将风镐气源接在靠近作业地点的氩气管道上，且作业前未检查接口是否存在漏气现象</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就进行作业。</w:t>
      </w:r>
      <w:r>
        <w:rPr>
          <w:rFonts w:hint="eastAsia" w:ascii="仿宋_GB2312" w:hAnsi="仿宋_GB2312" w:eastAsia="仿宋_GB2312" w:cs="仿宋_GB2312"/>
          <w:color w:val="000000" w:themeColor="text1"/>
          <w:spacing w:val="2"/>
          <w:sz w:val="32"/>
          <w:szCs w:val="32"/>
          <w14:textFill>
            <w14:solidFill>
              <w14:schemeClr w14:val="tx1"/>
            </w14:solidFill>
          </w14:textFill>
        </w:rPr>
        <w:t>作业至21时30分左右，郑志全、刘志明回到主控室休息。22时40分左右，郑志全、刘志明继续进行挖坑作业，刘志明率先从爬梯下到工作平面后晕倒</w:t>
      </w:r>
      <w:r>
        <w:rPr>
          <w:rFonts w:hint="eastAsia" w:ascii="仿宋_GB2312" w:hAnsi="仿宋_GB2312" w:eastAsia="仿宋_GB2312" w:cs="仿宋_GB2312"/>
          <w:color w:val="000000" w:themeColor="text1"/>
          <w:spacing w:val="2"/>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郑志全发现后下到工作平台施救，随即晕倒</w:t>
      </w:r>
      <w:r>
        <w:rPr>
          <w:rFonts w:hint="eastAsia" w:ascii="仿宋_GB2312" w:hAnsi="仿宋_GB2312" w:eastAsia="仿宋_GB2312" w:cs="仿宋_GB2312"/>
          <w:color w:val="000000" w:themeColor="text1"/>
          <w:spacing w:val="2"/>
          <w:sz w:val="32"/>
          <w:szCs w:val="32"/>
          <w:lang w:eastAsia="zh-CN"/>
          <w14:textFill>
            <w14:solidFill>
              <w14:schemeClr w14:val="tx1"/>
            </w14:solidFill>
          </w14:textFill>
        </w:rPr>
        <w:t>。</w:t>
      </w:r>
    </w:p>
    <w:p w14:paraId="12FF511C">
      <w:pPr>
        <w:pStyle w:val="3"/>
        <w:ind w:firstLine="643"/>
        <w:rPr>
          <w:color w:val="000000" w:themeColor="text1"/>
          <w14:textFill>
            <w14:solidFill>
              <w14:schemeClr w14:val="tx1"/>
            </w14:solidFill>
          </w14:textFill>
        </w:rPr>
      </w:pPr>
      <w:bookmarkStart w:id="10" w:name="_Toc16245"/>
      <w:r>
        <w:rPr>
          <w:rFonts w:hint="eastAsia"/>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五</w:t>
      </w:r>
      <w:r>
        <w:rPr>
          <w:rFonts w:hint="eastAsia"/>
          <w:color w:val="000000" w:themeColor="text1"/>
          <w14:textFill>
            <w14:solidFill>
              <w14:schemeClr w14:val="tx1"/>
            </w14:solidFill>
          </w14:textFill>
        </w:rPr>
        <w:t>）事故现场勘验情况</w:t>
      </w:r>
      <w:bookmarkEnd w:id="8"/>
      <w:bookmarkEnd w:id="10"/>
    </w:p>
    <w:p w14:paraId="67D750C6">
      <w:pPr>
        <w:spacing w:line="560" w:lineRule="exact"/>
        <w:ind w:firstLine="640" w:firstLineChars="200"/>
        <w:rPr>
          <w:rFonts w:hint="eastAsia" w:ascii="宋体" w:hAnsi="宋体" w:eastAsia="宋体" w:cs="宋体"/>
          <w:color w:val="000000" w:themeColor="text1"/>
          <w:sz w:val="24"/>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因事故发生于2024年4月4日，事故现场已不存在。经过询问笔录等资料还原，事故发生地为燕山钢铁公司炼钢二厂2#LF精炼区域，主控室内张贴有《风镐使用安全规程》、《中毒窒息应急救援预案》，现场设置了“风险告知警示标志”，“氩气职业危害告知卡”且气体管道均按照国家标准悬挂了介质管道标识。氩气管道涂刷灰色，布置在两个精炼位正北侧，距离风镐使用地点约6米；压缩空气管道涂刷天蓝色，布置在精炼炉前平台两端，距离风镐使用地点约10米</w:t>
      </w:r>
      <w:bookmarkStart w:id="11" w:name="_Toc6886"/>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2"/>
          <w:sz w:val="32"/>
          <w:szCs w:val="32"/>
          <w14:textFill>
            <w14:solidFill>
              <w14:schemeClr w14:val="tx1"/>
            </w14:solidFill>
          </w14:textFill>
        </w:rPr>
        <w:t>压缩空气管道在氩气管道西侧，直线距离约3米，作业平面与最矮挡墙的深度差值为5.5米。</w:t>
      </w:r>
    </w:p>
    <w:p w14:paraId="4A429F36">
      <w:pPr>
        <w:spacing w:line="560" w:lineRule="exact"/>
        <w:ind w:firstLine="480"/>
        <w:jc w:val="center"/>
        <w:rPr>
          <w:rFonts w:hint="eastAsia" w:ascii="宋体" w:hAnsi="宋体" w:eastAsia="宋体" w:cs="宋体"/>
          <w:color w:val="000000" w:themeColor="text1"/>
          <w:sz w:val="24"/>
          <w14:textFill>
            <w14:solidFill>
              <w14:schemeClr w14:val="tx1"/>
            </w14:solidFill>
          </w14:textFill>
        </w:rPr>
      </w:pPr>
      <w:r>
        <w:rPr>
          <w:rFonts w:hint="eastAsia" w:ascii="宋体" w:hAnsi="宋体" w:eastAsia="宋体" w:cs="宋体"/>
          <w:color w:val="000000" w:themeColor="text1"/>
          <w:sz w:val="24"/>
          <w14:textFill>
            <w14:solidFill>
              <w14:schemeClr w14:val="tx1"/>
            </w14:solidFill>
          </w14:textFill>
        </w:rPr>
        <w:drawing>
          <wp:anchor distT="0" distB="0" distL="114300" distR="114300" simplePos="0" relativeHeight="251659264" behindDoc="0" locked="0" layoutInCell="1" allowOverlap="1">
            <wp:simplePos x="0" y="0"/>
            <wp:positionH relativeFrom="column">
              <wp:posOffset>-366395</wp:posOffset>
            </wp:positionH>
            <wp:positionV relativeFrom="paragraph">
              <wp:posOffset>66040</wp:posOffset>
            </wp:positionV>
            <wp:extent cx="6278245" cy="3858895"/>
            <wp:effectExtent l="0" t="0" r="8255" b="8255"/>
            <wp:wrapTopAndBottom/>
            <wp:docPr id="6" name="图片 6" descr="现场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现场图"/>
                    <pic:cNvPicPr>
                      <a:picLocks noChangeAspect="1"/>
                    </pic:cNvPicPr>
                  </pic:nvPicPr>
                  <pic:blipFill>
                    <a:blip r:embed="rId6"/>
                    <a:stretch>
                      <a:fillRect/>
                    </a:stretch>
                  </pic:blipFill>
                  <pic:spPr>
                    <a:xfrm>
                      <a:off x="0" y="0"/>
                      <a:ext cx="6278245" cy="3858895"/>
                    </a:xfrm>
                    <a:prstGeom prst="rect">
                      <a:avLst/>
                    </a:prstGeom>
                  </pic:spPr>
                </pic:pic>
              </a:graphicData>
            </a:graphic>
          </wp:anchor>
        </w:drawing>
      </w:r>
      <w:r>
        <w:rPr>
          <w:rFonts w:hint="eastAsia" w:ascii="宋体" w:hAnsi="宋体" w:eastAsia="宋体" w:cs="宋体"/>
          <w:color w:val="000000" w:themeColor="text1"/>
          <w:sz w:val="24"/>
          <w14:textFill>
            <w14:solidFill>
              <w14:schemeClr w14:val="tx1"/>
            </w14:solidFill>
          </w14:textFill>
        </w:rPr>
        <w:t>图一 事故现场示意图</w:t>
      </w:r>
    </w:p>
    <w:p w14:paraId="78E2A7F1">
      <w:pPr>
        <w:pStyle w:val="3"/>
        <w:ind w:firstLine="643"/>
        <w:rPr>
          <w:color w:val="000000" w:themeColor="text1"/>
          <w14:textFill>
            <w14:solidFill>
              <w14:schemeClr w14:val="tx1"/>
            </w14:solidFill>
          </w14:textFill>
        </w:rPr>
      </w:pPr>
      <w:bookmarkStart w:id="12" w:name="_Toc17630"/>
      <w:r>
        <w:rPr>
          <w:rFonts w:hint="eastAsia"/>
          <w:color w:val="000000" w:themeColor="text1"/>
          <w14:textFill>
            <w14:solidFill>
              <w14:schemeClr w14:val="tx1"/>
            </w14:solidFill>
          </w14:textFill>
        </w:rPr>
        <w:t>（</w:t>
      </w:r>
      <w:r>
        <w:rPr>
          <w:rFonts w:hint="eastAsia"/>
          <w:color w:val="000000" w:themeColor="text1"/>
          <w:lang w:val="en-US" w:eastAsia="zh-CN"/>
          <w14:textFill>
            <w14:solidFill>
              <w14:schemeClr w14:val="tx1"/>
            </w14:solidFill>
          </w14:textFill>
        </w:rPr>
        <w:t>六</w:t>
      </w:r>
      <w:r>
        <w:rPr>
          <w:rFonts w:hint="eastAsia"/>
          <w:color w:val="000000" w:themeColor="text1"/>
          <w14:textFill>
            <w14:solidFill>
              <w14:schemeClr w14:val="tx1"/>
            </w14:solidFill>
          </w14:textFill>
        </w:rPr>
        <w:t>）人员伤亡和直接经济损失情况</w:t>
      </w:r>
      <w:bookmarkEnd w:id="11"/>
      <w:bookmarkEnd w:id="12"/>
    </w:p>
    <w:p w14:paraId="2A51B3C6">
      <w:pPr>
        <w:pStyle w:val="4"/>
        <w:spacing w:line="560" w:lineRule="exact"/>
        <w:ind w:firstLine="648"/>
        <w:rPr>
          <w:rFonts w:ascii="Times New Roman" w:hAnsi="Times New Roman"/>
          <w:color w:val="000000" w:themeColor="text1"/>
          <w14:textFill>
            <w14:solidFill>
              <w14:schemeClr w14:val="tx1"/>
            </w14:solidFill>
          </w14:textFill>
        </w:rPr>
      </w:pPr>
      <w:r>
        <w:rPr>
          <w:rFonts w:hint="eastAsia" w:ascii="Times New Roman" w:hAnsi="Times New Roman"/>
          <w:color w:val="000000" w:themeColor="text1"/>
          <w14:textFill>
            <w14:solidFill>
              <w14:schemeClr w14:val="tx1"/>
            </w14:solidFill>
          </w14:textFill>
        </w:rPr>
        <w:t>事故造成2人死亡，依据《企业职工伤亡事故经济损失统计标准》（GB6721-1986)和有关规定统计，事故共造成直接经济损失</w:t>
      </w:r>
      <w:r>
        <w:rPr>
          <w:rFonts w:hint="eastAsia" w:ascii="Times New Roman" w:hAnsi="Times New Roman" w:cs="仿宋_GB2312"/>
          <w:color w:val="000000" w:themeColor="text1"/>
          <w:szCs w:val="32"/>
          <w14:textFill>
            <w14:solidFill>
              <w14:schemeClr w14:val="tx1"/>
            </w14:solidFill>
          </w14:textFill>
        </w:rPr>
        <w:t>380</w:t>
      </w:r>
      <w:r>
        <w:rPr>
          <w:rFonts w:hint="eastAsia" w:ascii="Times New Roman" w:hAnsi="Times New Roman"/>
          <w:color w:val="000000" w:themeColor="text1"/>
          <w14:textFill>
            <w14:solidFill>
              <w14:schemeClr w14:val="tx1"/>
            </w14:solidFill>
          </w14:textFill>
        </w:rPr>
        <w:t>万元。</w:t>
      </w:r>
    </w:p>
    <w:p w14:paraId="1B6A8A13">
      <w:pPr>
        <w:pStyle w:val="2"/>
        <w:ind w:firstLine="640"/>
        <w:rPr>
          <w:color w:val="000000" w:themeColor="text1"/>
          <w14:textFill>
            <w14:solidFill>
              <w14:schemeClr w14:val="tx1"/>
            </w14:solidFill>
          </w14:textFill>
        </w:rPr>
      </w:pPr>
      <w:bookmarkStart w:id="13" w:name="_Toc30518"/>
      <w:bookmarkStart w:id="14" w:name="_Toc24617"/>
      <w:r>
        <w:rPr>
          <w:rFonts w:hint="eastAsia"/>
          <w:color w:val="000000" w:themeColor="text1"/>
          <w14:textFill>
            <w14:solidFill>
              <w14:schemeClr w14:val="tx1"/>
            </w14:solidFill>
          </w14:textFill>
        </w:rPr>
        <w:t>二、事故应急处置及评估情况</w:t>
      </w:r>
      <w:bookmarkEnd w:id="13"/>
      <w:bookmarkEnd w:id="14"/>
    </w:p>
    <w:p w14:paraId="613FB7E4">
      <w:pPr>
        <w:pStyle w:val="3"/>
        <w:ind w:firstLine="643"/>
        <w:rPr>
          <w:rFonts w:ascii="Times New Roman" w:hAnsi="Times New Roman" w:eastAsia="仿宋_GB2312" w:cs="仿宋_GB2312"/>
          <w:color w:val="000000" w:themeColor="text1"/>
          <w:spacing w:val="2"/>
          <w:szCs w:val="32"/>
          <w14:textFill>
            <w14:solidFill>
              <w14:schemeClr w14:val="tx1"/>
            </w14:solidFill>
          </w14:textFill>
        </w:rPr>
      </w:pPr>
      <w:bookmarkStart w:id="15" w:name="_Toc19082"/>
      <w:bookmarkStart w:id="16" w:name="_Toc20517"/>
      <w:r>
        <w:rPr>
          <w:rFonts w:hint="eastAsia"/>
          <w:color w:val="000000" w:themeColor="text1"/>
          <w14:textFill>
            <w14:solidFill>
              <w14:schemeClr w14:val="tx1"/>
            </w14:solidFill>
          </w14:textFill>
        </w:rPr>
        <w:t>（一）事故信息接报及响应情况</w:t>
      </w:r>
      <w:bookmarkEnd w:id="15"/>
      <w:bookmarkEnd w:id="16"/>
    </w:p>
    <w:p w14:paraId="647EA07C">
      <w:pPr>
        <w:widowControl/>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22时50分左右，郑志全在爬梯上方发现刘志明晕倒后，立即大声呼叫在喂丝平台（东侧喂丝机所在平台）清理卫生的班长岳佳宾并报告刘志明晕倒的情况。</w:t>
      </w:r>
      <w:r>
        <w:rPr>
          <w:rFonts w:hint="eastAsia" w:ascii="仿宋_GB2312" w:hAnsi="仿宋_GB2312" w:eastAsia="仿宋_GB2312" w:cs="仿宋_GB2312"/>
          <w:color w:val="000000" w:themeColor="text1"/>
          <w:spacing w:val="2"/>
          <w:sz w:val="32"/>
          <w:szCs w:val="32"/>
          <w14:textFill>
            <w14:solidFill>
              <w14:schemeClr w14:val="tx1"/>
            </w14:solidFill>
          </w14:textFill>
        </w:rPr>
        <w:t>22时55分，岳佳宾听到郑志全呼喊后放下工具立即赶到</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电极旋转臂东侧平台（与东侧挡墙等高）</w:t>
      </w:r>
      <w:r>
        <w:rPr>
          <w:rFonts w:hint="eastAsia" w:ascii="仿宋_GB2312" w:hAnsi="仿宋_GB2312" w:eastAsia="仿宋_GB2312" w:cs="仿宋_GB2312"/>
          <w:color w:val="000000" w:themeColor="text1"/>
          <w:spacing w:val="2"/>
          <w:sz w:val="32"/>
          <w:szCs w:val="32"/>
          <w14:textFill>
            <w14:solidFill>
              <w14:schemeClr w14:val="tx1"/>
            </w14:solidFill>
          </w14:textFill>
        </w:rPr>
        <w:t>向下观察</w:t>
      </w:r>
      <w:r>
        <w:rPr>
          <w:rFonts w:hint="eastAsia" w:ascii="仿宋_GB2312" w:hAnsi="仿宋_GB2312" w:eastAsia="仿宋_GB2312" w:cs="仿宋_GB2312"/>
          <w:color w:val="000000" w:themeColor="text1"/>
          <w:spacing w:val="2"/>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2"/>
          <w:sz w:val="32"/>
          <w:szCs w:val="32"/>
          <w14:textFill>
            <w14:solidFill>
              <w14:schemeClr w14:val="tx1"/>
            </w14:solidFill>
          </w14:textFill>
        </w:rPr>
        <w:t>发现</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郑志全、刘志明</w:t>
      </w:r>
      <w:r>
        <w:rPr>
          <w:rFonts w:hint="eastAsia" w:ascii="仿宋_GB2312" w:hAnsi="仿宋_GB2312" w:eastAsia="仿宋_GB2312" w:cs="仿宋_GB2312"/>
          <w:color w:val="000000" w:themeColor="text1"/>
          <w:spacing w:val="2"/>
          <w:sz w:val="32"/>
          <w:szCs w:val="32"/>
          <w14:textFill>
            <w14:solidFill>
              <w14:schemeClr w14:val="tx1"/>
            </w14:solidFill>
          </w14:textFill>
        </w:rPr>
        <w:t>晕倒，随即电话通知精炼段长钱永胜及乙班安全员杨超。安全员杨超拨打了120急救电话并通知炼钢二厂当班值班的安全生产科长张建宇，张建宇赶到现场后将现场情况电话汇报给厂长夏春祥、生产厂长李振华并组织了救援。23时左右，夏春祥电话向总经理任宝树报告了事故发生情况。燕山钢铁公司</w:t>
      </w:r>
      <w:r>
        <w:rPr>
          <w:rFonts w:ascii="仿宋_GB2312" w:hAnsi="仿宋_GB2312" w:eastAsia="仿宋_GB2312" w:cs="仿宋_GB2312"/>
          <w:color w:val="000000" w:themeColor="text1"/>
          <w:spacing w:val="2"/>
          <w:sz w:val="32"/>
          <w:szCs w:val="32"/>
          <w14:textFill>
            <w14:solidFill>
              <w14:schemeClr w14:val="tx1"/>
            </w14:solidFill>
          </w14:textFill>
        </w:rPr>
        <w:t>总经理</w:t>
      </w:r>
      <w:r>
        <w:rPr>
          <w:rFonts w:hint="eastAsia" w:ascii="仿宋_GB2312" w:hAnsi="仿宋_GB2312" w:eastAsia="仿宋_GB2312" w:cs="仿宋_GB2312"/>
          <w:color w:val="000000" w:themeColor="text1"/>
          <w:spacing w:val="2"/>
          <w:sz w:val="32"/>
          <w:szCs w:val="32"/>
          <w14:textFill>
            <w14:solidFill>
              <w14:schemeClr w14:val="tx1"/>
            </w14:solidFill>
          </w14:textFill>
        </w:rPr>
        <w:t>任宝树</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直至事故查证属实前仍</w:t>
      </w:r>
      <w:r>
        <w:rPr>
          <w:rFonts w:ascii="仿宋_GB2312" w:hAnsi="仿宋_GB2312" w:eastAsia="仿宋_GB2312" w:cs="仿宋_GB2312"/>
          <w:color w:val="000000" w:themeColor="text1"/>
          <w:spacing w:val="2"/>
          <w:sz w:val="32"/>
          <w:szCs w:val="32"/>
          <w14:textFill>
            <w14:solidFill>
              <w14:schemeClr w14:val="tx1"/>
            </w14:solidFill>
          </w14:textFill>
        </w:rPr>
        <w:t>未向迁安市应急管理局报告，构成瞒报。</w:t>
      </w:r>
    </w:p>
    <w:p w14:paraId="6576353E">
      <w:pPr>
        <w:pStyle w:val="3"/>
        <w:ind w:firstLine="643"/>
        <w:rPr>
          <w:color w:val="000000" w:themeColor="text1"/>
          <w14:textFill>
            <w14:solidFill>
              <w14:schemeClr w14:val="tx1"/>
            </w14:solidFill>
          </w14:textFill>
        </w:rPr>
      </w:pPr>
      <w:bookmarkStart w:id="17" w:name="_Toc11595"/>
      <w:bookmarkStart w:id="18" w:name="_Toc24185"/>
      <w:r>
        <w:rPr>
          <w:rFonts w:hint="eastAsia"/>
          <w:color w:val="000000" w:themeColor="text1"/>
          <w14:textFill>
            <w14:solidFill>
              <w14:schemeClr w14:val="tx1"/>
            </w14:solidFill>
          </w14:textFill>
        </w:rPr>
        <w:t>（二）事故现场应急处置情况</w:t>
      </w:r>
      <w:bookmarkEnd w:id="17"/>
    </w:p>
    <w:p w14:paraId="02E58AC1">
      <w:pPr>
        <w:spacing w:line="560" w:lineRule="exact"/>
        <w:ind w:firstLine="648" w:firstLineChars="200"/>
      </w:pPr>
      <w:r>
        <w:rPr>
          <w:rFonts w:hint="eastAsia" w:ascii="仿宋_GB2312" w:hAnsi="仿宋_GB2312" w:eastAsia="仿宋_GB2312" w:cs="仿宋_GB2312"/>
          <w:color w:val="000000" w:themeColor="text1"/>
          <w:spacing w:val="2"/>
          <w:sz w:val="32"/>
          <w:szCs w:val="32"/>
          <w14:textFill>
            <w14:solidFill>
              <w14:schemeClr w14:val="tx1"/>
            </w14:solidFill>
          </w14:textFill>
        </w:rPr>
        <w:t>22时50分左右，郑志全在爬梯上方发现刘志明晕倒</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并向岳佳宾报告刘志明晕倒的情况后，未按《中毒窒息应急救援预案》</w:t>
      </w:r>
      <w:r>
        <w:rPr>
          <w:rStyle w:val="15"/>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w:t>
      </w:r>
      <w:r>
        <w:rPr>
          <w:rStyle w:val="15"/>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footnoteReference w:id="0"/>
      </w:r>
      <w:r>
        <w:rPr>
          <w:rStyle w:val="15"/>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的要求先佩戴空气呼吸器再施救，而是直接从</w:t>
      </w:r>
      <w:r>
        <w:rPr>
          <w:rFonts w:hint="eastAsia" w:ascii="仿宋_GB2312" w:hAnsi="仿宋_GB2312" w:eastAsia="仿宋_GB2312" w:cs="仿宋_GB2312"/>
          <w:color w:val="000000" w:themeColor="text1"/>
          <w:spacing w:val="2"/>
          <w:sz w:val="32"/>
          <w:szCs w:val="32"/>
          <w14:textFill>
            <w14:solidFill>
              <w14:schemeClr w14:val="tx1"/>
            </w14:solidFill>
          </w14:textFill>
        </w:rPr>
        <w:t>爬梯下到工作平面准备施救，到达工作平面后郑志全随即晕倒。22时55分，岳佳宾呼叫主控室内的主控工钱永龙去2#RH精炼主控室取空气呼吸器，22时58分左右，岳佳</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宾</w:t>
      </w:r>
      <w:r>
        <w:rPr>
          <w:rFonts w:hint="eastAsia" w:ascii="仿宋_GB2312" w:hAnsi="仿宋_GB2312" w:eastAsia="仿宋_GB2312" w:cs="仿宋_GB2312"/>
          <w:color w:val="000000" w:themeColor="text1"/>
          <w:spacing w:val="2"/>
          <w:sz w:val="32"/>
          <w:szCs w:val="32"/>
          <w14:textFill>
            <w14:solidFill>
              <w14:schemeClr w14:val="tx1"/>
            </w14:solidFill>
          </w14:textFill>
        </w:rPr>
        <w:t>佩戴空气呼吸器爬下梯子进行救援，钱永龙在上方配合。23时15分左右，岳佳</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宾</w:t>
      </w:r>
      <w:r>
        <w:rPr>
          <w:rFonts w:hint="eastAsia" w:ascii="仿宋_GB2312" w:hAnsi="仿宋_GB2312" w:eastAsia="仿宋_GB2312" w:cs="仿宋_GB2312"/>
          <w:color w:val="000000" w:themeColor="text1"/>
          <w:spacing w:val="2"/>
          <w:sz w:val="32"/>
          <w:szCs w:val="32"/>
          <w14:textFill>
            <w14:solidFill>
              <w14:schemeClr w14:val="tx1"/>
            </w14:solidFill>
          </w14:textFill>
        </w:rPr>
        <w:t>先后将刘志明、郑志全两人装进吨包袋内，安全生产科长张建宇指挥天车将两人先后救出，转移到地面进行心肺复苏急救。</w:t>
      </w:r>
    </w:p>
    <w:p w14:paraId="3B08D1ED">
      <w:pPr>
        <w:pStyle w:val="3"/>
        <w:ind w:firstLine="643"/>
        <w:rPr>
          <w:color w:val="000000" w:themeColor="text1"/>
          <w14:textFill>
            <w14:solidFill>
              <w14:schemeClr w14:val="tx1"/>
            </w14:solidFill>
          </w14:textFill>
        </w:rPr>
      </w:pPr>
      <w:bookmarkStart w:id="19" w:name="_Toc30332"/>
      <w:r>
        <w:rPr>
          <w:rFonts w:hint="eastAsia"/>
          <w:color w:val="000000" w:themeColor="text1"/>
          <w14:textFill>
            <w14:solidFill>
              <w14:schemeClr w14:val="tx1"/>
            </w14:solidFill>
          </w14:textFill>
        </w:rPr>
        <w:t>（三）医疗救治和善后情况</w:t>
      </w:r>
      <w:bookmarkEnd w:id="18"/>
      <w:bookmarkEnd w:id="19"/>
    </w:p>
    <w:p w14:paraId="5C6A3356">
      <w:pPr>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23时20分迁安市人民医院救护车到达现场对刘志明、郑志全进行检查，经检查郑志全已死亡，刘志明仍有生命迹象，随后救护车立即将刘志明送往迁安市中医院急诊科继续抢救，后经抢救无效死亡。</w:t>
      </w:r>
    </w:p>
    <w:p w14:paraId="71404A99">
      <w:pPr>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刘志明、郑志全死亡后，燕山钢铁公司积极安抚家属，分别与死者家属达成了赔偿协议，共赔偿380万元。</w:t>
      </w:r>
    </w:p>
    <w:p w14:paraId="4A7AC00D">
      <w:pPr>
        <w:pStyle w:val="3"/>
        <w:ind w:firstLine="643"/>
        <w:rPr>
          <w:color w:val="000000" w:themeColor="text1"/>
          <w14:textFill>
            <w14:solidFill>
              <w14:schemeClr w14:val="tx1"/>
            </w14:solidFill>
          </w14:textFill>
        </w:rPr>
      </w:pPr>
      <w:bookmarkStart w:id="20" w:name="_Toc25820"/>
      <w:bookmarkStart w:id="21" w:name="_Toc300"/>
      <w:r>
        <w:rPr>
          <w:rFonts w:hint="eastAsia"/>
          <w:color w:val="000000" w:themeColor="text1"/>
          <w14:textFill>
            <w14:solidFill>
              <w14:schemeClr w14:val="tx1"/>
            </w14:solidFill>
          </w14:textFill>
        </w:rPr>
        <w:t>（四）事故应急处置评估</w:t>
      </w:r>
      <w:bookmarkEnd w:id="20"/>
      <w:r>
        <w:rPr>
          <w:rFonts w:hint="eastAsia"/>
          <w:color w:val="000000" w:themeColor="text1"/>
          <w14:textFill>
            <w14:solidFill>
              <w14:schemeClr w14:val="tx1"/>
            </w14:solidFill>
          </w14:textFill>
        </w:rPr>
        <w:t>情况</w:t>
      </w:r>
      <w:bookmarkEnd w:id="21"/>
    </w:p>
    <w:p w14:paraId="62267EEC">
      <w:pPr>
        <w:spacing w:line="560" w:lineRule="exact"/>
        <w:ind w:firstLine="640" w:firstLineChars="200"/>
        <w:rPr>
          <w:rFonts w:hint="eastAsia" w:ascii="仿宋_GB2312" w:hAnsi="仿宋"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事故发生后，现场</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人员</w:t>
      </w:r>
      <w:r>
        <w:rPr>
          <w:rFonts w:hint="eastAsia" w:ascii="仿宋_GB2312" w:hAnsi="仿宋_GB2312" w:eastAsia="仿宋_GB2312" w:cs="仿宋_GB2312"/>
          <w:color w:val="000000" w:themeColor="text1"/>
          <w:sz w:val="32"/>
          <w:szCs w:val="32"/>
          <w14:textFill>
            <w14:solidFill>
              <w14:schemeClr w14:val="tx1"/>
            </w14:solidFill>
          </w14:textFill>
        </w:rPr>
        <w:t>岳佳</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宾</w:t>
      </w:r>
      <w:r>
        <w:rPr>
          <w:rFonts w:hint="eastAsia" w:ascii="仿宋_GB2312" w:hAnsi="仿宋_GB2312" w:eastAsia="仿宋_GB2312" w:cs="仿宋_GB2312"/>
          <w:color w:val="000000" w:themeColor="text1"/>
          <w:sz w:val="32"/>
          <w:szCs w:val="32"/>
          <w14:textFill>
            <w14:solidFill>
              <w14:schemeClr w14:val="tx1"/>
            </w14:solidFill>
          </w14:textFill>
        </w:rPr>
        <w:t>、张建宇积极组织救援，在保证救援人员自身安全的情况下进行救援，未引发次生事故，善后工作得到妥善处理。事故发生后总经理任宝树、厂长夏春祥组织控制现场并查找事故原因，但燕山钢铁公司未按规定上报事故。</w:t>
      </w:r>
    </w:p>
    <w:p w14:paraId="79E01985">
      <w:pPr>
        <w:pStyle w:val="2"/>
        <w:numPr>
          <w:ilvl w:val="0"/>
          <w:numId w:val="1"/>
        </w:numPr>
        <w:ind w:firstLine="640"/>
        <w:rPr>
          <w:color w:val="000000" w:themeColor="text1"/>
          <w14:textFill>
            <w14:solidFill>
              <w14:schemeClr w14:val="tx1"/>
            </w14:solidFill>
          </w14:textFill>
        </w:rPr>
      </w:pPr>
      <w:bookmarkStart w:id="22" w:name="_Toc21955"/>
      <w:bookmarkStart w:id="23" w:name="_Toc2668"/>
      <w:r>
        <w:rPr>
          <w:rFonts w:hint="eastAsia"/>
          <w:color w:val="000000" w:themeColor="text1"/>
          <w14:textFill>
            <w14:solidFill>
              <w14:schemeClr w14:val="tx1"/>
            </w14:solidFill>
          </w14:textFill>
        </w:rPr>
        <w:t>事故原因分析</w:t>
      </w:r>
      <w:bookmarkEnd w:id="22"/>
      <w:bookmarkEnd w:id="23"/>
    </w:p>
    <w:p w14:paraId="253FF1D6">
      <w:pPr>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依据现场勘察结果及专家论证分析：</w:t>
      </w:r>
    </w:p>
    <w:p w14:paraId="212D7596">
      <w:pPr>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1、经现场勘查炼钢二厂2#LF精炼炉前平台主氩气管道及其附属设施不存在泄漏部位，排除本体氩气管道及其附属设施泄漏导致惰性气体聚集而发生的窒息晕倒可能；</w:t>
      </w:r>
    </w:p>
    <w:p w14:paraId="19B8AF3D">
      <w:pPr>
        <w:spacing w:line="560" w:lineRule="exact"/>
        <w:ind w:firstLine="648" w:firstLineChars="200"/>
        <w:rPr>
          <w:rFonts w:hint="eastAsia" w:ascii="仿宋_GB2312" w:hAnsi="仿宋_GB2312" w:eastAsia="仿宋_GB2312" w:cs="仿宋_GB2312"/>
          <w:color w:val="000000" w:themeColor="text1"/>
          <w:spacing w:val="2"/>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2、根据现场勘察及相关笔录表明，刘志明、郑志全违规将风镐气源接到2#精炼工位北侧护板后氩气管道分支阀门上</w:t>
      </w:r>
      <w:r>
        <w:rPr>
          <w:rFonts w:hint="eastAsia" w:ascii="仿宋_GB2312" w:hAnsi="仿宋_GB2312" w:eastAsia="仿宋_GB2312" w:cs="仿宋_GB2312"/>
          <w:color w:val="000000" w:themeColor="text1"/>
          <w:spacing w:val="2"/>
          <w:sz w:val="32"/>
          <w:szCs w:val="32"/>
          <w:lang w:eastAsia="zh-CN"/>
          <w14:textFill>
            <w14:solidFill>
              <w14:schemeClr w14:val="tx1"/>
            </w14:solidFill>
          </w14:textFill>
        </w:rPr>
        <w:t>，</w:t>
      </w:r>
      <w:r>
        <w:rPr>
          <w:rFonts w:hint="eastAsia" w:ascii="仿宋_GB2312" w:hAnsi="仿宋_GB2312" w:eastAsia="仿宋_GB2312" w:cs="仿宋_GB2312"/>
          <w:color w:val="000000" w:themeColor="text1"/>
          <w:spacing w:val="2"/>
          <w:sz w:val="32"/>
          <w:szCs w:val="32"/>
          <w14:textFill>
            <w14:solidFill>
              <w14:schemeClr w14:val="tx1"/>
            </w14:solidFill>
          </w14:textFill>
        </w:rPr>
        <w:t>且</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金属软管与风镐连接不严</w:t>
      </w:r>
      <w:r>
        <w:rPr>
          <w:rFonts w:hint="eastAsia" w:ascii="仿宋_GB2312" w:hAnsi="仿宋_GB2312" w:eastAsia="仿宋_GB2312" w:cs="仿宋_GB2312"/>
          <w:color w:val="000000" w:themeColor="text1"/>
          <w:spacing w:val="2"/>
          <w:sz w:val="32"/>
          <w:szCs w:val="32"/>
          <w14:textFill>
            <w14:solidFill>
              <w14:schemeClr w14:val="tx1"/>
            </w14:solidFill>
          </w14:textFill>
        </w:rPr>
        <w:t>，违反了炼钢二厂内部《风镐使用安全规程》中禁止使用有毒有害气体作为动力源的规定，致使郑志全、刘志明第二次进入电极旋转臂底座时，氩气浓度高造成两人窒息晕倒。</w:t>
      </w:r>
    </w:p>
    <w:p w14:paraId="5D277666">
      <w:pPr>
        <w:pStyle w:val="3"/>
        <w:ind w:firstLine="643"/>
      </w:pPr>
      <w:bookmarkStart w:id="24" w:name="_Toc17337"/>
      <w:r>
        <w:rPr>
          <w:rFonts w:hint="eastAsia"/>
        </w:rPr>
        <w:t>（一）直接原因</w:t>
      </w:r>
      <w:bookmarkEnd w:id="24"/>
    </w:p>
    <w:p w14:paraId="4DF60C95">
      <w:pPr>
        <w:spacing w:line="560" w:lineRule="exact"/>
        <w:ind w:firstLine="648" w:firstLineChars="200"/>
        <w:rPr>
          <w:rFonts w:eastAsia="仿宋_GB2312" w:cs="仿宋_GB2312" w:asciiTheme="majorHAnsi" w:hAnsiTheme="majorHAnsi"/>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pacing w:val="2"/>
          <w:sz w:val="32"/>
          <w:szCs w:val="32"/>
          <w14:textFill>
            <w14:solidFill>
              <w14:schemeClr w14:val="tx1"/>
            </w14:solidFill>
          </w14:textFill>
        </w:rPr>
        <w:t>郑志全、刘志明在使用风镐作业过程中违反了燕山钢铁公司《风镐使用安全规程》</w:t>
      </w:r>
      <w:r>
        <w:rPr>
          <w:rStyle w:val="15"/>
          <w:rFonts w:hint="eastAsia" w:ascii="仿宋_GB2312" w:hAnsi="仿宋_GB2312" w:eastAsia="仿宋_GB2312" w:cs="仿宋_GB2312"/>
          <w:color w:val="000000" w:themeColor="text1"/>
          <w:spacing w:val="2"/>
          <w:sz w:val="32"/>
          <w:szCs w:val="32"/>
          <w14:textFill>
            <w14:solidFill>
              <w14:schemeClr w14:val="tx1"/>
            </w14:solidFill>
          </w14:textFill>
        </w:rPr>
        <w:t>[</w:t>
      </w:r>
      <w:r>
        <w:rPr>
          <w:rStyle w:val="15"/>
          <w:rFonts w:hint="eastAsia" w:ascii="仿宋_GB2312" w:hAnsi="仿宋_GB2312" w:eastAsia="仿宋_GB2312" w:cs="仿宋_GB2312"/>
          <w:color w:val="000000" w:themeColor="text1"/>
          <w:spacing w:val="2"/>
          <w:sz w:val="32"/>
          <w:szCs w:val="32"/>
          <w14:textFill>
            <w14:solidFill>
              <w14:schemeClr w14:val="tx1"/>
            </w14:solidFill>
          </w14:textFill>
        </w:rPr>
        <w:footnoteReference w:id="1"/>
      </w:r>
      <w:r>
        <w:rPr>
          <w:rStyle w:val="15"/>
          <w:rFonts w:hint="eastAsia" w:ascii="仿宋_GB2312" w:hAnsi="仿宋_GB2312" w:eastAsia="仿宋_GB2312" w:cs="仿宋_GB2312"/>
          <w:color w:val="000000" w:themeColor="text1"/>
          <w:spacing w:val="2"/>
          <w:sz w:val="32"/>
          <w:szCs w:val="32"/>
          <w14:textFill>
            <w14:solidFill>
              <w14:schemeClr w14:val="tx1"/>
            </w14:solidFill>
          </w14:textFill>
        </w:rPr>
        <w:t>]</w:t>
      </w:r>
      <w:r>
        <w:rPr>
          <w:rFonts w:hint="eastAsia" w:ascii="仿宋_GB2312" w:hAnsi="仿宋_GB2312" w:eastAsia="仿宋_GB2312" w:cs="仿宋_GB2312"/>
          <w:color w:val="000000" w:themeColor="text1"/>
          <w:spacing w:val="2"/>
          <w:sz w:val="32"/>
          <w:szCs w:val="32"/>
          <w14:textFill>
            <w14:solidFill>
              <w14:schemeClr w14:val="tx1"/>
            </w14:solidFill>
          </w14:textFill>
        </w:rPr>
        <w:t>，违规将风镐动力气源接在了氩气管道上致使作业地点氩气浓度过高，</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刘志明进入工作地点后吸入高浓度氩气窒息，郑志全未按应急救援预案要求在未佩戴空气呼吸器的情况下盲目施救致使事故后果扩大，最终</w:t>
      </w:r>
      <w:r>
        <w:rPr>
          <w:rFonts w:hint="eastAsia" w:ascii="仿宋_GB2312" w:hAnsi="仿宋_GB2312" w:eastAsia="仿宋_GB2312" w:cs="仿宋_GB2312"/>
          <w:color w:val="000000" w:themeColor="text1"/>
          <w:spacing w:val="2"/>
          <w:sz w:val="32"/>
          <w:szCs w:val="32"/>
          <w14:textFill>
            <w14:solidFill>
              <w14:schemeClr w14:val="tx1"/>
            </w14:solidFill>
          </w14:textFill>
        </w:rPr>
        <w:t>郑志全、刘志明</w:t>
      </w:r>
      <w:r>
        <w:rPr>
          <w:rFonts w:hint="eastAsia" w:ascii="仿宋_GB2312" w:hAnsi="仿宋_GB2312" w:eastAsia="仿宋_GB2312" w:cs="仿宋_GB2312"/>
          <w:color w:val="000000" w:themeColor="text1"/>
          <w:spacing w:val="2"/>
          <w:sz w:val="32"/>
          <w:szCs w:val="32"/>
          <w:lang w:val="en-US" w:eastAsia="zh-CN"/>
          <w14:textFill>
            <w14:solidFill>
              <w14:schemeClr w14:val="tx1"/>
            </w14:solidFill>
          </w14:textFill>
        </w:rPr>
        <w:t>因</w:t>
      </w:r>
      <w:r>
        <w:rPr>
          <w:rFonts w:hint="eastAsia" w:ascii="仿宋_GB2312" w:hAnsi="仿宋_GB2312" w:eastAsia="仿宋_GB2312" w:cs="仿宋_GB2312"/>
          <w:color w:val="000000" w:themeColor="text1"/>
          <w:spacing w:val="2"/>
          <w:sz w:val="32"/>
          <w:szCs w:val="32"/>
          <w14:textFill>
            <w14:solidFill>
              <w14:schemeClr w14:val="tx1"/>
            </w14:solidFill>
          </w14:textFill>
        </w:rPr>
        <w:t>吸入高浓度氩气窒息死亡，是事故发生的直接原因。</w:t>
      </w:r>
    </w:p>
    <w:p w14:paraId="734D8EB0">
      <w:pPr>
        <w:pStyle w:val="3"/>
        <w:ind w:firstLine="643"/>
        <w:rPr>
          <w:color w:val="000000" w:themeColor="text1"/>
          <w14:textFill>
            <w14:solidFill>
              <w14:schemeClr w14:val="tx1"/>
            </w14:solidFill>
          </w14:textFill>
        </w:rPr>
      </w:pPr>
      <w:bookmarkStart w:id="25" w:name="_Toc6548"/>
      <w:r>
        <w:rPr>
          <w:rFonts w:hint="eastAsia"/>
          <w:color w:val="000000" w:themeColor="text1"/>
          <w14:textFill>
            <w14:solidFill>
              <w14:schemeClr w14:val="tx1"/>
            </w14:solidFill>
          </w14:textFill>
        </w:rPr>
        <w:t>（二）间接原因</w:t>
      </w:r>
      <w:bookmarkEnd w:id="25"/>
    </w:p>
    <w:p w14:paraId="0167D89F">
      <w:pPr>
        <w:spacing w:line="560" w:lineRule="exact"/>
        <w:ind w:firstLine="643" w:firstLineChars="200"/>
        <w:rPr>
          <w:rFonts w:hint="eastAsia" w:ascii="宋体" w:hAnsi="宋体" w:eastAsia="仿宋_GB2312" w:cs="仿宋_GB2312"/>
          <w:b/>
          <w:bCs/>
          <w:color w:val="000000" w:themeColor="text1"/>
          <w:sz w:val="32"/>
          <w:szCs w:val="32"/>
          <w14:textFill>
            <w14:solidFill>
              <w14:schemeClr w14:val="tx1"/>
            </w14:solidFill>
          </w14:textFill>
        </w:rPr>
      </w:pPr>
      <w:r>
        <w:rPr>
          <w:rFonts w:ascii="宋体" w:hAnsi="宋体" w:eastAsia="仿宋_GB2312" w:cs="仿宋_GB2312"/>
          <w:b/>
          <w:bCs/>
          <w:color w:val="000000" w:themeColor="text1"/>
          <w:sz w:val="32"/>
          <w:szCs w:val="32"/>
          <w14:textFill>
            <w14:solidFill>
              <w14:schemeClr w14:val="tx1"/>
            </w14:solidFill>
          </w14:textFill>
        </w:rPr>
        <w:t>1.</w:t>
      </w:r>
      <w:r>
        <w:rPr>
          <w:rFonts w:hint="eastAsia" w:ascii="宋体" w:hAnsi="宋体" w:eastAsia="仿宋_GB2312" w:cs="仿宋_GB2312"/>
          <w:b/>
          <w:bCs/>
          <w:color w:val="000000" w:themeColor="text1"/>
          <w:sz w:val="32"/>
          <w:szCs w:val="32"/>
          <w14:textFill>
            <w14:solidFill>
              <w14:schemeClr w14:val="tx1"/>
            </w14:solidFill>
          </w14:textFill>
        </w:rPr>
        <w:t>燕山钢铁</w:t>
      </w:r>
      <w:r>
        <w:rPr>
          <w:rFonts w:ascii="宋体" w:hAnsi="宋体" w:eastAsia="仿宋_GB2312" w:cs="仿宋_GB2312"/>
          <w:b/>
          <w:bCs/>
          <w:color w:val="000000" w:themeColor="text1"/>
          <w:sz w:val="32"/>
          <w:szCs w:val="32"/>
          <w14:textFill>
            <w14:solidFill>
              <w14:schemeClr w14:val="tx1"/>
            </w14:solidFill>
          </w14:textFill>
        </w:rPr>
        <w:t>公司</w:t>
      </w:r>
    </w:p>
    <w:p w14:paraId="07EE07C8">
      <w:pPr>
        <w:spacing w:line="560" w:lineRule="exact"/>
        <w:ind w:firstLine="640" w:firstLineChars="200"/>
        <w:rPr>
          <w:rFonts w:eastAsia="仿宋_GB2312" w:cs="仿宋" w:asciiTheme="majorHAnsi" w:hAnsiTheme="majorHAnsi"/>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（1）燕山钢铁公司违反</w:t>
      </w:r>
      <w:r>
        <w:rPr>
          <w:rFonts w:hint="eastAsia" w:ascii="仿宋_GB2312" w:hAnsi="仿宋_GB2312" w:eastAsia="仿宋_GB2312" w:cs="仿宋_GB2312"/>
          <w:color w:val="000000" w:themeColor="text1"/>
          <w:sz w:val="32"/>
          <w:szCs w:val="32"/>
          <w14:textFill>
            <w14:solidFill>
              <w14:schemeClr w14:val="tx1"/>
            </w14:solidFill>
          </w14:textFill>
        </w:rPr>
        <w:t>《中华人民共和国安全生产法》第四十四条第一款</w:t>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Style w:val="15"/>
          <w:rFonts w:hint="eastAsia" w:ascii="仿宋_GB2312" w:hAnsi="仿宋_GB2312" w:eastAsia="仿宋_GB2312" w:cs="仿宋_GB2312"/>
          <w:color w:val="000000" w:themeColor="text1"/>
          <w:sz w:val="32"/>
          <w:szCs w:val="32"/>
          <w14:textFill>
            <w14:solidFill>
              <w14:schemeClr w14:val="tx1"/>
            </w14:solidFill>
          </w14:textFill>
        </w:rPr>
        <w:footnoteReference w:id="2"/>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规定，未能严格教育和督促从业人员执行本单位的安全生产规章制度</w:t>
      </w:r>
      <w:r>
        <w:rPr>
          <w:rFonts w:hint="eastAsia" w:ascii="仿宋_GB2312" w:hAnsi="仿宋_GB2312" w:eastAsia="仿宋_GB2312" w:cs="仿宋_GB2312"/>
          <w:color w:val="000000" w:themeColor="text1"/>
          <w:sz w:val="32"/>
          <w:szCs w:val="32"/>
          <w:lang w:eastAsia="zh-CN"/>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安全操作规程</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和应急救援预案</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color w:val="000000" w:themeColor="text1"/>
          <w:sz w:val="32"/>
          <w:szCs w:val="32"/>
          <w14:textFill>
            <w14:solidFill>
              <w14:schemeClr w14:val="tx1"/>
            </w14:solidFill>
          </w14:textFill>
        </w:rPr>
        <w:t>职工的安全意识淡薄，自我防范意识差，对违章作业的危险性认识不足</w:t>
      </w:r>
      <w:r>
        <w:rPr>
          <w:rFonts w:hint="eastAsia" w:ascii="Times New Roman" w:hAnsi="Times New Roman" w:eastAsia="仿宋_GB2312" w:cs="仿宋_GB2312"/>
          <w:color w:val="000000" w:themeColor="text1"/>
          <w:sz w:val="32"/>
          <w:szCs w:val="32"/>
          <w:lang w:eastAsia="zh-CN"/>
          <w14:textFill>
            <w14:solidFill>
              <w14:schemeClr w14:val="tx1"/>
            </w14:solidFill>
          </w14:textFill>
        </w:rPr>
        <w:t>，</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对事故发生后的应急处置流程掌握不足</w:t>
      </w:r>
      <w:r>
        <w:rPr>
          <w:rFonts w:hint="eastAsia" w:ascii="Times New Roman" w:hAnsi="Times New Roman" w:eastAsia="仿宋_GB2312" w:cs="仿宋_GB2312"/>
          <w:color w:val="000000" w:themeColor="text1"/>
          <w:sz w:val="32"/>
          <w:szCs w:val="32"/>
          <w14:textFill>
            <w14:solidFill>
              <w14:schemeClr w14:val="tx1"/>
            </w14:solidFill>
          </w14:textFill>
        </w:rPr>
        <w:t>，导致事故发生</w:t>
      </w: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和事故后果扩大</w:t>
      </w:r>
      <w:r>
        <w:rPr>
          <w:rFonts w:hint="eastAsia" w:ascii="Times New Roman" w:hAnsi="Times New Roman" w:eastAsia="仿宋_GB2312" w:cs="仿宋_GB2312"/>
          <w:color w:val="000000" w:themeColor="text1"/>
          <w:sz w:val="32"/>
          <w:szCs w:val="32"/>
          <w14:textFill>
            <w14:solidFill>
              <w14:schemeClr w14:val="tx1"/>
            </w14:solidFill>
          </w14:textFill>
        </w:rPr>
        <w:t>。</w:t>
      </w:r>
    </w:p>
    <w:p w14:paraId="51AD4A17">
      <w:pPr>
        <w:pStyle w:val="23"/>
        <w:spacing w:line="560" w:lineRule="exact"/>
        <w:ind w:firstLine="640"/>
        <w:rPr>
          <w:rFonts w:hint="eastAsia" w:ascii="Times New Roman" w:hAnsi="Times New Roman" w:eastAsia="仿宋_GB2312" w:cs="仿宋_GB2312"/>
          <w:color w:val="000000" w:themeColor="text1"/>
          <w:kern w:val="2"/>
          <w:sz w:val="32"/>
          <w:szCs w:val="32"/>
          <w14:textFill>
            <w14:solidFill>
              <w14:schemeClr w14:val="tx1"/>
            </w14:solidFill>
          </w14:textFill>
        </w:rPr>
      </w:pPr>
      <w:r>
        <w:rPr>
          <w:rFonts w:hint="eastAsia" w:ascii="Times New Roman" w:hAnsi="Times New Roman" w:eastAsia="仿宋_GB2312" w:cs="仿宋_GB2312"/>
          <w:color w:val="000000" w:themeColor="text1"/>
          <w:kern w:val="2"/>
          <w:sz w:val="32"/>
          <w:szCs w:val="32"/>
          <w14:textFill>
            <w14:solidFill>
              <w14:schemeClr w14:val="tx1"/>
            </w14:solidFill>
          </w14:textFill>
        </w:rPr>
        <w:t>（2）燕山钢铁公司违反</w:t>
      </w:r>
      <w:r>
        <w:rPr>
          <w:rFonts w:hint="eastAsia" w:ascii="仿宋_GB2312" w:hAnsi="仿宋_GB2312" w:eastAsia="仿宋_GB2312" w:cs="仿宋_GB2312"/>
          <w:color w:val="000000" w:themeColor="text1"/>
          <w:sz w:val="32"/>
          <w:szCs w:val="32"/>
          <w14:textFill>
            <w14:solidFill>
              <w14:schemeClr w14:val="tx1"/>
            </w14:solidFill>
          </w14:textFill>
        </w:rPr>
        <w:t>《中华人民共和国安全生产法》第四十一条</w:t>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Style w:val="15"/>
          <w:rFonts w:hint="eastAsia" w:ascii="仿宋_GB2312" w:hAnsi="仿宋_GB2312" w:eastAsia="仿宋_GB2312" w:cs="仿宋_GB2312"/>
          <w:color w:val="000000" w:themeColor="text1"/>
          <w:sz w:val="32"/>
          <w:szCs w:val="32"/>
          <w14:textFill>
            <w14:solidFill>
              <w14:schemeClr w14:val="tx1"/>
            </w14:solidFill>
          </w14:textFill>
        </w:rPr>
        <w:footnoteReference w:id="3"/>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规定，</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安全风险分级管控</w:t>
      </w:r>
      <w:r>
        <w:rPr>
          <w:rFonts w:hint="eastAsia" w:ascii="Times New Roman" w:hAnsi="Times New Roman" w:eastAsia="仿宋_GB2312" w:cs="仿宋_GB2312"/>
          <w:color w:val="000000" w:themeColor="text1"/>
          <w:kern w:val="2"/>
          <w:sz w:val="32"/>
          <w:szCs w:val="32"/>
          <w14:textFill>
            <w14:solidFill>
              <w14:schemeClr w14:val="tx1"/>
            </w14:solidFill>
          </w14:textFill>
        </w:rPr>
        <w:t>和</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事故隐患排查治理</w:t>
      </w:r>
      <w:r>
        <w:rPr>
          <w:rFonts w:hint="eastAsia" w:ascii="Times New Roman" w:hAnsi="Times New Roman" w:eastAsia="仿宋_GB2312" w:cs="仿宋_GB2312"/>
          <w:color w:val="000000" w:themeColor="text1"/>
          <w:kern w:val="2"/>
          <w:sz w:val="32"/>
          <w:szCs w:val="32"/>
          <w14:textFill>
            <w14:solidFill>
              <w14:schemeClr w14:val="tx1"/>
            </w14:solidFill>
          </w14:textFill>
        </w:rPr>
        <w:t>不到位。燕山钢铁公司按期组织了对炼钢二厂各作业现场的安全检查和隐患排查，但未能全面细致的排查</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出事故隐患</w:t>
      </w:r>
      <w:r>
        <w:rPr>
          <w:rFonts w:hint="eastAsia" w:ascii="Times New Roman" w:hAnsi="Times New Roman" w:eastAsia="仿宋_GB2312" w:cs="仿宋_GB2312"/>
          <w:color w:val="000000" w:themeColor="text1"/>
          <w:kern w:val="2"/>
          <w:sz w:val="32"/>
          <w:szCs w:val="32"/>
          <w14:textFill>
            <w14:solidFill>
              <w14:schemeClr w14:val="tx1"/>
            </w14:solidFill>
          </w14:textFill>
        </w:rPr>
        <w:t>，未及时发现使用风镐作业过程中存在的职工违规作业的行为和</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生产安全事故隐患</w:t>
      </w:r>
      <w:r>
        <w:rPr>
          <w:rFonts w:hint="eastAsia" w:ascii="Times New Roman" w:hAnsi="Times New Roman" w:eastAsia="仿宋_GB2312" w:cs="仿宋_GB2312"/>
          <w:color w:val="000000" w:themeColor="text1"/>
          <w:kern w:val="2"/>
          <w:sz w:val="32"/>
          <w:szCs w:val="32"/>
          <w14:textFill>
            <w14:solidFill>
              <w14:schemeClr w14:val="tx1"/>
            </w14:solidFill>
          </w14:textFill>
        </w:rPr>
        <w:t>。</w:t>
      </w:r>
    </w:p>
    <w:p w14:paraId="1765FC27">
      <w:pPr>
        <w:pStyle w:val="23"/>
        <w:spacing w:line="560" w:lineRule="exact"/>
        <w:ind w:firstLine="640"/>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2"/>
          <w:sz w:val="32"/>
          <w:szCs w:val="32"/>
          <w:lang w:eastAsia="zh-CN"/>
          <w14:textFill>
            <w14:solidFill>
              <w14:schemeClr w14:val="tx1"/>
            </w14:solidFill>
          </w14:textFill>
        </w:rPr>
        <w:t>（</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3</w:t>
      </w:r>
      <w:r>
        <w:rPr>
          <w:rFonts w:hint="eastAsia" w:ascii="Times New Roman" w:hAnsi="Times New Roman" w:eastAsia="仿宋_GB2312" w:cs="仿宋_GB2312"/>
          <w:color w:val="000000" w:themeColor="text1"/>
          <w:kern w:val="2"/>
          <w:sz w:val="32"/>
          <w:szCs w:val="32"/>
          <w:lang w:eastAsia="zh-CN"/>
          <w14:textFill>
            <w14:solidFill>
              <w14:schemeClr w14:val="tx1"/>
            </w14:solidFill>
          </w14:textFill>
        </w:rPr>
        <w:t>）</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燕山钢铁公司违反《中华人民共和国安全生产法》第四十条第一款</w:t>
      </w:r>
      <w:r>
        <w:rPr>
          <w:rStyle w:val="15"/>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w:t>
      </w:r>
      <w:r>
        <w:rPr>
          <w:rStyle w:val="15"/>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footnoteReference w:id="4"/>
      </w:r>
      <w:r>
        <w:rPr>
          <w:rStyle w:val="15"/>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规定，从业人员未掌握在紧急情况下应当采取的应急措施。燕山钢铁公司对重大危险源进行了登记建档并制定了应急预案，但从业人员在紧急情况下未能按照应急预案的要求施救，导致事故后果扩大。</w:t>
      </w:r>
    </w:p>
    <w:p w14:paraId="2D411691">
      <w:pPr>
        <w:pStyle w:val="23"/>
        <w:spacing w:line="560" w:lineRule="exact"/>
        <w:ind w:firstLine="640"/>
        <w:rPr>
          <w:rFonts w:hint="default" w:ascii="Times New Roman" w:hAnsi="Times New Roman" w:eastAsia="仿宋_GB2312" w:cs="仿宋_GB2312"/>
          <w:color w:val="000000" w:themeColor="text1"/>
          <w:kern w:val="2"/>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（4）燕山钢铁公司违反《中华人民共和国安全生产法》第四十六条第一款</w:t>
      </w:r>
      <w:r>
        <w:rPr>
          <w:rStyle w:val="15"/>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w:t>
      </w:r>
      <w:r>
        <w:rPr>
          <w:rStyle w:val="15"/>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footnoteReference w:id="5"/>
      </w:r>
      <w:r>
        <w:rPr>
          <w:rStyle w:val="15"/>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w:t>
      </w:r>
      <w:r>
        <w:rPr>
          <w:rFonts w:hint="eastAsia" w:ascii="Times New Roman" w:hAnsi="Times New Roman" w:eastAsia="仿宋_GB2312" w:cs="仿宋_GB2312"/>
          <w:color w:val="000000" w:themeColor="text1"/>
          <w:kern w:val="2"/>
          <w:sz w:val="32"/>
          <w:szCs w:val="32"/>
          <w:lang w:val="en-US" w:eastAsia="zh-CN"/>
          <w14:textFill>
            <w14:solidFill>
              <w14:schemeClr w14:val="tx1"/>
            </w14:solidFill>
          </w14:textFill>
        </w:rPr>
        <w:t>规定，安全生产管理人员未能针对本单位的生产经营特点在检查中发现潜在的安全隐患。操作规程虽然没有强制要求对氩气管道接口采取特殊的安全措施，但应考虑到职工不按规定操作可能存在的安全风险，以致发生员工违规连接氩气管道导致事故发生。</w:t>
      </w:r>
    </w:p>
    <w:p w14:paraId="00002FCF">
      <w:pPr>
        <w:pStyle w:val="23"/>
        <w:spacing w:line="560" w:lineRule="exact"/>
        <w:ind w:firstLine="640"/>
        <w:rPr>
          <w:rFonts w:hint="eastAsia" w:hAnsi="宋体" w:eastAsia="仿宋_GB2312" w:cs="仿宋_GB2312"/>
          <w:b/>
          <w:bCs/>
          <w:color w:val="000000" w:themeColor="text1"/>
          <w:kern w:val="2"/>
          <w:sz w:val="32"/>
          <w:szCs w:val="32"/>
          <w14:textFill>
            <w14:solidFill>
              <w14:schemeClr w14:val="tx1"/>
            </w14:solidFill>
          </w14:textFill>
        </w:rPr>
      </w:pPr>
      <w:r>
        <w:rPr>
          <w:rFonts w:hint="eastAsia" w:hAnsi="宋体" w:eastAsia="仿宋_GB2312" w:cs="仿宋_GB2312"/>
          <w:b/>
          <w:bCs/>
          <w:color w:val="000000" w:themeColor="text1"/>
          <w:kern w:val="2"/>
          <w:sz w:val="32"/>
          <w:szCs w:val="32"/>
          <w14:textFill>
            <w14:solidFill>
              <w14:schemeClr w14:val="tx1"/>
            </w14:solidFill>
          </w14:textFill>
        </w:rPr>
        <w:t>2.迁安市应急管理局</w:t>
      </w:r>
    </w:p>
    <w:p w14:paraId="2236D318">
      <w:pPr>
        <w:pStyle w:val="23"/>
        <w:spacing w:line="560" w:lineRule="exact"/>
        <w:ind w:firstLine="640"/>
        <w:rPr>
          <w:rFonts w:hint="eastAsia" w:hAnsi="宋体" w:eastAsia="仿宋_GB2312" w:cs="仿宋_GB2312"/>
          <w:color w:val="000000" w:themeColor="text1"/>
          <w:kern w:val="2"/>
          <w:sz w:val="32"/>
          <w:szCs w:val="32"/>
          <w14:textFill>
            <w14:solidFill>
              <w14:schemeClr w14:val="tx1"/>
            </w14:solidFill>
          </w14:textFill>
        </w:rPr>
      </w:pPr>
      <w:r>
        <w:rPr>
          <w:rFonts w:hint="eastAsia" w:hAnsi="宋体" w:eastAsia="仿宋_GB2312" w:cs="仿宋_GB2312"/>
          <w:color w:val="000000" w:themeColor="text1"/>
          <w:kern w:val="2"/>
          <w:sz w:val="32"/>
          <w:szCs w:val="32"/>
          <w14:textFill>
            <w14:solidFill>
              <w14:schemeClr w14:val="tx1"/>
            </w14:solidFill>
          </w14:textFill>
        </w:rPr>
        <w:t>迁安市应急管理局履行行业监管</w:t>
      </w:r>
      <w:r>
        <w:rPr>
          <w:rFonts w:hint="eastAsia" w:hAnsi="宋体" w:eastAsia="仿宋_GB2312" w:cs="仿宋_GB2312"/>
          <w:color w:val="000000" w:themeColor="text1"/>
          <w:kern w:val="2"/>
          <w:sz w:val="32"/>
          <w:szCs w:val="32"/>
          <w:lang w:val="en-US" w:eastAsia="zh-CN"/>
          <w14:textFill>
            <w14:solidFill>
              <w14:schemeClr w14:val="tx1"/>
            </w14:solidFill>
          </w14:textFill>
        </w:rPr>
        <w:t>存在不细的问题，</w:t>
      </w:r>
      <w:r>
        <w:rPr>
          <w:rFonts w:hint="eastAsia" w:hAnsi="宋体" w:eastAsia="仿宋_GB2312" w:cs="仿宋_GB2312"/>
          <w:color w:val="000000" w:themeColor="text1"/>
          <w:kern w:val="2"/>
          <w:sz w:val="32"/>
          <w:szCs w:val="32"/>
          <w14:textFill>
            <w14:solidFill>
              <w14:schemeClr w14:val="tx1"/>
            </w14:solidFill>
          </w14:textFill>
        </w:rPr>
        <w:t>未能</w:t>
      </w:r>
      <w:r>
        <w:rPr>
          <w:rFonts w:hint="eastAsia" w:hAnsi="宋体" w:eastAsia="仿宋_GB2312" w:cs="仿宋_GB2312"/>
          <w:color w:val="000000" w:themeColor="text1"/>
          <w:kern w:val="2"/>
          <w:sz w:val="32"/>
          <w:szCs w:val="32"/>
          <w:lang w:val="en-US" w:eastAsia="zh-CN"/>
          <w14:textFill>
            <w14:solidFill>
              <w14:schemeClr w14:val="tx1"/>
            </w14:solidFill>
          </w14:textFill>
        </w:rPr>
        <w:t>发现</w:t>
      </w:r>
      <w:r>
        <w:rPr>
          <w:rFonts w:hint="eastAsia" w:hAnsi="宋体" w:eastAsia="仿宋_GB2312" w:cs="仿宋_GB2312"/>
          <w:color w:val="000000" w:themeColor="text1"/>
          <w:kern w:val="2"/>
          <w:sz w:val="32"/>
          <w:szCs w:val="32"/>
          <w14:textFill>
            <w14:solidFill>
              <w14:schemeClr w14:val="tx1"/>
            </w14:solidFill>
          </w14:textFill>
        </w:rPr>
        <w:t>作业</w:t>
      </w:r>
      <w:r>
        <w:rPr>
          <w:rFonts w:hint="eastAsia" w:hAnsi="宋体" w:eastAsia="仿宋_GB2312" w:cs="仿宋_GB2312"/>
          <w:color w:val="000000" w:themeColor="text1"/>
          <w:kern w:val="2"/>
          <w:sz w:val="32"/>
          <w:szCs w:val="32"/>
          <w:lang w:val="en-US" w:eastAsia="zh-CN"/>
          <w14:textFill>
            <w14:solidFill>
              <w14:schemeClr w14:val="tx1"/>
            </w14:solidFill>
          </w14:textFill>
        </w:rPr>
        <w:t>关键环节</w:t>
      </w:r>
      <w:r>
        <w:rPr>
          <w:rFonts w:hint="eastAsia" w:hAnsi="宋体" w:eastAsia="仿宋_GB2312" w:cs="仿宋_GB2312"/>
          <w:color w:val="000000" w:themeColor="text1"/>
          <w:kern w:val="2"/>
          <w:sz w:val="32"/>
          <w:szCs w:val="32"/>
          <w14:textFill>
            <w14:solidFill>
              <w14:schemeClr w14:val="tx1"/>
            </w14:solidFill>
          </w14:textFill>
        </w:rPr>
        <w:t>的安全</w:t>
      </w:r>
      <w:r>
        <w:rPr>
          <w:rFonts w:hint="eastAsia" w:hAnsi="宋体" w:eastAsia="仿宋_GB2312" w:cs="仿宋_GB2312"/>
          <w:color w:val="000000" w:themeColor="text1"/>
          <w:kern w:val="2"/>
          <w:sz w:val="32"/>
          <w:szCs w:val="32"/>
          <w:lang w:val="en-US" w:eastAsia="zh-CN"/>
          <w14:textFill>
            <w14:solidFill>
              <w14:schemeClr w14:val="tx1"/>
            </w14:solidFill>
          </w14:textFill>
        </w:rPr>
        <w:t>风险</w:t>
      </w:r>
      <w:r>
        <w:rPr>
          <w:rFonts w:hint="eastAsia" w:hAnsi="宋体" w:eastAsia="仿宋_GB2312" w:cs="仿宋_GB2312"/>
          <w:color w:val="000000" w:themeColor="text1"/>
          <w:kern w:val="2"/>
          <w:sz w:val="32"/>
          <w:szCs w:val="32"/>
          <w14:textFill>
            <w14:solidFill>
              <w14:schemeClr w14:val="tx1"/>
            </w14:solidFill>
          </w14:textFill>
        </w:rPr>
        <w:t>。</w:t>
      </w:r>
    </w:p>
    <w:p w14:paraId="2C4D10B8">
      <w:pPr>
        <w:pStyle w:val="23"/>
        <w:spacing w:line="560" w:lineRule="exact"/>
        <w:ind w:firstLine="640"/>
        <w:rPr>
          <w:rFonts w:hint="eastAsia" w:ascii="仿宋_GB2312" w:hAnsi="仿宋_GB2312" w:eastAsia="仿宋_GB2312" w:cs="仿宋_GB2312"/>
          <w:b/>
          <w:bCs/>
          <w:color w:val="000000" w:themeColor="text1"/>
          <w:spacing w:val="2"/>
          <w:sz w:val="32"/>
          <w:szCs w:val="32"/>
          <w14:textFill>
            <w14:solidFill>
              <w14:schemeClr w14:val="tx1"/>
            </w14:solidFill>
          </w14:textFill>
        </w:rPr>
      </w:pPr>
      <w:r>
        <w:rPr>
          <w:rFonts w:hint="eastAsia" w:hAnsi="宋体" w:eastAsia="仿宋_GB2312" w:cs="仿宋_GB2312"/>
          <w:b/>
          <w:bCs/>
          <w:color w:val="000000" w:themeColor="text1"/>
          <w:kern w:val="2"/>
          <w:sz w:val="32"/>
          <w:szCs w:val="32"/>
          <w14:textFill>
            <w14:solidFill>
              <w14:schemeClr w14:val="tx1"/>
            </w14:solidFill>
          </w14:textFill>
        </w:rPr>
        <w:t>3.迁安市赵店子镇人民政</w:t>
      </w:r>
      <w:r>
        <w:rPr>
          <w:rFonts w:hint="eastAsia" w:ascii="仿宋_GB2312" w:hAnsi="仿宋_GB2312" w:eastAsia="仿宋_GB2312" w:cs="仿宋_GB2312"/>
          <w:b/>
          <w:bCs/>
          <w:color w:val="000000" w:themeColor="text1"/>
          <w:spacing w:val="2"/>
          <w:sz w:val="32"/>
          <w:szCs w:val="32"/>
          <w14:textFill>
            <w14:solidFill>
              <w14:schemeClr w14:val="tx1"/>
            </w14:solidFill>
          </w14:textFill>
        </w:rPr>
        <w:t>府</w:t>
      </w:r>
    </w:p>
    <w:p w14:paraId="238731AC">
      <w:pPr>
        <w:pStyle w:val="23"/>
        <w:spacing w:line="560" w:lineRule="exact"/>
        <w:ind w:firstLine="640"/>
        <w:rPr>
          <w:rFonts w:ascii="Times New Roman" w:hAnsi="Times New Roman" w:eastAsia="仿宋_GB2312" w:cs="仿宋"/>
          <w:color w:val="000000" w:themeColor="text1"/>
          <w:kern w:val="2"/>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迁安市赵店子镇人民政府履行属地监管职责</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有漏洞</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
          <w:color w:val="000000" w:themeColor="text1"/>
          <w:kern w:val="2"/>
          <w:sz w:val="32"/>
          <w:szCs w:val="32"/>
          <w14:textFill>
            <w14:solidFill>
              <w14:schemeClr w14:val="tx1"/>
            </w14:solidFill>
          </w14:textFill>
        </w:rPr>
        <w:t>履行对</w:t>
      </w:r>
      <w:r>
        <w:rPr>
          <w:rFonts w:hint="eastAsia" w:ascii="Times New Roman" w:hAnsi="Times New Roman" w:eastAsia="仿宋_GB2312" w:cs="仿宋_GB2312"/>
          <w:color w:val="000000" w:themeColor="text1"/>
          <w:spacing w:val="2"/>
          <w:sz w:val="32"/>
          <w:szCs w:val="32"/>
          <w14:textFill>
            <w14:solidFill>
              <w14:schemeClr w14:val="tx1"/>
            </w14:solidFill>
          </w14:textFill>
        </w:rPr>
        <w:t>燕山钢铁公司的</w:t>
      </w:r>
      <w:r>
        <w:rPr>
          <w:rFonts w:ascii="Times New Roman" w:hAnsi="Times New Roman" w:eastAsia="仿宋_GB2312" w:cs="仿宋"/>
          <w:color w:val="000000" w:themeColor="text1"/>
          <w:kern w:val="2"/>
          <w:sz w:val="32"/>
          <w:szCs w:val="32"/>
          <w14:textFill>
            <w14:solidFill>
              <w14:schemeClr w14:val="tx1"/>
            </w14:solidFill>
          </w14:textFill>
        </w:rPr>
        <w:t>监督检查</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不细、不实</w:t>
      </w:r>
      <w:r>
        <w:rPr>
          <w:rFonts w:hint="eastAsia" w:ascii="Times New Roman" w:hAnsi="Times New Roman" w:eastAsia="仿宋_GB2312" w:cs="仿宋"/>
          <w:color w:val="000000" w:themeColor="text1"/>
          <w:kern w:val="2"/>
          <w:sz w:val="32"/>
          <w:szCs w:val="32"/>
          <w14:textFill>
            <w14:solidFill>
              <w14:schemeClr w14:val="tx1"/>
            </w14:solidFill>
          </w14:textFill>
        </w:rPr>
        <w:t>，</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未发现深层次的安全隐患</w:t>
      </w:r>
      <w:r>
        <w:rPr>
          <w:rFonts w:hint="eastAsia" w:ascii="Times New Roman" w:hAnsi="Times New Roman" w:eastAsia="仿宋_GB2312" w:cs="仿宋"/>
          <w:color w:val="000000" w:themeColor="text1"/>
          <w:kern w:val="2"/>
          <w:sz w:val="32"/>
          <w:szCs w:val="32"/>
          <w14:textFill>
            <w14:solidFill>
              <w14:schemeClr w14:val="tx1"/>
            </w14:solidFill>
          </w14:textFill>
        </w:rPr>
        <w:t>。</w:t>
      </w:r>
    </w:p>
    <w:p w14:paraId="14894A43">
      <w:pPr>
        <w:pStyle w:val="2"/>
        <w:ind w:firstLine="640"/>
        <w:rPr>
          <w:color w:val="000000" w:themeColor="text1"/>
          <w14:textFill>
            <w14:solidFill>
              <w14:schemeClr w14:val="tx1"/>
            </w14:solidFill>
          </w14:textFill>
        </w:rPr>
      </w:pPr>
      <w:bookmarkStart w:id="26" w:name="_Toc20479"/>
      <w:r>
        <w:rPr>
          <w:rFonts w:hint="eastAsia"/>
          <w:color w:val="000000" w:themeColor="text1"/>
          <w14:textFill>
            <w14:solidFill>
              <w14:schemeClr w14:val="tx1"/>
            </w14:solidFill>
          </w14:textFill>
        </w:rPr>
        <w:t>四、对有关责任人员和责任单位的处理建议</w:t>
      </w:r>
      <w:bookmarkEnd w:id="26"/>
    </w:p>
    <w:p w14:paraId="71F29759">
      <w:pPr>
        <w:pStyle w:val="3"/>
        <w:ind w:firstLine="643"/>
        <w:rPr>
          <w:color w:val="000000" w:themeColor="text1"/>
          <w14:textFill>
            <w14:solidFill>
              <w14:schemeClr w14:val="tx1"/>
            </w14:solidFill>
          </w14:textFill>
        </w:rPr>
      </w:pPr>
      <w:bookmarkStart w:id="27" w:name="_Toc32569"/>
      <w:r>
        <w:rPr>
          <w:rFonts w:hint="eastAsia"/>
          <w:color w:val="000000" w:themeColor="text1"/>
          <w14:textFill>
            <w14:solidFill>
              <w14:schemeClr w14:val="tx1"/>
            </w14:solidFill>
          </w14:textFill>
        </w:rPr>
        <w:t>（一）不予追究责任人员（2人）</w:t>
      </w:r>
      <w:bookmarkEnd w:id="27"/>
    </w:p>
    <w:p w14:paraId="02A51537">
      <w:pPr>
        <w:pStyle w:val="23"/>
        <w:spacing w:line="560" w:lineRule="exact"/>
        <w:ind w:firstLine="640"/>
        <w:rPr>
          <w:rFonts w:ascii="Times New Roman" w:hAnsi="Times New Roman" w:eastAsia="仿宋_GB2312" w:cs="仿宋"/>
          <w:color w:val="000000" w:themeColor="text1"/>
          <w:kern w:val="2"/>
          <w:sz w:val="32"/>
          <w:szCs w:val="32"/>
          <w14:textFill>
            <w14:solidFill>
              <w14:schemeClr w14:val="tx1"/>
            </w14:solidFill>
          </w14:textFill>
        </w:rPr>
      </w:pPr>
      <w:r>
        <w:rPr>
          <w:rFonts w:hint="eastAsia" w:ascii="Times New Roman" w:hAnsi="Times New Roman" w:eastAsia="仿宋_GB2312" w:cs="仿宋"/>
          <w:color w:val="000000" w:themeColor="text1"/>
          <w:kern w:val="2"/>
          <w:sz w:val="32"/>
          <w:szCs w:val="32"/>
          <w14:textFill>
            <w14:solidFill>
              <w14:schemeClr w14:val="tx1"/>
            </w14:solidFill>
          </w14:textFill>
        </w:rPr>
        <w:t>1.刘志明，燕山</w:t>
      </w:r>
      <w:r>
        <w:rPr>
          <w:rFonts w:hint="eastAsia" w:ascii="仿宋_GB2312" w:hAnsi="仿宋_GB2312" w:eastAsia="仿宋_GB2312" w:cs="仿宋_GB2312"/>
          <w:color w:val="000000" w:themeColor="text1"/>
          <w:sz w:val="32"/>
          <w:szCs w:val="32"/>
          <w14:textFill>
            <w14:solidFill>
              <w14:schemeClr w14:val="tx1"/>
            </w14:solidFill>
          </w14:textFill>
        </w:rPr>
        <w:t>钢铁公司精炼</w:t>
      </w:r>
      <w:r>
        <w:rPr>
          <w:rFonts w:hint="eastAsia" w:ascii="Times New Roman" w:hAnsi="Times New Roman" w:eastAsia="仿宋_GB2312" w:cs="仿宋"/>
          <w:color w:val="000000" w:themeColor="text1"/>
          <w:kern w:val="2"/>
          <w:sz w:val="32"/>
          <w:szCs w:val="32"/>
          <w14:textFill>
            <w14:solidFill>
              <w14:schemeClr w14:val="tx1"/>
            </w14:solidFill>
          </w14:textFill>
        </w:rPr>
        <w:t>工。在作业过程中违反安全操作规程，使用氩气作为气动工具动力源</w:t>
      </w:r>
      <w:r>
        <w:rPr>
          <w:rFonts w:hint="eastAsia" w:ascii="Times New Roman" w:hAnsi="Times New Roman" w:eastAsia="仿宋_GB2312" w:cs="仿宋_GB2312"/>
          <w:color w:val="000000" w:themeColor="text1"/>
          <w:sz w:val="32"/>
          <w:szCs w:val="32"/>
          <w14:textFill>
            <w14:solidFill>
              <w14:schemeClr w14:val="tx1"/>
            </w14:solidFill>
          </w14:textFill>
        </w:rPr>
        <w:t>，造成工作环境氩气浓度过高，</w:t>
      </w:r>
      <w:r>
        <w:rPr>
          <w:rFonts w:hint="eastAsia" w:ascii="Times New Roman" w:hAnsi="Times New Roman" w:eastAsia="仿宋_GB2312" w:cs="仿宋"/>
          <w:color w:val="000000" w:themeColor="text1"/>
          <w:kern w:val="2"/>
          <w:sz w:val="32"/>
          <w:szCs w:val="32"/>
          <w14:textFill>
            <w14:solidFill>
              <w14:schemeClr w14:val="tx1"/>
            </w14:solidFill>
          </w14:textFill>
        </w:rPr>
        <w:t>导致事故发生，对事故发生负有主要责任，鉴于其已在事故中死亡，建议不再追究其责任。</w:t>
      </w:r>
    </w:p>
    <w:p w14:paraId="122B9768">
      <w:pPr>
        <w:pStyle w:val="23"/>
        <w:spacing w:line="560" w:lineRule="exact"/>
        <w:ind w:firstLine="640"/>
        <w:rPr>
          <w:rFonts w:ascii="Times New Roman" w:hAnsi="Times New Roman" w:eastAsia="仿宋_GB2312" w:cs="仿宋"/>
          <w:color w:val="000000" w:themeColor="text1"/>
          <w:kern w:val="2"/>
          <w:sz w:val="32"/>
          <w:szCs w:val="32"/>
          <w14:textFill>
            <w14:solidFill>
              <w14:schemeClr w14:val="tx1"/>
            </w14:solidFill>
          </w14:textFill>
        </w:rPr>
      </w:pPr>
      <w:r>
        <w:rPr>
          <w:rFonts w:hint="eastAsia" w:ascii="Times New Roman" w:hAnsi="Times New Roman" w:eastAsia="仿宋_GB2312" w:cs="仿宋"/>
          <w:color w:val="000000" w:themeColor="text1"/>
          <w:kern w:val="2"/>
          <w:sz w:val="32"/>
          <w:szCs w:val="32"/>
          <w14:textFill>
            <w14:solidFill>
              <w14:schemeClr w14:val="tx1"/>
            </w14:solidFill>
          </w14:textFill>
        </w:rPr>
        <w:t>2.郑志全，燕山钢铁公司精炼工。在作业过程中违反安全操作规程，使用氩气作为气动工具动力源，造成工作环境氩气浓度过高，</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发现刘志明晕倒后未佩戴空气呼吸器盲目进行施救</w:t>
      </w:r>
      <w:r>
        <w:rPr>
          <w:rFonts w:hint="eastAsia" w:ascii="Times New Roman" w:hAnsi="Times New Roman" w:eastAsia="仿宋_GB2312" w:cs="仿宋"/>
          <w:color w:val="000000" w:themeColor="text1"/>
          <w:kern w:val="2"/>
          <w:sz w:val="32"/>
          <w:szCs w:val="32"/>
          <w14:textFill>
            <w14:solidFill>
              <w14:schemeClr w14:val="tx1"/>
            </w14:solidFill>
          </w14:textFill>
        </w:rPr>
        <w:t>导致事故</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后果扩大</w:t>
      </w:r>
      <w:r>
        <w:rPr>
          <w:rFonts w:hint="eastAsia" w:ascii="Times New Roman" w:hAnsi="Times New Roman" w:eastAsia="仿宋_GB2312" w:cs="仿宋"/>
          <w:color w:val="000000" w:themeColor="text1"/>
          <w:kern w:val="2"/>
          <w:sz w:val="32"/>
          <w:szCs w:val="32"/>
          <w14:textFill>
            <w14:solidFill>
              <w14:schemeClr w14:val="tx1"/>
            </w14:solidFill>
          </w14:textFill>
        </w:rPr>
        <w:t>，对事故发生负有主要责任，鉴于其已在事故中死亡，建议不再追究其责任。</w:t>
      </w:r>
    </w:p>
    <w:p w14:paraId="2D5C1BA5">
      <w:pPr>
        <w:pStyle w:val="3"/>
        <w:ind w:firstLine="643"/>
        <w:rPr>
          <w:color w:val="000000" w:themeColor="text1"/>
          <w14:textFill>
            <w14:solidFill>
              <w14:schemeClr w14:val="tx1"/>
            </w14:solidFill>
          </w14:textFill>
        </w:rPr>
      </w:pPr>
      <w:bookmarkStart w:id="28" w:name="_Toc19144"/>
      <w:bookmarkStart w:id="29" w:name="_Hlk131492524"/>
      <w:r>
        <w:rPr>
          <w:rFonts w:hint="eastAsia"/>
          <w:color w:val="000000" w:themeColor="text1"/>
          <w14:textFill>
            <w14:solidFill>
              <w14:schemeClr w14:val="tx1"/>
            </w14:solidFill>
          </w14:textFill>
        </w:rPr>
        <w:t>（二）对有关公职人员的处理建议（3人）</w:t>
      </w:r>
      <w:bookmarkEnd w:id="28"/>
    </w:p>
    <w:p w14:paraId="419D4F86">
      <w:pPr>
        <w:pStyle w:val="23"/>
        <w:spacing w:line="560" w:lineRule="exact"/>
        <w:ind w:firstLine="640"/>
        <w:rPr>
          <w:rFonts w:ascii="Times New Roman" w:hAnsi="Times New Roman" w:eastAsia="仿宋_GB2312" w:cs="仿宋"/>
          <w:color w:val="000000" w:themeColor="text1"/>
          <w:kern w:val="2"/>
          <w:sz w:val="32"/>
          <w:szCs w:val="32"/>
          <w14:textFill>
            <w14:solidFill>
              <w14:schemeClr w14:val="tx1"/>
            </w14:solidFill>
          </w14:textFill>
        </w:rPr>
      </w:pPr>
      <w:r>
        <w:rPr>
          <w:rFonts w:hint="eastAsia" w:ascii="Times New Roman" w:hAnsi="Times New Roman" w:eastAsia="仿宋_GB2312" w:cs="仿宋"/>
          <w:color w:val="000000" w:themeColor="text1"/>
          <w:kern w:val="2"/>
          <w:sz w:val="32"/>
          <w:szCs w:val="32"/>
          <w14:textFill>
            <w14:solidFill>
              <w14:schemeClr w14:val="tx1"/>
            </w14:solidFill>
          </w14:textFill>
        </w:rPr>
        <w:t>1.李瑞峰，迁安市赵店子镇人民政府应急管理办公室主任，</w:t>
      </w:r>
      <w:r>
        <w:rPr>
          <w:rFonts w:hint="eastAsia" w:ascii="仿宋_GB2312" w:hAnsi="仿宋_GB2312" w:eastAsia="仿宋_GB2312" w:cs="仿宋_GB2312"/>
          <w:color w:val="000000" w:themeColor="text1"/>
          <w:sz w:val="32"/>
          <w:szCs w:val="32"/>
          <w14:textFill>
            <w14:solidFill>
              <w14:schemeClr w14:val="tx1"/>
            </w14:solidFill>
          </w14:textFill>
        </w:rPr>
        <w:t>负责应急管理工作。落实安全生产责任制不到位，贯彻落实安全生产治本攻坚三年行动不到位。</w:t>
      </w:r>
      <w:r>
        <w:rPr>
          <w:rFonts w:hint="eastAsia" w:ascii="Times New Roman" w:hAnsi="Times New Roman" w:eastAsia="仿宋_GB2312" w:cs="仿宋"/>
          <w:color w:val="000000" w:themeColor="text1"/>
          <w:kern w:val="2"/>
          <w:sz w:val="32"/>
          <w:szCs w:val="32"/>
          <w14:textFill>
            <w14:solidFill>
              <w14:schemeClr w14:val="tx1"/>
            </w14:solidFill>
          </w14:textFill>
        </w:rPr>
        <w:t>建议按照干部管理权限对其进行</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处理</w:t>
      </w:r>
      <w:r>
        <w:rPr>
          <w:rFonts w:hint="eastAsia" w:ascii="Times New Roman" w:hAnsi="Times New Roman" w:eastAsia="仿宋_GB2312" w:cs="仿宋"/>
          <w:color w:val="000000" w:themeColor="text1"/>
          <w:kern w:val="2"/>
          <w:sz w:val="32"/>
          <w:szCs w:val="32"/>
          <w14:textFill>
            <w14:solidFill>
              <w14:schemeClr w14:val="tx1"/>
            </w14:solidFill>
          </w14:textFill>
        </w:rPr>
        <w:t>。</w:t>
      </w:r>
    </w:p>
    <w:p w14:paraId="4B00A591">
      <w:pPr>
        <w:pStyle w:val="23"/>
        <w:spacing w:line="560" w:lineRule="exact"/>
        <w:ind w:firstLine="64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
          <w:color w:val="000000" w:themeColor="text1"/>
          <w:kern w:val="2"/>
          <w:sz w:val="32"/>
          <w:szCs w:val="32"/>
          <w14:textFill>
            <w14:solidFill>
              <w14:schemeClr w14:val="tx1"/>
            </w14:solidFill>
          </w14:textFill>
        </w:rPr>
        <w:t>2.代志国，迁安市赵店子镇人民政府应急管理办公室副主任，负责辖区企业的安全监管工作。未认真履行对</w:t>
      </w:r>
      <w:r>
        <w:rPr>
          <w:rFonts w:hint="eastAsia" w:ascii="Times New Roman" w:hAnsi="Times New Roman" w:eastAsia="仿宋_GB2312" w:cs="仿宋_GB2312"/>
          <w:color w:val="000000" w:themeColor="text1"/>
          <w:spacing w:val="2"/>
          <w:sz w:val="32"/>
          <w:szCs w:val="32"/>
          <w14:textFill>
            <w14:solidFill>
              <w14:schemeClr w14:val="tx1"/>
            </w14:solidFill>
          </w14:textFill>
        </w:rPr>
        <w:t>燕山钢铁公司的</w:t>
      </w:r>
      <w:r>
        <w:rPr>
          <w:rFonts w:ascii="Times New Roman" w:hAnsi="Times New Roman" w:eastAsia="仿宋_GB2312" w:cs="仿宋"/>
          <w:color w:val="000000" w:themeColor="text1"/>
          <w:kern w:val="2"/>
          <w:sz w:val="32"/>
          <w:szCs w:val="32"/>
          <w14:textFill>
            <w14:solidFill>
              <w14:schemeClr w14:val="tx1"/>
            </w14:solidFill>
          </w14:textFill>
        </w:rPr>
        <w:t>监督检查</w:t>
      </w:r>
      <w:r>
        <w:rPr>
          <w:rFonts w:hint="eastAsia" w:ascii="Times New Roman" w:hAnsi="Times New Roman" w:eastAsia="仿宋_GB2312" w:cs="仿宋"/>
          <w:color w:val="000000" w:themeColor="text1"/>
          <w:kern w:val="2"/>
          <w:sz w:val="32"/>
          <w:szCs w:val="32"/>
          <w14:textFill>
            <w14:solidFill>
              <w14:schemeClr w14:val="tx1"/>
            </w14:solidFill>
          </w14:textFill>
        </w:rPr>
        <w:t>职责，对存在的安全隐患没有及时发现并督导整改到位。</w:t>
      </w:r>
      <w:r>
        <w:rPr>
          <w:rFonts w:hint="eastAsia" w:ascii="仿宋_GB2312" w:hAnsi="仿宋_GB2312" w:eastAsia="仿宋_GB2312" w:cs="仿宋_GB2312"/>
          <w:color w:val="000000" w:themeColor="text1"/>
          <w:sz w:val="32"/>
          <w:szCs w:val="32"/>
          <w14:textFill>
            <w14:solidFill>
              <w14:schemeClr w14:val="tx1"/>
            </w14:solidFill>
          </w14:textFill>
        </w:rPr>
        <w:t>建议按照干部管理权限对其进行</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处理</w:t>
      </w:r>
      <w:r>
        <w:rPr>
          <w:rFonts w:hint="eastAsia" w:ascii="仿宋_GB2312" w:hAnsi="仿宋_GB2312" w:eastAsia="仿宋_GB2312" w:cs="仿宋_GB2312"/>
          <w:color w:val="000000" w:themeColor="text1"/>
          <w:sz w:val="32"/>
          <w:szCs w:val="32"/>
          <w14:textFill>
            <w14:solidFill>
              <w14:schemeClr w14:val="tx1"/>
            </w14:solidFill>
          </w14:textFill>
        </w:rPr>
        <w:t>。</w:t>
      </w:r>
    </w:p>
    <w:p w14:paraId="72DC7600">
      <w:pPr>
        <w:pStyle w:val="23"/>
        <w:spacing w:line="560" w:lineRule="exact"/>
        <w:ind w:firstLine="64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14:textFill>
            <w14:solidFill>
              <w14:schemeClr w14:val="tx1"/>
            </w14:solidFill>
          </w14:textFill>
        </w:rPr>
        <w:t>3.朱振阁，迁安市应急管理局工商贸安全监督管理股负责人，负责冶金行业的安全生产管理工作。</w:t>
      </w:r>
      <w:r>
        <w:rPr>
          <w:rFonts w:hint="eastAsia" w:hAnsi="宋体" w:eastAsia="仿宋_GB2312" w:cs="仿宋_GB2312"/>
          <w:color w:val="000000" w:themeColor="text1"/>
          <w:kern w:val="2"/>
          <w:sz w:val="32"/>
          <w:szCs w:val="32"/>
          <w14:textFill>
            <w14:solidFill>
              <w14:schemeClr w14:val="tx1"/>
            </w14:solidFill>
          </w14:textFill>
        </w:rPr>
        <w:t>履行对燕山钢铁公司的监督检查职责</w:t>
      </w:r>
      <w:r>
        <w:rPr>
          <w:rFonts w:hint="eastAsia" w:hAnsi="宋体" w:eastAsia="仿宋_GB2312" w:cs="仿宋_GB2312"/>
          <w:color w:val="000000" w:themeColor="text1"/>
          <w:kern w:val="2"/>
          <w:sz w:val="32"/>
          <w:szCs w:val="32"/>
          <w:lang w:val="en-US" w:eastAsia="zh-CN"/>
          <w14:textFill>
            <w14:solidFill>
              <w14:schemeClr w14:val="tx1"/>
            </w14:solidFill>
          </w14:textFill>
        </w:rPr>
        <w:t>不到位</w:t>
      </w:r>
      <w:r>
        <w:rPr>
          <w:rFonts w:hint="eastAsia" w:hAnsi="宋体" w:eastAsia="仿宋_GB2312" w:cs="仿宋_GB2312"/>
          <w:color w:val="000000" w:themeColor="text1"/>
          <w:kern w:val="2"/>
          <w:sz w:val="32"/>
          <w:szCs w:val="32"/>
          <w14:textFill>
            <w14:solidFill>
              <w14:schemeClr w14:val="tx1"/>
            </w14:solidFill>
          </w14:textFill>
        </w:rPr>
        <w:t>，未能督导企业彻底排查作业过程中的安全隐患。</w:t>
      </w:r>
      <w:r>
        <w:rPr>
          <w:rFonts w:hint="eastAsia" w:ascii="Times New Roman" w:hAnsi="Times New Roman" w:eastAsia="仿宋_GB2312" w:cs="仿宋"/>
          <w:color w:val="000000" w:themeColor="text1"/>
          <w:kern w:val="2"/>
          <w:sz w:val="32"/>
          <w:szCs w:val="32"/>
          <w14:textFill>
            <w14:solidFill>
              <w14:schemeClr w14:val="tx1"/>
            </w14:solidFill>
          </w14:textFill>
        </w:rPr>
        <w:t>建议按照干部管理权限对其进行</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处理</w:t>
      </w:r>
      <w:r>
        <w:rPr>
          <w:rFonts w:hint="eastAsia" w:ascii="Times New Roman" w:hAnsi="Times New Roman" w:eastAsia="仿宋_GB2312" w:cs="仿宋"/>
          <w:color w:val="000000" w:themeColor="text1"/>
          <w:kern w:val="2"/>
          <w:sz w:val="32"/>
          <w:szCs w:val="32"/>
          <w14:textFill>
            <w14:solidFill>
              <w14:schemeClr w14:val="tx1"/>
            </w14:solidFill>
          </w14:textFill>
        </w:rPr>
        <w:t>。</w:t>
      </w:r>
    </w:p>
    <w:p w14:paraId="0EA7E566">
      <w:pPr>
        <w:pStyle w:val="3"/>
        <w:ind w:firstLine="643"/>
        <w:rPr>
          <w:color w:val="000000" w:themeColor="text1"/>
          <w14:textFill>
            <w14:solidFill>
              <w14:schemeClr w14:val="tx1"/>
            </w14:solidFill>
          </w14:textFill>
        </w:rPr>
      </w:pPr>
      <w:bookmarkStart w:id="30" w:name="_Toc10842"/>
      <w:r>
        <w:rPr>
          <w:rFonts w:hint="eastAsia"/>
          <w:color w:val="000000" w:themeColor="text1"/>
          <w14:textFill>
            <w14:solidFill>
              <w14:schemeClr w14:val="tx1"/>
            </w14:solidFill>
          </w14:textFill>
        </w:rPr>
        <w:t>（三）建议给予行政处罚人员</w:t>
      </w:r>
      <w:bookmarkEnd w:id="29"/>
      <w:r>
        <w:rPr>
          <w:rFonts w:hint="eastAsia"/>
          <w:color w:val="000000" w:themeColor="text1"/>
          <w14:textFill>
            <w14:solidFill>
              <w14:schemeClr w14:val="tx1"/>
            </w14:solidFill>
          </w14:textFill>
        </w:rPr>
        <w:t>（4人）</w:t>
      </w:r>
      <w:bookmarkEnd w:id="30"/>
    </w:p>
    <w:p w14:paraId="5A183639">
      <w:pPr>
        <w:pStyle w:val="23"/>
        <w:spacing w:line="560" w:lineRule="exact"/>
        <w:ind w:firstLine="640"/>
        <w:rPr>
          <w:rFonts w:ascii="Times New Roman" w:hAnsi="Times New Roman" w:eastAsia="仿宋_GB2312" w:cs="仿宋"/>
          <w:color w:val="000000" w:themeColor="text1"/>
          <w:kern w:val="2"/>
          <w:sz w:val="32"/>
          <w:szCs w:val="32"/>
          <w14:textFill>
            <w14:solidFill>
              <w14:schemeClr w14:val="tx1"/>
            </w14:solidFill>
          </w14:textFill>
        </w:rPr>
      </w:pPr>
      <w:r>
        <w:rPr>
          <w:rFonts w:hint="eastAsia" w:ascii="Times New Roman" w:hAnsi="Times New Roman" w:eastAsia="仿宋_GB2312" w:cs="仿宋"/>
          <w:color w:val="000000" w:themeColor="text1"/>
          <w:kern w:val="2"/>
          <w:sz w:val="32"/>
          <w:szCs w:val="32"/>
          <w14:textFill>
            <w14:solidFill>
              <w14:schemeClr w14:val="tx1"/>
            </w14:solidFill>
          </w14:textFill>
        </w:rPr>
        <w:t>1.任宝树，燕山钢铁公司总经理，主要负责公司的全面管理工作。督促、检查本单位的安全生产工作不到位，未及时消除生产安全事故隐患，对事故发生负有重要责任，违反《中华人民共和国安全生产法》第二十一条第（五）项</w:t>
      </w:r>
      <w:r>
        <w:rPr>
          <w:rStyle w:val="15"/>
          <w:rFonts w:hint="eastAsia" w:ascii="Times New Roman" w:hAnsi="Times New Roman" w:eastAsia="仿宋_GB2312" w:cs="仿宋"/>
          <w:color w:val="000000" w:themeColor="text1"/>
          <w:kern w:val="2"/>
          <w:sz w:val="32"/>
          <w:szCs w:val="32"/>
          <w14:textFill>
            <w14:solidFill>
              <w14:schemeClr w14:val="tx1"/>
            </w14:solidFill>
          </w14:textFill>
        </w:rPr>
        <w:t>[</w:t>
      </w:r>
      <w:r>
        <w:rPr>
          <w:rStyle w:val="15"/>
          <w:rFonts w:hint="eastAsia" w:ascii="Times New Roman" w:hAnsi="Times New Roman" w:eastAsia="仿宋_GB2312" w:cs="仿宋"/>
          <w:color w:val="000000" w:themeColor="text1"/>
          <w:kern w:val="2"/>
          <w:sz w:val="32"/>
          <w:szCs w:val="32"/>
          <w14:textFill>
            <w14:solidFill>
              <w14:schemeClr w14:val="tx1"/>
            </w14:solidFill>
          </w14:textFill>
        </w:rPr>
        <w:footnoteReference w:id="6"/>
      </w:r>
      <w:r>
        <w:rPr>
          <w:rStyle w:val="15"/>
          <w:rFonts w:hint="eastAsia" w:ascii="Times New Roman" w:hAnsi="Times New Roman" w:eastAsia="仿宋_GB2312" w:cs="仿宋"/>
          <w:color w:val="000000" w:themeColor="text1"/>
          <w:kern w:val="2"/>
          <w:sz w:val="32"/>
          <w:szCs w:val="32"/>
          <w14:textFill>
            <w14:solidFill>
              <w14:schemeClr w14:val="tx1"/>
            </w14:solidFill>
          </w14:textFill>
        </w:rPr>
        <w:t>]</w:t>
      </w:r>
      <w:r>
        <w:rPr>
          <w:rFonts w:hint="eastAsia" w:ascii="Times New Roman" w:hAnsi="Times New Roman" w:eastAsia="仿宋_GB2312" w:cs="仿宋"/>
          <w:color w:val="000000" w:themeColor="text1"/>
          <w:kern w:val="2"/>
          <w:sz w:val="32"/>
          <w:szCs w:val="32"/>
          <w14:textFill>
            <w14:solidFill>
              <w14:schemeClr w14:val="tx1"/>
            </w14:solidFill>
          </w14:textFill>
        </w:rPr>
        <w:t>的规定，依据《中华人民共和国安全生产法》第九十五条第（一）项</w:t>
      </w:r>
      <w:r>
        <w:rPr>
          <w:rFonts w:hint="eastAsia" w:ascii="Times New Roman" w:hAnsi="Times New Roman" w:eastAsia="仿宋_GB2312" w:cs="仿宋"/>
          <w:color w:val="000000" w:themeColor="text1"/>
          <w:kern w:val="2"/>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kern w:val="2"/>
          <w:sz w:val="32"/>
          <w:szCs w:val="32"/>
          <w:vertAlign w:val="superscript"/>
          <w14:textFill>
            <w14:solidFill>
              <w14:schemeClr w14:val="tx1"/>
            </w14:solidFill>
          </w14:textFill>
        </w:rPr>
        <w:footnoteReference w:id="7"/>
      </w:r>
      <w:r>
        <w:rPr>
          <w:rFonts w:hint="eastAsia" w:ascii="Times New Roman" w:hAnsi="Times New Roman" w:eastAsia="仿宋_GB2312" w:cs="仿宋"/>
          <w:color w:val="000000" w:themeColor="text1"/>
          <w:kern w:val="2"/>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kern w:val="2"/>
          <w:sz w:val="32"/>
          <w:szCs w:val="32"/>
          <w14:textFill>
            <w14:solidFill>
              <w14:schemeClr w14:val="tx1"/>
            </w14:solidFill>
          </w14:textFill>
        </w:rPr>
        <w:t>的规定，建议由迁安市应急管理局给予任宝树上一年（2023年）年收入40%的罚款；发生事故后瞒报生产安全事故，违反《生产安全事故报告和调查处理条例》第九条</w:t>
      </w:r>
      <w:r>
        <w:rPr>
          <w:rFonts w:hint="eastAsia" w:ascii="Times New Roman" w:hAnsi="Times New Roman" w:eastAsia="仿宋_GB2312" w:cs="仿宋"/>
          <w:color w:val="000000" w:themeColor="text1"/>
          <w:kern w:val="2"/>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kern w:val="2"/>
          <w:sz w:val="32"/>
          <w:szCs w:val="32"/>
          <w:vertAlign w:val="superscript"/>
          <w14:textFill>
            <w14:solidFill>
              <w14:schemeClr w14:val="tx1"/>
            </w14:solidFill>
          </w14:textFill>
        </w:rPr>
        <w:footnoteReference w:id="8"/>
      </w:r>
      <w:r>
        <w:rPr>
          <w:rFonts w:hint="eastAsia" w:ascii="Times New Roman" w:hAnsi="Times New Roman" w:eastAsia="仿宋_GB2312" w:cs="仿宋"/>
          <w:color w:val="000000" w:themeColor="text1"/>
          <w:kern w:val="2"/>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kern w:val="2"/>
          <w:sz w:val="32"/>
          <w:szCs w:val="32"/>
          <w14:textFill>
            <w14:solidFill>
              <w14:schemeClr w14:val="tx1"/>
            </w14:solidFill>
          </w14:textFill>
        </w:rPr>
        <w:t>的规定，依据《生产安全事故罚款处罚规定》第十一条第（一）项</w:t>
      </w:r>
      <w:r>
        <w:rPr>
          <w:rStyle w:val="15"/>
          <w:rFonts w:hint="eastAsia" w:ascii="Times New Roman" w:hAnsi="Times New Roman" w:eastAsia="仿宋_GB2312" w:cs="仿宋"/>
          <w:color w:val="000000" w:themeColor="text1"/>
          <w:kern w:val="2"/>
          <w:sz w:val="32"/>
          <w:szCs w:val="32"/>
          <w14:textFill>
            <w14:solidFill>
              <w14:schemeClr w14:val="tx1"/>
            </w14:solidFill>
          </w14:textFill>
        </w:rPr>
        <w:t>[</w:t>
      </w:r>
      <w:r>
        <w:rPr>
          <w:rStyle w:val="15"/>
          <w:rFonts w:hint="eastAsia" w:ascii="Times New Roman" w:hAnsi="Times New Roman" w:eastAsia="仿宋_GB2312" w:cs="仿宋"/>
          <w:color w:val="000000" w:themeColor="text1"/>
          <w:kern w:val="2"/>
          <w:sz w:val="32"/>
          <w:szCs w:val="32"/>
          <w14:textFill>
            <w14:solidFill>
              <w14:schemeClr w14:val="tx1"/>
            </w14:solidFill>
          </w14:textFill>
        </w:rPr>
        <w:footnoteReference w:id="9"/>
      </w:r>
      <w:r>
        <w:rPr>
          <w:rStyle w:val="15"/>
          <w:rFonts w:hint="eastAsia" w:ascii="Times New Roman" w:hAnsi="Times New Roman" w:eastAsia="仿宋_GB2312" w:cs="仿宋"/>
          <w:color w:val="000000" w:themeColor="text1"/>
          <w:kern w:val="2"/>
          <w:sz w:val="32"/>
          <w:szCs w:val="32"/>
          <w14:textFill>
            <w14:solidFill>
              <w14:schemeClr w14:val="tx1"/>
            </w14:solidFill>
          </w14:textFill>
        </w:rPr>
        <w:t>]</w:t>
      </w:r>
      <w:r>
        <w:rPr>
          <w:rFonts w:hint="eastAsia" w:ascii="Times New Roman" w:hAnsi="Times New Roman" w:eastAsia="仿宋_GB2312" w:cs="仿宋"/>
          <w:color w:val="000000" w:themeColor="text1"/>
          <w:kern w:val="2"/>
          <w:sz w:val="32"/>
          <w:szCs w:val="32"/>
          <w14:textFill>
            <w14:solidFill>
              <w14:schemeClr w14:val="tx1"/>
            </w14:solidFill>
          </w14:textFill>
        </w:rPr>
        <w:t>的规定，因其瞒报2人死亡的生产安全事故， 建议由迁安市应急管理局给予任宝树上一年（2023年）年收入80%的罚款。两项合并，最终建议由迁安市应急管理局给予任宝树</w:t>
      </w:r>
      <w:r>
        <w:rPr>
          <w:rFonts w:hint="eastAsia" w:ascii="Times New Roman" w:hAnsi="Times New Roman" w:eastAsia="仿宋_GB2312" w:cs="仿宋"/>
          <w:color w:val="000000" w:themeColor="text1"/>
          <w:kern w:val="2"/>
          <w:sz w:val="32"/>
          <w:szCs w:val="32"/>
          <w:lang w:val="en-US" w:eastAsia="zh-CN"/>
          <w14:textFill>
            <w14:solidFill>
              <w14:schemeClr w14:val="tx1"/>
            </w14:solidFill>
          </w14:textFill>
        </w:rPr>
        <w:t>上一年（2023年）年收入120%的行政处罚</w:t>
      </w:r>
      <w:r>
        <w:rPr>
          <w:rFonts w:hint="eastAsia" w:ascii="Times New Roman" w:hAnsi="Times New Roman" w:eastAsia="仿宋_GB2312" w:cs="仿宋"/>
          <w:color w:val="000000" w:themeColor="text1"/>
          <w:kern w:val="2"/>
          <w:sz w:val="32"/>
          <w:szCs w:val="32"/>
          <w14:textFill>
            <w14:solidFill>
              <w14:schemeClr w14:val="tx1"/>
            </w14:solidFill>
          </w14:textFill>
        </w:rPr>
        <w:t>。</w:t>
      </w:r>
    </w:p>
    <w:p w14:paraId="6DE4FD13">
      <w:pPr>
        <w:pStyle w:val="23"/>
        <w:spacing w:line="560" w:lineRule="exact"/>
        <w:ind w:firstLine="640"/>
        <w:rPr>
          <w:rFonts w:ascii="Times New Roman" w:hAnsi="Times New Roman" w:eastAsia="仿宋_GB2312" w:cs="仿宋"/>
          <w:color w:val="000000" w:themeColor="text1"/>
          <w:kern w:val="2"/>
          <w:sz w:val="32"/>
          <w:szCs w:val="32"/>
          <w14:textFill>
            <w14:solidFill>
              <w14:schemeClr w14:val="tx1"/>
            </w14:solidFill>
          </w14:textFill>
        </w:rPr>
      </w:pPr>
      <w:r>
        <w:rPr>
          <w:rFonts w:hint="eastAsia" w:ascii="Times New Roman" w:hAnsi="Times New Roman" w:eastAsia="仿宋_GB2312" w:cs="仿宋"/>
          <w:color w:val="000000" w:themeColor="text1"/>
          <w:kern w:val="2"/>
          <w:sz w:val="32"/>
          <w:szCs w:val="32"/>
          <w14:textFill>
            <w14:solidFill>
              <w14:schemeClr w14:val="tx1"/>
            </w14:solidFill>
          </w14:textFill>
        </w:rPr>
        <w:t>2.</w:t>
      </w:r>
      <w:r>
        <w:rPr>
          <w:rFonts w:hint="eastAsia" w:ascii="仿宋_GB2312" w:hAnsi="仿宋_GB2312" w:eastAsia="仿宋_GB2312" w:cs="仿宋_GB2312"/>
          <w:color w:val="000000" w:themeColor="text1"/>
          <w:kern w:val="2"/>
          <w:sz w:val="32"/>
          <w:szCs w:val="32"/>
          <w14:textFill>
            <w14:solidFill>
              <w14:schemeClr w14:val="tx1"/>
            </w14:solidFill>
          </w14:textFill>
        </w:rPr>
        <w:t>李效杰，燕山钢铁公司安全部部长，负责燕山钢铁公司安全生产管理工作。检查炼钢二厂的安全生产状况不到位，</w:t>
      </w:r>
      <w:r>
        <w:rPr>
          <w:rFonts w:hint="eastAsia" w:ascii="Times New Roman" w:hAnsi="Times New Roman" w:eastAsia="仿宋_GB2312" w:cs="仿宋_GB2312"/>
          <w:color w:val="000000" w:themeColor="text1"/>
          <w:kern w:val="2"/>
          <w:sz w:val="32"/>
          <w:szCs w:val="32"/>
          <w14:textFill>
            <w14:solidFill>
              <w14:schemeClr w14:val="tx1"/>
            </w14:solidFill>
          </w14:textFill>
        </w:rPr>
        <w:t>未及时提出改进安全生产管理的建议，</w:t>
      </w:r>
      <w:r>
        <w:rPr>
          <w:rFonts w:hint="eastAsia" w:ascii="仿宋_GB2312" w:hAnsi="仿宋_GB2312" w:eastAsia="仿宋_GB2312" w:cs="仿宋_GB2312"/>
          <w:color w:val="000000" w:themeColor="text1"/>
          <w:kern w:val="2"/>
          <w:sz w:val="32"/>
          <w:szCs w:val="32"/>
          <w14:textFill>
            <w14:solidFill>
              <w14:schemeClr w14:val="tx1"/>
            </w14:solidFill>
          </w14:textFill>
        </w:rPr>
        <w:t>对事故发生负有责任，</w:t>
      </w:r>
      <w:r>
        <w:rPr>
          <w:rFonts w:hint="eastAsia" w:ascii="Times New Roman" w:hAnsi="Times New Roman" w:eastAsia="仿宋_GB2312" w:cs="仿宋_GB2312"/>
          <w:color w:val="000000" w:themeColor="text1"/>
          <w:kern w:val="2"/>
          <w:sz w:val="32"/>
          <w:szCs w:val="32"/>
          <w14:textFill>
            <w14:solidFill>
              <w14:schemeClr w14:val="tx1"/>
            </w14:solidFill>
          </w14:textFill>
        </w:rPr>
        <w:t>违反《中华人民共和国安全生产法》第二十五条第（五）项</w:t>
      </w:r>
      <w:r>
        <w:rPr>
          <w:rStyle w:val="15"/>
          <w:rFonts w:hint="eastAsia" w:ascii="Times New Roman" w:hAnsi="Times New Roman" w:eastAsia="仿宋_GB2312" w:cs="仿宋_GB2312"/>
          <w:color w:val="000000" w:themeColor="text1"/>
          <w:kern w:val="2"/>
          <w:sz w:val="32"/>
          <w:szCs w:val="32"/>
          <w14:textFill>
            <w14:solidFill>
              <w14:schemeClr w14:val="tx1"/>
            </w14:solidFill>
          </w14:textFill>
        </w:rPr>
        <w:t>[</w:t>
      </w:r>
      <w:r>
        <w:rPr>
          <w:rStyle w:val="15"/>
          <w:rFonts w:hint="eastAsia" w:ascii="Times New Roman" w:hAnsi="Times New Roman" w:eastAsia="仿宋_GB2312" w:cs="仿宋_GB2312"/>
          <w:color w:val="000000" w:themeColor="text1"/>
          <w:kern w:val="2"/>
          <w:sz w:val="32"/>
          <w:szCs w:val="32"/>
          <w14:textFill>
            <w14:solidFill>
              <w14:schemeClr w14:val="tx1"/>
            </w14:solidFill>
          </w14:textFill>
        </w:rPr>
        <w:footnoteReference w:id="10"/>
      </w:r>
      <w:r>
        <w:rPr>
          <w:rStyle w:val="15"/>
          <w:rFonts w:hint="eastAsia" w:ascii="Times New Roman" w:hAnsi="Times New Roman" w:eastAsia="仿宋_GB2312" w:cs="仿宋_GB2312"/>
          <w:color w:val="000000" w:themeColor="text1"/>
          <w:kern w:val="2"/>
          <w:sz w:val="32"/>
          <w:szCs w:val="32"/>
          <w14:textFill>
            <w14:solidFill>
              <w14:schemeClr w14:val="tx1"/>
            </w14:solidFill>
          </w14:textFill>
        </w:rPr>
        <w:t>]</w:t>
      </w:r>
      <w:r>
        <w:rPr>
          <w:rFonts w:hint="eastAsia" w:ascii="Times New Roman" w:hAnsi="Times New Roman" w:eastAsia="仿宋_GB2312" w:cs="仿宋_GB2312"/>
          <w:color w:val="000000" w:themeColor="text1"/>
          <w:kern w:val="2"/>
          <w:sz w:val="32"/>
          <w:szCs w:val="32"/>
          <w14:textFill>
            <w14:solidFill>
              <w14:schemeClr w14:val="tx1"/>
            </w14:solidFill>
          </w14:textFill>
        </w:rPr>
        <w:t>的规定，依据《中华人民共和国安全生产法》第九十六条</w:t>
      </w:r>
      <w:r>
        <w:rPr>
          <w:rStyle w:val="15"/>
          <w:rFonts w:hint="eastAsia" w:ascii="Times New Roman" w:hAnsi="Times New Roman" w:eastAsia="仿宋_GB2312" w:cs="仿宋_GB2312"/>
          <w:color w:val="000000" w:themeColor="text1"/>
          <w:kern w:val="2"/>
          <w:sz w:val="32"/>
          <w:szCs w:val="32"/>
          <w14:textFill>
            <w14:solidFill>
              <w14:schemeClr w14:val="tx1"/>
            </w14:solidFill>
          </w14:textFill>
        </w:rPr>
        <w:t>[</w:t>
      </w:r>
      <w:r>
        <w:rPr>
          <w:rStyle w:val="15"/>
          <w:rFonts w:hint="eastAsia" w:ascii="Times New Roman" w:hAnsi="Times New Roman" w:eastAsia="仿宋_GB2312" w:cs="仿宋_GB2312"/>
          <w:color w:val="000000" w:themeColor="text1"/>
          <w:kern w:val="2"/>
          <w:sz w:val="32"/>
          <w:szCs w:val="32"/>
          <w14:textFill>
            <w14:solidFill>
              <w14:schemeClr w14:val="tx1"/>
            </w14:solidFill>
          </w14:textFill>
        </w:rPr>
        <w:footnoteReference w:id="11"/>
      </w:r>
      <w:r>
        <w:rPr>
          <w:rStyle w:val="15"/>
          <w:rFonts w:hint="eastAsia" w:ascii="Times New Roman" w:hAnsi="Times New Roman" w:eastAsia="仿宋_GB2312" w:cs="仿宋_GB2312"/>
          <w:color w:val="000000" w:themeColor="text1"/>
          <w:kern w:val="2"/>
          <w:sz w:val="32"/>
          <w:szCs w:val="32"/>
          <w14:textFill>
            <w14:solidFill>
              <w14:schemeClr w14:val="tx1"/>
            </w14:solidFill>
          </w14:textFill>
        </w:rPr>
        <w:t>]</w:t>
      </w:r>
      <w:r>
        <w:rPr>
          <w:rFonts w:hint="eastAsia" w:ascii="Times New Roman" w:hAnsi="Times New Roman" w:eastAsia="仿宋_GB2312" w:cs="仿宋_GB2312"/>
          <w:color w:val="000000" w:themeColor="text1"/>
          <w:kern w:val="2"/>
          <w:sz w:val="32"/>
          <w:szCs w:val="32"/>
          <w14:textFill>
            <w14:solidFill>
              <w14:schemeClr w14:val="tx1"/>
            </w14:solidFill>
          </w14:textFill>
        </w:rPr>
        <w:t>和参照</w:t>
      </w:r>
      <w:r>
        <w:rPr>
          <w:rFonts w:hint="eastAsia" w:ascii="Times New Roman" w:hAnsi="Times New Roman" w:eastAsia="仿宋_GB2312" w:cs="仿宋"/>
          <w:color w:val="000000" w:themeColor="text1"/>
          <w:kern w:val="2"/>
          <w:sz w:val="32"/>
          <w:szCs w:val="32"/>
          <w14:textFill>
            <w14:solidFill>
              <w14:schemeClr w14:val="tx1"/>
            </w14:solidFill>
          </w14:textFill>
        </w:rPr>
        <w:t>《河北省应急管理系统行政裁量权基准》中《中华人民共和国安全生产法》实施标准第7项违法行为对应一般情形</w:t>
      </w:r>
      <w:r>
        <w:rPr>
          <w:rStyle w:val="15"/>
          <w:rFonts w:hint="eastAsia" w:ascii="Times New Roman" w:hAnsi="Times New Roman" w:eastAsia="仿宋_GB2312" w:cs="仿宋"/>
          <w:color w:val="000000" w:themeColor="text1"/>
          <w:kern w:val="2"/>
          <w:sz w:val="32"/>
          <w:szCs w:val="32"/>
          <w14:textFill>
            <w14:solidFill>
              <w14:schemeClr w14:val="tx1"/>
            </w14:solidFill>
          </w14:textFill>
        </w:rPr>
        <w:t>[</w:t>
      </w:r>
      <w:r>
        <w:rPr>
          <w:rStyle w:val="15"/>
          <w:rFonts w:hint="eastAsia" w:ascii="Times New Roman" w:hAnsi="Times New Roman" w:eastAsia="仿宋_GB2312" w:cs="仿宋"/>
          <w:color w:val="000000" w:themeColor="text1"/>
          <w:kern w:val="2"/>
          <w:sz w:val="32"/>
          <w:szCs w:val="32"/>
          <w14:textFill>
            <w14:solidFill>
              <w14:schemeClr w14:val="tx1"/>
            </w14:solidFill>
          </w14:textFill>
        </w:rPr>
        <w:footnoteReference w:id="12"/>
      </w:r>
      <w:r>
        <w:rPr>
          <w:rStyle w:val="15"/>
          <w:rFonts w:hint="eastAsia" w:ascii="Times New Roman" w:hAnsi="Times New Roman" w:eastAsia="仿宋_GB2312" w:cs="仿宋"/>
          <w:color w:val="000000" w:themeColor="text1"/>
          <w:kern w:val="2"/>
          <w:sz w:val="32"/>
          <w:szCs w:val="32"/>
          <w14:textFill>
            <w14:solidFill>
              <w14:schemeClr w14:val="tx1"/>
            </w14:solidFill>
          </w14:textFill>
        </w:rPr>
        <w:t>]</w:t>
      </w:r>
      <w:r>
        <w:rPr>
          <w:rFonts w:hint="eastAsia" w:ascii="Times New Roman" w:hAnsi="Times New Roman" w:eastAsia="仿宋_GB2312" w:cs="仿宋"/>
          <w:color w:val="000000" w:themeColor="text1"/>
          <w:kern w:val="2"/>
          <w:sz w:val="32"/>
          <w:szCs w:val="32"/>
          <w14:textFill>
            <w14:solidFill>
              <w14:schemeClr w14:val="tx1"/>
            </w14:solidFill>
          </w14:textFill>
        </w:rPr>
        <w:t>的规定，建议暂停李效杰安全生产管理人员资格证三个月，并处上一年（2023年）年收入20%的罚款。</w:t>
      </w:r>
    </w:p>
    <w:p w14:paraId="04CDAFFA">
      <w:pPr>
        <w:spacing w:line="560" w:lineRule="exact"/>
        <w:ind w:firstLine="640" w:firstLineChars="200"/>
        <w:rPr>
          <w:rFonts w:ascii="Times New Roman" w:hAnsi="Times New Roman" w:eastAsia="仿宋_GB2312" w:cs="仿宋"/>
          <w:color w:val="000000" w:themeColor="text1"/>
          <w:sz w:val="32"/>
          <w:szCs w:val="32"/>
          <w14:textFill>
            <w14:solidFill>
              <w14:schemeClr w14:val="tx1"/>
            </w14:solidFill>
          </w14:textFill>
        </w:rPr>
      </w:pPr>
      <w:bookmarkStart w:id="31" w:name="_Hlk131493215"/>
      <w:r>
        <w:rPr>
          <w:rFonts w:hint="eastAsia" w:ascii="Times New Roman" w:hAnsi="Times New Roman" w:eastAsia="仿宋_GB2312" w:cs="仿宋"/>
          <w:color w:val="000000" w:themeColor="text1"/>
          <w:sz w:val="32"/>
          <w:szCs w:val="32"/>
          <w14:textFill>
            <w14:solidFill>
              <w14:schemeClr w14:val="tx1"/>
            </w14:solidFill>
          </w14:textFill>
        </w:rPr>
        <w:t>3.张建宇，燕山钢铁公司炼钢二厂安全生产科科长，负责燕山钢铁公司炼钢二厂的安全生产管理工作。</w:t>
      </w:r>
      <w:r>
        <w:rPr>
          <w:rFonts w:hint="eastAsia" w:ascii="Times New Roman" w:hAnsi="Times New Roman" w:eastAsia="仿宋_GB2312" w:cs="仿宋_GB2312"/>
          <w:color w:val="000000" w:themeColor="text1"/>
          <w:sz w:val="32"/>
          <w:szCs w:val="32"/>
          <w14:textFill>
            <w14:solidFill>
              <w14:schemeClr w14:val="tx1"/>
            </w14:solidFill>
          </w14:textFill>
        </w:rPr>
        <w:t>检查本厂的安全生产状况不到位，未及时排查出生产安全事故隐患，未及时提出改进安全生产管理的建议，对事故发生负有责任，依据《中华人民共和国安全生产法》第九十六条</w:t>
      </w:r>
      <w:r>
        <w:rPr>
          <w:rStyle w:val="15"/>
          <w:rFonts w:hint="eastAsia" w:ascii="Times New Roman" w:hAnsi="Times New Roman" w:eastAsia="仿宋_GB2312" w:cs="仿宋_GB2312"/>
          <w:color w:val="000000" w:themeColor="text1"/>
          <w:sz w:val="32"/>
          <w:szCs w:val="32"/>
          <w14:textFill>
            <w14:solidFill>
              <w14:schemeClr w14:val="tx1"/>
            </w14:solidFill>
          </w14:textFill>
        </w:rPr>
        <w:t>[</w:t>
      </w:r>
      <w:r>
        <w:rPr>
          <w:rStyle w:val="15"/>
          <w:rFonts w:hint="eastAsia" w:ascii="Times New Roman" w:hAnsi="Times New Roman" w:eastAsia="仿宋_GB2312" w:cs="仿宋_GB2312"/>
          <w:color w:val="000000" w:themeColor="text1"/>
          <w:sz w:val="32"/>
          <w:szCs w:val="32"/>
          <w14:textFill>
            <w14:solidFill>
              <w14:schemeClr w14:val="tx1"/>
            </w14:solidFill>
          </w14:textFill>
        </w:rPr>
        <w:footnoteReference w:id="13"/>
      </w:r>
      <w:r>
        <w:rPr>
          <w:rStyle w:val="15"/>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color w:val="000000" w:themeColor="text1"/>
          <w:sz w:val="32"/>
          <w:szCs w:val="32"/>
          <w14:textFill>
            <w14:solidFill>
              <w14:schemeClr w14:val="tx1"/>
            </w14:solidFill>
          </w14:textFill>
        </w:rPr>
        <w:t>和参照</w:t>
      </w:r>
      <w:r>
        <w:rPr>
          <w:rFonts w:hint="eastAsia" w:ascii="Times New Roman" w:hAnsi="Times New Roman" w:eastAsia="仿宋_GB2312" w:cs="仿宋"/>
          <w:color w:val="000000" w:themeColor="text1"/>
          <w:sz w:val="32"/>
          <w:szCs w:val="32"/>
          <w14:textFill>
            <w14:solidFill>
              <w14:schemeClr w14:val="tx1"/>
            </w14:solidFill>
          </w14:textFill>
        </w:rPr>
        <w:t>《河北省应急管理系统行政裁量权基准》中《中华人民共和国安全生产法》实施标准第7项违法行为对应一般情形</w:t>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Style w:val="15"/>
          <w:rFonts w:hint="eastAsia" w:ascii="Times New Roman" w:hAnsi="Times New Roman" w:eastAsia="仿宋_GB2312" w:cs="仿宋"/>
          <w:color w:val="000000" w:themeColor="text1"/>
          <w:sz w:val="32"/>
          <w:szCs w:val="32"/>
          <w14:textFill>
            <w14:solidFill>
              <w14:schemeClr w14:val="tx1"/>
            </w14:solidFill>
          </w14:textFill>
        </w:rPr>
        <w:footnoteReference w:id="14"/>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Fonts w:hint="eastAsia" w:ascii="Times New Roman" w:hAnsi="Times New Roman" w:eastAsia="仿宋_GB2312" w:cs="仿宋"/>
          <w:color w:val="000000" w:themeColor="text1"/>
          <w:sz w:val="32"/>
          <w:szCs w:val="32"/>
          <w14:textFill>
            <w14:solidFill>
              <w14:schemeClr w14:val="tx1"/>
            </w14:solidFill>
          </w14:textFill>
        </w:rPr>
        <w:t>的规定，建议</w:t>
      </w:r>
      <w:r>
        <w:rPr>
          <w:rFonts w:hint="eastAsia" w:ascii="Times New Roman" w:hAnsi="Times New Roman" w:eastAsia="仿宋_GB2312" w:cs="仿宋"/>
          <w:color w:val="000000" w:themeColor="text1"/>
          <w:sz w:val="32"/>
          <w:szCs w:val="32"/>
          <w:lang w:val="en-US" w:eastAsia="zh-CN"/>
          <w14:textFill>
            <w14:solidFill>
              <w14:schemeClr w14:val="tx1"/>
            </w14:solidFill>
          </w14:textFill>
        </w:rPr>
        <w:t>吊销</w:t>
      </w:r>
      <w:r>
        <w:rPr>
          <w:rFonts w:hint="eastAsia" w:ascii="Times New Roman" w:hAnsi="Times New Roman" w:eastAsia="仿宋_GB2312" w:cs="仿宋"/>
          <w:color w:val="000000" w:themeColor="text1"/>
          <w:sz w:val="32"/>
          <w:szCs w:val="32"/>
          <w14:textFill>
            <w14:solidFill>
              <w14:schemeClr w14:val="tx1"/>
            </w14:solidFill>
          </w14:textFill>
        </w:rPr>
        <w:t>张建宇安全生产管理人员资格证，并处上一年（2023年）年收入20%的罚款。</w:t>
      </w:r>
    </w:p>
    <w:p w14:paraId="61E4B6DA">
      <w:pPr>
        <w:spacing w:line="560" w:lineRule="exact"/>
        <w:ind w:firstLine="640" w:firstLineChars="200"/>
        <w:rPr>
          <w:rFonts w:ascii="Times New Roman" w:hAnsi="Times New Roman" w:eastAsia="仿宋_GB2312" w:cs="仿宋"/>
          <w:color w:val="FF0000"/>
          <w:sz w:val="32"/>
          <w:szCs w:val="32"/>
        </w:rPr>
      </w:pPr>
      <w:r>
        <w:rPr>
          <w:rFonts w:hint="eastAsia" w:ascii="Times New Roman" w:hAnsi="Times New Roman" w:eastAsia="仿宋_GB2312" w:cs="仿宋"/>
          <w:color w:val="000000" w:themeColor="text1"/>
          <w:sz w:val="32"/>
          <w:szCs w:val="32"/>
          <w14:textFill>
            <w14:solidFill>
              <w14:schemeClr w14:val="tx1"/>
            </w14:solidFill>
          </w14:textFill>
        </w:rPr>
        <w:t>4.杨超，燕山钢铁公司炼钢二厂安全科安全员，负责燕山钢铁公司炼钢二厂乙班的安全管理工作。</w:t>
      </w:r>
      <w:r>
        <w:rPr>
          <w:rFonts w:hint="eastAsia" w:ascii="Times New Roman" w:hAnsi="Times New Roman" w:eastAsia="仿宋_GB2312" w:cs="仿宋_GB2312"/>
          <w:color w:val="000000" w:themeColor="text1"/>
          <w:sz w:val="32"/>
          <w:szCs w:val="32"/>
          <w14:textFill>
            <w14:solidFill>
              <w14:schemeClr w14:val="tx1"/>
            </w14:solidFill>
          </w14:textFill>
        </w:rPr>
        <w:t>检查炼钢二厂安全生产状况不到位，未及时排查出使用气动工具作业过程中的生产安全事故隐患，未及时提出改进安全生产管理的建议，对事故发生负有责任，违反《中华人民共和国安全生产法》第二十五条第（五）项的规定，依据《中华人民共和国安全生产法》第九十六条</w:t>
      </w:r>
      <w:r>
        <w:rPr>
          <w:rStyle w:val="15"/>
          <w:rFonts w:hint="eastAsia" w:ascii="Times New Roman" w:hAnsi="Times New Roman" w:eastAsia="仿宋_GB2312" w:cs="仿宋_GB2312"/>
          <w:color w:val="000000" w:themeColor="text1"/>
          <w:sz w:val="32"/>
          <w:szCs w:val="32"/>
          <w14:textFill>
            <w14:solidFill>
              <w14:schemeClr w14:val="tx1"/>
            </w14:solidFill>
          </w14:textFill>
        </w:rPr>
        <w:t>[</w:t>
      </w:r>
      <w:r>
        <w:rPr>
          <w:rStyle w:val="15"/>
          <w:rFonts w:hint="eastAsia" w:ascii="Times New Roman" w:hAnsi="Times New Roman" w:eastAsia="仿宋_GB2312" w:cs="仿宋_GB2312"/>
          <w:color w:val="000000" w:themeColor="text1"/>
          <w:sz w:val="32"/>
          <w:szCs w:val="32"/>
          <w14:textFill>
            <w14:solidFill>
              <w14:schemeClr w14:val="tx1"/>
            </w14:solidFill>
          </w14:textFill>
        </w:rPr>
        <w:footnoteReference w:id="15"/>
      </w:r>
      <w:r>
        <w:rPr>
          <w:rStyle w:val="15"/>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color w:val="000000" w:themeColor="text1"/>
          <w:sz w:val="32"/>
          <w:szCs w:val="32"/>
          <w14:textFill>
            <w14:solidFill>
              <w14:schemeClr w14:val="tx1"/>
            </w14:solidFill>
          </w14:textFill>
        </w:rPr>
        <w:t>和参照</w:t>
      </w:r>
      <w:r>
        <w:rPr>
          <w:rFonts w:hint="eastAsia" w:ascii="Times New Roman" w:hAnsi="Times New Roman" w:eastAsia="仿宋_GB2312" w:cs="仿宋"/>
          <w:color w:val="000000" w:themeColor="text1"/>
          <w:sz w:val="32"/>
          <w:szCs w:val="32"/>
          <w14:textFill>
            <w14:solidFill>
              <w14:schemeClr w14:val="tx1"/>
            </w14:solidFill>
          </w14:textFill>
        </w:rPr>
        <w:t>《河北省应急管理系统行政裁量权基准》中《中华人民共和国安全生产法》实施标准第7项违法行为对应一般情形</w:t>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Style w:val="15"/>
          <w:rFonts w:hint="eastAsia" w:ascii="Times New Roman" w:hAnsi="Times New Roman" w:eastAsia="仿宋_GB2312" w:cs="仿宋"/>
          <w:color w:val="000000" w:themeColor="text1"/>
          <w:sz w:val="32"/>
          <w:szCs w:val="32"/>
          <w14:textFill>
            <w14:solidFill>
              <w14:schemeClr w14:val="tx1"/>
            </w14:solidFill>
          </w14:textFill>
        </w:rPr>
        <w:footnoteReference w:id="16"/>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Fonts w:hint="eastAsia" w:ascii="Times New Roman" w:hAnsi="Times New Roman" w:eastAsia="仿宋_GB2312" w:cs="仿宋"/>
          <w:color w:val="000000" w:themeColor="text1"/>
          <w:sz w:val="32"/>
          <w:szCs w:val="32"/>
          <w14:textFill>
            <w14:solidFill>
              <w14:schemeClr w14:val="tx1"/>
            </w14:solidFill>
          </w14:textFill>
        </w:rPr>
        <w:t>的规定，建议暂停杨超安全生产管理人员资格证三个月，并处上一年（2023年）年收入20%的罚款。</w:t>
      </w:r>
    </w:p>
    <w:p w14:paraId="1E47A968">
      <w:pPr>
        <w:pStyle w:val="3"/>
        <w:ind w:firstLine="643"/>
        <w:rPr>
          <w:color w:val="000000" w:themeColor="text1"/>
          <w14:textFill>
            <w14:solidFill>
              <w14:schemeClr w14:val="tx1"/>
            </w14:solidFill>
          </w14:textFill>
        </w:rPr>
      </w:pPr>
      <w:bookmarkStart w:id="32" w:name="_Toc13669"/>
      <w:bookmarkStart w:id="33" w:name="_Toc6931"/>
      <w:r>
        <w:rPr>
          <w:rFonts w:hint="eastAsia"/>
          <w:color w:val="000000" w:themeColor="text1"/>
          <w14:textFill>
            <w14:solidFill>
              <w14:schemeClr w14:val="tx1"/>
            </w14:solidFill>
          </w14:textFill>
        </w:rPr>
        <w:t>（四）建议企业内部处理人员（</w:t>
      </w:r>
      <w:r>
        <w:rPr>
          <w:rFonts w:hint="eastAsia"/>
          <w:color w:val="000000" w:themeColor="text1"/>
          <w:lang w:val="en-US" w:eastAsia="zh-CN"/>
          <w14:textFill>
            <w14:solidFill>
              <w14:schemeClr w14:val="tx1"/>
            </w14:solidFill>
          </w14:textFill>
        </w:rPr>
        <w:t>4</w:t>
      </w:r>
      <w:r>
        <w:rPr>
          <w:rFonts w:hint="eastAsia"/>
          <w:color w:val="000000" w:themeColor="text1"/>
          <w14:textFill>
            <w14:solidFill>
              <w14:schemeClr w14:val="tx1"/>
            </w14:solidFill>
          </w14:textFill>
        </w:rPr>
        <w:t>人）</w:t>
      </w:r>
      <w:bookmarkEnd w:id="32"/>
      <w:bookmarkEnd w:id="33"/>
    </w:p>
    <w:p w14:paraId="3E3AB6F3">
      <w:pPr>
        <w:pStyle w:val="10"/>
        <w:widowControl/>
        <w:spacing w:beforeAutospacing="0" w:afterAutospacing="0" w:line="560" w:lineRule="exact"/>
        <w:ind w:firstLine="640" w:firstLineChars="200"/>
        <w:rPr>
          <w:rFonts w:hint="eastAsia" w:ascii="仿宋_GB2312" w:hAnsi="仿宋_GB2312" w:eastAsia="仿宋_GB2312" w:cs="仿宋_GB2312"/>
          <w:color w:val="000000" w:themeColor="text1"/>
          <w:kern w:val="2"/>
          <w:sz w:val="32"/>
          <w:szCs w:val="32"/>
          <w14:textFill>
            <w14:solidFill>
              <w14:schemeClr w14:val="tx1"/>
            </w14:solidFill>
          </w14:textFill>
        </w:rPr>
      </w:pPr>
      <w:r>
        <w:rPr>
          <w:rFonts w:hint="eastAsia" w:ascii="仿宋_GB2312" w:hAnsi="仿宋_GB2312" w:eastAsia="仿宋_GB2312" w:cs="仿宋_GB2312"/>
          <w:color w:val="000000" w:themeColor="text1"/>
          <w:kern w:val="2"/>
          <w:sz w:val="32"/>
          <w:szCs w:val="32"/>
          <w14:textFill>
            <w14:solidFill>
              <w14:schemeClr w14:val="tx1"/>
            </w14:solidFill>
          </w14:textFill>
        </w:rPr>
        <w:t>1.夏春祥，燕山钢铁公司炼钢二厂厂长，负责燕山钢铁公司炼钢二厂全面管理工作。对炼钢二厂精炼工段的管理工作不到位，组织排查隐患不到位，对事故发生负有责任。建议燕山钢铁公司按照企业内部管理规定</w:t>
      </w:r>
      <w:r>
        <w:rPr>
          <w:rFonts w:hint="eastAsia" w:ascii="仿宋_GB2312" w:hAnsi="仿宋_GB2312" w:eastAsia="仿宋_GB2312" w:cs="仿宋_GB2312"/>
          <w:color w:val="000000" w:themeColor="text1"/>
          <w:kern w:val="2"/>
          <w:sz w:val="32"/>
          <w:szCs w:val="32"/>
          <w:lang w:val="en-US" w:eastAsia="zh-CN"/>
          <w14:textFill>
            <w14:solidFill>
              <w14:schemeClr w14:val="tx1"/>
            </w14:solidFill>
          </w14:textFill>
        </w:rPr>
        <w:t>给予其经济处罚</w:t>
      </w:r>
      <w:r>
        <w:rPr>
          <w:rFonts w:hint="eastAsia" w:ascii="仿宋_GB2312" w:hAnsi="仿宋_GB2312" w:eastAsia="仿宋_GB2312" w:cs="仿宋_GB2312"/>
          <w:color w:val="000000" w:themeColor="text1"/>
          <w:kern w:val="2"/>
          <w:sz w:val="32"/>
          <w:szCs w:val="32"/>
          <w14:textFill>
            <w14:solidFill>
              <w14:schemeClr w14:val="tx1"/>
            </w14:solidFill>
          </w14:textFill>
        </w:rPr>
        <w:t>。</w:t>
      </w:r>
    </w:p>
    <w:p w14:paraId="6D895CA5">
      <w:pPr>
        <w:pStyle w:val="10"/>
        <w:widowControl/>
        <w:spacing w:beforeAutospacing="0" w:afterAutospacing="0" w:line="560" w:lineRule="exact"/>
        <w:ind w:firstLine="640" w:firstLineChars="200"/>
        <w:rPr>
          <w:rFonts w:hint="eastAsia" w:ascii="仿宋_GB2312" w:hAnsi="仿宋_GB2312" w:eastAsia="仿宋_GB2312" w:cs="仿宋_GB2312"/>
          <w:color w:val="000000" w:themeColor="text1"/>
          <w:kern w:val="2"/>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kern w:val="2"/>
          <w:sz w:val="32"/>
          <w:szCs w:val="32"/>
          <w14:textFill>
            <w14:solidFill>
              <w14:schemeClr w14:val="tx1"/>
            </w14:solidFill>
          </w14:textFill>
        </w:rPr>
        <w:t>2.李振华，燕山钢铁公司炼钢二厂生产厂长</w:t>
      </w:r>
      <w:r>
        <w:rPr>
          <w:rFonts w:hint="eastAsia" w:ascii="仿宋_GB2312" w:hAnsi="仿宋_GB2312" w:eastAsia="仿宋_GB2312" w:cs="仿宋_GB2312"/>
          <w:color w:val="000000" w:themeColor="text1"/>
          <w:sz w:val="32"/>
          <w:szCs w:val="32"/>
          <w14:textFill>
            <w14:solidFill>
              <w14:schemeClr w14:val="tx1"/>
            </w14:solidFill>
          </w14:textFill>
        </w:rPr>
        <w:t>，负责燕山钢铁公司炼钢二厂生产经营工作。对炼钢二厂精炼工段的管理工作不到位，设置监护人员不足，对事故发生负有责任。</w:t>
      </w:r>
      <w:r>
        <w:rPr>
          <w:rFonts w:hint="eastAsia" w:ascii="仿宋_GB2312" w:hAnsi="仿宋_GB2312" w:eastAsia="仿宋_GB2312" w:cs="仿宋_GB2312"/>
          <w:color w:val="000000" w:themeColor="text1"/>
          <w:kern w:val="2"/>
          <w:sz w:val="32"/>
          <w:szCs w:val="32"/>
          <w14:textFill>
            <w14:solidFill>
              <w14:schemeClr w14:val="tx1"/>
            </w14:solidFill>
          </w14:textFill>
        </w:rPr>
        <w:t>建议燕山钢铁</w:t>
      </w:r>
      <w:r>
        <w:rPr>
          <w:rFonts w:hint="eastAsia" w:ascii="仿宋_GB2312" w:hAnsi="仿宋_GB2312" w:eastAsia="仿宋_GB2312" w:cs="仿宋_GB2312"/>
          <w:color w:val="000000" w:themeColor="text1"/>
          <w:sz w:val="32"/>
          <w:szCs w:val="32"/>
          <w14:textFill>
            <w14:solidFill>
              <w14:schemeClr w14:val="tx1"/>
            </w14:solidFill>
          </w14:textFill>
        </w:rPr>
        <w:t>公司</w:t>
      </w:r>
      <w:r>
        <w:rPr>
          <w:rFonts w:hint="eastAsia" w:ascii="仿宋_GB2312" w:hAnsi="仿宋_GB2312" w:eastAsia="仿宋_GB2312" w:cs="仿宋_GB2312"/>
          <w:color w:val="000000" w:themeColor="text1"/>
          <w:kern w:val="2"/>
          <w:sz w:val="32"/>
          <w:szCs w:val="32"/>
          <w14:textFill>
            <w14:solidFill>
              <w14:schemeClr w14:val="tx1"/>
            </w14:solidFill>
          </w14:textFill>
        </w:rPr>
        <w:t>按照企业内部管理规定</w:t>
      </w:r>
      <w:r>
        <w:rPr>
          <w:rFonts w:hint="eastAsia" w:ascii="仿宋_GB2312" w:hAnsi="仿宋_GB2312" w:eastAsia="仿宋_GB2312" w:cs="仿宋_GB2312"/>
          <w:color w:val="000000" w:themeColor="text1"/>
          <w:kern w:val="2"/>
          <w:sz w:val="32"/>
          <w:szCs w:val="32"/>
          <w:lang w:val="en-US" w:eastAsia="zh-CN"/>
          <w14:textFill>
            <w14:solidFill>
              <w14:schemeClr w14:val="tx1"/>
            </w14:solidFill>
          </w14:textFill>
        </w:rPr>
        <w:t>给予其经济处罚。</w:t>
      </w:r>
    </w:p>
    <w:p w14:paraId="49B41403">
      <w:pPr>
        <w:pStyle w:val="10"/>
        <w:widowControl/>
        <w:spacing w:beforeAutospacing="0" w:afterAutospacing="0" w:line="560" w:lineRule="exact"/>
        <w:ind w:firstLine="640" w:firstLineChars="200"/>
        <w:rPr>
          <w:rFonts w:hint="eastAsia" w:ascii="仿宋_GB2312" w:hAnsi="仿宋_GB2312" w:eastAsia="仿宋_GB2312" w:cs="仿宋_GB2312"/>
          <w:color w:val="000000" w:themeColor="text1"/>
          <w:kern w:val="2"/>
          <w:sz w:val="32"/>
          <w:szCs w:val="32"/>
          <w14:textFill>
            <w14:solidFill>
              <w14:schemeClr w14:val="tx1"/>
            </w14:solidFill>
          </w14:textFill>
        </w:rPr>
      </w:pPr>
      <w:r>
        <w:rPr>
          <w:rFonts w:hint="eastAsia" w:ascii="仿宋_GB2312" w:hAnsi="仿宋_GB2312" w:eastAsia="仿宋_GB2312" w:cs="仿宋_GB2312"/>
          <w:color w:val="000000" w:themeColor="text1"/>
          <w:kern w:val="2"/>
          <w:sz w:val="32"/>
          <w:szCs w:val="32"/>
          <w14:textFill>
            <w14:solidFill>
              <w14:schemeClr w14:val="tx1"/>
            </w14:solidFill>
          </w14:textFill>
        </w:rPr>
        <w:t>3.钱永胜，燕山钢铁公司炼钢二厂精炼段长，负责燕山钢铁公司炼钢二厂精炼工段的管理工作。对精炼工段工人的巡视检查和监护工作不到位，对事故发生负有责任。建议燕山钢铁公司按照企业内部管理规定</w:t>
      </w:r>
      <w:r>
        <w:rPr>
          <w:rFonts w:hint="eastAsia" w:ascii="仿宋_GB2312" w:hAnsi="仿宋_GB2312" w:eastAsia="仿宋_GB2312" w:cs="仿宋_GB2312"/>
          <w:color w:val="000000" w:themeColor="text1"/>
          <w:kern w:val="2"/>
          <w:sz w:val="32"/>
          <w:szCs w:val="32"/>
          <w:lang w:val="en-US" w:eastAsia="zh-CN"/>
          <w14:textFill>
            <w14:solidFill>
              <w14:schemeClr w14:val="tx1"/>
            </w14:solidFill>
          </w14:textFill>
        </w:rPr>
        <w:t>给予其经济处罚。</w:t>
      </w:r>
    </w:p>
    <w:p w14:paraId="4D3A6D9A">
      <w:pPr>
        <w:pStyle w:val="10"/>
        <w:widowControl/>
        <w:spacing w:beforeAutospacing="0" w:afterAutospacing="0" w:line="560" w:lineRule="exact"/>
        <w:ind w:firstLine="640" w:firstLineChars="200"/>
        <w:jc w:val="both"/>
        <w:rPr>
          <w:rFonts w:hint="default" w:ascii="仿宋_GB2312" w:hAnsi="仿宋_GB2312" w:eastAsia="仿宋_GB2312" w:cs="仿宋_GB2312"/>
          <w:color w:val="000000" w:themeColor="text1"/>
          <w:kern w:val="2"/>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kern w:val="2"/>
          <w:sz w:val="32"/>
          <w:szCs w:val="32"/>
          <w:lang w:val="en-US" w:eastAsia="zh-CN"/>
          <w14:textFill>
            <w14:solidFill>
              <w14:schemeClr w14:val="tx1"/>
            </w14:solidFill>
          </w14:textFill>
        </w:rPr>
        <w:t>4.岳佳宾，燕山钢铁公司炼钢二厂2#LF精炼班长，负责组织燕山钢铁公司炼钢二厂2#LF精炼班组的生产、安全工作。对2#LF精炼班组工人的监护工作不到位，对事故发生负有责任。建议燕山钢铁公司按照企业内部管理规定给予其经济处罚，并免去其精炼班长职务。</w:t>
      </w:r>
    </w:p>
    <w:p w14:paraId="1C708A7D">
      <w:pPr>
        <w:pStyle w:val="3"/>
        <w:ind w:firstLine="643"/>
        <w:rPr>
          <w:color w:val="000000" w:themeColor="text1"/>
          <w14:textFill>
            <w14:solidFill>
              <w14:schemeClr w14:val="tx1"/>
            </w14:solidFill>
          </w14:textFill>
        </w:rPr>
      </w:pPr>
      <w:bookmarkStart w:id="34" w:name="_Toc22535"/>
      <w:r>
        <w:rPr>
          <w:rFonts w:hint="eastAsia"/>
          <w:color w:val="000000" w:themeColor="text1"/>
          <w14:textFill>
            <w14:solidFill>
              <w14:schemeClr w14:val="tx1"/>
            </w14:solidFill>
          </w14:textFill>
        </w:rPr>
        <w:t>（五）对事故责任单位的处理建议</w:t>
      </w:r>
      <w:bookmarkEnd w:id="34"/>
    </w:p>
    <w:bookmarkEnd w:id="31"/>
    <w:p w14:paraId="247D9742">
      <w:pPr>
        <w:spacing w:line="560" w:lineRule="exact"/>
        <w:ind w:firstLine="640" w:firstLineChars="200"/>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燕山钢铁公司对现场的隐患排查不到位，对职工的安全教育和培训不到位，对事故发生负有责任，</w:t>
      </w:r>
      <w:r>
        <w:rPr>
          <w:rFonts w:hint="eastAsia" w:ascii="仿宋_GB2312" w:hAnsi="仿宋_GB2312" w:eastAsia="仿宋_GB2312" w:cs="仿宋_GB2312"/>
          <w:color w:val="000000" w:themeColor="text1"/>
          <w:sz w:val="32"/>
          <w:szCs w:val="32"/>
          <w14:textFill>
            <w14:solidFill>
              <w14:schemeClr w14:val="tx1"/>
            </w14:solidFill>
          </w14:textFill>
        </w:rPr>
        <w:t>违反《中华人民共和国安全生产法》第四十一条</w:t>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Style w:val="15"/>
          <w:rFonts w:hint="eastAsia" w:ascii="仿宋_GB2312" w:hAnsi="仿宋_GB2312" w:eastAsia="仿宋_GB2312" w:cs="仿宋_GB2312"/>
          <w:color w:val="000000" w:themeColor="text1"/>
          <w:sz w:val="32"/>
          <w:szCs w:val="32"/>
          <w14:textFill>
            <w14:solidFill>
              <w14:schemeClr w14:val="tx1"/>
            </w14:solidFill>
          </w14:textFill>
        </w:rPr>
        <w:footnoteReference w:id="17"/>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、第四十四条第一款</w:t>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Style w:val="15"/>
          <w:rFonts w:hint="eastAsia" w:ascii="仿宋_GB2312" w:hAnsi="仿宋_GB2312" w:eastAsia="仿宋_GB2312" w:cs="仿宋_GB2312"/>
          <w:color w:val="000000" w:themeColor="text1"/>
          <w:sz w:val="32"/>
          <w:szCs w:val="32"/>
          <w14:textFill>
            <w14:solidFill>
              <w14:schemeClr w14:val="tx1"/>
            </w14:solidFill>
          </w14:textFill>
        </w:rPr>
        <w:footnoteReference w:id="18"/>
      </w:r>
      <w:r>
        <w:rPr>
          <w:rStyle w:val="15"/>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14:textFill>
            <w14:solidFill>
              <w14:schemeClr w14:val="tx1"/>
            </w14:solidFill>
          </w14:textFill>
        </w:rPr>
        <w:t>的规定，</w:t>
      </w:r>
      <w:r>
        <w:rPr>
          <w:rFonts w:hint="eastAsia" w:ascii="Times New Roman" w:hAnsi="Times New Roman" w:eastAsia="仿宋_GB2312" w:cs="仿宋_GB2312"/>
          <w:color w:val="000000" w:themeColor="text1"/>
          <w:sz w:val="32"/>
          <w:szCs w:val="32"/>
          <w14:textFill>
            <w14:solidFill>
              <w14:schemeClr w14:val="tx1"/>
            </w14:solidFill>
          </w14:textFill>
        </w:rPr>
        <w:t>依据《中华人民共和国安全生产法》第一百一十四条第一款第（一）项</w:t>
      </w:r>
      <w:r>
        <w:rPr>
          <w:rStyle w:val="15"/>
          <w:rFonts w:hint="eastAsia" w:ascii="Times New Roman" w:hAnsi="Times New Roman" w:eastAsia="仿宋_GB2312" w:cs="仿宋_GB2312"/>
          <w:color w:val="000000" w:themeColor="text1"/>
          <w:sz w:val="32"/>
          <w:szCs w:val="32"/>
          <w14:textFill>
            <w14:solidFill>
              <w14:schemeClr w14:val="tx1"/>
            </w14:solidFill>
          </w14:textFill>
        </w:rPr>
        <w:t>[</w:t>
      </w:r>
      <w:r>
        <w:rPr>
          <w:rStyle w:val="15"/>
          <w:rFonts w:hint="eastAsia" w:ascii="Times New Roman" w:hAnsi="Times New Roman" w:eastAsia="仿宋_GB2312" w:cs="仿宋_GB2312"/>
          <w:color w:val="000000" w:themeColor="text1"/>
          <w:sz w:val="32"/>
          <w:szCs w:val="32"/>
          <w14:textFill>
            <w14:solidFill>
              <w14:schemeClr w14:val="tx1"/>
            </w14:solidFill>
          </w14:textFill>
        </w:rPr>
        <w:footnoteReference w:id="19"/>
      </w:r>
      <w:r>
        <w:rPr>
          <w:rStyle w:val="15"/>
          <w:rFonts w:hint="eastAsia" w:ascii="Times New Roman" w:hAnsi="Times New Roman" w:eastAsia="仿宋_GB2312" w:cs="仿宋_GB2312"/>
          <w:color w:val="000000" w:themeColor="text1"/>
          <w:sz w:val="32"/>
          <w:szCs w:val="32"/>
          <w14:textFill>
            <w14:solidFill>
              <w14:schemeClr w14:val="tx1"/>
            </w14:solidFill>
          </w14:textFill>
        </w:rPr>
        <w:t>]</w:t>
      </w:r>
      <w:r>
        <w:rPr>
          <w:rFonts w:hint="eastAsia" w:ascii="Times New Roman" w:hAnsi="Times New Roman" w:eastAsia="仿宋_GB2312" w:cs="仿宋_GB2312"/>
          <w:color w:val="000000" w:themeColor="text1"/>
          <w:sz w:val="32"/>
          <w:szCs w:val="32"/>
          <w14:textFill>
            <w14:solidFill>
              <w14:schemeClr w14:val="tx1"/>
            </w14:solidFill>
          </w14:textFill>
        </w:rPr>
        <w:t>和《生产安全事故罚款处罚规定》第十四条第（三）项</w:t>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Style w:val="15"/>
          <w:rFonts w:hint="eastAsia" w:ascii="Times New Roman" w:hAnsi="Times New Roman" w:eastAsia="仿宋_GB2312" w:cs="仿宋"/>
          <w:color w:val="000000" w:themeColor="text1"/>
          <w:sz w:val="32"/>
          <w:szCs w:val="32"/>
          <w14:textFill>
            <w14:solidFill>
              <w14:schemeClr w14:val="tx1"/>
            </w14:solidFill>
          </w14:textFill>
        </w:rPr>
        <w:footnoteReference w:id="20"/>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Fonts w:hint="eastAsia" w:ascii="Times New Roman" w:hAnsi="Times New Roman" w:eastAsia="仿宋_GB2312" w:cs="仿宋"/>
          <w:color w:val="000000" w:themeColor="text1"/>
          <w:sz w:val="32"/>
          <w:szCs w:val="32"/>
          <w14:textFill>
            <w14:solidFill>
              <w14:schemeClr w14:val="tx1"/>
            </w14:solidFill>
          </w14:textFill>
        </w:rPr>
        <w:t>的规定，因</w:t>
      </w:r>
      <w:r>
        <w:rPr>
          <w:rFonts w:hint="eastAsia" w:ascii="Times New Roman" w:hAnsi="Times New Roman" w:eastAsia="仿宋_GB2312" w:cs="仿宋_GB2312"/>
          <w:color w:val="000000" w:themeColor="text1"/>
          <w:sz w:val="32"/>
          <w:szCs w:val="32"/>
          <w14:textFill>
            <w14:solidFill>
              <w14:schemeClr w14:val="tx1"/>
            </w14:solidFill>
          </w14:textFill>
        </w:rPr>
        <w:t>燕山钢铁公司</w:t>
      </w:r>
      <w:r>
        <w:rPr>
          <w:rFonts w:hint="eastAsia" w:ascii="Times New Roman" w:hAnsi="Times New Roman" w:eastAsia="仿宋_GB2312" w:cs="仿宋"/>
          <w:color w:val="000000" w:themeColor="text1"/>
          <w:sz w:val="32"/>
          <w:szCs w:val="32"/>
          <w14:textFill>
            <w14:solidFill>
              <w14:schemeClr w14:val="tx1"/>
            </w14:solidFill>
          </w14:textFill>
        </w:rPr>
        <w:t>瞒报事故，建议由迁安市应急管理局给予</w:t>
      </w:r>
      <w:r>
        <w:rPr>
          <w:rFonts w:hint="eastAsia" w:ascii="Times New Roman" w:hAnsi="Times New Roman" w:eastAsia="仿宋_GB2312" w:cs="仿宋_GB2312"/>
          <w:color w:val="000000" w:themeColor="text1"/>
          <w:sz w:val="32"/>
          <w:szCs w:val="32"/>
          <w14:textFill>
            <w14:solidFill>
              <w14:schemeClr w14:val="tx1"/>
            </w14:solidFill>
          </w14:textFill>
        </w:rPr>
        <w:t>燕山钢铁公司</w:t>
      </w:r>
      <w:r>
        <w:rPr>
          <w:rFonts w:hint="eastAsia" w:ascii="Times New Roman" w:hAnsi="Times New Roman" w:eastAsia="仿宋_GB2312" w:cs="仿宋"/>
          <w:color w:val="000000" w:themeColor="text1"/>
          <w:sz w:val="32"/>
          <w:szCs w:val="32"/>
          <w14:textFill>
            <w14:solidFill>
              <w14:schemeClr w14:val="tx1"/>
            </w14:solidFill>
          </w14:textFill>
        </w:rPr>
        <w:t>90万元的罚款；事故发生后，燕山钢铁公司总经理任宝树瞒报生产安全事故，违反《生产安全事故报告和调查处理条例》第九条</w:t>
      </w:r>
      <w:r>
        <w:rPr>
          <w:rFonts w:hint="eastAsia" w:ascii="Times New Roman" w:hAnsi="Times New Roman" w:eastAsia="仿宋_GB2312" w:cs="仿宋"/>
          <w:color w:val="000000" w:themeColor="text1"/>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sz w:val="32"/>
          <w:szCs w:val="32"/>
          <w:vertAlign w:val="superscript"/>
          <w14:textFill>
            <w14:solidFill>
              <w14:schemeClr w14:val="tx1"/>
            </w14:solidFill>
          </w14:textFill>
        </w:rPr>
        <w:footnoteReference w:id="21"/>
      </w:r>
      <w:r>
        <w:rPr>
          <w:rFonts w:hint="eastAsia" w:ascii="Times New Roman" w:hAnsi="Times New Roman" w:eastAsia="仿宋_GB2312" w:cs="仿宋"/>
          <w:color w:val="000000" w:themeColor="text1"/>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sz w:val="32"/>
          <w:szCs w:val="32"/>
          <w14:textFill>
            <w14:solidFill>
              <w14:schemeClr w14:val="tx1"/>
            </w14:solidFill>
          </w14:textFill>
        </w:rPr>
        <w:t>的规定，依据《生产安全事故报告和调查处理条例》第三十六条第（一）项</w:t>
      </w:r>
      <w:r>
        <w:rPr>
          <w:rFonts w:hint="eastAsia" w:ascii="Times New Roman" w:hAnsi="Times New Roman" w:eastAsia="仿宋_GB2312" w:cs="仿宋"/>
          <w:color w:val="000000" w:themeColor="text1"/>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sz w:val="32"/>
          <w:szCs w:val="32"/>
          <w:vertAlign w:val="superscript"/>
          <w14:textFill>
            <w14:solidFill>
              <w14:schemeClr w14:val="tx1"/>
            </w14:solidFill>
          </w14:textFill>
        </w:rPr>
        <w:footnoteReference w:id="22"/>
      </w:r>
      <w:r>
        <w:rPr>
          <w:rFonts w:hint="eastAsia" w:ascii="Times New Roman" w:hAnsi="Times New Roman" w:eastAsia="仿宋_GB2312" w:cs="仿宋"/>
          <w:color w:val="000000" w:themeColor="text1"/>
          <w:sz w:val="32"/>
          <w:szCs w:val="32"/>
          <w:vertAlign w:val="superscript"/>
          <w14:textFill>
            <w14:solidFill>
              <w14:schemeClr w14:val="tx1"/>
            </w14:solidFill>
          </w14:textFill>
        </w:rPr>
        <w:t>]</w:t>
      </w:r>
      <w:r>
        <w:rPr>
          <w:rFonts w:hint="eastAsia" w:ascii="Times New Roman" w:hAnsi="Times New Roman" w:eastAsia="仿宋_GB2312" w:cs="仿宋"/>
          <w:color w:val="000000" w:themeColor="text1"/>
          <w:sz w:val="32"/>
          <w:szCs w:val="32"/>
          <w14:textFill>
            <w14:solidFill>
              <w14:schemeClr w14:val="tx1"/>
            </w14:solidFill>
          </w14:textFill>
        </w:rPr>
        <w:t>和《生产安全事故罚款处罚规定》第十三条第一款第（一）项</w:t>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Style w:val="15"/>
          <w:rFonts w:hint="eastAsia" w:ascii="Times New Roman" w:hAnsi="Times New Roman" w:eastAsia="仿宋_GB2312" w:cs="仿宋"/>
          <w:color w:val="000000" w:themeColor="text1"/>
          <w:sz w:val="32"/>
          <w:szCs w:val="32"/>
          <w14:textFill>
            <w14:solidFill>
              <w14:schemeClr w14:val="tx1"/>
            </w14:solidFill>
          </w14:textFill>
        </w:rPr>
        <w:footnoteReference w:id="23"/>
      </w:r>
      <w:r>
        <w:rPr>
          <w:rStyle w:val="15"/>
          <w:rFonts w:hint="eastAsia" w:ascii="Times New Roman" w:hAnsi="Times New Roman" w:eastAsia="仿宋_GB2312" w:cs="仿宋"/>
          <w:color w:val="000000" w:themeColor="text1"/>
          <w:sz w:val="32"/>
          <w:szCs w:val="32"/>
          <w14:textFill>
            <w14:solidFill>
              <w14:schemeClr w14:val="tx1"/>
            </w14:solidFill>
          </w14:textFill>
        </w:rPr>
        <w:t>]</w:t>
      </w:r>
      <w:r>
        <w:rPr>
          <w:rFonts w:hint="eastAsia" w:ascii="Times New Roman" w:hAnsi="Times New Roman" w:eastAsia="仿宋_GB2312" w:cs="仿宋"/>
          <w:color w:val="000000" w:themeColor="text1"/>
          <w:sz w:val="32"/>
          <w:szCs w:val="32"/>
          <w14:textFill>
            <w14:solidFill>
              <w14:schemeClr w14:val="tx1"/>
            </w14:solidFill>
          </w14:textFill>
        </w:rPr>
        <w:t>的规定，建议由迁安市应急管理局给予燕山钢铁公司135万元的罚款。两项合并，最终建议由迁安市应急管理局给予燕山钢铁公司225万元的罚款。</w:t>
      </w:r>
      <w:bookmarkStart w:id="38" w:name="_GoBack"/>
      <w:bookmarkEnd w:id="38"/>
    </w:p>
    <w:p w14:paraId="01207B26">
      <w:pPr>
        <w:pStyle w:val="3"/>
        <w:keepNext/>
        <w:keepLines/>
        <w:pageBreakBefore w:val="0"/>
        <w:widowControl w:val="0"/>
        <w:numPr>
          <w:ilvl w:val="0"/>
          <w:numId w:val="0"/>
        </w:numPr>
        <w:kinsoku/>
        <w:wordWrap/>
        <w:overflowPunct/>
        <w:topLinePunct w:val="0"/>
        <w:autoSpaceDE/>
        <w:autoSpaceDN/>
        <w:bidi w:val="0"/>
        <w:adjustRightInd/>
        <w:snapToGrid/>
        <w:ind w:firstLine="643" w:firstLineChars="200"/>
        <w:textAlignment w:val="auto"/>
        <w:rPr>
          <w:color w:val="000000" w:themeColor="text1"/>
          <w14:textFill>
            <w14:solidFill>
              <w14:schemeClr w14:val="tx1"/>
            </w14:solidFill>
          </w14:textFill>
        </w:rPr>
      </w:pPr>
      <w:bookmarkStart w:id="35" w:name="_Toc31618"/>
      <w:r>
        <w:rPr>
          <w:rFonts w:hint="eastAsia"/>
          <w:color w:val="000000" w:themeColor="text1"/>
          <w:lang w:eastAsia="zh-CN"/>
          <w14:textFill>
            <w14:solidFill>
              <w14:schemeClr w14:val="tx1"/>
            </w14:solidFill>
          </w14:textFill>
        </w:rPr>
        <w:t>（</w:t>
      </w:r>
      <w:r>
        <w:rPr>
          <w:rFonts w:hint="eastAsia"/>
          <w:color w:val="000000" w:themeColor="text1"/>
          <w:lang w:val="en-US" w:eastAsia="zh-CN"/>
          <w14:textFill>
            <w14:solidFill>
              <w14:schemeClr w14:val="tx1"/>
            </w14:solidFill>
          </w14:textFill>
        </w:rPr>
        <w:t>六</w:t>
      </w:r>
      <w:r>
        <w:rPr>
          <w:rFonts w:hint="eastAsia"/>
          <w:color w:val="000000" w:themeColor="text1"/>
          <w:lang w:eastAsia="zh-CN"/>
          <w14:textFill>
            <w14:solidFill>
              <w14:schemeClr w14:val="tx1"/>
            </w14:solidFill>
          </w14:textFill>
        </w:rPr>
        <w:t>）</w:t>
      </w:r>
      <w:r>
        <w:rPr>
          <w:color w:val="000000" w:themeColor="text1"/>
          <w14:textFill>
            <w14:solidFill>
              <w14:schemeClr w14:val="tx1"/>
            </w14:solidFill>
          </w14:textFill>
        </w:rPr>
        <w:t>其他处理建议</w:t>
      </w:r>
      <w:bookmarkEnd w:id="35"/>
    </w:p>
    <w:p w14:paraId="56210ECF">
      <w:pPr>
        <w:spacing w:line="560" w:lineRule="exact"/>
        <w:ind w:firstLine="640" w:firstLineChars="200"/>
        <w:rPr>
          <w:rFonts w:hint="eastAsia" w:hAnsi="宋体" w:eastAsia="仿宋_GB2312" w:cs="仿宋_GB2312"/>
          <w:color w:val="000000" w:themeColor="text1"/>
          <w:sz w:val="32"/>
          <w:szCs w:val="32"/>
          <w14:textFill>
            <w14:solidFill>
              <w14:schemeClr w14:val="tx1"/>
            </w14:solidFill>
          </w14:textFill>
        </w:rPr>
      </w:pPr>
      <w:r>
        <w:rPr>
          <w:rFonts w:hint="eastAsia" w:hAnsi="宋体" w:eastAsia="仿宋_GB2312" w:cs="仿宋_GB2312"/>
          <w:color w:val="000000" w:themeColor="text1"/>
          <w:sz w:val="32"/>
          <w:szCs w:val="32"/>
          <w14:textFill>
            <w14:solidFill>
              <w14:schemeClr w14:val="tx1"/>
            </w14:solidFill>
          </w14:textFill>
        </w:rPr>
        <w:t>迁安市应急管理局履行行业监管职责不到位。未认真履行对燕山钢铁公司的监督检查职责，未能督导企业彻底排查使用气动工具作业过程中的安全隐患。</w:t>
      </w:r>
      <w:r>
        <w:rPr>
          <w:rFonts w:ascii="Times New Roman" w:hAnsi="Times New Roman" w:eastAsia="仿宋_GB2312" w:cs="仿宋_GB2312"/>
          <w:color w:val="000000" w:themeColor="text1"/>
          <w:sz w:val="32"/>
          <w:szCs w:val="32"/>
          <w14:textFill>
            <w14:solidFill>
              <w14:schemeClr w14:val="tx1"/>
            </w14:solidFill>
          </w14:textFill>
        </w:rPr>
        <w:t>建议</w:t>
      </w:r>
      <w:r>
        <w:rPr>
          <w:rFonts w:hint="eastAsia" w:hAnsi="宋体" w:eastAsia="仿宋_GB2312" w:cs="仿宋_GB2312"/>
          <w:color w:val="000000" w:themeColor="text1"/>
          <w:sz w:val="32"/>
          <w:szCs w:val="32"/>
          <w14:textFill>
            <w14:solidFill>
              <w14:schemeClr w14:val="tx1"/>
            </w14:solidFill>
          </w14:textFill>
        </w:rPr>
        <w:t>迁安市应急管理局</w:t>
      </w:r>
      <w:r>
        <w:rPr>
          <w:rFonts w:ascii="Times New Roman" w:hAnsi="Times New Roman" w:eastAsia="仿宋_GB2312" w:cs="仿宋_GB2312"/>
          <w:color w:val="000000" w:themeColor="text1"/>
          <w:sz w:val="32"/>
          <w:szCs w:val="32"/>
          <w14:textFill>
            <w14:solidFill>
              <w14:schemeClr w14:val="tx1"/>
            </w14:solidFill>
          </w14:textFill>
        </w:rPr>
        <w:t>向</w:t>
      </w:r>
      <w:r>
        <w:rPr>
          <w:rFonts w:hint="eastAsia" w:ascii="Times New Roman" w:hAnsi="Times New Roman" w:eastAsia="仿宋_GB2312" w:cs="仿宋_GB2312"/>
          <w:color w:val="000000" w:themeColor="text1"/>
          <w:sz w:val="32"/>
          <w:szCs w:val="32"/>
          <w14:textFill>
            <w14:solidFill>
              <w14:schemeClr w14:val="tx1"/>
            </w14:solidFill>
          </w14:textFill>
        </w:rPr>
        <w:t>迁安市人民</w:t>
      </w:r>
      <w:r>
        <w:rPr>
          <w:rFonts w:ascii="Times New Roman" w:hAnsi="Times New Roman" w:eastAsia="仿宋_GB2312" w:cs="仿宋_GB2312"/>
          <w:color w:val="000000" w:themeColor="text1"/>
          <w:sz w:val="32"/>
          <w:szCs w:val="32"/>
          <w14:textFill>
            <w14:solidFill>
              <w14:schemeClr w14:val="tx1"/>
            </w14:solidFill>
          </w14:textFill>
        </w:rPr>
        <w:t>政府作出深刻检查。</w:t>
      </w:r>
    </w:p>
    <w:p w14:paraId="4D420945">
      <w:pPr>
        <w:pageBreakBefore w:val="0"/>
        <w:kinsoku/>
        <w:wordWrap/>
        <w:overflowPunct/>
        <w:topLinePunct w:val="0"/>
        <w:autoSpaceDE/>
        <w:autoSpaceDN/>
        <w:bidi w:val="0"/>
        <w:adjustRightInd/>
        <w:snapToGrid/>
        <w:spacing w:line="540" w:lineRule="exact"/>
        <w:ind w:firstLine="640" w:firstLineChars="200"/>
        <w:textAlignment w:val="auto"/>
        <w:rPr>
          <w:rFonts w:ascii="Times New Roman" w:hAnsi="Times New Roman" w:eastAsia="仿宋_GB2312" w:cs="仿宋_GB2312"/>
          <w:color w:val="000000" w:themeColor="text1"/>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迁安市赵店子</w:t>
      </w:r>
      <w:r>
        <w:rPr>
          <w:rFonts w:ascii="Times New Roman" w:hAnsi="Times New Roman" w:eastAsia="仿宋_GB2312" w:cs="仿宋_GB2312"/>
          <w:color w:val="000000" w:themeColor="text1"/>
          <w:sz w:val="32"/>
          <w:szCs w:val="32"/>
          <w14:textFill>
            <w14:solidFill>
              <w14:schemeClr w14:val="tx1"/>
            </w14:solidFill>
          </w14:textFill>
        </w:rPr>
        <w:t>镇</w:t>
      </w:r>
      <w:r>
        <w:rPr>
          <w:rFonts w:hint="eastAsia" w:ascii="Times New Roman" w:hAnsi="Times New Roman" w:eastAsia="仿宋_GB2312" w:cs="仿宋_GB2312"/>
          <w:color w:val="000000" w:themeColor="text1"/>
          <w:sz w:val="32"/>
          <w:szCs w:val="32"/>
          <w14:textFill>
            <w14:solidFill>
              <w14:schemeClr w14:val="tx1"/>
            </w14:solidFill>
          </w14:textFill>
        </w:rPr>
        <w:t>人民</w:t>
      </w:r>
      <w:r>
        <w:rPr>
          <w:rFonts w:ascii="Times New Roman" w:hAnsi="Times New Roman" w:eastAsia="仿宋_GB2312" w:cs="仿宋_GB2312"/>
          <w:color w:val="000000" w:themeColor="text1"/>
          <w:sz w:val="32"/>
          <w:szCs w:val="32"/>
          <w14:textFill>
            <w14:solidFill>
              <w14:schemeClr w14:val="tx1"/>
            </w14:solidFill>
          </w14:textFill>
        </w:rPr>
        <w:t>政府履行属地安全监管职责不到位，打击</w:t>
      </w:r>
      <w:r>
        <w:rPr>
          <w:rFonts w:hint="eastAsia" w:ascii="Times New Roman" w:hAnsi="Times New Roman" w:eastAsia="仿宋_GB2312" w:cs="仿宋_GB2312"/>
          <w:color w:val="000000" w:themeColor="text1"/>
          <w:sz w:val="32"/>
          <w:szCs w:val="32"/>
          <w14:textFill>
            <w14:solidFill>
              <w14:schemeClr w14:val="tx1"/>
            </w14:solidFill>
          </w14:textFill>
        </w:rPr>
        <w:t>瞒报</w:t>
      </w:r>
      <w:r>
        <w:rPr>
          <w:rFonts w:ascii="Times New Roman" w:hAnsi="Times New Roman" w:eastAsia="仿宋_GB2312" w:cs="仿宋_GB2312"/>
          <w:color w:val="000000" w:themeColor="text1"/>
          <w:sz w:val="32"/>
          <w:szCs w:val="32"/>
          <w14:textFill>
            <w14:solidFill>
              <w14:schemeClr w14:val="tx1"/>
            </w14:solidFill>
          </w14:textFill>
        </w:rPr>
        <w:t>事故属地责任不力，对</w:t>
      </w:r>
      <w:r>
        <w:rPr>
          <w:rFonts w:hint="eastAsia" w:ascii="Times New Roman" w:hAnsi="Times New Roman" w:eastAsia="仿宋_GB2312" w:cs="仿宋_GB2312"/>
          <w:color w:val="000000" w:themeColor="text1"/>
          <w:sz w:val="32"/>
          <w:szCs w:val="32"/>
          <w14:textFill>
            <w14:solidFill>
              <w14:schemeClr w14:val="tx1"/>
            </w14:solidFill>
          </w14:textFill>
        </w:rPr>
        <w:t>辖区</w:t>
      </w:r>
      <w:r>
        <w:rPr>
          <w:rFonts w:ascii="Times New Roman" w:hAnsi="Times New Roman" w:eastAsia="仿宋_GB2312" w:cs="仿宋_GB2312"/>
          <w:color w:val="000000" w:themeColor="text1"/>
          <w:sz w:val="32"/>
          <w:szCs w:val="32"/>
          <w14:textFill>
            <w14:solidFill>
              <w14:schemeClr w14:val="tx1"/>
            </w14:solidFill>
          </w14:textFill>
        </w:rPr>
        <w:t>内生产经营单位</w:t>
      </w:r>
      <w:r>
        <w:rPr>
          <w:rFonts w:hint="eastAsia" w:ascii="Times New Roman" w:hAnsi="Times New Roman" w:eastAsia="仿宋_GB2312" w:cs="仿宋_GB2312"/>
          <w:color w:val="000000" w:themeColor="text1"/>
          <w:sz w:val="32"/>
          <w:szCs w:val="32"/>
          <w14:textFill>
            <w14:solidFill>
              <w14:schemeClr w14:val="tx1"/>
            </w14:solidFill>
          </w14:textFill>
        </w:rPr>
        <w:t>从事使用气动工具作业的</w:t>
      </w:r>
      <w:r>
        <w:rPr>
          <w:rFonts w:ascii="Times New Roman" w:hAnsi="Times New Roman" w:eastAsia="仿宋_GB2312" w:cs="仿宋_GB2312"/>
          <w:color w:val="000000" w:themeColor="text1"/>
          <w:sz w:val="32"/>
          <w:szCs w:val="32"/>
          <w14:textFill>
            <w14:solidFill>
              <w14:schemeClr w14:val="tx1"/>
            </w14:solidFill>
          </w14:textFill>
        </w:rPr>
        <w:t>监督检查不细致，</w:t>
      </w:r>
      <w:r>
        <w:rPr>
          <w:rFonts w:ascii="Times New Roman" w:hAnsi="Times New Roman" w:eastAsia="仿宋_GB2312" w:cs="仿宋"/>
          <w:color w:val="000000" w:themeColor="text1"/>
          <w:sz w:val="32"/>
          <w:szCs w:val="32"/>
          <w14:textFill>
            <w14:solidFill>
              <w14:schemeClr w14:val="tx1"/>
            </w14:solidFill>
          </w14:textFill>
        </w:rPr>
        <w:t>对</w:t>
      </w:r>
      <w:r>
        <w:rPr>
          <w:rFonts w:hint="eastAsia" w:ascii="Times New Roman" w:hAnsi="Times New Roman" w:eastAsia="仿宋_GB2312" w:cs="仿宋"/>
          <w:color w:val="000000" w:themeColor="text1"/>
          <w:sz w:val="32"/>
          <w:szCs w:val="32"/>
          <w14:textFill>
            <w14:solidFill>
              <w14:schemeClr w14:val="tx1"/>
            </w14:solidFill>
          </w14:textFill>
        </w:rPr>
        <w:t>燕山钢铁公司检查时未及时发现作业过程中的安全隐患</w:t>
      </w:r>
      <w:r>
        <w:rPr>
          <w:rFonts w:hint="eastAsia" w:ascii="Times New Roman" w:hAnsi="Times New Roman" w:eastAsia="仿宋_GB2312" w:cs="仿宋_GB2312"/>
          <w:color w:val="000000" w:themeColor="text1"/>
          <w:sz w:val="32"/>
          <w:szCs w:val="32"/>
          <w14:textFill>
            <w14:solidFill>
              <w14:schemeClr w14:val="tx1"/>
            </w14:solidFill>
          </w14:textFill>
        </w:rPr>
        <w:t>。</w:t>
      </w:r>
      <w:r>
        <w:rPr>
          <w:rFonts w:ascii="Times New Roman" w:hAnsi="Times New Roman" w:eastAsia="仿宋_GB2312" w:cs="仿宋_GB2312"/>
          <w:color w:val="000000" w:themeColor="text1"/>
          <w:sz w:val="32"/>
          <w:szCs w:val="32"/>
          <w14:textFill>
            <w14:solidFill>
              <w14:schemeClr w14:val="tx1"/>
            </w14:solidFill>
          </w14:textFill>
        </w:rPr>
        <w:t>建议</w:t>
      </w:r>
      <w:r>
        <w:rPr>
          <w:rFonts w:hint="eastAsia" w:ascii="Times New Roman" w:hAnsi="Times New Roman" w:eastAsia="仿宋_GB2312" w:cs="仿宋_GB2312"/>
          <w:color w:val="000000" w:themeColor="text1"/>
          <w:sz w:val="32"/>
          <w:szCs w:val="32"/>
          <w14:textFill>
            <w14:solidFill>
              <w14:schemeClr w14:val="tx1"/>
            </w14:solidFill>
          </w14:textFill>
        </w:rPr>
        <w:t>赵店子</w:t>
      </w:r>
      <w:r>
        <w:rPr>
          <w:rFonts w:ascii="Times New Roman" w:hAnsi="Times New Roman" w:eastAsia="仿宋_GB2312" w:cs="仿宋_GB2312"/>
          <w:color w:val="000000" w:themeColor="text1"/>
          <w:sz w:val="32"/>
          <w:szCs w:val="32"/>
          <w14:textFill>
            <w14:solidFill>
              <w14:schemeClr w14:val="tx1"/>
            </w14:solidFill>
          </w14:textFill>
        </w:rPr>
        <w:t>镇</w:t>
      </w:r>
      <w:r>
        <w:rPr>
          <w:rFonts w:hint="eastAsia" w:ascii="Times New Roman" w:hAnsi="Times New Roman" w:eastAsia="仿宋_GB2312" w:cs="仿宋_GB2312"/>
          <w:color w:val="000000" w:themeColor="text1"/>
          <w:sz w:val="32"/>
          <w:szCs w:val="32"/>
          <w14:textFill>
            <w14:solidFill>
              <w14:schemeClr w14:val="tx1"/>
            </w14:solidFill>
          </w14:textFill>
        </w:rPr>
        <w:t>人民</w:t>
      </w:r>
      <w:r>
        <w:rPr>
          <w:rFonts w:ascii="Times New Roman" w:hAnsi="Times New Roman" w:eastAsia="仿宋_GB2312" w:cs="仿宋_GB2312"/>
          <w:color w:val="000000" w:themeColor="text1"/>
          <w:sz w:val="32"/>
          <w:szCs w:val="32"/>
          <w14:textFill>
            <w14:solidFill>
              <w14:schemeClr w14:val="tx1"/>
            </w14:solidFill>
          </w14:textFill>
        </w:rPr>
        <w:t>政府向</w:t>
      </w:r>
      <w:r>
        <w:rPr>
          <w:rFonts w:hint="eastAsia" w:ascii="Times New Roman" w:hAnsi="Times New Roman" w:eastAsia="仿宋_GB2312" w:cs="仿宋_GB2312"/>
          <w:color w:val="000000" w:themeColor="text1"/>
          <w:sz w:val="32"/>
          <w:szCs w:val="32"/>
          <w14:textFill>
            <w14:solidFill>
              <w14:schemeClr w14:val="tx1"/>
            </w14:solidFill>
          </w14:textFill>
        </w:rPr>
        <w:t>迁安市人民</w:t>
      </w:r>
      <w:r>
        <w:rPr>
          <w:rFonts w:ascii="Times New Roman" w:hAnsi="Times New Roman" w:eastAsia="仿宋_GB2312" w:cs="仿宋_GB2312"/>
          <w:color w:val="000000" w:themeColor="text1"/>
          <w:sz w:val="32"/>
          <w:szCs w:val="32"/>
          <w14:textFill>
            <w14:solidFill>
              <w14:schemeClr w14:val="tx1"/>
            </w14:solidFill>
          </w14:textFill>
        </w:rPr>
        <w:t>政府作出深刻检查。</w:t>
      </w:r>
    </w:p>
    <w:p w14:paraId="796A7AD9">
      <w:pPr>
        <w:pStyle w:val="2"/>
        <w:pageBreakBefore w:val="0"/>
        <w:kinsoku/>
        <w:wordWrap/>
        <w:overflowPunct/>
        <w:topLinePunct w:val="0"/>
        <w:autoSpaceDE/>
        <w:autoSpaceDN/>
        <w:bidi w:val="0"/>
        <w:adjustRightInd/>
        <w:snapToGrid/>
        <w:spacing w:line="540" w:lineRule="exact"/>
        <w:ind w:firstLine="640"/>
        <w:textAlignment w:val="auto"/>
        <w:rPr>
          <w:color w:val="000000" w:themeColor="text1"/>
          <w14:textFill>
            <w14:solidFill>
              <w14:schemeClr w14:val="tx1"/>
            </w14:solidFill>
          </w14:textFill>
        </w:rPr>
      </w:pPr>
      <w:bookmarkStart w:id="36" w:name="_Toc12801"/>
      <w:bookmarkStart w:id="37" w:name="_Toc11007"/>
      <w:r>
        <w:rPr>
          <w:rFonts w:hint="eastAsia"/>
          <w:color w:val="000000" w:themeColor="text1"/>
          <w14:textFill>
            <w14:solidFill>
              <w14:schemeClr w14:val="tx1"/>
            </w14:solidFill>
          </w14:textFill>
        </w:rPr>
        <w:t>五、事故防范和整改措施建议</w:t>
      </w:r>
      <w:bookmarkEnd w:id="36"/>
      <w:bookmarkEnd w:id="37"/>
    </w:p>
    <w:p w14:paraId="04F7CE6C">
      <w:pPr>
        <w:pageBreakBefore w:val="0"/>
        <w:kinsoku/>
        <w:wordWrap/>
        <w:overflowPunct/>
        <w:topLinePunct w:val="0"/>
        <w:autoSpaceDE/>
        <w:autoSpaceDN/>
        <w:bidi w:val="0"/>
        <w:adjustRightInd/>
        <w:snapToGrid/>
        <w:spacing w:line="540" w:lineRule="exact"/>
        <w:ind w:firstLine="651" w:firstLineChars="200"/>
        <w:textAlignment w:val="auto"/>
        <w:rPr>
          <w:rFonts w:eastAsia="仿宋_GB2312" w:cs="仿宋_GB2312" w:asciiTheme="majorHAnsi" w:hAnsiTheme="majorHAnsi"/>
          <w:b/>
          <w:bCs/>
          <w:color w:val="000000" w:themeColor="text1"/>
          <w:spacing w:val="2"/>
          <w:sz w:val="32"/>
          <w:szCs w:val="32"/>
          <w14:textFill>
            <w14:solidFill>
              <w14:schemeClr w14:val="tx1"/>
            </w14:solidFill>
          </w14:textFill>
        </w:rPr>
      </w:pPr>
      <w:r>
        <w:rPr>
          <w:rFonts w:hint="eastAsia" w:eastAsia="仿宋_GB2312" w:cs="仿宋_GB2312" w:asciiTheme="majorHAnsi" w:hAnsiTheme="majorHAnsi"/>
          <w:b/>
          <w:bCs/>
          <w:color w:val="000000" w:themeColor="text1"/>
          <w:spacing w:val="2"/>
          <w:sz w:val="32"/>
          <w:szCs w:val="32"/>
          <w14:textFill>
            <w14:solidFill>
              <w14:schemeClr w14:val="tx1"/>
            </w14:solidFill>
          </w14:textFill>
        </w:rPr>
        <w:t>（一）燕山钢铁公司要认真吸取教训、举一反三。</w:t>
      </w:r>
      <w:r>
        <w:rPr>
          <w:rFonts w:hint="eastAsia" w:eastAsia="仿宋_GB2312" w:cs="仿宋_GB2312" w:asciiTheme="majorHAnsi" w:hAnsiTheme="majorHAnsi"/>
          <w:color w:val="000000" w:themeColor="text1"/>
          <w:spacing w:val="2"/>
          <w:sz w:val="32"/>
          <w:szCs w:val="32"/>
          <w14:textFill>
            <w14:solidFill>
              <w14:schemeClr w14:val="tx1"/>
            </w14:solidFill>
          </w14:textFill>
        </w:rPr>
        <w:t>燕山钢铁公司要认真吸取事故教训，举一反三，对内部职工进行关于使用气动工具进行作业的专题教育培训，重点是工作前的动力源确认和连接部件密封检查的相关安全知识素检测及相关应急救援知识的培训，明确各自安全职责，不断提高职工安全素质及安全意识。同时在全公司范围内开展专项安全生产检查，确保内部安全生产责任制、规章制度、操作规程和安全措施切实落到实处，消除事故隐患，杜绝类似事故再次发生。</w:t>
      </w:r>
    </w:p>
    <w:p w14:paraId="31B6B4D1">
      <w:pPr>
        <w:pageBreakBefore w:val="0"/>
        <w:kinsoku/>
        <w:wordWrap/>
        <w:overflowPunct/>
        <w:topLinePunct w:val="0"/>
        <w:autoSpaceDE/>
        <w:autoSpaceDN/>
        <w:bidi w:val="0"/>
        <w:adjustRightInd/>
        <w:snapToGrid/>
        <w:spacing w:line="540" w:lineRule="exact"/>
        <w:ind w:firstLine="651" w:firstLineChars="200"/>
        <w:textAlignment w:val="auto"/>
        <w:rPr>
          <w:rFonts w:eastAsia="仿宋_GB2312" w:cs="仿宋_GB2312" w:asciiTheme="majorHAnsi" w:hAnsiTheme="majorHAnsi"/>
          <w:color w:val="000000" w:themeColor="text1"/>
          <w:spacing w:val="2"/>
          <w:sz w:val="32"/>
          <w:szCs w:val="32"/>
          <w14:textFill>
            <w14:solidFill>
              <w14:schemeClr w14:val="tx1"/>
            </w14:solidFill>
          </w14:textFill>
        </w:rPr>
      </w:pPr>
      <w:r>
        <w:rPr>
          <w:rFonts w:hint="eastAsia" w:eastAsia="仿宋_GB2312" w:cs="仿宋_GB2312" w:asciiTheme="majorHAnsi" w:hAnsiTheme="majorHAnsi"/>
          <w:b/>
          <w:bCs/>
          <w:color w:val="000000" w:themeColor="text1"/>
          <w:spacing w:val="2"/>
          <w:sz w:val="32"/>
          <w:szCs w:val="32"/>
          <w14:textFill>
            <w14:solidFill>
              <w14:schemeClr w14:val="tx1"/>
            </w14:solidFill>
          </w14:textFill>
        </w:rPr>
        <w:t>（二）燕山钢铁公司要加强气体作业及气动工具作业现场安全管理。</w:t>
      </w:r>
      <w:r>
        <w:rPr>
          <w:rFonts w:hint="eastAsia" w:eastAsia="仿宋_GB2312" w:cs="仿宋_GB2312" w:asciiTheme="majorHAnsi" w:hAnsiTheme="majorHAnsi"/>
          <w:color w:val="000000" w:themeColor="text1"/>
          <w:spacing w:val="2"/>
          <w:sz w:val="32"/>
          <w:szCs w:val="32"/>
          <w14:textFill>
            <w14:solidFill>
              <w14:schemeClr w14:val="tx1"/>
            </w14:solidFill>
          </w14:textFill>
        </w:rPr>
        <w:t>燕山钢铁公司要不断加强涉及气体作业现场的安全管理，将职工连接气源前确认及安全操作规程纳入日常培训和检查重点。</w:t>
      </w:r>
      <w:r>
        <w:rPr>
          <w:rFonts w:hint="eastAsia" w:eastAsia="仿宋_GB2312" w:cs="仿宋_GB2312" w:asciiTheme="majorHAnsi" w:hAnsiTheme="majorHAnsi"/>
          <w:color w:val="000000" w:themeColor="text1"/>
          <w:spacing w:val="2"/>
          <w:sz w:val="32"/>
          <w:szCs w:val="32"/>
          <w:lang w:val="en-US" w:eastAsia="zh-CN"/>
          <w14:textFill>
            <w14:solidFill>
              <w14:schemeClr w14:val="tx1"/>
            </w14:solidFill>
          </w14:textFill>
        </w:rPr>
        <w:t>将压缩空气管道和风镐等气动工具的接口进行改造，使气动工具只能与压缩空气管道接口对接，</w:t>
      </w:r>
      <w:r>
        <w:rPr>
          <w:rFonts w:hint="eastAsia" w:eastAsia="仿宋_GB2312" w:cs="仿宋_GB2312" w:asciiTheme="majorHAnsi" w:hAnsiTheme="majorHAnsi"/>
          <w:color w:val="000000" w:themeColor="text1"/>
          <w:spacing w:val="2"/>
          <w:sz w:val="32"/>
          <w:szCs w:val="32"/>
          <w14:textFill>
            <w14:solidFill>
              <w14:schemeClr w14:val="tx1"/>
            </w14:solidFill>
          </w14:textFill>
        </w:rPr>
        <w:t>使用前与专职管理人员或安全员现场确认，</w:t>
      </w:r>
      <w:r>
        <w:rPr>
          <w:rFonts w:hint="eastAsia" w:eastAsia="仿宋_GB2312" w:cs="仿宋_GB2312" w:asciiTheme="majorHAnsi" w:hAnsiTheme="majorHAnsi"/>
          <w:color w:val="000000" w:themeColor="text1"/>
          <w:spacing w:val="2"/>
          <w:sz w:val="32"/>
          <w:szCs w:val="32"/>
          <w:lang w:val="en-US" w:eastAsia="zh-CN"/>
          <w14:textFill>
            <w14:solidFill>
              <w14:schemeClr w14:val="tx1"/>
            </w14:solidFill>
          </w14:textFill>
        </w:rPr>
        <w:t>进一步降低事故发生的可能性</w:t>
      </w:r>
      <w:r>
        <w:rPr>
          <w:rFonts w:hint="eastAsia" w:eastAsia="仿宋_GB2312" w:cs="仿宋_GB2312" w:asciiTheme="majorHAnsi" w:hAnsiTheme="majorHAnsi"/>
          <w:color w:val="000000" w:themeColor="text1"/>
          <w:spacing w:val="2"/>
          <w:sz w:val="32"/>
          <w:szCs w:val="32"/>
          <w14:textFill>
            <w14:solidFill>
              <w14:schemeClr w14:val="tx1"/>
            </w14:solidFill>
          </w14:textFill>
        </w:rPr>
        <w:t>。</w:t>
      </w:r>
    </w:p>
    <w:p w14:paraId="49437684">
      <w:pPr>
        <w:pageBreakBefore w:val="0"/>
        <w:kinsoku/>
        <w:wordWrap/>
        <w:overflowPunct/>
        <w:topLinePunct w:val="0"/>
        <w:autoSpaceDE/>
        <w:autoSpaceDN/>
        <w:bidi w:val="0"/>
        <w:adjustRightInd/>
        <w:snapToGrid/>
        <w:spacing w:line="540" w:lineRule="exact"/>
        <w:ind w:firstLine="651" w:firstLineChars="200"/>
        <w:textAlignment w:val="auto"/>
        <w:rPr>
          <w:rFonts w:eastAsia="仿宋_GB2312" w:asciiTheme="majorHAnsi" w:hAnsiTheme="majorHAnsi"/>
          <w:color w:val="000000" w:themeColor="text1"/>
          <w:sz w:val="32"/>
          <w14:textFill>
            <w14:solidFill>
              <w14:schemeClr w14:val="tx1"/>
            </w14:solidFill>
          </w14:textFill>
        </w:rPr>
      </w:pPr>
      <w:r>
        <w:rPr>
          <w:rFonts w:eastAsia="仿宋_GB2312" w:cs="仿宋_GB2312" w:asciiTheme="majorHAnsi" w:hAnsiTheme="majorHAnsi"/>
          <w:b/>
          <w:bCs/>
          <w:color w:val="000000" w:themeColor="text1"/>
          <w:spacing w:val="2"/>
          <w:sz w:val="32"/>
          <w:szCs w:val="32"/>
          <w14:textFill>
            <w14:solidFill>
              <w14:schemeClr w14:val="tx1"/>
            </w14:solidFill>
          </w14:textFill>
        </w:rPr>
        <w:t>（三）</w:t>
      </w:r>
      <w:r>
        <w:rPr>
          <w:rFonts w:hint="eastAsia" w:eastAsia="仿宋_GB2312" w:cs="仿宋_GB2312" w:asciiTheme="majorHAnsi" w:hAnsiTheme="majorHAnsi"/>
          <w:b/>
          <w:bCs/>
          <w:color w:val="000000" w:themeColor="text1"/>
          <w:spacing w:val="2"/>
          <w:sz w:val="32"/>
          <w:szCs w:val="32"/>
          <w14:textFill>
            <w14:solidFill>
              <w14:schemeClr w14:val="tx1"/>
            </w14:solidFill>
          </w14:textFill>
        </w:rPr>
        <w:t>燕山钢铁</w:t>
      </w:r>
      <w:r>
        <w:rPr>
          <w:rFonts w:eastAsia="仿宋_GB2312" w:cs="仿宋_GB2312" w:asciiTheme="majorHAnsi" w:hAnsiTheme="majorHAnsi"/>
          <w:b/>
          <w:bCs/>
          <w:color w:val="000000" w:themeColor="text1"/>
          <w:spacing w:val="2"/>
          <w:sz w:val="32"/>
          <w:szCs w:val="32"/>
          <w14:textFill>
            <w14:solidFill>
              <w14:schemeClr w14:val="tx1"/>
            </w14:solidFill>
          </w14:textFill>
        </w:rPr>
        <w:t>公司要认真落实生产安全事故报告工作。</w:t>
      </w:r>
      <w:r>
        <w:rPr>
          <w:rFonts w:hint="eastAsia" w:eastAsia="仿宋_GB2312" w:cs="仿宋_GB2312" w:asciiTheme="majorHAnsi" w:hAnsiTheme="majorHAnsi"/>
          <w:color w:val="000000" w:themeColor="text1"/>
          <w:spacing w:val="2"/>
          <w:sz w:val="32"/>
          <w:szCs w:val="32"/>
          <w14:textFill>
            <w14:solidFill>
              <w14:schemeClr w14:val="tx1"/>
            </w14:solidFill>
          </w14:textFill>
        </w:rPr>
        <w:t>燕山钢铁公司</w:t>
      </w:r>
      <w:r>
        <w:rPr>
          <w:rFonts w:eastAsia="仿宋_GB2312" w:asciiTheme="majorHAnsi" w:hAnsiTheme="majorHAnsi"/>
          <w:color w:val="000000" w:themeColor="text1"/>
          <w:sz w:val="32"/>
          <w14:textFill>
            <w14:solidFill>
              <w14:schemeClr w14:val="tx1"/>
            </w14:solidFill>
          </w14:textFill>
        </w:rPr>
        <w:t>要加强安全生产法律、法规学习</w:t>
      </w:r>
      <w:r>
        <w:rPr>
          <w:rFonts w:hint="eastAsia" w:eastAsia="仿宋_GB2312" w:asciiTheme="majorHAnsi" w:hAnsiTheme="majorHAnsi"/>
          <w:color w:val="000000" w:themeColor="text1"/>
          <w:sz w:val="32"/>
          <w14:textFill>
            <w14:solidFill>
              <w14:schemeClr w14:val="tx1"/>
            </w14:solidFill>
          </w14:textFill>
        </w:rPr>
        <w:t>工作</w:t>
      </w:r>
      <w:r>
        <w:rPr>
          <w:rFonts w:eastAsia="仿宋_GB2312" w:asciiTheme="majorHAnsi" w:hAnsiTheme="majorHAnsi"/>
          <w:color w:val="000000" w:themeColor="text1"/>
          <w:sz w:val="32"/>
          <w14:textFill>
            <w14:solidFill>
              <w14:schemeClr w14:val="tx1"/>
            </w14:solidFill>
          </w14:textFill>
        </w:rPr>
        <w:t>，严格遵守《生产安全事故报告和调查处理条例》规定，做好生产安全事故信息报告工作，要及时、如实上报事故情况，防止</w:t>
      </w:r>
      <w:r>
        <w:rPr>
          <w:rFonts w:hint="eastAsia" w:eastAsia="仿宋_GB2312" w:asciiTheme="majorHAnsi" w:hAnsiTheme="majorHAnsi"/>
          <w:color w:val="000000" w:themeColor="text1"/>
          <w:sz w:val="32"/>
          <w14:textFill>
            <w14:solidFill>
              <w14:schemeClr w14:val="tx1"/>
            </w14:solidFill>
          </w14:textFill>
        </w:rPr>
        <w:t>出现</w:t>
      </w:r>
      <w:r>
        <w:rPr>
          <w:rFonts w:eastAsia="仿宋_GB2312" w:asciiTheme="majorHAnsi" w:hAnsiTheme="majorHAnsi"/>
          <w:color w:val="000000" w:themeColor="text1"/>
          <w:sz w:val="32"/>
          <w14:textFill>
            <w14:solidFill>
              <w14:schemeClr w14:val="tx1"/>
            </w14:solidFill>
          </w14:textFill>
        </w:rPr>
        <w:t>迟报、漏报、谎报和瞒报事故</w:t>
      </w:r>
      <w:r>
        <w:rPr>
          <w:rFonts w:hint="eastAsia" w:eastAsia="仿宋_GB2312" w:asciiTheme="majorHAnsi" w:hAnsiTheme="majorHAnsi"/>
          <w:color w:val="000000" w:themeColor="text1"/>
          <w:sz w:val="32"/>
          <w14:textFill>
            <w14:solidFill>
              <w14:schemeClr w14:val="tx1"/>
            </w14:solidFill>
          </w14:textFill>
        </w:rPr>
        <w:t>情况</w:t>
      </w:r>
      <w:r>
        <w:rPr>
          <w:rFonts w:eastAsia="仿宋_GB2312" w:asciiTheme="majorHAnsi" w:hAnsiTheme="majorHAnsi"/>
          <w:color w:val="000000" w:themeColor="text1"/>
          <w:sz w:val="32"/>
          <w14:textFill>
            <w14:solidFill>
              <w14:schemeClr w14:val="tx1"/>
            </w14:solidFill>
          </w14:textFill>
        </w:rPr>
        <w:t>。</w:t>
      </w:r>
    </w:p>
    <w:p w14:paraId="24D58833">
      <w:pPr>
        <w:pageBreakBefore w:val="0"/>
        <w:kinsoku/>
        <w:wordWrap/>
        <w:overflowPunct/>
        <w:topLinePunct w:val="0"/>
        <w:autoSpaceDE/>
        <w:autoSpaceDN/>
        <w:bidi w:val="0"/>
        <w:adjustRightInd/>
        <w:snapToGrid/>
        <w:spacing w:line="540" w:lineRule="exact"/>
        <w:ind w:firstLine="651" w:firstLineChars="200"/>
        <w:textAlignment w:val="auto"/>
        <w:rPr>
          <w:rFonts w:hint="default" w:eastAsia="仿宋_GB2312" w:asciiTheme="majorHAnsi" w:hAnsiTheme="majorHAnsi"/>
          <w:color w:val="000000" w:themeColor="text1"/>
          <w:sz w:val="32"/>
          <w:lang w:val="en-US" w:eastAsia="zh-CN"/>
          <w14:textFill>
            <w14:solidFill>
              <w14:schemeClr w14:val="tx1"/>
            </w14:solidFill>
          </w14:textFill>
        </w:rPr>
      </w:pPr>
      <w:r>
        <w:rPr>
          <w:rFonts w:hint="eastAsia" w:ascii="Times New Roman" w:hAnsi="Times New Roman" w:eastAsia="仿宋_GB2312" w:cs="仿宋_GB2312"/>
          <w:b/>
          <w:bCs/>
          <w:color w:val="000000" w:themeColor="text1"/>
          <w:spacing w:val="2"/>
          <w:sz w:val="32"/>
          <w:szCs w:val="32"/>
          <w:lang w:eastAsia="zh-CN"/>
          <w14:textFill>
            <w14:solidFill>
              <w14:schemeClr w14:val="tx1"/>
            </w14:solidFill>
          </w14:textFill>
        </w:rPr>
        <w:t>（</w:t>
      </w:r>
      <w:r>
        <w:rPr>
          <w:rFonts w:hint="eastAsia" w:ascii="Times New Roman" w:hAnsi="Times New Roman" w:eastAsia="仿宋_GB2312" w:cs="仿宋_GB2312"/>
          <w:b/>
          <w:bCs/>
          <w:color w:val="000000" w:themeColor="text1"/>
          <w:spacing w:val="2"/>
          <w:sz w:val="32"/>
          <w:szCs w:val="32"/>
          <w:lang w:val="en-US" w:eastAsia="zh-CN"/>
          <w14:textFill>
            <w14:solidFill>
              <w14:schemeClr w14:val="tx1"/>
            </w14:solidFill>
          </w14:textFill>
        </w:rPr>
        <w:t>四</w:t>
      </w:r>
      <w:r>
        <w:rPr>
          <w:rFonts w:hint="eastAsia" w:ascii="Times New Roman" w:hAnsi="Times New Roman" w:eastAsia="仿宋_GB2312" w:cs="仿宋_GB2312"/>
          <w:b/>
          <w:bCs/>
          <w:color w:val="000000" w:themeColor="text1"/>
          <w:spacing w:val="2"/>
          <w:sz w:val="32"/>
          <w:szCs w:val="32"/>
          <w:lang w:eastAsia="zh-CN"/>
          <w14:textFill>
            <w14:solidFill>
              <w14:schemeClr w14:val="tx1"/>
            </w14:solidFill>
          </w14:textFill>
        </w:rPr>
        <w:t>）</w:t>
      </w:r>
      <w:r>
        <w:rPr>
          <w:rFonts w:hint="eastAsia" w:ascii="Times New Roman" w:hAnsi="Times New Roman" w:eastAsia="仿宋_GB2312" w:cs="仿宋_GB2312"/>
          <w:b/>
          <w:bCs/>
          <w:color w:val="000000" w:themeColor="text1"/>
          <w:spacing w:val="2"/>
          <w:sz w:val="32"/>
          <w:szCs w:val="32"/>
          <w:lang w:val="en-US" w:eastAsia="zh-CN"/>
          <w14:textFill>
            <w14:solidFill>
              <w14:schemeClr w14:val="tx1"/>
            </w14:solidFill>
          </w14:textFill>
        </w:rPr>
        <w:t>燕山钢铁公司要不断提高职工应急处置能力。</w:t>
      </w:r>
      <w:r>
        <w:rPr>
          <w:rFonts w:hint="eastAsia" w:eastAsia="仿宋_GB2312" w:asciiTheme="majorHAnsi" w:hAnsiTheme="majorHAnsi"/>
          <w:color w:val="000000" w:themeColor="text1"/>
          <w:sz w:val="32"/>
          <w:lang w:val="en-US" w:eastAsia="zh-CN"/>
          <w14:textFill>
            <w14:solidFill>
              <w14:schemeClr w14:val="tx1"/>
            </w14:solidFill>
          </w14:textFill>
        </w:rPr>
        <w:t>燕山钢铁公司要根据本单位特点，经常性的进行应急演练细化应急处置流程，切实提高公司员工的应急处置能力，坚决杜绝因盲目施救导致事故后果扩大的情况。</w:t>
      </w:r>
    </w:p>
    <w:p w14:paraId="3C266F75">
      <w:pPr>
        <w:pageBreakBefore w:val="0"/>
        <w:kinsoku/>
        <w:wordWrap/>
        <w:overflowPunct/>
        <w:topLinePunct w:val="0"/>
        <w:autoSpaceDE/>
        <w:autoSpaceDN/>
        <w:bidi w:val="0"/>
        <w:adjustRightInd/>
        <w:snapToGrid/>
        <w:spacing w:line="540" w:lineRule="exact"/>
        <w:ind w:firstLine="651" w:firstLineChars="200"/>
        <w:textAlignment w:val="auto"/>
        <w:rPr>
          <w:rFonts w:ascii="Times New Roman" w:hAnsi="Times New Roman" w:eastAsia="仿宋_GB2312" w:cs="仿宋_GB2312"/>
          <w:b/>
          <w:bCs/>
          <w:color w:val="000000" w:themeColor="text1"/>
          <w:spacing w:val="2"/>
          <w:sz w:val="32"/>
          <w:szCs w:val="32"/>
          <w14:textFill>
            <w14:solidFill>
              <w14:schemeClr w14:val="tx1"/>
            </w14:solidFill>
          </w14:textFill>
        </w:rPr>
      </w:pPr>
      <w:r>
        <w:rPr>
          <w:rFonts w:hint="eastAsia" w:ascii="Times New Roman" w:hAnsi="Times New Roman" w:eastAsia="仿宋_GB2312" w:cs="仿宋_GB2312"/>
          <w:b/>
          <w:bCs/>
          <w:color w:val="000000" w:themeColor="text1"/>
          <w:spacing w:val="2"/>
          <w:sz w:val="32"/>
          <w:szCs w:val="32"/>
          <w14:textFill>
            <w14:solidFill>
              <w14:schemeClr w14:val="tx1"/>
            </w14:solidFill>
          </w14:textFill>
        </w:rPr>
        <w:t>（</w:t>
      </w:r>
      <w:r>
        <w:rPr>
          <w:rFonts w:hint="eastAsia" w:ascii="Times New Roman" w:hAnsi="Times New Roman" w:eastAsia="仿宋_GB2312" w:cs="仿宋_GB2312"/>
          <w:b/>
          <w:bCs/>
          <w:color w:val="000000" w:themeColor="text1"/>
          <w:spacing w:val="2"/>
          <w:sz w:val="32"/>
          <w:szCs w:val="32"/>
          <w:lang w:val="en-US" w:eastAsia="zh-CN"/>
          <w14:textFill>
            <w14:solidFill>
              <w14:schemeClr w14:val="tx1"/>
            </w14:solidFill>
          </w14:textFill>
        </w:rPr>
        <w:t>五</w:t>
      </w:r>
      <w:r>
        <w:rPr>
          <w:rFonts w:hint="eastAsia" w:ascii="Times New Roman" w:hAnsi="Times New Roman" w:eastAsia="仿宋_GB2312" w:cs="仿宋_GB2312"/>
          <w:b/>
          <w:bCs/>
          <w:color w:val="000000" w:themeColor="text1"/>
          <w:spacing w:val="2"/>
          <w:sz w:val="32"/>
          <w:szCs w:val="32"/>
          <w14:textFill>
            <w14:solidFill>
              <w14:schemeClr w14:val="tx1"/>
            </w14:solidFill>
          </w14:textFill>
        </w:rPr>
        <w:t>）迁安市应急管理局要严格落实行业管理责任。</w:t>
      </w:r>
      <w:r>
        <w:rPr>
          <w:rFonts w:hint="eastAsia" w:ascii="Times New Roman" w:hAnsi="Times New Roman" w:eastAsia="仿宋_GB2312" w:cs="仿宋_GB2312"/>
          <w:color w:val="000000" w:themeColor="text1"/>
          <w:spacing w:val="2"/>
          <w:sz w:val="32"/>
          <w:szCs w:val="32"/>
          <w14:textFill>
            <w14:solidFill>
              <w14:schemeClr w14:val="tx1"/>
            </w14:solidFill>
          </w14:textFill>
        </w:rPr>
        <w:t>迁安市应急管理局要加强对冶金行业的监管监察力度，严格落实行业监管责任。要进一步摸清行业领域涉及气体作业的基本情况，加强监管监察，尤其是要加强对生产经营单位检维修作业的监督检查，防范化解风险隐患，杜绝类似事故再次发生。</w:t>
      </w:r>
    </w:p>
    <w:p w14:paraId="298EBC9D">
      <w:pPr>
        <w:pageBreakBefore w:val="0"/>
        <w:widowControl/>
        <w:kinsoku/>
        <w:wordWrap/>
        <w:overflowPunct/>
        <w:topLinePunct w:val="0"/>
        <w:autoSpaceDE/>
        <w:autoSpaceDN/>
        <w:bidi w:val="0"/>
        <w:adjustRightInd/>
        <w:snapToGrid/>
        <w:spacing w:line="540" w:lineRule="exact"/>
        <w:ind w:firstLine="651" w:firstLineChars="200"/>
        <w:textAlignment w:val="auto"/>
        <w:rPr>
          <w:rFonts w:ascii="Times New Roman" w:hAnsi="Times New Roman" w:eastAsia="仿宋_GB2312" w:cs="Times New Roman"/>
          <w:color w:val="000000" w:themeColor="text1"/>
          <w:kern w:val="0"/>
          <w:sz w:val="32"/>
          <w:szCs w:val="32"/>
          <w14:textFill>
            <w14:solidFill>
              <w14:schemeClr w14:val="tx1"/>
            </w14:solidFill>
          </w14:textFill>
        </w:rPr>
      </w:pPr>
      <w:r>
        <w:rPr>
          <w:rFonts w:hint="eastAsia" w:ascii="Times New Roman" w:hAnsi="Times New Roman" w:eastAsia="仿宋_GB2312" w:cs="仿宋_GB2312"/>
          <w:b/>
          <w:bCs/>
          <w:color w:val="000000" w:themeColor="text1"/>
          <w:spacing w:val="2"/>
          <w:sz w:val="32"/>
          <w:szCs w:val="32"/>
          <w14:textFill>
            <w14:solidFill>
              <w14:schemeClr w14:val="tx1"/>
            </w14:solidFill>
          </w14:textFill>
        </w:rPr>
        <w:t>（</w:t>
      </w:r>
      <w:r>
        <w:rPr>
          <w:rFonts w:hint="eastAsia" w:ascii="Times New Roman" w:hAnsi="Times New Roman" w:eastAsia="仿宋_GB2312" w:cs="仿宋_GB2312"/>
          <w:b/>
          <w:bCs/>
          <w:color w:val="000000" w:themeColor="text1"/>
          <w:spacing w:val="2"/>
          <w:sz w:val="32"/>
          <w:szCs w:val="32"/>
          <w:lang w:val="en-US" w:eastAsia="zh-CN"/>
          <w14:textFill>
            <w14:solidFill>
              <w14:schemeClr w14:val="tx1"/>
            </w14:solidFill>
          </w14:textFill>
        </w:rPr>
        <w:t>六</w:t>
      </w:r>
      <w:r>
        <w:rPr>
          <w:rFonts w:hint="eastAsia" w:ascii="Times New Roman" w:hAnsi="Times New Roman" w:eastAsia="仿宋_GB2312" w:cs="仿宋_GB2312"/>
          <w:b/>
          <w:bCs/>
          <w:color w:val="000000" w:themeColor="text1"/>
          <w:spacing w:val="2"/>
          <w:sz w:val="32"/>
          <w:szCs w:val="32"/>
          <w14:textFill>
            <w14:solidFill>
              <w14:schemeClr w14:val="tx1"/>
            </w14:solidFill>
          </w14:textFill>
        </w:rPr>
        <w:t>）赵店子镇人民政府要严格落实属地管理责任。</w:t>
      </w:r>
      <w:r>
        <w:rPr>
          <w:rFonts w:hint="eastAsia" w:ascii="Times New Roman" w:hAnsi="Times New Roman" w:eastAsia="仿宋_GB2312" w:cs="Times New Roman"/>
          <w:color w:val="000000" w:themeColor="text1"/>
          <w:kern w:val="0"/>
          <w:sz w:val="32"/>
          <w:szCs w:val="32"/>
          <w14:textFill>
            <w14:solidFill>
              <w14:schemeClr w14:val="tx1"/>
            </w14:solidFill>
          </w14:textFill>
        </w:rPr>
        <w:t>赵店子</w:t>
      </w:r>
      <w:r>
        <w:rPr>
          <w:rFonts w:ascii="Times New Roman" w:hAnsi="Times New Roman" w:eastAsia="仿宋_GB2312" w:cs="Times New Roman"/>
          <w:color w:val="000000" w:themeColor="text1"/>
          <w:kern w:val="0"/>
          <w:sz w:val="32"/>
          <w:szCs w:val="32"/>
          <w14:textFill>
            <w14:solidFill>
              <w14:schemeClr w14:val="tx1"/>
            </w14:solidFill>
          </w14:textFill>
        </w:rPr>
        <w:t>镇</w:t>
      </w:r>
      <w:r>
        <w:rPr>
          <w:rFonts w:hint="eastAsia" w:ascii="Times New Roman" w:hAnsi="Times New Roman" w:eastAsia="仿宋_GB2312" w:cs="Times New Roman"/>
          <w:color w:val="000000" w:themeColor="text1"/>
          <w:kern w:val="0"/>
          <w:sz w:val="32"/>
          <w:szCs w:val="32"/>
          <w14:textFill>
            <w14:solidFill>
              <w14:schemeClr w14:val="tx1"/>
            </w14:solidFill>
          </w14:textFill>
        </w:rPr>
        <w:t>人民</w:t>
      </w:r>
      <w:r>
        <w:rPr>
          <w:rFonts w:ascii="Times New Roman" w:hAnsi="Times New Roman" w:eastAsia="仿宋_GB2312" w:cs="Times New Roman"/>
          <w:color w:val="000000" w:themeColor="text1"/>
          <w:kern w:val="0"/>
          <w:sz w:val="32"/>
          <w:szCs w:val="32"/>
          <w14:textFill>
            <w14:solidFill>
              <w14:schemeClr w14:val="tx1"/>
            </w14:solidFill>
          </w14:textFill>
        </w:rPr>
        <w:t>政府要加强对安全生产工作的领导，严格落实属地监管责任</w:t>
      </w:r>
      <w:r>
        <w:rPr>
          <w:rFonts w:hint="eastAsia" w:ascii="Times New Roman" w:hAnsi="Times New Roman" w:eastAsia="仿宋_GB2312" w:cs="Times New Roman"/>
          <w:color w:val="000000" w:themeColor="text1"/>
          <w:kern w:val="0"/>
          <w:sz w:val="32"/>
          <w:szCs w:val="32"/>
          <w14:textFill>
            <w14:solidFill>
              <w14:schemeClr w14:val="tx1"/>
            </w14:solidFill>
          </w14:textFill>
        </w:rPr>
        <w:t>。要进一步摸清辖区内工贸行业企业基本情况，加强安全监管，尤其是要加强对生产经营单位检维修作业的监督检查</w:t>
      </w:r>
      <w:r>
        <w:rPr>
          <w:rFonts w:ascii="Times New Roman" w:hAnsi="Times New Roman" w:eastAsia="仿宋_GB2312" w:cs="Times New Roman"/>
          <w:color w:val="000000" w:themeColor="text1"/>
          <w:kern w:val="0"/>
          <w:sz w:val="32"/>
          <w:szCs w:val="32"/>
          <w14:textFill>
            <w14:solidFill>
              <w14:schemeClr w14:val="tx1"/>
            </w14:solidFill>
          </w14:textFill>
        </w:rPr>
        <w:t>，</w:t>
      </w:r>
      <w:r>
        <w:rPr>
          <w:rFonts w:hint="eastAsia" w:ascii="Times New Roman" w:hAnsi="Times New Roman" w:eastAsia="仿宋_GB2312" w:cs="Times New Roman"/>
          <w:color w:val="000000" w:themeColor="text1"/>
          <w:kern w:val="0"/>
          <w:sz w:val="32"/>
          <w:szCs w:val="32"/>
          <w14:textFill>
            <w14:solidFill>
              <w14:schemeClr w14:val="tx1"/>
            </w14:solidFill>
          </w14:textFill>
        </w:rPr>
        <w:t>防范化解风险隐患，杜绝类似事故再次发生。</w:t>
      </w:r>
    </w:p>
    <w:p w14:paraId="63E69618">
      <w:pPr>
        <w:pageBreakBefore w:val="0"/>
        <w:widowControl/>
        <w:kinsoku/>
        <w:wordWrap/>
        <w:overflowPunct/>
        <w:topLinePunct w:val="0"/>
        <w:autoSpaceDE/>
        <w:autoSpaceDN/>
        <w:bidi w:val="0"/>
        <w:adjustRightInd/>
        <w:snapToGrid/>
        <w:spacing w:line="540" w:lineRule="exact"/>
        <w:ind w:firstLine="651" w:firstLineChars="200"/>
        <w:textAlignment w:val="auto"/>
        <w:rPr>
          <w:rFonts w:ascii="Times New Roman" w:hAnsi="Times New Roman" w:eastAsia="仿宋_GB2312" w:cs="Times New Roman"/>
          <w:color w:val="000000" w:themeColor="text1"/>
          <w:kern w:val="0"/>
          <w:sz w:val="32"/>
          <w:szCs w:val="32"/>
          <w14:textFill>
            <w14:solidFill>
              <w14:schemeClr w14:val="tx1"/>
            </w14:solidFill>
          </w14:textFill>
        </w:rPr>
      </w:pPr>
      <w:r>
        <w:rPr>
          <w:rFonts w:hint="eastAsia" w:ascii="Times New Roman" w:hAnsi="Times New Roman" w:eastAsia="仿宋_GB2312" w:cs="仿宋_GB2312"/>
          <w:b/>
          <w:bCs/>
          <w:color w:val="000000" w:themeColor="text1"/>
          <w:spacing w:val="2"/>
          <w:sz w:val="32"/>
          <w:szCs w:val="32"/>
          <w14:textFill>
            <w14:solidFill>
              <w14:schemeClr w14:val="tx1"/>
            </w14:solidFill>
          </w14:textFill>
        </w:rPr>
        <w:t>（</w:t>
      </w:r>
      <w:r>
        <w:rPr>
          <w:rFonts w:hint="eastAsia" w:ascii="Times New Roman" w:hAnsi="Times New Roman" w:eastAsia="仿宋_GB2312" w:cs="仿宋_GB2312"/>
          <w:b/>
          <w:bCs/>
          <w:color w:val="000000" w:themeColor="text1"/>
          <w:spacing w:val="2"/>
          <w:sz w:val="32"/>
          <w:szCs w:val="32"/>
          <w:lang w:val="en-US" w:eastAsia="zh-CN"/>
          <w14:textFill>
            <w14:solidFill>
              <w14:schemeClr w14:val="tx1"/>
            </w14:solidFill>
          </w14:textFill>
        </w:rPr>
        <w:t>七</w:t>
      </w:r>
      <w:r>
        <w:rPr>
          <w:rFonts w:hint="eastAsia" w:ascii="Times New Roman" w:hAnsi="Times New Roman" w:eastAsia="仿宋_GB2312" w:cs="仿宋_GB2312"/>
          <w:b/>
          <w:bCs/>
          <w:color w:val="000000" w:themeColor="text1"/>
          <w:spacing w:val="2"/>
          <w:sz w:val="32"/>
          <w:szCs w:val="32"/>
          <w14:textFill>
            <w14:solidFill>
              <w14:schemeClr w14:val="tx1"/>
            </w14:solidFill>
          </w14:textFill>
        </w:rPr>
        <w:t>）严厉打击迟报瞒报谎报漏报事故行为。</w:t>
      </w:r>
      <w:r>
        <w:rPr>
          <w:rFonts w:hint="eastAsia" w:ascii="Times New Roman" w:hAnsi="Times New Roman" w:eastAsia="仿宋_GB2312" w:cs="Times New Roman"/>
          <w:color w:val="000000" w:themeColor="text1"/>
          <w:kern w:val="0"/>
          <w:sz w:val="32"/>
          <w:szCs w:val="32"/>
          <w14:textFill>
            <w14:solidFill>
              <w14:schemeClr w14:val="tx1"/>
            </w14:solidFill>
          </w14:textFill>
        </w:rPr>
        <w:t>迁安市各部门要加强企业主要负责人安全生产法律法规培训，让企业主要负责人熟知依法上报事故的规定和流程，增强事故报告的自觉性和主动性；各部门要综合运用执法检查、有奖举报等多种手段，加大对迟报瞒报谎报漏报事故行为的打击力度，筑牢不想违的思想防线。</w:t>
      </w:r>
    </w:p>
    <w:sectPr>
      <w:footerReference r:id="rId4"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CD635E">
    <w:pPr>
      <w:pStyle w:val="5"/>
      <w:ind w:firstLine="360"/>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98800F">
                          <w:pPr>
                            <w:pStyle w:val="5"/>
                          </w:pPr>
                          <w:r>
                            <w:rPr>
                              <w:rFonts w:hint="eastAsia" w:ascii="宋体" w:hAnsi="宋体" w:eastAsia="宋体" w:cs="宋体"/>
                              <w:sz w:val="28"/>
                              <w:szCs w:val="44"/>
                            </w:rPr>
                            <w:fldChar w:fldCharType="begin"/>
                          </w:r>
                          <w:r>
                            <w:rPr>
                              <w:rFonts w:hint="eastAsia" w:ascii="宋体" w:hAnsi="宋体" w:eastAsia="宋体" w:cs="宋体"/>
                              <w:sz w:val="28"/>
                              <w:szCs w:val="44"/>
                            </w:rPr>
                            <w:instrText xml:space="preserve"> PAGE  \* MERGEFORMAT </w:instrText>
                          </w:r>
                          <w:r>
                            <w:rPr>
                              <w:rFonts w:hint="eastAsia" w:ascii="宋体" w:hAnsi="宋体" w:eastAsia="宋体" w:cs="宋体"/>
                              <w:sz w:val="28"/>
                              <w:szCs w:val="44"/>
                            </w:rPr>
                            <w:fldChar w:fldCharType="separate"/>
                          </w:r>
                          <w:r>
                            <w:rPr>
                              <w:rFonts w:hint="eastAsia" w:ascii="宋体" w:hAnsi="宋体" w:eastAsia="宋体" w:cs="宋体"/>
                              <w:sz w:val="28"/>
                              <w:szCs w:val="44"/>
                            </w:rPr>
                            <w:t>- 3 -</w:t>
                          </w:r>
                          <w:r>
                            <w:rPr>
                              <w:rFonts w:hint="eastAsia" w:ascii="宋体" w:hAnsi="宋体" w:eastAsia="宋体" w:cs="宋体"/>
                              <w:sz w:val="28"/>
                              <w:szCs w:val="4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4D98800F">
                    <w:pPr>
                      <w:pStyle w:val="5"/>
                    </w:pPr>
                    <w:r>
                      <w:rPr>
                        <w:rFonts w:hint="eastAsia" w:ascii="宋体" w:hAnsi="宋体" w:eastAsia="宋体" w:cs="宋体"/>
                        <w:sz w:val="28"/>
                        <w:szCs w:val="44"/>
                      </w:rPr>
                      <w:fldChar w:fldCharType="begin"/>
                    </w:r>
                    <w:r>
                      <w:rPr>
                        <w:rFonts w:hint="eastAsia" w:ascii="宋体" w:hAnsi="宋体" w:eastAsia="宋体" w:cs="宋体"/>
                        <w:sz w:val="28"/>
                        <w:szCs w:val="44"/>
                      </w:rPr>
                      <w:instrText xml:space="preserve"> PAGE  \* MERGEFORMAT </w:instrText>
                    </w:r>
                    <w:r>
                      <w:rPr>
                        <w:rFonts w:hint="eastAsia" w:ascii="宋体" w:hAnsi="宋体" w:eastAsia="宋体" w:cs="宋体"/>
                        <w:sz w:val="28"/>
                        <w:szCs w:val="44"/>
                      </w:rPr>
                      <w:fldChar w:fldCharType="separate"/>
                    </w:r>
                    <w:r>
                      <w:rPr>
                        <w:rFonts w:hint="eastAsia" w:ascii="宋体" w:hAnsi="宋体" w:eastAsia="宋体" w:cs="宋体"/>
                        <w:sz w:val="28"/>
                        <w:szCs w:val="44"/>
                      </w:rPr>
                      <w:t>- 3 -</w:t>
                    </w:r>
                    <w:r>
                      <w:rPr>
                        <w:rFonts w:hint="eastAsia" w:ascii="宋体" w:hAnsi="宋体" w:eastAsia="宋体" w:cs="宋体"/>
                        <w:sz w:val="28"/>
                        <w:szCs w:val="44"/>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8">
    <w:p>
      <w:r>
        <w:separator/>
      </w:r>
    </w:p>
  </w:footnote>
  <w:footnote w:type="continuationSeparator" w:id="49">
    <w:p>
      <w:r>
        <w:continuationSeparator/>
      </w:r>
    </w:p>
  </w:footnote>
  <w:footnote w:id="0">
    <w:p w14:paraId="478E4AF8">
      <w:pPr>
        <w:pStyle w:val="8"/>
        <w:snapToGrid w:val="0"/>
        <w:rPr>
          <w:rFonts w:hint="default" w:eastAsiaTheme="minorEastAsia"/>
          <w:lang w:val="en-US" w:eastAsia="zh-CN"/>
        </w:rPr>
      </w:pPr>
      <w:r>
        <w:rPr>
          <w:rFonts w:hint="eastAsia" w:ascii="宋体" w:hAnsi="宋体" w:eastAsia="宋体" w:cs="宋体"/>
          <w:spacing w:val="2"/>
          <w:kern w:val="2"/>
          <w:sz w:val="18"/>
          <w:szCs w:val="18"/>
          <w:lang w:val="en-US" w:eastAsia="zh-CN" w:bidi="ar-SA"/>
        </w:rPr>
        <w:t>[</w:t>
      </w:r>
      <w:r>
        <w:rPr>
          <w:rFonts w:hint="eastAsia" w:ascii="宋体" w:hAnsi="宋体" w:eastAsia="宋体" w:cs="宋体"/>
          <w:spacing w:val="2"/>
          <w:kern w:val="2"/>
          <w:sz w:val="18"/>
          <w:szCs w:val="18"/>
          <w:lang w:val="en-US" w:eastAsia="zh-CN" w:bidi="ar-SA"/>
        </w:rPr>
        <w:footnoteRef/>
      </w:r>
      <w:r>
        <w:rPr>
          <w:rFonts w:hint="eastAsia" w:ascii="宋体" w:hAnsi="宋体" w:eastAsia="宋体" w:cs="宋体"/>
          <w:spacing w:val="2"/>
          <w:kern w:val="2"/>
          <w:sz w:val="18"/>
          <w:szCs w:val="18"/>
          <w:lang w:val="en-US" w:eastAsia="zh-CN" w:bidi="ar-SA"/>
        </w:rPr>
        <w:t xml:space="preserve">] </w:t>
      </w:r>
      <w:r>
        <w:rPr>
          <w:rFonts w:hint="eastAsia"/>
        </w:rPr>
        <w:t>《中毒窒息应急救援预案》</w:t>
      </w:r>
      <w:r>
        <w:rPr>
          <w:rFonts w:hint="eastAsia"/>
          <w:lang w:val="en-US" w:eastAsia="zh-CN"/>
        </w:rPr>
        <w:t>第四条：现场救护人员要佩戴好空气呼吸器，将中毒者迅速救出受限空间区域，安置在空气新鲜处采取相应的急救措施。</w:t>
      </w:r>
    </w:p>
  </w:footnote>
  <w:footnote w:id="1">
    <w:p w14:paraId="0BEFB63F">
      <w:pPr>
        <w:pStyle w:val="8"/>
        <w:keepNext w:val="0"/>
        <w:keepLines w:val="0"/>
        <w:pageBreakBefore w:val="0"/>
        <w:widowControl w:val="0"/>
        <w:kinsoku/>
        <w:wordWrap/>
        <w:overflowPunct/>
        <w:topLinePunct w:val="0"/>
        <w:bidi w:val="0"/>
        <w:adjustRightInd/>
        <w:snapToGrid w:val="0"/>
        <w:spacing w:line="240" w:lineRule="exact"/>
        <w:textAlignment w:val="auto"/>
        <w:rPr>
          <w:rFonts w:hint="eastAsia" w:ascii="宋体" w:hAnsi="宋体" w:eastAsia="宋体" w:cs="宋体"/>
          <w:spacing w:val="2"/>
          <w:kern w:val="2"/>
          <w:sz w:val="18"/>
          <w:szCs w:val="18"/>
          <w:lang w:val="en-US" w:eastAsia="zh-CN" w:bidi="ar-SA"/>
        </w:rPr>
      </w:pPr>
      <w:r>
        <w:rPr>
          <w:rFonts w:hint="eastAsia" w:ascii="宋体" w:hAnsi="宋体" w:eastAsia="宋体" w:cs="宋体"/>
          <w:spacing w:val="2"/>
          <w:kern w:val="2"/>
          <w:sz w:val="18"/>
          <w:szCs w:val="18"/>
          <w:lang w:val="en-US" w:eastAsia="zh-CN" w:bidi="ar-SA"/>
        </w:rPr>
        <w:t>[</w:t>
      </w:r>
      <w:r>
        <w:rPr>
          <w:rFonts w:hint="eastAsia" w:ascii="宋体" w:hAnsi="宋体" w:eastAsia="宋体" w:cs="宋体"/>
          <w:spacing w:val="2"/>
          <w:kern w:val="2"/>
          <w:sz w:val="18"/>
          <w:szCs w:val="18"/>
          <w:lang w:val="en-US" w:eastAsia="zh-CN" w:bidi="ar-SA"/>
        </w:rPr>
        <w:footnoteRef/>
      </w:r>
      <w:r>
        <w:rPr>
          <w:rFonts w:hint="eastAsia" w:ascii="宋体" w:hAnsi="宋体" w:eastAsia="宋体" w:cs="宋体"/>
          <w:spacing w:val="2"/>
          <w:kern w:val="2"/>
          <w:sz w:val="18"/>
          <w:szCs w:val="18"/>
          <w:lang w:val="en-US" w:eastAsia="zh-CN" w:bidi="ar-SA"/>
        </w:rPr>
        <w:t>] 《风镐使用安全规程》第二条：禁止使用有毒有害气体用作风镐动力气源。</w:t>
      </w:r>
    </w:p>
  </w:footnote>
  <w:footnote w:id="2">
    <w:p w14:paraId="42C57D65">
      <w:pPr>
        <w:keepNext w:val="0"/>
        <w:keepLines w:val="0"/>
        <w:pageBreakBefore w:val="0"/>
        <w:widowControl w:val="0"/>
        <w:kinsoku/>
        <w:wordWrap/>
        <w:overflowPunct/>
        <w:topLinePunct w:val="0"/>
        <w:bidi w:val="0"/>
        <w:adjustRightInd/>
        <w:spacing w:line="240" w:lineRule="exact"/>
        <w:textAlignment w:val="auto"/>
        <w:rPr>
          <w:rFonts w:hint="eastAsia" w:ascii="宋体" w:hAnsi="宋体" w:eastAsia="宋体" w:cs="宋体"/>
          <w:spacing w:val="2"/>
          <w:sz w:val="18"/>
          <w:szCs w:val="18"/>
        </w:rPr>
      </w:pPr>
      <w:r>
        <w:rPr>
          <w:rFonts w:hint="eastAsia" w:ascii="宋体" w:hAnsi="宋体" w:eastAsia="宋体" w:cs="宋体"/>
          <w:spacing w:val="2"/>
          <w:sz w:val="18"/>
          <w:szCs w:val="18"/>
        </w:rPr>
        <w:t>[</w:t>
      </w:r>
      <w:r>
        <w:rPr>
          <w:rFonts w:hint="eastAsia" w:ascii="宋体" w:hAnsi="宋体" w:eastAsia="宋体" w:cs="宋体"/>
          <w:spacing w:val="2"/>
          <w:sz w:val="18"/>
          <w:szCs w:val="18"/>
        </w:rPr>
        <w:footnoteRef/>
      </w:r>
      <w:r>
        <w:rPr>
          <w:rFonts w:hint="eastAsia" w:ascii="宋体" w:hAnsi="宋体" w:eastAsia="宋体" w:cs="宋体"/>
          <w:spacing w:val="2"/>
          <w:sz w:val="18"/>
          <w:szCs w:val="18"/>
        </w:rPr>
        <w:t>] 《中华人民共和国安全生产法》第四十四条第一款：</w:t>
      </w:r>
      <w:r>
        <w:rPr>
          <w:rFonts w:hint="eastAsia" w:ascii="宋体" w:hAnsi="宋体" w:eastAsia="宋体" w:cs="宋体"/>
          <w:spacing w:val="2"/>
          <w:kern w:val="2"/>
          <w:sz w:val="18"/>
          <w:szCs w:val="18"/>
          <w:lang w:val="en-US" w:eastAsia="zh-CN" w:bidi="ar-SA"/>
        </w:rPr>
        <w:t>生产经营单位应当教育和督促从业人员严格执行本单位的安全生产规章制度和安全操作规程；并向从业人员如实告知作业场所和工作岗位存在的危险因素、防范措施以及事故应急措施。</w:t>
      </w:r>
    </w:p>
  </w:footnote>
  <w:footnote w:id="3">
    <w:p w14:paraId="2D685379">
      <w:pPr>
        <w:pStyle w:val="8"/>
        <w:keepNext w:val="0"/>
        <w:keepLines w:val="0"/>
        <w:pageBreakBefore w:val="0"/>
        <w:widowControl w:val="0"/>
        <w:kinsoku/>
        <w:wordWrap/>
        <w:overflowPunct/>
        <w:topLinePunct w:val="0"/>
        <w:bidi w:val="0"/>
        <w:adjustRightInd/>
        <w:spacing w:line="240" w:lineRule="exact"/>
        <w:textAlignment w:val="auto"/>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四十一条：生产经营单位应当建立安全风险分级管控制度，按照安全风险分级采取相应的管控措施。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footnote>
  <w:footnote w:id="4">
    <w:p w14:paraId="79EB3A0A">
      <w:pPr>
        <w:pStyle w:val="8"/>
        <w:snapToGrid w:val="0"/>
        <w:rPr>
          <w:rFonts w:hint="default" w:ascii="宋体" w:hAnsi="宋体" w:eastAsia="宋体" w:cs="宋体"/>
          <w:spacing w:val="2"/>
          <w:kern w:val="2"/>
          <w:sz w:val="18"/>
          <w:szCs w:val="18"/>
          <w:lang w:val="en-US" w:eastAsia="zh-CN" w:bidi="ar-SA"/>
        </w:rPr>
      </w:pPr>
      <w:r>
        <w:rPr>
          <w:rFonts w:hint="eastAsia" w:ascii="宋体" w:hAnsi="宋体" w:eastAsia="宋体" w:cs="宋体"/>
          <w:spacing w:val="2"/>
          <w:kern w:val="2"/>
          <w:sz w:val="18"/>
          <w:szCs w:val="18"/>
          <w:lang w:val="en-US" w:eastAsia="zh-CN" w:bidi="ar-SA"/>
        </w:rPr>
        <w:t>[</w:t>
      </w:r>
      <w:r>
        <w:rPr>
          <w:rFonts w:hint="eastAsia" w:ascii="宋体" w:hAnsi="宋体" w:eastAsia="宋体" w:cs="宋体"/>
          <w:spacing w:val="2"/>
          <w:kern w:val="2"/>
          <w:sz w:val="18"/>
          <w:szCs w:val="18"/>
          <w:lang w:val="en-US" w:eastAsia="zh-CN" w:bidi="ar-SA"/>
        </w:rPr>
        <w:footnoteRef/>
      </w:r>
      <w:r>
        <w:rPr>
          <w:rFonts w:hint="eastAsia" w:ascii="宋体" w:hAnsi="宋体" w:eastAsia="宋体" w:cs="宋体"/>
          <w:spacing w:val="2"/>
          <w:kern w:val="2"/>
          <w:sz w:val="18"/>
          <w:szCs w:val="18"/>
          <w:lang w:val="en-US" w:eastAsia="zh-CN" w:bidi="ar-SA"/>
        </w:rPr>
        <w:t>] 《中华人民共和国安全生产法》第四十条第一款：生产经营单位对重大危险源应当登记建档，进行定期检测、评估、监控，并制定应急预案，告知从业人员和相关人员在紧急情况下应当采取的应急措施。</w:t>
      </w:r>
    </w:p>
  </w:footnote>
  <w:footnote w:id="5">
    <w:p w14:paraId="2BFC4EC3">
      <w:pPr>
        <w:pStyle w:val="8"/>
        <w:snapToGrid w:val="0"/>
        <w:rPr>
          <w:rFonts w:hint="default" w:ascii="宋体" w:hAnsi="宋体" w:eastAsia="宋体" w:cs="宋体"/>
          <w:spacing w:val="2"/>
          <w:kern w:val="2"/>
          <w:sz w:val="18"/>
          <w:szCs w:val="18"/>
          <w:lang w:val="en-US" w:eastAsia="zh-CN" w:bidi="ar-SA"/>
        </w:rPr>
      </w:pPr>
      <w:r>
        <w:rPr>
          <w:rFonts w:hint="eastAsia" w:ascii="宋体" w:hAnsi="宋体" w:eastAsia="宋体" w:cs="宋体"/>
          <w:spacing w:val="2"/>
          <w:kern w:val="2"/>
          <w:sz w:val="18"/>
          <w:szCs w:val="18"/>
          <w:lang w:val="en-US" w:eastAsia="zh-CN" w:bidi="ar-SA"/>
        </w:rPr>
        <w:t>[</w:t>
      </w:r>
      <w:r>
        <w:rPr>
          <w:rFonts w:hint="eastAsia" w:ascii="宋体" w:hAnsi="宋体" w:eastAsia="宋体" w:cs="宋体"/>
          <w:spacing w:val="2"/>
          <w:kern w:val="2"/>
          <w:sz w:val="18"/>
          <w:szCs w:val="18"/>
          <w:lang w:val="en-US" w:eastAsia="zh-CN" w:bidi="ar-SA"/>
        </w:rPr>
        <w:footnoteRef/>
      </w:r>
      <w:r>
        <w:rPr>
          <w:rFonts w:hint="eastAsia" w:ascii="宋体" w:hAnsi="宋体" w:eastAsia="宋体" w:cs="宋体"/>
          <w:spacing w:val="2"/>
          <w:kern w:val="2"/>
          <w:sz w:val="18"/>
          <w:szCs w:val="18"/>
          <w:lang w:val="en-US" w:eastAsia="zh-CN" w:bidi="ar-SA"/>
        </w:rPr>
        <w:t>] 《中华人民共和国安全生产法》第四十六条第一款：生产经营单位的安全生产管理人员应当根据本单位的生产经营特点，对安全生产状况进行经常性检查；对检查中发现的安全问题，应当立即处理；不能处理的，应当及时报告本单位有关负责人，有关负责人应当及时处理。检查及处理情况应当如实记录在案。</w:t>
      </w:r>
    </w:p>
  </w:footnote>
  <w:footnote w:id="6">
    <w:p w14:paraId="16572340">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二十一条第（五）项：生产经营单位的主要负责人对本单位安全生产工作负有下列职责：（五）组织建立并落实安全风险分级管控和隐患排查治理双重预防工作机制，督促、检查本单位的安全生产工作，及时消除生产安全事故隐患。</w:t>
      </w:r>
    </w:p>
  </w:footnote>
  <w:footnote w:id="7">
    <w:p w14:paraId="27EFFD02">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九十五条第（一）项：生产经营单位的主要负责人未履行本法规定的安全生产管理职责，导致发生生产安全事故的，由应急管理部门依照下列规定处以罚款：(一)发生一般事故的，处上一年年收入百分之四十的罚款。</w:t>
      </w:r>
    </w:p>
  </w:footnote>
  <w:footnote w:id="8">
    <w:p w14:paraId="3CC9F664">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生产安全事故报告和调查处理条例》第九条：事故发生后，事故现场有关人员应当立即向本单位负责人报告；单位负责人接到报告后，应当于1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footnote>
  <w:footnote w:id="9">
    <w:p w14:paraId="2AFE2ACD">
      <w:pPr>
        <w:pStyle w:val="8"/>
        <w:rPr>
          <w:rFonts w:hint="eastAsia" w:ascii="宋体" w:hAnsi="宋体" w:eastAsia="宋体" w:cs="宋体"/>
          <w:color w:val="000000" w:themeColor="text1"/>
          <w:spacing w:val="2"/>
          <w14:textFill>
            <w14:solidFill>
              <w14:schemeClr w14:val="tx1"/>
            </w14:solidFill>
          </w14:textFill>
        </w:rPr>
      </w:pPr>
      <w:r>
        <w:rPr>
          <w:rFonts w:hint="eastAsia" w:ascii="宋体" w:hAnsi="宋体" w:eastAsia="宋体" w:cs="宋体"/>
          <w:color w:val="000000" w:themeColor="text1"/>
          <w:spacing w:val="2"/>
          <w14:textFill>
            <w14:solidFill>
              <w14:schemeClr w14:val="tx1"/>
            </w14:solidFill>
          </w14:textFill>
        </w:rPr>
        <w:t>[</w:t>
      </w:r>
      <w:r>
        <w:rPr>
          <w:rFonts w:hint="eastAsia" w:ascii="宋体" w:hAnsi="宋体" w:eastAsia="宋体" w:cs="宋体"/>
          <w:color w:val="000000" w:themeColor="text1"/>
          <w:spacing w:val="2"/>
          <w14:textFill>
            <w14:solidFill>
              <w14:schemeClr w14:val="tx1"/>
            </w14:solidFill>
          </w14:textFill>
        </w:rPr>
        <w:footnoteRef/>
      </w:r>
      <w:r>
        <w:rPr>
          <w:rFonts w:hint="eastAsia" w:ascii="宋体" w:hAnsi="宋体" w:eastAsia="宋体" w:cs="宋体"/>
          <w:color w:val="000000" w:themeColor="text1"/>
          <w:spacing w:val="2"/>
          <w14:textFill>
            <w14:solidFill>
              <w14:schemeClr w14:val="tx1"/>
            </w14:solidFill>
          </w14:textFill>
        </w:rPr>
        <w:t>] 《生产安全事故罚款处罚规定》第十一条第（一）项：事故发生单位主要负责人在事故发生后不立即组织事故抢救，或者在事故调查处理期间擅离职守，或者瞒报、谎报、迟报事故，或者事故发生后逃匿的，处上一年年收入60%至80%的罚款。</w:t>
      </w:r>
    </w:p>
  </w:footnote>
  <w:footnote w:id="10">
    <w:p w14:paraId="73BCD775">
      <w:pPr>
        <w:pStyle w:val="8"/>
        <w:rPr>
          <w:rFonts w:hint="eastAsia" w:ascii="宋体" w:hAnsi="宋体" w:eastAsia="宋体" w:cs="宋体"/>
          <w:spacing w:val="2"/>
        </w:rPr>
      </w:pPr>
      <w:r>
        <w:rPr>
          <w:rFonts w:hint="eastAsia" w:ascii="宋体" w:hAnsi="宋体" w:eastAsia="宋体" w:cs="宋体"/>
          <w:color w:val="000000" w:themeColor="text1"/>
          <w:spacing w:val="2"/>
          <w14:textFill>
            <w14:solidFill>
              <w14:schemeClr w14:val="tx1"/>
            </w14:solidFill>
          </w14:textFill>
        </w:rPr>
        <w:t>[</w:t>
      </w:r>
      <w:r>
        <w:rPr>
          <w:rFonts w:hint="eastAsia" w:ascii="宋体" w:hAnsi="宋体" w:eastAsia="宋体" w:cs="宋体"/>
          <w:color w:val="000000" w:themeColor="text1"/>
          <w:spacing w:val="2"/>
          <w14:textFill>
            <w14:solidFill>
              <w14:schemeClr w14:val="tx1"/>
            </w14:solidFill>
          </w14:textFill>
        </w:rPr>
        <w:footnoteRef/>
      </w:r>
      <w:r>
        <w:rPr>
          <w:rFonts w:hint="eastAsia" w:ascii="宋体" w:hAnsi="宋体" w:eastAsia="宋体" w:cs="宋体"/>
          <w:color w:val="000000" w:themeColor="text1"/>
          <w:spacing w:val="2"/>
          <w14:textFill>
            <w14:solidFill>
              <w14:schemeClr w14:val="tx1"/>
            </w14:solidFill>
          </w14:textFill>
        </w:rPr>
        <w:t>] 《中华人民共和国安全生产法》第二十五条第（五）项：生产经营单位的安全生产管理机构以及安全生产管理人员履行下列职责：（五）检查本单位的安全生产状况，及时排查生产安全事故隐患，提出改进安全生产管理的建议</w:t>
      </w:r>
      <w:r>
        <w:rPr>
          <w:rFonts w:hint="eastAsia" w:ascii="宋体" w:hAnsi="宋体" w:eastAsia="宋体" w:cs="宋体"/>
          <w:spacing w:val="2"/>
        </w:rPr>
        <w:t>。</w:t>
      </w:r>
    </w:p>
  </w:footnote>
  <w:footnote w:id="11">
    <w:p w14:paraId="2EA28D4E">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九十六条：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footnote>
  <w:footnote w:id="12">
    <w:p w14:paraId="2D13AF18">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《河北省应急管理系统行政裁量权基准》中《中华人民共和国安全生产法》实施标准第7项违法行为对应一般情形：发生一般事故的，暂停或者吊销其与安全生产有关的资格，处上一年年收入百分之二十的罚款。</w:t>
      </w:r>
    </w:p>
  </w:footnote>
  <w:footnote w:id="13">
    <w:p w14:paraId="673109AD">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九十六条：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footnote>
  <w:footnote w:id="14">
    <w:p w14:paraId="5F4D2982">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《河北省应急管理系统行政裁量权基准》中《中华人民共和国安全生产法》实施标准第7项违法行为对应一般情形：发生一般事故的，暂停或者吊销其与安全生产有关的资格，处上一年年收入百分之二十的罚款。</w:t>
      </w:r>
    </w:p>
  </w:footnote>
  <w:footnote w:id="15">
    <w:p w14:paraId="2E3E3D24">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九十六条：生产经营单位的其他负责人和安全生产管理人员未履行本法规定的安全生产管理职责的，责令限期改正，处一万元以上三万元以下的罚款；导致发生生产安全事故的，暂停或者吊销其与安全生产有关的资格，并处上一年年收入百分之二十以上百分之五十以下的罚款；构成犯罪的，依照刑法有关规定追究刑事责任。</w:t>
      </w:r>
    </w:p>
  </w:footnote>
  <w:footnote w:id="16">
    <w:p w14:paraId="24BC4A8C">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《河北省应急管理系统行政裁量权基准》中《中华人民共和国安全生产法》实施标准第7项违法行为对应一般情形：发生一般事故的，暂停或者吊销其与安全生产有关的资格，处上一年年收入百分之二十的罚款。</w:t>
      </w:r>
    </w:p>
  </w:footnote>
  <w:footnote w:id="17">
    <w:p w14:paraId="6684A6BD">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四十一条：生产经营单位应当建立安全风险分级管控制度，按照安全风险分级采取相应的管控措施。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footnote>
  <w:footnote w:id="18">
    <w:p w14:paraId="09FD7E40">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中华人民共和国安全生产法》第四十四条第一款：生产经营单位应当教育和督促从业人员严格执行本单位的安全生产规章制度和安全操作规程；并向从业人员如实告知作业场所和工作岗位存在的危险因素、防范措施以及事故应急措施。</w:t>
      </w:r>
    </w:p>
  </w:footnote>
  <w:footnote w:id="19">
    <w:p w14:paraId="5CE10BB4">
      <w:pPr>
        <w:pStyle w:val="8"/>
        <w:rPr>
          <w:rFonts w:hint="eastAsia" w:ascii="宋体" w:hAnsi="宋体" w:eastAsia="宋体" w:cs="宋体"/>
          <w:color w:val="000000"/>
          <w:kern w:val="0"/>
        </w:rPr>
      </w:pPr>
      <w:r>
        <w:rPr>
          <w:rFonts w:hint="eastAsia" w:ascii="宋体" w:hAnsi="宋体" w:eastAsia="宋体" w:cs="宋体"/>
          <w:color w:val="000000"/>
          <w:kern w:val="0"/>
        </w:rPr>
        <w:t>[</w:t>
      </w:r>
      <w:r>
        <w:rPr>
          <w:rFonts w:hint="eastAsia" w:ascii="宋体" w:hAnsi="宋体" w:eastAsia="宋体" w:cs="宋体"/>
          <w:color w:val="000000"/>
          <w:kern w:val="0"/>
        </w:rPr>
        <w:footnoteRef/>
      </w:r>
      <w:r>
        <w:rPr>
          <w:rFonts w:hint="eastAsia" w:ascii="宋体" w:hAnsi="宋体" w:eastAsia="宋体" w:cs="宋体"/>
          <w:color w:val="000000"/>
          <w:kern w:val="0"/>
        </w:rPr>
        <w:t>] 《中华人民共和国安全生产法》第一百一十四条第一款第（一）项：发生生产安全事故，对负有责任的生产经营单位除要求其依法承担相应的赔偿等责任外，由应急管理部门依照下列规定处以罚款:（一）发生一般事故的，处三十万元以上一百万元以下的罚款。</w:t>
      </w:r>
    </w:p>
  </w:footnote>
  <w:footnote w:id="20">
    <w:p w14:paraId="408AE9E8">
      <w:pPr>
        <w:pStyle w:val="8"/>
        <w:rPr>
          <w:rFonts w:hint="eastAsia" w:ascii="宋体" w:hAnsi="宋体" w:eastAsia="宋体" w:cs="宋体"/>
          <w:color w:val="000000"/>
          <w:kern w:val="0"/>
        </w:rPr>
      </w:pPr>
      <w:r>
        <w:rPr>
          <w:rFonts w:hint="eastAsia" w:ascii="宋体" w:hAnsi="宋体" w:eastAsia="宋体" w:cs="宋体"/>
          <w:color w:val="000000"/>
          <w:kern w:val="0"/>
        </w:rPr>
        <w:t>[</w:t>
      </w:r>
      <w:r>
        <w:rPr>
          <w:rFonts w:hint="eastAsia" w:ascii="宋体" w:hAnsi="宋体" w:eastAsia="宋体" w:cs="宋体"/>
          <w:color w:val="000000"/>
          <w:kern w:val="0"/>
        </w:rPr>
        <w:footnoteRef/>
      </w:r>
      <w:r>
        <w:rPr>
          <w:rFonts w:hint="eastAsia" w:ascii="宋体" w:hAnsi="宋体" w:eastAsia="宋体" w:cs="宋体"/>
          <w:color w:val="000000"/>
          <w:kern w:val="0"/>
        </w:rPr>
        <w:t>] 《生产安全事故罚款处罚规定》第十四条第（三）项：造成2人死亡，或者6人以上10人以下重伤，或者500万元以上1000万元以下直接经济损失的，处70万元以上100万元以下的罚款。</w:t>
      </w:r>
    </w:p>
  </w:footnote>
  <w:footnote w:id="21">
    <w:p w14:paraId="2C3C4A3D">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生产安全事故报告和调查处理条例》第九条：事故发生后，事故现场有关人员应当立即向本单位负责人报告；单位负责人接到报告后，应当于1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footnote>
  <w:footnote w:id="22">
    <w:p w14:paraId="1FF8E1A6">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生产安全事故报告和调查处理条例》第三十六条第（一）项：事故发生单位及其有关人员有下列行为之一的，对事故发生单位处100万元以上500万元以下的罚款；对主要负责人、直接负责的主管人员和其他直接责任人员处上一年年收入60%至100%的罚款；属于国家工作人员的，并依法给予处分；构成违反治安管理行为的，由公安机关依法给予治安管理处罚；构成犯罪的，依法追究刑事责任：（一）谎报或者瞒报事故的。</w:t>
      </w:r>
    </w:p>
  </w:footnote>
  <w:footnote w:id="23">
    <w:p w14:paraId="29F56ED4">
      <w:pPr>
        <w:pStyle w:val="8"/>
        <w:rPr>
          <w:rFonts w:hint="eastAsia" w:ascii="宋体" w:hAnsi="宋体" w:eastAsia="宋体" w:cs="宋体"/>
          <w:spacing w:val="2"/>
        </w:rPr>
      </w:pPr>
      <w:r>
        <w:rPr>
          <w:rFonts w:hint="eastAsia" w:ascii="宋体" w:hAnsi="宋体" w:eastAsia="宋体" w:cs="宋体"/>
          <w:spacing w:val="2"/>
        </w:rPr>
        <w:t>[</w:t>
      </w:r>
      <w:r>
        <w:rPr>
          <w:rFonts w:hint="eastAsia" w:ascii="宋体" w:hAnsi="宋体" w:eastAsia="宋体" w:cs="宋体"/>
          <w:spacing w:val="2"/>
        </w:rPr>
        <w:footnoteRef/>
      </w:r>
      <w:r>
        <w:rPr>
          <w:rFonts w:hint="eastAsia" w:ascii="宋体" w:hAnsi="宋体" w:eastAsia="宋体" w:cs="宋体"/>
          <w:spacing w:val="2"/>
        </w:rPr>
        <w:t>] 《生产安全事故罚款处罚规定》第十三条第一款第（一）项：事故发生单位有《生产安全事故报告和调查处理条例》第三十六条第一项至第五项规定的行为之一的，依照下列规定处以罚款：（一）发生一般事故的，处100万元以上150万元以下的罚款。</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080DF5"/>
    <w:multiLevelType w:val="singleLevel"/>
    <w:tmpl w:val="81080DF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1"/>
  <w:bordersDoNotSurroundFooter w:val="1"/>
  <w:documentProtection w:enforcement="0"/>
  <w:defaultTabStop w:val="420"/>
  <w:drawingGridVerticalSpacing w:val="156"/>
  <w:noPunctuationKerning w:val="1"/>
  <w:characterSpacingControl w:val="compressPunctuation"/>
  <w:footnotePr>
    <w:footnote w:id="48"/>
    <w:footnote w:id="49"/>
  </w:foot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2Y1ZWM2MTljZjczZThjYzhkZWE3ZTE4ZTJkZTRhZGIifQ=="/>
  </w:docVars>
  <w:rsids>
    <w:rsidRoot w:val="00172A27"/>
    <w:rsid w:val="0018274C"/>
    <w:rsid w:val="001F6A5E"/>
    <w:rsid w:val="00345AFC"/>
    <w:rsid w:val="003F603E"/>
    <w:rsid w:val="004B6F66"/>
    <w:rsid w:val="005C1F07"/>
    <w:rsid w:val="005D326D"/>
    <w:rsid w:val="00643AFB"/>
    <w:rsid w:val="007A1CC7"/>
    <w:rsid w:val="008A4782"/>
    <w:rsid w:val="009752E6"/>
    <w:rsid w:val="00997D30"/>
    <w:rsid w:val="00A14A41"/>
    <w:rsid w:val="00A31053"/>
    <w:rsid w:val="00BE09E5"/>
    <w:rsid w:val="00C56865"/>
    <w:rsid w:val="00C858B0"/>
    <w:rsid w:val="00CB1EB4"/>
    <w:rsid w:val="00D87B73"/>
    <w:rsid w:val="00F7767D"/>
    <w:rsid w:val="010A00C1"/>
    <w:rsid w:val="01220717"/>
    <w:rsid w:val="01452D88"/>
    <w:rsid w:val="01671BDD"/>
    <w:rsid w:val="016F7099"/>
    <w:rsid w:val="01953EC4"/>
    <w:rsid w:val="01991A7D"/>
    <w:rsid w:val="01AB0D9F"/>
    <w:rsid w:val="01AF7227"/>
    <w:rsid w:val="01BE7323"/>
    <w:rsid w:val="01CB2A8F"/>
    <w:rsid w:val="020C4532"/>
    <w:rsid w:val="021F4265"/>
    <w:rsid w:val="02201446"/>
    <w:rsid w:val="025D1661"/>
    <w:rsid w:val="02AC418C"/>
    <w:rsid w:val="030D0562"/>
    <w:rsid w:val="03167D27"/>
    <w:rsid w:val="036062B7"/>
    <w:rsid w:val="037E320E"/>
    <w:rsid w:val="03973D49"/>
    <w:rsid w:val="03B803CD"/>
    <w:rsid w:val="03DE3D70"/>
    <w:rsid w:val="03F4046C"/>
    <w:rsid w:val="04041965"/>
    <w:rsid w:val="04300429"/>
    <w:rsid w:val="04365445"/>
    <w:rsid w:val="043B42EE"/>
    <w:rsid w:val="0449381C"/>
    <w:rsid w:val="04E30C67"/>
    <w:rsid w:val="04FF212C"/>
    <w:rsid w:val="050F2DE6"/>
    <w:rsid w:val="050F6813"/>
    <w:rsid w:val="05200F2A"/>
    <w:rsid w:val="05393118"/>
    <w:rsid w:val="0540654D"/>
    <w:rsid w:val="05486EF0"/>
    <w:rsid w:val="05541460"/>
    <w:rsid w:val="055E72A8"/>
    <w:rsid w:val="057A17B3"/>
    <w:rsid w:val="05841971"/>
    <w:rsid w:val="05AA636F"/>
    <w:rsid w:val="05BE78F1"/>
    <w:rsid w:val="05C04B51"/>
    <w:rsid w:val="05CE330E"/>
    <w:rsid w:val="05D33B71"/>
    <w:rsid w:val="060068B5"/>
    <w:rsid w:val="061240D6"/>
    <w:rsid w:val="0619555F"/>
    <w:rsid w:val="06693D01"/>
    <w:rsid w:val="066A508B"/>
    <w:rsid w:val="06870175"/>
    <w:rsid w:val="068A3C77"/>
    <w:rsid w:val="06903723"/>
    <w:rsid w:val="06DE60BA"/>
    <w:rsid w:val="06FF1B40"/>
    <w:rsid w:val="071D1D74"/>
    <w:rsid w:val="07340B7E"/>
    <w:rsid w:val="0738658A"/>
    <w:rsid w:val="07944DAE"/>
    <w:rsid w:val="079F5D33"/>
    <w:rsid w:val="07CD02C0"/>
    <w:rsid w:val="07F7029D"/>
    <w:rsid w:val="081E0B1B"/>
    <w:rsid w:val="08601134"/>
    <w:rsid w:val="08940DDD"/>
    <w:rsid w:val="089B6610"/>
    <w:rsid w:val="08A41020"/>
    <w:rsid w:val="08C52C55"/>
    <w:rsid w:val="08C72F61"/>
    <w:rsid w:val="08D631A4"/>
    <w:rsid w:val="090221EB"/>
    <w:rsid w:val="09182181"/>
    <w:rsid w:val="09772BD9"/>
    <w:rsid w:val="0A2E2EE2"/>
    <w:rsid w:val="0A4C2DFE"/>
    <w:rsid w:val="0A600E4C"/>
    <w:rsid w:val="0A73514E"/>
    <w:rsid w:val="0A970210"/>
    <w:rsid w:val="0AB03739"/>
    <w:rsid w:val="0AB70CFB"/>
    <w:rsid w:val="0ABB74B5"/>
    <w:rsid w:val="0B043FF8"/>
    <w:rsid w:val="0B617938"/>
    <w:rsid w:val="0B7F281E"/>
    <w:rsid w:val="0B921AAA"/>
    <w:rsid w:val="0BE97529"/>
    <w:rsid w:val="0C4A6EF3"/>
    <w:rsid w:val="0C5C7E64"/>
    <w:rsid w:val="0C6B49EE"/>
    <w:rsid w:val="0C822728"/>
    <w:rsid w:val="0CAD4186"/>
    <w:rsid w:val="0CD46D28"/>
    <w:rsid w:val="0CD76CCE"/>
    <w:rsid w:val="0CE13368"/>
    <w:rsid w:val="0CF542F7"/>
    <w:rsid w:val="0D0944CC"/>
    <w:rsid w:val="0D593972"/>
    <w:rsid w:val="0D6477B0"/>
    <w:rsid w:val="0D837D9E"/>
    <w:rsid w:val="0D933D59"/>
    <w:rsid w:val="0D9C2C0E"/>
    <w:rsid w:val="0DB4251E"/>
    <w:rsid w:val="0DD030DB"/>
    <w:rsid w:val="0DF32DFA"/>
    <w:rsid w:val="0E0B2EF9"/>
    <w:rsid w:val="0E1F1149"/>
    <w:rsid w:val="0E4D0BD5"/>
    <w:rsid w:val="0E6A6868"/>
    <w:rsid w:val="0E963B01"/>
    <w:rsid w:val="0ED44A95"/>
    <w:rsid w:val="0F04261F"/>
    <w:rsid w:val="0F251C69"/>
    <w:rsid w:val="0F686E6D"/>
    <w:rsid w:val="0F8E2A2A"/>
    <w:rsid w:val="0FD30025"/>
    <w:rsid w:val="0FE03528"/>
    <w:rsid w:val="10083638"/>
    <w:rsid w:val="10300991"/>
    <w:rsid w:val="106514B5"/>
    <w:rsid w:val="108C4A30"/>
    <w:rsid w:val="10C432F7"/>
    <w:rsid w:val="10C90D34"/>
    <w:rsid w:val="10CE5DAA"/>
    <w:rsid w:val="10D517BE"/>
    <w:rsid w:val="11056D1C"/>
    <w:rsid w:val="11064BD8"/>
    <w:rsid w:val="11140639"/>
    <w:rsid w:val="112A22DF"/>
    <w:rsid w:val="1131720A"/>
    <w:rsid w:val="11BF67D5"/>
    <w:rsid w:val="11D010D8"/>
    <w:rsid w:val="11DA5AB3"/>
    <w:rsid w:val="1211524D"/>
    <w:rsid w:val="12262C1E"/>
    <w:rsid w:val="124520BC"/>
    <w:rsid w:val="124670FB"/>
    <w:rsid w:val="12705EE1"/>
    <w:rsid w:val="1286237D"/>
    <w:rsid w:val="12B2269D"/>
    <w:rsid w:val="12BC27A6"/>
    <w:rsid w:val="12E7743C"/>
    <w:rsid w:val="12E9420F"/>
    <w:rsid w:val="132D5FE0"/>
    <w:rsid w:val="134C478E"/>
    <w:rsid w:val="13520F76"/>
    <w:rsid w:val="1363088A"/>
    <w:rsid w:val="137C11D8"/>
    <w:rsid w:val="13B22476"/>
    <w:rsid w:val="13EC1865"/>
    <w:rsid w:val="149D2707"/>
    <w:rsid w:val="14EC2CC4"/>
    <w:rsid w:val="14FB0F0A"/>
    <w:rsid w:val="15675856"/>
    <w:rsid w:val="158D5CB1"/>
    <w:rsid w:val="16034E78"/>
    <w:rsid w:val="161441F8"/>
    <w:rsid w:val="163B0DE2"/>
    <w:rsid w:val="163C4F8E"/>
    <w:rsid w:val="1669093C"/>
    <w:rsid w:val="166D6F9C"/>
    <w:rsid w:val="16A11295"/>
    <w:rsid w:val="16A22526"/>
    <w:rsid w:val="16A42B33"/>
    <w:rsid w:val="17090112"/>
    <w:rsid w:val="175D5FDA"/>
    <w:rsid w:val="177E6B21"/>
    <w:rsid w:val="178C784F"/>
    <w:rsid w:val="17B46632"/>
    <w:rsid w:val="17B62B1E"/>
    <w:rsid w:val="17E05412"/>
    <w:rsid w:val="17EF130A"/>
    <w:rsid w:val="181A472C"/>
    <w:rsid w:val="18292AD9"/>
    <w:rsid w:val="18704B94"/>
    <w:rsid w:val="188C3090"/>
    <w:rsid w:val="18A33631"/>
    <w:rsid w:val="18A414DD"/>
    <w:rsid w:val="18A4506D"/>
    <w:rsid w:val="18AE7758"/>
    <w:rsid w:val="18C04EED"/>
    <w:rsid w:val="18C273CB"/>
    <w:rsid w:val="18E31E85"/>
    <w:rsid w:val="18EB67F8"/>
    <w:rsid w:val="190A58F6"/>
    <w:rsid w:val="19232E5E"/>
    <w:rsid w:val="197979FC"/>
    <w:rsid w:val="1995292D"/>
    <w:rsid w:val="1A044015"/>
    <w:rsid w:val="1A1F2BFD"/>
    <w:rsid w:val="1A2E4BEE"/>
    <w:rsid w:val="1A4268EB"/>
    <w:rsid w:val="1A5514FF"/>
    <w:rsid w:val="1A734CF7"/>
    <w:rsid w:val="1A822095"/>
    <w:rsid w:val="1ADD03C2"/>
    <w:rsid w:val="1AE259D8"/>
    <w:rsid w:val="1B032431"/>
    <w:rsid w:val="1B141259"/>
    <w:rsid w:val="1B1B6F61"/>
    <w:rsid w:val="1B240F1C"/>
    <w:rsid w:val="1B5D59CF"/>
    <w:rsid w:val="1B754A9E"/>
    <w:rsid w:val="1B9A0AC9"/>
    <w:rsid w:val="1B9F5697"/>
    <w:rsid w:val="1C156EBE"/>
    <w:rsid w:val="1C26008D"/>
    <w:rsid w:val="1C3B6584"/>
    <w:rsid w:val="1CC01966"/>
    <w:rsid w:val="1CC365FF"/>
    <w:rsid w:val="1CFF0AC4"/>
    <w:rsid w:val="1D05722D"/>
    <w:rsid w:val="1D3E695D"/>
    <w:rsid w:val="1D5E1CA7"/>
    <w:rsid w:val="1D74500E"/>
    <w:rsid w:val="1DB36283"/>
    <w:rsid w:val="1DB812B3"/>
    <w:rsid w:val="1DCC2BF2"/>
    <w:rsid w:val="1DD329E6"/>
    <w:rsid w:val="1DF919E9"/>
    <w:rsid w:val="1E030687"/>
    <w:rsid w:val="1E067C30"/>
    <w:rsid w:val="1E164317"/>
    <w:rsid w:val="1E2E7D43"/>
    <w:rsid w:val="1E74103D"/>
    <w:rsid w:val="1E9D0478"/>
    <w:rsid w:val="1EB261B9"/>
    <w:rsid w:val="1EB813ED"/>
    <w:rsid w:val="1EBA2EF4"/>
    <w:rsid w:val="1EDC25A0"/>
    <w:rsid w:val="1F7074D8"/>
    <w:rsid w:val="1F737547"/>
    <w:rsid w:val="1FAB5F90"/>
    <w:rsid w:val="205A5B1B"/>
    <w:rsid w:val="20783CD8"/>
    <w:rsid w:val="2080429A"/>
    <w:rsid w:val="20B816B5"/>
    <w:rsid w:val="20C718F8"/>
    <w:rsid w:val="20D300B7"/>
    <w:rsid w:val="20E933AE"/>
    <w:rsid w:val="211503AA"/>
    <w:rsid w:val="21163C88"/>
    <w:rsid w:val="212D6803"/>
    <w:rsid w:val="21520B9A"/>
    <w:rsid w:val="218651D1"/>
    <w:rsid w:val="2186530F"/>
    <w:rsid w:val="21B2542B"/>
    <w:rsid w:val="21E12E8E"/>
    <w:rsid w:val="21FD458E"/>
    <w:rsid w:val="22294AAC"/>
    <w:rsid w:val="222A49B0"/>
    <w:rsid w:val="222B52F2"/>
    <w:rsid w:val="223A44F8"/>
    <w:rsid w:val="22591D32"/>
    <w:rsid w:val="225B0BC4"/>
    <w:rsid w:val="22AA09B8"/>
    <w:rsid w:val="22F34C27"/>
    <w:rsid w:val="23576A4B"/>
    <w:rsid w:val="23586A43"/>
    <w:rsid w:val="2378210B"/>
    <w:rsid w:val="23913130"/>
    <w:rsid w:val="24374FE7"/>
    <w:rsid w:val="24434176"/>
    <w:rsid w:val="245415B9"/>
    <w:rsid w:val="24AC1531"/>
    <w:rsid w:val="24CD14A7"/>
    <w:rsid w:val="25197A31"/>
    <w:rsid w:val="2523729F"/>
    <w:rsid w:val="25345CEA"/>
    <w:rsid w:val="2558208B"/>
    <w:rsid w:val="257B0F03"/>
    <w:rsid w:val="258E6E89"/>
    <w:rsid w:val="259A3A7F"/>
    <w:rsid w:val="25A12C31"/>
    <w:rsid w:val="25BA51F5"/>
    <w:rsid w:val="25CC04BB"/>
    <w:rsid w:val="25D20931"/>
    <w:rsid w:val="25D84FAF"/>
    <w:rsid w:val="26347A30"/>
    <w:rsid w:val="26357304"/>
    <w:rsid w:val="26434500"/>
    <w:rsid w:val="265667FC"/>
    <w:rsid w:val="265A6564"/>
    <w:rsid w:val="266876DA"/>
    <w:rsid w:val="26BE379D"/>
    <w:rsid w:val="26C95FF6"/>
    <w:rsid w:val="26D62895"/>
    <w:rsid w:val="26EC030B"/>
    <w:rsid w:val="26FE4AE5"/>
    <w:rsid w:val="270F224B"/>
    <w:rsid w:val="278542BB"/>
    <w:rsid w:val="278D7282"/>
    <w:rsid w:val="27AB1F74"/>
    <w:rsid w:val="27CE7A10"/>
    <w:rsid w:val="27F54F9D"/>
    <w:rsid w:val="28090A48"/>
    <w:rsid w:val="28407E56"/>
    <w:rsid w:val="284232DC"/>
    <w:rsid w:val="28485A15"/>
    <w:rsid w:val="284923FE"/>
    <w:rsid w:val="2860788A"/>
    <w:rsid w:val="28696809"/>
    <w:rsid w:val="287D6EDB"/>
    <w:rsid w:val="28AD4A90"/>
    <w:rsid w:val="28BC471B"/>
    <w:rsid w:val="292418E1"/>
    <w:rsid w:val="292D60B5"/>
    <w:rsid w:val="295738D6"/>
    <w:rsid w:val="296E0005"/>
    <w:rsid w:val="297275B8"/>
    <w:rsid w:val="297C4B07"/>
    <w:rsid w:val="29A14289"/>
    <w:rsid w:val="29CB0FB9"/>
    <w:rsid w:val="29FC1E9D"/>
    <w:rsid w:val="2A0B4D46"/>
    <w:rsid w:val="2A40453F"/>
    <w:rsid w:val="2A42027D"/>
    <w:rsid w:val="2A4D5C0F"/>
    <w:rsid w:val="2A6D3510"/>
    <w:rsid w:val="2B762512"/>
    <w:rsid w:val="2B9F093D"/>
    <w:rsid w:val="2BDE6DD8"/>
    <w:rsid w:val="2BEC3290"/>
    <w:rsid w:val="2C0366A4"/>
    <w:rsid w:val="2C066761"/>
    <w:rsid w:val="2C102D89"/>
    <w:rsid w:val="2C26405E"/>
    <w:rsid w:val="2C2B4F69"/>
    <w:rsid w:val="2C6223F8"/>
    <w:rsid w:val="2C7E7C57"/>
    <w:rsid w:val="2CA969A4"/>
    <w:rsid w:val="2CBC47C0"/>
    <w:rsid w:val="2CEF3993"/>
    <w:rsid w:val="2D1D2981"/>
    <w:rsid w:val="2D3F7220"/>
    <w:rsid w:val="2D403450"/>
    <w:rsid w:val="2D514F5A"/>
    <w:rsid w:val="2D55028C"/>
    <w:rsid w:val="2DC726B0"/>
    <w:rsid w:val="2EC102CF"/>
    <w:rsid w:val="2EF31D53"/>
    <w:rsid w:val="2F191EB9"/>
    <w:rsid w:val="2F3A3BDD"/>
    <w:rsid w:val="2F616848"/>
    <w:rsid w:val="2F7F4332"/>
    <w:rsid w:val="2F904AFB"/>
    <w:rsid w:val="2F9A78DA"/>
    <w:rsid w:val="2FA442B2"/>
    <w:rsid w:val="2FB614B6"/>
    <w:rsid w:val="2FBC30A0"/>
    <w:rsid w:val="2FC31B10"/>
    <w:rsid w:val="2FFF3CA5"/>
    <w:rsid w:val="30383C54"/>
    <w:rsid w:val="303A3929"/>
    <w:rsid w:val="30556F21"/>
    <w:rsid w:val="30866EA0"/>
    <w:rsid w:val="308A2CCB"/>
    <w:rsid w:val="30C05F37"/>
    <w:rsid w:val="30CA278B"/>
    <w:rsid w:val="30D1097F"/>
    <w:rsid w:val="30E80308"/>
    <w:rsid w:val="30EC3287"/>
    <w:rsid w:val="31207FF0"/>
    <w:rsid w:val="312608BD"/>
    <w:rsid w:val="31961274"/>
    <w:rsid w:val="32087F49"/>
    <w:rsid w:val="32384404"/>
    <w:rsid w:val="326276D3"/>
    <w:rsid w:val="32934807"/>
    <w:rsid w:val="32A5054C"/>
    <w:rsid w:val="32C06587"/>
    <w:rsid w:val="333A41AC"/>
    <w:rsid w:val="333C43AB"/>
    <w:rsid w:val="33462579"/>
    <w:rsid w:val="33CE0351"/>
    <w:rsid w:val="33DC1707"/>
    <w:rsid w:val="3409619C"/>
    <w:rsid w:val="34622B4C"/>
    <w:rsid w:val="34725C47"/>
    <w:rsid w:val="347E631A"/>
    <w:rsid w:val="34A044E2"/>
    <w:rsid w:val="34A645A5"/>
    <w:rsid w:val="34E77D97"/>
    <w:rsid w:val="355772A1"/>
    <w:rsid w:val="355F2CD7"/>
    <w:rsid w:val="35702107"/>
    <w:rsid w:val="359A7184"/>
    <w:rsid w:val="35BF6BA4"/>
    <w:rsid w:val="36784714"/>
    <w:rsid w:val="36C42B59"/>
    <w:rsid w:val="36D910CD"/>
    <w:rsid w:val="36DE02F9"/>
    <w:rsid w:val="37286A01"/>
    <w:rsid w:val="374047CB"/>
    <w:rsid w:val="37751C56"/>
    <w:rsid w:val="377F1E56"/>
    <w:rsid w:val="378E1F94"/>
    <w:rsid w:val="37C1675C"/>
    <w:rsid w:val="37C61798"/>
    <w:rsid w:val="37CE6FB4"/>
    <w:rsid w:val="37D824B3"/>
    <w:rsid w:val="37EF7637"/>
    <w:rsid w:val="38170F5F"/>
    <w:rsid w:val="38294D3D"/>
    <w:rsid w:val="38336379"/>
    <w:rsid w:val="38497D62"/>
    <w:rsid w:val="38740C7B"/>
    <w:rsid w:val="38B20E17"/>
    <w:rsid w:val="38FE5C7B"/>
    <w:rsid w:val="3915350C"/>
    <w:rsid w:val="396F424B"/>
    <w:rsid w:val="397C0A27"/>
    <w:rsid w:val="398C3287"/>
    <w:rsid w:val="39A91C53"/>
    <w:rsid w:val="39C26CA9"/>
    <w:rsid w:val="39EB6200"/>
    <w:rsid w:val="3A222E1C"/>
    <w:rsid w:val="3A634A53"/>
    <w:rsid w:val="3AA51531"/>
    <w:rsid w:val="3AAE2AE2"/>
    <w:rsid w:val="3AB47F7C"/>
    <w:rsid w:val="3AD622BD"/>
    <w:rsid w:val="3ADA061A"/>
    <w:rsid w:val="3ADD7314"/>
    <w:rsid w:val="3AE202E4"/>
    <w:rsid w:val="3B0357CB"/>
    <w:rsid w:val="3B8328C0"/>
    <w:rsid w:val="3B8A21A7"/>
    <w:rsid w:val="3BD86C58"/>
    <w:rsid w:val="3C230984"/>
    <w:rsid w:val="3C4640F1"/>
    <w:rsid w:val="3C6E269A"/>
    <w:rsid w:val="3C7324DC"/>
    <w:rsid w:val="3CAD1E92"/>
    <w:rsid w:val="3CD0257B"/>
    <w:rsid w:val="3CF4404D"/>
    <w:rsid w:val="3CFC0724"/>
    <w:rsid w:val="3D0C5D92"/>
    <w:rsid w:val="3D2A6261"/>
    <w:rsid w:val="3D6A7D83"/>
    <w:rsid w:val="3D7D2B09"/>
    <w:rsid w:val="3D9E4D9F"/>
    <w:rsid w:val="3DF840C3"/>
    <w:rsid w:val="3E55633E"/>
    <w:rsid w:val="3E764C43"/>
    <w:rsid w:val="3ED425B5"/>
    <w:rsid w:val="3EDE7A75"/>
    <w:rsid w:val="3F042347"/>
    <w:rsid w:val="3F192EF0"/>
    <w:rsid w:val="3F1E1F32"/>
    <w:rsid w:val="3F80537F"/>
    <w:rsid w:val="3F970576"/>
    <w:rsid w:val="3FD70F98"/>
    <w:rsid w:val="3FDA20AA"/>
    <w:rsid w:val="3FF748BF"/>
    <w:rsid w:val="3FFD4EBE"/>
    <w:rsid w:val="40061FE5"/>
    <w:rsid w:val="40621AEC"/>
    <w:rsid w:val="408353E4"/>
    <w:rsid w:val="40B56D2B"/>
    <w:rsid w:val="40CE2F7F"/>
    <w:rsid w:val="40E340D5"/>
    <w:rsid w:val="40F469A5"/>
    <w:rsid w:val="40F96EFC"/>
    <w:rsid w:val="41076015"/>
    <w:rsid w:val="411B460E"/>
    <w:rsid w:val="414E7D77"/>
    <w:rsid w:val="414F1381"/>
    <w:rsid w:val="41611F59"/>
    <w:rsid w:val="41760AA5"/>
    <w:rsid w:val="418B1ECD"/>
    <w:rsid w:val="419378A9"/>
    <w:rsid w:val="41BE6B60"/>
    <w:rsid w:val="41E6036F"/>
    <w:rsid w:val="42187F93"/>
    <w:rsid w:val="421E707A"/>
    <w:rsid w:val="42BD0BFF"/>
    <w:rsid w:val="4303280C"/>
    <w:rsid w:val="4321176F"/>
    <w:rsid w:val="432601DF"/>
    <w:rsid w:val="435B61A4"/>
    <w:rsid w:val="43961BF1"/>
    <w:rsid w:val="43B46DA9"/>
    <w:rsid w:val="43D235D6"/>
    <w:rsid w:val="43D52C86"/>
    <w:rsid w:val="440511E7"/>
    <w:rsid w:val="440F2A5D"/>
    <w:rsid w:val="44257280"/>
    <w:rsid w:val="44332C7D"/>
    <w:rsid w:val="446C4578"/>
    <w:rsid w:val="44A9046D"/>
    <w:rsid w:val="44C22253"/>
    <w:rsid w:val="44CA2BB2"/>
    <w:rsid w:val="44DC50C3"/>
    <w:rsid w:val="44DE24C8"/>
    <w:rsid w:val="44FC39B7"/>
    <w:rsid w:val="452D7D95"/>
    <w:rsid w:val="452F4035"/>
    <w:rsid w:val="456E6A01"/>
    <w:rsid w:val="457C68A6"/>
    <w:rsid w:val="4596637D"/>
    <w:rsid w:val="45C80F91"/>
    <w:rsid w:val="45DD4736"/>
    <w:rsid w:val="460F03AD"/>
    <w:rsid w:val="462A1776"/>
    <w:rsid w:val="465562E4"/>
    <w:rsid w:val="46B856BC"/>
    <w:rsid w:val="46D82FE0"/>
    <w:rsid w:val="46EE37D3"/>
    <w:rsid w:val="4745141E"/>
    <w:rsid w:val="475C289D"/>
    <w:rsid w:val="476D7095"/>
    <w:rsid w:val="47A41B44"/>
    <w:rsid w:val="47B070CC"/>
    <w:rsid w:val="47CD3757"/>
    <w:rsid w:val="48137F50"/>
    <w:rsid w:val="48330843"/>
    <w:rsid w:val="483B5499"/>
    <w:rsid w:val="485816B9"/>
    <w:rsid w:val="486D24D6"/>
    <w:rsid w:val="489B73F4"/>
    <w:rsid w:val="48D14268"/>
    <w:rsid w:val="49140E71"/>
    <w:rsid w:val="497B17D7"/>
    <w:rsid w:val="49822D1E"/>
    <w:rsid w:val="499F1CED"/>
    <w:rsid w:val="4A002008"/>
    <w:rsid w:val="4A12596A"/>
    <w:rsid w:val="4A192915"/>
    <w:rsid w:val="4A1932A7"/>
    <w:rsid w:val="4A2A355F"/>
    <w:rsid w:val="4A344E14"/>
    <w:rsid w:val="4A553AEB"/>
    <w:rsid w:val="4AB23A41"/>
    <w:rsid w:val="4ADA20A4"/>
    <w:rsid w:val="4AEC1DD8"/>
    <w:rsid w:val="4B1C72C6"/>
    <w:rsid w:val="4B2E1083"/>
    <w:rsid w:val="4B423779"/>
    <w:rsid w:val="4B4875B2"/>
    <w:rsid w:val="4B6C051A"/>
    <w:rsid w:val="4B716A37"/>
    <w:rsid w:val="4B771FE9"/>
    <w:rsid w:val="4B7A6D3E"/>
    <w:rsid w:val="4B8336DF"/>
    <w:rsid w:val="4BB40161"/>
    <w:rsid w:val="4BB604C9"/>
    <w:rsid w:val="4BC15DB1"/>
    <w:rsid w:val="4BCA2E30"/>
    <w:rsid w:val="4BDC4C8F"/>
    <w:rsid w:val="4C0D2A38"/>
    <w:rsid w:val="4C7D78BC"/>
    <w:rsid w:val="4C800A2A"/>
    <w:rsid w:val="4C816990"/>
    <w:rsid w:val="4C8D1C7E"/>
    <w:rsid w:val="4CBB2430"/>
    <w:rsid w:val="4CE23492"/>
    <w:rsid w:val="4CE66BB4"/>
    <w:rsid w:val="4CFE449D"/>
    <w:rsid w:val="4D0E24D9"/>
    <w:rsid w:val="4D35262D"/>
    <w:rsid w:val="4D453A21"/>
    <w:rsid w:val="4D814A59"/>
    <w:rsid w:val="4D9501AA"/>
    <w:rsid w:val="4DAE7880"/>
    <w:rsid w:val="4DE4522D"/>
    <w:rsid w:val="4DE54E4E"/>
    <w:rsid w:val="4DE65204"/>
    <w:rsid w:val="4E01203E"/>
    <w:rsid w:val="4E191136"/>
    <w:rsid w:val="4E5B4D57"/>
    <w:rsid w:val="4EBF473E"/>
    <w:rsid w:val="4EDC5AE3"/>
    <w:rsid w:val="4EEC23A6"/>
    <w:rsid w:val="4F0962F7"/>
    <w:rsid w:val="4F4D0525"/>
    <w:rsid w:val="4F7B372A"/>
    <w:rsid w:val="4FAA2D7A"/>
    <w:rsid w:val="4FBF3684"/>
    <w:rsid w:val="50193F88"/>
    <w:rsid w:val="502838B2"/>
    <w:rsid w:val="504E29AC"/>
    <w:rsid w:val="506D7517"/>
    <w:rsid w:val="50722D7F"/>
    <w:rsid w:val="509E7ED3"/>
    <w:rsid w:val="50C14116"/>
    <w:rsid w:val="50CF7583"/>
    <w:rsid w:val="517B1846"/>
    <w:rsid w:val="51C1004A"/>
    <w:rsid w:val="51C55131"/>
    <w:rsid w:val="51DD6532"/>
    <w:rsid w:val="51E5435A"/>
    <w:rsid w:val="51E8516E"/>
    <w:rsid w:val="524D0D12"/>
    <w:rsid w:val="525F5585"/>
    <w:rsid w:val="52754C7C"/>
    <w:rsid w:val="5305612D"/>
    <w:rsid w:val="531B2202"/>
    <w:rsid w:val="53446002"/>
    <w:rsid w:val="53487DC7"/>
    <w:rsid w:val="534F73A8"/>
    <w:rsid w:val="539F20DD"/>
    <w:rsid w:val="53B37671"/>
    <w:rsid w:val="53D11B24"/>
    <w:rsid w:val="53DD1C7F"/>
    <w:rsid w:val="54990B4B"/>
    <w:rsid w:val="54B474CB"/>
    <w:rsid w:val="54B737B3"/>
    <w:rsid w:val="54BB6779"/>
    <w:rsid w:val="54CB0CB0"/>
    <w:rsid w:val="54F43482"/>
    <w:rsid w:val="550D12C8"/>
    <w:rsid w:val="55656508"/>
    <w:rsid w:val="55794F37"/>
    <w:rsid w:val="55930BA9"/>
    <w:rsid w:val="560F1D22"/>
    <w:rsid w:val="56FE4611"/>
    <w:rsid w:val="570006EC"/>
    <w:rsid w:val="57783371"/>
    <w:rsid w:val="57AD7989"/>
    <w:rsid w:val="57FF13C3"/>
    <w:rsid w:val="580A4D28"/>
    <w:rsid w:val="585B3040"/>
    <w:rsid w:val="58931AE5"/>
    <w:rsid w:val="58B02697"/>
    <w:rsid w:val="58B8154B"/>
    <w:rsid w:val="58BD4DB3"/>
    <w:rsid w:val="58BF06AF"/>
    <w:rsid w:val="58E13E82"/>
    <w:rsid w:val="591A3976"/>
    <w:rsid w:val="59247AB6"/>
    <w:rsid w:val="59407F55"/>
    <w:rsid w:val="59524AA9"/>
    <w:rsid w:val="59697262"/>
    <w:rsid w:val="59710ED9"/>
    <w:rsid w:val="59C77412"/>
    <w:rsid w:val="59DB0C9E"/>
    <w:rsid w:val="59F20A8D"/>
    <w:rsid w:val="5A130CCF"/>
    <w:rsid w:val="5A91241B"/>
    <w:rsid w:val="5AD17CB5"/>
    <w:rsid w:val="5B00763D"/>
    <w:rsid w:val="5B2C6A6F"/>
    <w:rsid w:val="5B59529B"/>
    <w:rsid w:val="5B5B5462"/>
    <w:rsid w:val="5B6804D3"/>
    <w:rsid w:val="5B7C1E14"/>
    <w:rsid w:val="5BBC1352"/>
    <w:rsid w:val="5BFA37C1"/>
    <w:rsid w:val="5C0804E1"/>
    <w:rsid w:val="5CB111CA"/>
    <w:rsid w:val="5CB84210"/>
    <w:rsid w:val="5CC3772C"/>
    <w:rsid w:val="5CE64AC5"/>
    <w:rsid w:val="5CF51204"/>
    <w:rsid w:val="5D797699"/>
    <w:rsid w:val="5DD230AF"/>
    <w:rsid w:val="5E145476"/>
    <w:rsid w:val="5E1E00A2"/>
    <w:rsid w:val="5E326200"/>
    <w:rsid w:val="5E3D4F30"/>
    <w:rsid w:val="5E3E3A44"/>
    <w:rsid w:val="5E7A690F"/>
    <w:rsid w:val="5EAC043D"/>
    <w:rsid w:val="5EC52CC0"/>
    <w:rsid w:val="5EE5272D"/>
    <w:rsid w:val="5EF12DFD"/>
    <w:rsid w:val="5EF644FC"/>
    <w:rsid w:val="5F2E6B06"/>
    <w:rsid w:val="5F850ED3"/>
    <w:rsid w:val="5F9B76A2"/>
    <w:rsid w:val="5FC1162D"/>
    <w:rsid w:val="5FC15189"/>
    <w:rsid w:val="5FCB4F59"/>
    <w:rsid w:val="5FFE7F3F"/>
    <w:rsid w:val="60193217"/>
    <w:rsid w:val="60F04094"/>
    <w:rsid w:val="612051CA"/>
    <w:rsid w:val="61532759"/>
    <w:rsid w:val="61691F7C"/>
    <w:rsid w:val="61F335F4"/>
    <w:rsid w:val="624B3B22"/>
    <w:rsid w:val="62500A46"/>
    <w:rsid w:val="629369C0"/>
    <w:rsid w:val="629B46F9"/>
    <w:rsid w:val="62A65A7E"/>
    <w:rsid w:val="62AA0157"/>
    <w:rsid w:val="62BF3DF4"/>
    <w:rsid w:val="62F833DD"/>
    <w:rsid w:val="63363B3D"/>
    <w:rsid w:val="634115D1"/>
    <w:rsid w:val="63863C12"/>
    <w:rsid w:val="638E01A3"/>
    <w:rsid w:val="63ED4E73"/>
    <w:rsid w:val="644F259F"/>
    <w:rsid w:val="64586651"/>
    <w:rsid w:val="646A5DEF"/>
    <w:rsid w:val="646A5FF4"/>
    <w:rsid w:val="646E1C3A"/>
    <w:rsid w:val="64820BA7"/>
    <w:rsid w:val="64930CCE"/>
    <w:rsid w:val="64B77267"/>
    <w:rsid w:val="64DF3A80"/>
    <w:rsid w:val="650A1380"/>
    <w:rsid w:val="65566374"/>
    <w:rsid w:val="6594722D"/>
    <w:rsid w:val="65B667DF"/>
    <w:rsid w:val="66292807"/>
    <w:rsid w:val="662B5EFD"/>
    <w:rsid w:val="66364C47"/>
    <w:rsid w:val="66A54F91"/>
    <w:rsid w:val="66D659BE"/>
    <w:rsid w:val="66EC042F"/>
    <w:rsid w:val="67114383"/>
    <w:rsid w:val="67570D15"/>
    <w:rsid w:val="67607CCD"/>
    <w:rsid w:val="6767351E"/>
    <w:rsid w:val="676E20FA"/>
    <w:rsid w:val="67960A1A"/>
    <w:rsid w:val="67AA29A7"/>
    <w:rsid w:val="681273DF"/>
    <w:rsid w:val="681B78C8"/>
    <w:rsid w:val="681F5B58"/>
    <w:rsid w:val="688C6B40"/>
    <w:rsid w:val="68BA76C2"/>
    <w:rsid w:val="68BC7FCD"/>
    <w:rsid w:val="68C35A76"/>
    <w:rsid w:val="68D47BF1"/>
    <w:rsid w:val="69951B60"/>
    <w:rsid w:val="69EE2B4F"/>
    <w:rsid w:val="69EF14EB"/>
    <w:rsid w:val="69F148BD"/>
    <w:rsid w:val="6A33479F"/>
    <w:rsid w:val="6A3749C6"/>
    <w:rsid w:val="6A57631E"/>
    <w:rsid w:val="6A9E2C97"/>
    <w:rsid w:val="6AB029CA"/>
    <w:rsid w:val="6AB261E2"/>
    <w:rsid w:val="6ACC0BC3"/>
    <w:rsid w:val="6ADD4F1D"/>
    <w:rsid w:val="6B4E468F"/>
    <w:rsid w:val="6B8E4AB9"/>
    <w:rsid w:val="6B9D2F4E"/>
    <w:rsid w:val="6BD01573"/>
    <w:rsid w:val="6BE12B4E"/>
    <w:rsid w:val="6BF123BD"/>
    <w:rsid w:val="6C4933FE"/>
    <w:rsid w:val="6C5735DF"/>
    <w:rsid w:val="6C7F4402"/>
    <w:rsid w:val="6C97382C"/>
    <w:rsid w:val="6CA668F9"/>
    <w:rsid w:val="6CAC49DC"/>
    <w:rsid w:val="6CAE1146"/>
    <w:rsid w:val="6CC900C5"/>
    <w:rsid w:val="6D4A0EB4"/>
    <w:rsid w:val="6D650B78"/>
    <w:rsid w:val="6D6B0C76"/>
    <w:rsid w:val="6D944EEE"/>
    <w:rsid w:val="6DBE3D39"/>
    <w:rsid w:val="6DEF7183"/>
    <w:rsid w:val="6E374497"/>
    <w:rsid w:val="6E3D245C"/>
    <w:rsid w:val="6E3F3E89"/>
    <w:rsid w:val="6E445AC1"/>
    <w:rsid w:val="6E6E0BD2"/>
    <w:rsid w:val="6E724410"/>
    <w:rsid w:val="6E874588"/>
    <w:rsid w:val="6E8E4DD0"/>
    <w:rsid w:val="6EC1096F"/>
    <w:rsid w:val="6EDC3D8E"/>
    <w:rsid w:val="6EE32DAF"/>
    <w:rsid w:val="6F165B7E"/>
    <w:rsid w:val="6F25166A"/>
    <w:rsid w:val="6F42195E"/>
    <w:rsid w:val="6F98746A"/>
    <w:rsid w:val="6FC2251A"/>
    <w:rsid w:val="6FCA0660"/>
    <w:rsid w:val="70094671"/>
    <w:rsid w:val="7047154E"/>
    <w:rsid w:val="708244C1"/>
    <w:rsid w:val="70B60154"/>
    <w:rsid w:val="70C055FD"/>
    <w:rsid w:val="70E3263F"/>
    <w:rsid w:val="70F7107E"/>
    <w:rsid w:val="7113292D"/>
    <w:rsid w:val="71156833"/>
    <w:rsid w:val="71192B55"/>
    <w:rsid w:val="711A3F7D"/>
    <w:rsid w:val="712261CB"/>
    <w:rsid w:val="71505831"/>
    <w:rsid w:val="71540355"/>
    <w:rsid w:val="718F50E7"/>
    <w:rsid w:val="71A0238A"/>
    <w:rsid w:val="71EC3995"/>
    <w:rsid w:val="72042F3F"/>
    <w:rsid w:val="722C24EC"/>
    <w:rsid w:val="72447A17"/>
    <w:rsid w:val="72835508"/>
    <w:rsid w:val="72AB5223"/>
    <w:rsid w:val="72B648F6"/>
    <w:rsid w:val="72C60B6F"/>
    <w:rsid w:val="72C97AEC"/>
    <w:rsid w:val="731955B0"/>
    <w:rsid w:val="733D0EE2"/>
    <w:rsid w:val="735A34D3"/>
    <w:rsid w:val="735B7C4E"/>
    <w:rsid w:val="73621181"/>
    <w:rsid w:val="737E3665"/>
    <w:rsid w:val="737E5413"/>
    <w:rsid w:val="73821103"/>
    <w:rsid w:val="73923E95"/>
    <w:rsid w:val="73BC5F3C"/>
    <w:rsid w:val="74051691"/>
    <w:rsid w:val="74402251"/>
    <w:rsid w:val="744D4DE6"/>
    <w:rsid w:val="74530903"/>
    <w:rsid w:val="745C0078"/>
    <w:rsid w:val="74EC2CAE"/>
    <w:rsid w:val="74FA08D0"/>
    <w:rsid w:val="751D2A0A"/>
    <w:rsid w:val="7521452D"/>
    <w:rsid w:val="753139F5"/>
    <w:rsid w:val="7567247A"/>
    <w:rsid w:val="75B710B1"/>
    <w:rsid w:val="75BA46FD"/>
    <w:rsid w:val="75BD770A"/>
    <w:rsid w:val="75BF7F65"/>
    <w:rsid w:val="75C3474C"/>
    <w:rsid w:val="75D4756D"/>
    <w:rsid w:val="75E03735"/>
    <w:rsid w:val="761222C9"/>
    <w:rsid w:val="764A711D"/>
    <w:rsid w:val="76996B67"/>
    <w:rsid w:val="76A94A77"/>
    <w:rsid w:val="76E70BB6"/>
    <w:rsid w:val="775C5A5E"/>
    <w:rsid w:val="777902A5"/>
    <w:rsid w:val="778256B4"/>
    <w:rsid w:val="779F00BB"/>
    <w:rsid w:val="784C488F"/>
    <w:rsid w:val="78AE1FE3"/>
    <w:rsid w:val="78F8200B"/>
    <w:rsid w:val="79207802"/>
    <w:rsid w:val="794A169D"/>
    <w:rsid w:val="79566F61"/>
    <w:rsid w:val="79984D55"/>
    <w:rsid w:val="79AC25AE"/>
    <w:rsid w:val="79BF261D"/>
    <w:rsid w:val="79E9735F"/>
    <w:rsid w:val="79EA4A0A"/>
    <w:rsid w:val="79F6101D"/>
    <w:rsid w:val="7A141937"/>
    <w:rsid w:val="7A1B53D2"/>
    <w:rsid w:val="7A786377"/>
    <w:rsid w:val="7A816DC5"/>
    <w:rsid w:val="7AD44ED4"/>
    <w:rsid w:val="7ADA17FB"/>
    <w:rsid w:val="7B2965AD"/>
    <w:rsid w:val="7B2F5245"/>
    <w:rsid w:val="7B4E320B"/>
    <w:rsid w:val="7B5B3C66"/>
    <w:rsid w:val="7B8732D3"/>
    <w:rsid w:val="7C190DFA"/>
    <w:rsid w:val="7C30396B"/>
    <w:rsid w:val="7C701910"/>
    <w:rsid w:val="7C8141C6"/>
    <w:rsid w:val="7C814763"/>
    <w:rsid w:val="7CA3734F"/>
    <w:rsid w:val="7CB64F87"/>
    <w:rsid w:val="7CBA5B9E"/>
    <w:rsid w:val="7D357A35"/>
    <w:rsid w:val="7D3D07C4"/>
    <w:rsid w:val="7D6C09D3"/>
    <w:rsid w:val="7D9161BE"/>
    <w:rsid w:val="7DB52379"/>
    <w:rsid w:val="7DCB4147"/>
    <w:rsid w:val="7DD42AAB"/>
    <w:rsid w:val="7DDB081E"/>
    <w:rsid w:val="7DE92023"/>
    <w:rsid w:val="7DFE5BC8"/>
    <w:rsid w:val="7E180B24"/>
    <w:rsid w:val="7E1D3A7B"/>
    <w:rsid w:val="7E204697"/>
    <w:rsid w:val="7E492AC2"/>
    <w:rsid w:val="7E527BC8"/>
    <w:rsid w:val="7E573431"/>
    <w:rsid w:val="7E6C7AF0"/>
    <w:rsid w:val="7E897216"/>
    <w:rsid w:val="7ED70123"/>
    <w:rsid w:val="7EDB08CB"/>
    <w:rsid w:val="7EFF70BD"/>
    <w:rsid w:val="7F46441E"/>
    <w:rsid w:val="7F6E32D8"/>
    <w:rsid w:val="7F8D093A"/>
    <w:rsid w:val="7F901504"/>
    <w:rsid w:val="7F934B69"/>
    <w:rsid w:val="7FE350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line="560" w:lineRule="exact"/>
      <w:ind w:firstLine="880" w:firstLineChars="200"/>
      <w:outlineLvl w:val="0"/>
    </w:pPr>
    <w:rPr>
      <w:rFonts w:eastAsia="黑体"/>
      <w:kern w:val="44"/>
      <w:sz w:val="32"/>
    </w:rPr>
  </w:style>
  <w:style w:type="paragraph" w:styleId="3">
    <w:name w:val="heading 2"/>
    <w:basedOn w:val="1"/>
    <w:next w:val="1"/>
    <w:link w:val="24"/>
    <w:unhideWhenUsed/>
    <w:qFormat/>
    <w:uiPriority w:val="0"/>
    <w:pPr>
      <w:keepNext/>
      <w:keepLines/>
      <w:spacing w:line="560" w:lineRule="exact"/>
      <w:ind w:firstLine="880" w:firstLineChars="200"/>
      <w:outlineLvl w:val="1"/>
    </w:pPr>
    <w:rPr>
      <w:rFonts w:ascii="Arial" w:hAnsi="Arial" w:eastAsia="楷体"/>
      <w:b/>
      <w:sz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ody Text"/>
    <w:basedOn w:val="1"/>
    <w:next w:val="1"/>
    <w:qFormat/>
    <w:uiPriority w:val="0"/>
    <w:pPr>
      <w:spacing w:line="600" w:lineRule="exact"/>
    </w:pPr>
    <w:rPr>
      <w:rFonts w:ascii="仿宋_GB2312" w:hAnsi="宋体" w:eastAsia="仿宋_GB2312" w:cs="Times New Roman"/>
      <w:sz w:val="32"/>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toc 1"/>
    <w:basedOn w:val="1"/>
    <w:next w:val="1"/>
    <w:qFormat/>
    <w:uiPriority w:val="0"/>
  </w:style>
  <w:style w:type="paragraph" w:styleId="8">
    <w:name w:val="footnote text"/>
    <w:basedOn w:val="1"/>
    <w:qFormat/>
    <w:uiPriority w:val="0"/>
    <w:pPr>
      <w:snapToGrid w:val="0"/>
      <w:jc w:val="left"/>
    </w:pPr>
    <w:rPr>
      <w:sz w:val="18"/>
      <w:szCs w:val="18"/>
    </w:rPr>
  </w:style>
  <w:style w:type="paragraph" w:styleId="9">
    <w:name w:val="toc 2"/>
    <w:basedOn w:val="1"/>
    <w:next w:val="1"/>
    <w:qFormat/>
    <w:uiPriority w:val="0"/>
    <w:pPr>
      <w:ind w:left="420" w:leftChars="200"/>
    </w:p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Strong"/>
    <w:basedOn w:val="12"/>
    <w:qFormat/>
    <w:uiPriority w:val="0"/>
    <w:rPr>
      <w:b/>
      <w:bCs/>
    </w:rPr>
  </w:style>
  <w:style w:type="character" w:styleId="14">
    <w:name w:val="Hyperlink"/>
    <w:basedOn w:val="12"/>
    <w:qFormat/>
    <w:uiPriority w:val="0"/>
    <w:rPr>
      <w:color w:val="0000FF"/>
      <w:u w:val="single"/>
    </w:rPr>
  </w:style>
  <w:style w:type="character" w:styleId="15">
    <w:name w:val="footnote reference"/>
    <w:basedOn w:val="12"/>
    <w:qFormat/>
    <w:uiPriority w:val="0"/>
    <w:rPr>
      <w:vertAlign w:val="superscript"/>
    </w:rPr>
  </w:style>
  <w:style w:type="paragraph" w:customStyle="1" w:styleId="16">
    <w:name w:val="正文文本首行缩进 21"/>
    <w:basedOn w:val="17"/>
    <w:qFormat/>
    <w:uiPriority w:val="99"/>
    <w:pPr>
      <w:ind w:firstLine="420" w:firstLineChars="200"/>
    </w:pPr>
  </w:style>
  <w:style w:type="paragraph" w:customStyle="1" w:styleId="17">
    <w:name w:val="正文文本缩进1"/>
    <w:basedOn w:val="1"/>
    <w:qFormat/>
    <w:uiPriority w:val="0"/>
    <w:pPr>
      <w:spacing w:after="120"/>
      <w:ind w:left="420" w:leftChars="200"/>
    </w:pPr>
    <w:rPr>
      <w:sz w:val="24"/>
    </w:rPr>
  </w:style>
  <w:style w:type="paragraph" w:customStyle="1" w:styleId="18">
    <w:name w:val="Plain Text1"/>
    <w:basedOn w:val="1"/>
    <w:qFormat/>
    <w:uiPriority w:val="0"/>
    <w:rPr>
      <w:rFonts w:ascii="宋体" w:hAnsi="Courier New" w:cs="Courier New"/>
      <w:szCs w:val="21"/>
    </w:rPr>
  </w:style>
  <w:style w:type="paragraph" w:customStyle="1" w:styleId="19">
    <w:name w:val="纯文本1"/>
    <w:basedOn w:val="1"/>
    <w:qFormat/>
    <w:uiPriority w:val="0"/>
    <w:rPr>
      <w:rFonts w:ascii="宋体" w:hAnsi="Courier New" w:cs="Courier New"/>
      <w:szCs w:val="21"/>
    </w:rPr>
  </w:style>
  <w:style w:type="paragraph" w:customStyle="1" w:styleId="20">
    <w:name w:val="正文首行缩进 21"/>
    <w:basedOn w:val="21"/>
    <w:qFormat/>
    <w:uiPriority w:val="99"/>
    <w:pPr>
      <w:ind w:firstLine="420" w:firstLineChars="200"/>
    </w:pPr>
  </w:style>
  <w:style w:type="paragraph" w:customStyle="1" w:styleId="21">
    <w:name w:val="正文文本缩进11"/>
    <w:basedOn w:val="1"/>
    <w:qFormat/>
    <w:uiPriority w:val="99"/>
    <w:pPr>
      <w:spacing w:after="120"/>
      <w:ind w:left="420" w:leftChars="200"/>
    </w:pPr>
    <w:rPr>
      <w:sz w:val="24"/>
    </w:rPr>
  </w:style>
  <w:style w:type="paragraph" w:customStyle="1" w:styleId="22">
    <w:name w:val="正文文本首行缩进 211"/>
    <w:basedOn w:val="21"/>
    <w:qFormat/>
    <w:uiPriority w:val="99"/>
    <w:pPr>
      <w:ind w:firstLine="420" w:firstLineChars="200"/>
    </w:pPr>
  </w:style>
  <w:style w:type="paragraph" w:customStyle="1" w:styleId="23">
    <w:name w:val="1正文"/>
    <w:basedOn w:val="1"/>
    <w:qFormat/>
    <w:uiPriority w:val="0"/>
    <w:pPr>
      <w:spacing w:line="360" w:lineRule="auto"/>
      <w:ind w:firstLine="200" w:firstLineChars="200"/>
    </w:pPr>
    <w:rPr>
      <w:rFonts w:ascii="宋体"/>
      <w:kern w:val="0"/>
      <w:sz w:val="28"/>
      <w:szCs w:val="28"/>
    </w:rPr>
  </w:style>
  <w:style w:type="character" w:customStyle="1" w:styleId="24">
    <w:name w:val="标题 2 字符"/>
    <w:link w:val="3"/>
    <w:qFormat/>
    <w:uiPriority w:val="0"/>
    <w:rPr>
      <w:rFonts w:ascii="Arial" w:hAnsi="Arial" w:eastAsia="楷体"/>
      <w:b/>
      <w:sz w:val="32"/>
    </w:rPr>
  </w:style>
  <w:style w:type="paragraph" w:customStyle="1" w:styleId="25">
    <w:name w:val="纯文本11"/>
    <w:basedOn w:val="1"/>
    <w:qFormat/>
    <w:uiPriority w:val="0"/>
    <w:rPr>
      <w:rFonts w:ascii="宋体" w:hAnsi="Courier New" w:cs="Courier New"/>
      <w:szCs w:val="21"/>
    </w:rPr>
  </w:style>
  <w:style w:type="paragraph" w:customStyle="1" w:styleId="26">
    <w:name w:val="Char1 Char Char Char"/>
    <w:basedOn w:val="1"/>
    <w:qFormat/>
    <w:uiPriority w:val="0"/>
    <w:pPr>
      <w:widowControl/>
      <w:spacing w:after="160" w:line="240" w:lineRule="exact"/>
      <w:jc w:val="left"/>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21</Pages>
  <Words>506</Words>
  <Characters>526</Characters>
  <Lines>70</Lines>
  <Paragraphs>19</Paragraphs>
  <TotalTime>4</TotalTime>
  <ScaleCrop>false</ScaleCrop>
  <LinksUpToDate>false</LinksUpToDate>
  <CharactersWithSpaces>598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2025-02-24T07:15:00Z</dcterms:created>
  <dc:creator>jcwzd</dc:creator>
  <cp:lastModifiedBy>Ace</cp:lastModifiedBy>
  <cp:lastPrinted>2025-02-10T06:19:00Z</cp:lastPrinted>
  <dcterms:modified xsi:type="dcterms:W3CDTF">2026-03-30T08:53:55Z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2B18F3181F2E4A0DB5F11D1D57F37D4B_13</vt:lpwstr>
  </property>
  <property fmtid="{D5CDD505-2E9C-101B-9397-08002B2CF9AE}" pid="4" name="KSOTemplateDocerSaveRecord">
    <vt:lpwstr>eyJoZGlkIjoiM2Y1ZWM2MTljZjczZThjYzhkZWE3ZTE4ZTJkZTRhZGIiLCJ1c2VySWQiOiI0Mjg3MTU0MzcifQ==</vt:lpwstr>
  </property>
</Properties>
</file>