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354D6C">
      <w:pPr>
        <w:pStyle w:val="77"/>
        <w:tabs>
          <w:tab w:val="left" w:pos="3570"/>
          <w:tab w:val="left" w:pos="5040"/>
          <w:tab w:val="left" w:pos="5670"/>
          <w:tab w:val="left" w:pos="5880"/>
          <w:tab w:val="left" w:pos="6240"/>
        </w:tabs>
        <w:autoSpaceDE/>
        <w:autoSpaceDN/>
        <w:adjustRightInd/>
        <w:spacing w:before="0" w:beforeAutospacing="0" w:after="0" w:afterAutospacing="0" w:line="240" w:lineRule="auto"/>
        <w:ind w:firstLine="0" w:firstLineChars="0"/>
        <w:jc w:val="both"/>
        <w:outlineLvl w:val="0"/>
        <w:rPr>
          <w:rFonts w:ascii="Times New Roman" w:hAnsi="Times New Roman" w:eastAsiaTheme="minorEastAsia"/>
          <w:b/>
          <w:bCs/>
          <w:snapToGrid w:val="0"/>
          <w:color w:val="auto"/>
          <w:sz w:val="32"/>
          <w:szCs w:val="32"/>
          <w:highlight w:val="none"/>
        </w:rPr>
      </w:pPr>
      <w:r>
        <w:rPr>
          <w:rFonts w:ascii="Times New Roman" w:hAnsi="Times New Roman" w:eastAsiaTheme="minorEastAsia"/>
          <w:b/>
          <w:bCs/>
          <w:snapToGrid w:val="0"/>
          <w:color w:val="auto"/>
          <w:sz w:val="32"/>
          <w:szCs w:val="32"/>
          <w:highlight w:val="none"/>
        </w:rPr>
        <w:t>一、建设项目基本情况</w:t>
      </w:r>
    </w:p>
    <w:tbl>
      <w:tblPr>
        <w:tblStyle w:val="84"/>
        <w:tblW w:w="926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509"/>
        <w:gridCol w:w="1696"/>
        <w:gridCol w:w="2004"/>
        <w:gridCol w:w="4059"/>
      </w:tblGrid>
      <w:tr w14:paraId="15E24B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24" w:hRule="atLeast"/>
          <w:jc w:val="center"/>
        </w:trPr>
        <w:tc>
          <w:tcPr>
            <w:tcW w:w="1509" w:type="dxa"/>
            <w:tcMar>
              <w:top w:w="16" w:type="dxa"/>
              <w:left w:w="16" w:type="dxa"/>
              <w:right w:w="16" w:type="dxa"/>
            </w:tcMar>
            <w:vAlign w:val="center"/>
          </w:tcPr>
          <w:p w14:paraId="18B7E384">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建设项目名称</w:t>
            </w:r>
          </w:p>
        </w:tc>
        <w:tc>
          <w:tcPr>
            <w:tcW w:w="7759" w:type="dxa"/>
            <w:gridSpan w:val="3"/>
            <w:vAlign w:val="center"/>
          </w:tcPr>
          <w:p w14:paraId="3764CC96">
            <w:pPr>
              <w:spacing w:line="240" w:lineRule="auto"/>
              <w:ind w:firstLine="0" w:firstLineChars="0"/>
              <w:jc w:val="center"/>
              <w:rPr>
                <w:rFonts w:hint="default" w:ascii="Times New Roman" w:hAnsi="Times New Roman" w:cs="Times New Roman" w:eastAsiaTheme="minorEastAsia"/>
                <w:color w:val="auto"/>
                <w:kern w:val="0"/>
                <w:szCs w:val="21"/>
                <w:highlight w:val="none"/>
                <w:lang w:eastAsia="zh-CN"/>
              </w:rPr>
            </w:pPr>
            <w:r>
              <w:rPr>
                <w:rFonts w:hint="eastAsia" w:cs="Times New Roman" w:eastAsiaTheme="minorEastAsia"/>
                <w:color w:val="auto"/>
                <w:kern w:val="0"/>
                <w:szCs w:val="21"/>
                <w:highlight w:val="none"/>
                <w:lang w:eastAsia="zh-CN"/>
              </w:rPr>
              <w:t>唐山松汀钢铁有限公司含铁废料综合利用项目</w:t>
            </w:r>
          </w:p>
        </w:tc>
      </w:tr>
      <w:tr w14:paraId="568B53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4" w:hRule="atLeast"/>
          <w:jc w:val="center"/>
        </w:trPr>
        <w:tc>
          <w:tcPr>
            <w:tcW w:w="1509" w:type="dxa"/>
            <w:tcMar>
              <w:top w:w="16" w:type="dxa"/>
              <w:left w:w="16" w:type="dxa"/>
              <w:right w:w="16" w:type="dxa"/>
            </w:tcMar>
            <w:vAlign w:val="center"/>
          </w:tcPr>
          <w:p w14:paraId="1DBFCDF5">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项目代码</w:t>
            </w:r>
          </w:p>
        </w:tc>
        <w:tc>
          <w:tcPr>
            <w:tcW w:w="7759" w:type="dxa"/>
            <w:gridSpan w:val="3"/>
            <w:vAlign w:val="center"/>
          </w:tcPr>
          <w:p w14:paraId="2308B630">
            <w:pPr>
              <w:spacing w:line="240" w:lineRule="auto"/>
              <w:ind w:firstLine="0" w:firstLineChars="0"/>
              <w:jc w:val="center"/>
              <w:rPr>
                <w:rFonts w:hint="default" w:ascii="Times New Roman" w:hAnsi="Times New Roman" w:cs="Times New Roman" w:eastAsiaTheme="minorEastAsia"/>
                <w:color w:val="auto"/>
                <w:kern w:val="0"/>
                <w:szCs w:val="21"/>
                <w:highlight w:val="none"/>
                <w:lang w:val="en-US" w:eastAsia="zh-CN"/>
              </w:rPr>
            </w:pPr>
            <w:r>
              <w:rPr>
                <w:rFonts w:hint="default" w:ascii="Times New Roman" w:hAnsi="Times New Roman" w:cs="Times New Roman" w:eastAsiaTheme="minorEastAsia"/>
                <w:color w:val="auto"/>
                <w:kern w:val="0"/>
                <w:szCs w:val="21"/>
                <w:highlight w:val="none"/>
                <w:lang w:eastAsia="zh-CN"/>
              </w:rPr>
              <w:t>2</w:t>
            </w:r>
            <w:r>
              <w:rPr>
                <w:rFonts w:hint="eastAsia" w:cs="Times New Roman" w:eastAsiaTheme="minorEastAsia"/>
                <w:color w:val="auto"/>
                <w:kern w:val="0"/>
                <w:szCs w:val="21"/>
                <w:highlight w:val="none"/>
                <w:lang w:val="en-US" w:eastAsia="zh-CN"/>
              </w:rPr>
              <w:t>6</w:t>
            </w:r>
            <w:r>
              <w:rPr>
                <w:rFonts w:hint="default" w:ascii="Times New Roman" w:hAnsi="Times New Roman" w:cs="Times New Roman" w:eastAsiaTheme="minorEastAsia"/>
                <w:color w:val="auto"/>
                <w:kern w:val="0"/>
                <w:szCs w:val="21"/>
                <w:highlight w:val="none"/>
                <w:lang w:eastAsia="zh-CN"/>
              </w:rPr>
              <w:t>04-1302</w:t>
            </w:r>
            <w:r>
              <w:rPr>
                <w:rFonts w:hint="eastAsia" w:cs="Times New Roman" w:eastAsiaTheme="minorEastAsia"/>
                <w:color w:val="auto"/>
                <w:kern w:val="0"/>
                <w:szCs w:val="21"/>
                <w:highlight w:val="none"/>
                <w:lang w:val="en-US" w:eastAsia="zh-CN"/>
              </w:rPr>
              <w:t>91</w:t>
            </w:r>
            <w:r>
              <w:rPr>
                <w:rFonts w:hint="default" w:ascii="Times New Roman" w:hAnsi="Times New Roman" w:cs="Times New Roman" w:eastAsiaTheme="minorEastAsia"/>
                <w:color w:val="auto"/>
                <w:kern w:val="0"/>
                <w:szCs w:val="21"/>
                <w:highlight w:val="none"/>
                <w:lang w:eastAsia="zh-CN"/>
              </w:rPr>
              <w:t>-89-01-</w:t>
            </w:r>
            <w:r>
              <w:rPr>
                <w:rFonts w:hint="eastAsia" w:cs="Times New Roman" w:eastAsiaTheme="minorEastAsia"/>
                <w:color w:val="auto"/>
                <w:kern w:val="0"/>
                <w:szCs w:val="21"/>
                <w:highlight w:val="none"/>
                <w:lang w:val="en-US" w:eastAsia="zh-CN"/>
              </w:rPr>
              <w:t>771576</w:t>
            </w:r>
          </w:p>
        </w:tc>
      </w:tr>
      <w:tr w14:paraId="3423E7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86" w:hRule="atLeast"/>
          <w:jc w:val="center"/>
        </w:trPr>
        <w:tc>
          <w:tcPr>
            <w:tcW w:w="1509" w:type="dxa"/>
            <w:tcMar>
              <w:top w:w="16" w:type="dxa"/>
              <w:left w:w="16" w:type="dxa"/>
              <w:right w:w="16" w:type="dxa"/>
            </w:tcMar>
            <w:vAlign w:val="center"/>
          </w:tcPr>
          <w:p w14:paraId="70D0A569">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建设单位联系人</w:t>
            </w:r>
          </w:p>
        </w:tc>
        <w:tc>
          <w:tcPr>
            <w:tcW w:w="1696" w:type="dxa"/>
            <w:vAlign w:val="center"/>
          </w:tcPr>
          <w:p w14:paraId="5CC098FB">
            <w:pPr>
              <w:spacing w:line="240" w:lineRule="auto"/>
              <w:ind w:firstLine="0" w:firstLineChars="0"/>
              <w:jc w:val="center"/>
              <w:rPr>
                <w:rFonts w:hint="default" w:ascii="Times New Roman" w:hAnsi="Times New Roman" w:cs="Times New Roman" w:eastAsiaTheme="minorEastAsia"/>
                <w:color w:val="auto"/>
                <w:kern w:val="0"/>
                <w:highlight w:val="none"/>
                <w:lang w:eastAsia="zh-CN"/>
              </w:rPr>
            </w:pPr>
            <w:r>
              <w:rPr>
                <w:rFonts w:hint="default" w:ascii="Times New Roman" w:hAnsi="Times New Roman" w:cs="Times New Roman" w:eastAsiaTheme="minorEastAsia"/>
                <w:color w:val="auto"/>
                <w:kern w:val="0"/>
                <w:szCs w:val="21"/>
                <w:highlight w:val="none"/>
                <w:lang w:val="en-US" w:eastAsia="zh-CN"/>
              </w:rPr>
              <w:t>李文江</w:t>
            </w:r>
          </w:p>
        </w:tc>
        <w:tc>
          <w:tcPr>
            <w:tcW w:w="2004" w:type="dxa"/>
            <w:vAlign w:val="center"/>
          </w:tcPr>
          <w:p w14:paraId="1CBB6037">
            <w:pPr>
              <w:spacing w:line="240" w:lineRule="auto"/>
              <w:ind w:firstLine="0" w:firstLineChars="0"/>
              <w:jc w:val="center"/>
              <w:rPr>
                <w:rFonts w:hint="default" w:ascii="Times New Roman" w:hAnsi="Times New Roman" w:cs="Times New Roman" w:eastAsiaTheme="minorEastAsia"/>
                <w:color w:val="auto"/>
                <w:kern w:val="0"/>
                <w:highlight w:val="none"/>
              </w:rPr>
            </w:pPr>
            <w:r>
              <w:rPr>
                <w:rFonts w:hint="default" w:ascii="Times New Roman" w:hAnsi="Times New Roman" w:cs="Times New Roman" w:eastAsiaTheme="minorEastAsia"/>
                <w:b/>
                <w:bCs/>
                <w:color w:val="auto"/>
                <w:kern w:val="0"/>
                <w:highlight w:val="none"/>
              </w:rPr>
              <w:t>联系方式</w:t>
            </w:r>
          </w:p>
        </w:tc>
        <w:tc>
          <w:tcPr>
            <w:tcW w:w="4059" w:type="dxa"/>
            <w:vAlign w:val="center"/>
          </w:tcPr>
          <w:p w14:paraId="2B9D8957">
            <w:pPr>
              <w:spacing w:line="240" w:lineRule="auto"/>
              <w:ind w:firstLine="0" w:firstLineChars="0"/>
              <w:jc w:val="center"/>
              <w:rPr>
                <w:rFonts w:hint="default" w:ascii="Times New Roman" w:hAnsi="Times New Roman" w:cs="Times New Roman" w:eastAsiaTheme="minorEastAsia"/>
                <w:color w:val="auto"/>
                <w:kern w:val="0"/>
                <w:highlight w:val="none"/>
                <w:lang w:val="en-US" w:eastAsia="zh-CN"/>
              </w:rPr>
            </w:pPr>
            <w:bookmarkStart w:id="36" w:name="_GoBack"/>
            <w:bookmarkEnd w:id="36"/>
          </w:p>
        </w:tc>
      </w:tr>
      <w:tr w14:paraId="028BB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7" w:hRule="atLeast"/>
          <w:jc w:val="center"/>
        </w:trPr>
        <w:tc>
          <w:tcPr>
            <w:tcW w:w="1509" w:type="dxa"/>
            <w:tcMar>
              <w:top w:w="16" w:type="dxa"/>
              <w:left w:w="16" w:type="dxa"/>
              <w:right w:w="16" w:type="dxa"/>
            </w:tcMar>
            <w:vAlign w:val="center"/>
          </w:tcPr>
          <w:p w14:paraId="49D52548">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建设地点</w:t>
            </w:r>
          </w:p>
        </w:tc>
        <w:tc>
          <w:tcPr>
            <w:tcW w:w="7759" w:type="dxa"/>
            <w:gridSpan w:val="3"/>
            <w:vAlign w:val="center"/>
          </w:tcPr>
          <w:p w14:paraId="2CB69D31">
            <w:pPr>
              <w:spacing w:line="240" w:lineRule="auto"/>
              <w:ind w:firstLine="0" w:firstLineChars="0"/>
              <w:jc w:val="center"/>
              <w:rPr>
                <w:rFonts w:hint="default" w:ascii="Times New Roman" w:hAnsi="Times New Roman" w:cs="Times New Roman" w:eastAsiaTheme="minorEastAsia"/>
                <w:color w:val="auto"/>
                <w:kern w:val="0"/>
                <w:szCs w:val="21"/>
                <w:highlight w:val="none"/>
                <w:lang w:val="en-US"/>
              </w:rPr>
            </w:pPr>
            <w:r>
              <w:rPr>
                <w:rFonts w:hint="default" w:ascii="Times New Roman" w:hAnsi="Times New Roman" w:cs="Times New Roman" w:eastAsiaTheme="minorEastAsia"/>
                <w:color w:val="auto"/>
                <w:kern w:val="0"/>
                <w:szCs w:val="21"/>
                <w:highlight w:val="none"/>
                <w:lang w:val="en-US" w:eastAsia="zh-CN"/>
              </w:rPr>
              <w:t>河北迁安经济开发区，公司现有厂区内</w:t>
            </w:r>
          </w:p>
        </w:tc>
      </w:tr>
      <w:tr w14:paraId="63E154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09" w:type="dxa"/>
            <w:tcMar>
              <w:top w:w="16" w:type="dxa"/>
              <w:left w:w="16" w:type="dxa"/>
              <w:right w:w="16" w:type="dxa"/>
            </w:tcMar>
            <w:vAlign w:val="center"/>
          </w:tcPr>
          <w:p w14:paraId="414FA475">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地理坐标</w:t>
            </w:r>
          </w:p>
        </w:tc>
        <w:tc>
          <w:tcPr>
            <w:tcW w:w="7759" w:type="dxa"/>
            <w:gridSpan w:val="3"/>
            <w:vAlign w:val="center"/>
          </w:tcPr>
          <w:p w14:paraId="754A9ADA">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eastAsia" w:cs="Times New Roman" w:eastAsiaTheme="minorEastAsia"/>
                <w:color w:val="auto"/>
                <w:kern w:val="0"/>
                <w:szCs w:val="21"/>
                <w:highlight w:val="none"/>
                <w:lang w:val="en-US" w:eastAsia="zh-CN"/>
              </w:rPr>
              <w:t>东经</w:t>
            </w:r>
            <w:r>
              <w:rPr>
                <w:rFonts w:hint="default" w:ascii="Times New Roman" w:hAnsi="Times New Roman" w:cs="Times New Roman" w:eastAsiaTheme="minorEastAsia"/>
                <w:color w:val="auto"/>
                <w:kern w:val="0"/>
                <w:szCs w:val="21"/>
                <w:highlight w:val="none"/>
                <w:lang w:val="en-US" w:eastAsia="zh-CN"/>
              </w:rPr>
              <w:t>118°33′53.88</w:t>
            </w:r>
            <w:r>
              <w:rPr>
                <w:rFonts w:hint="eastAsia" w:cs="Times New Roman" w:eastAsiaTheme="minorEastAsia"/>
                <w:color w:val="auto"/>
                <w:kern w:val="0"/>
                <w:szCs w:val="21"/>
                <w:highlight w:val="none"/>
                <w:lang w:val="en-US" w:eastAsia="zh-CN"/>
              </w:rPr>
              <w:t>0</w:t>
            </w:r>
            <w:r>
              <w:rPr>
                <w:rFonts w:hint="default" w:ascii="Times New Roman" w:hAnsi="Times New Roman" w:cs="Times New Roman" w:eastAsiaTheme="minorEastAsia"/>
                <w:color w:val="auto"/>
                <w:kern w:val="0"/>
                <w:szCs w:val="21"/>
                <w:highlight w:val="none"/>
                <w:lang w:val="en-US" w:eastAsia="zh-CN"/>
              </w:rPr>
              <w:t>″，</w:t>
            </w:r>
            <w:r>
              <w:rPr>
                <w:rFonts w:hint="eastAsia" w:cs="Times New Roman" w:eastAsiaTheme="minorEastAsia"/>
                <w:color w:val="auto"/>
                <w:kern w:val="0"/>
                <w:szCs w:val="21"/>
                <w:highlight w:val="none"/>
                <w:lang w:val="en-US" w:eastAsia="zh-CN"/>
              </w:rPr>
              <w:t>北纬</w:t>
            </w:r>
            <w:r>
              <w:rPr>
                <w:rFonts w:hint="default" w:ascii="Times New Roman" w:hAnsi="Times New Roman" w:cs="Times New Roman" w:eastAsiaTheme="minorEastAsia"/>
                <w:color w:val="auto"/>
                <w:kern w:val="0"/>
                <w:szCs w:val="21"/>
                <w:highlight w:val="none"/>
                <w:lang w:val="en-US" w:eastAsia="zh-CN"/>
              </w:rPr>
              <w:t>39°56′34.86</w:t>
            </w:r>
            <w:r>
              <w:rPr>
                <w:rFonts w:hint="eastAsia" w:cs="Times New Roman" w:eastAsiaTheme="minorEastAsia"/>
                <w:color w:val="auto"/>
                <w:kern w:val="0"/>
                <w:szCs w:val="21"/>
                <w:highlight w:val="none"/>
                <w:lang w:val="en-US" w:eastAsia="zh-CN"/>
              </w:rPr>
              <w:t>0</w:t>
            </w:r>
            <w:r>
              <w:rPr>
                <w:rFonts w:hint="default" w:ascii="Times New Roman" w:hAnsi="Times New Roman" w:cs="Times New Roman" w:eastAsiaTheme="minorEastAsia"/>
                <w:color w:val="auto"/>
                <w:kern w:val="0"/>
                <w:szCs w:val="21"/>
                <w:highlight w:val="none"/>
                <w:lang w:val="en-US" w:eastAsia="zh-CN"/>
              </w:rPr>
              <w:t>″</w:t>
            </w:r>
          </w:p>
        </w:tc>
      </w:tr>
      <w:tr w14:paraId="654350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509" w:type="dxa"/>
            <w:tcMar>
              <w:top w:w="16" w:type="dxa"/>
              <w:left w:w="16" w:type="dxa"/>
              <w:right w:w="16" w:type="dxa"/>
            </w:tcMar>
            <w:vAlign w:val="center"/>
          </w:tcPr>
          <w:p w14:paraId="163B43AC">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国民经济行业类别</w:t>
            </w:r>
          </w:p>
        </w:tc>
        <w:tc>
          <w:tcPr>
            <w:tcW w:w="1696" w:type="dxa"/>
            <w:vAlign w:val="center"/>
          </w:tcPr>
          <w:p w14:paraId="5631C7FD">
            <w:pPr>
              <w:spacing w:line="240" w:lineRule="auto"/>
              <w:ind w:firstLine="0" w:firstLineChars="0"/>
              <w:jc w:val="center"/>
              <w:rPr>
                <w:rFonts w:hint="default" w:ascii="Times New Roman" w:hAnsi="Times New Roman" w:eastAsia="宋体" w:cs="Times New Roman"/>
                <w:color w:val="auto"/>
                <w:szCs w:val="21"/>
                <w:highlight w:val="none"/>
                <w:lang w:eastAsia="zh-CN"/>
              </w:rPr>
            </w:pPr>
            <w:r>
              <w:rPr>
                <w:rFonts w:hint="eastAsia"/>
                <w:color w:val="auto"/>
                <w:sz w:val="21"/>
                <w:szCs w:val="21"/>
                <w:highlight w:val="none"/>
              </w:rPr>
              <w:t>4210金属废料和碎屑加工处理</w:t>
            </w:r>
          </w:p>
        </w:tc>
        <w:tc>
          <w:tcPr>
            <w:tcW w:w="2004" w:type="dxa"/>
            <w:vAlign w:val="center"/>
          </w:tcPr>
          <w:p w14:paraId="74657B6E">
            <w:pPr>
              <w:spacing w:line="240" w:lineRule="auto"/>
              <w:ind w:firstLine="0" w:firstLineChars="0"/>
              <w:jc w:val="center"/>
              <w:rPr>
                <w:rFonts w:hint="default" w:ascii="Times New Roman" w:hAnsi="Times New Roman" w:cs="Times New Roman" w:eastAsiaTheme="minorEastAsia"/>
                <w:b/>
                <w:bCs/>
                <w:color w:val="auto"/>
                <w:kern w:val="0"/>
                <w:highlight w:val="none"/>
              </w:rPr>
            </w:pPr>
            <w:bookmarkStart w:id="0" w:name="_Hlk49843745"/>
            <w:r>
              <w:rPr>
                <w:rFonts w:hint="default" w:ascii="Times New Roman" w:hAnsi="Times New Roman" w:cs="Times New Roman" w:eastAsiaTheme="minorEastAsia"/>
                <w:b/>
                <w:bCs/>
                <w:color w:val="auto"/>
                <w:kern w:val="0"/>
                <w:highlight w:val="none"/>
              </w:rPr>
              <w:t>建设项目行业类别</w:t>
            </w:r>
            <w:bookmarkEnd w:id="0"/>
          </w:p>
        </w:tc>
        <w:tc>
          <w:tcPr>
            <w:tcW w:w="4059" w:type="dxa"/>
            <w:vAlign w:val="center"/>
          </w:tcPr>
          <w:p w14:paraId="1691C4CB">
            <w:pPr>
              <w:pStyle w:val="1737"/>
              <w:overflowPunct w:val="0"/>
              <w:topLinePunct/>
              <w:spacing w:line="240" w:lineRule="auto"/>
              <w:ind w:firstLine="0" w:firstLineChars="0"/>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snapToGrid/>
                <w:color w:val="auto"/>
                <w:kern w:val="0"/>
                <w:sz w:val="21"/>
                <w:szCs w:val="21"/>
                <w:highlight w:val="none"/>
                <w:lang w:val="en-US" w:eastAsia="zh-CN" w:bidi="ar-SA"/>
              </w:rPr>
              <w:t>三十九、废弃资源综合利用业</w:t>
            </w:r>
            <w:r>
              <w:rPr>
                <w:rFonts w:hint="eastAsia" w:ascii="Times New Roman" w:hAnsi="Times New Roman" w:cs="Times New Roman" w:eastAsiaTheme="minorEastAsia"/>
                <w:snapToGrid/>
                <w:color w:val="auto"/>
                <w:kern w:val="0"/>
                <w:sz w:val="21"/>
                <w:szCs w:val="21"/>
                <w:highlight w:val="none"/>
                <w:lang w:val="en-US" w:eastAsia="zh-CN" w:bidi="ar-SA"/>
              </w:rPr>
              <w:t>42-金属废料和碎屑加工处理421-</w:t>
            </w:r>
            <w:r>
              <w:rPr>
                <w:rFonts w:hint="eastAsia" w:ascii="Times New Roman" w:hAnsi="Times New Roman" w:cs="Times New Roman" w:eastAsiaTheme="minorEastAsia"/>
                <w:snapToGrid/>
                <w:color w:val="auto"/>
                <w:sz w:val="21"/>
                <w:szCs w:val="21"/>
                <w:lang w:eastAsia="zh-CN"/>
              </w:rPr>
              <w:t>金属和金属化合物矿灰及残渣</w:t>
            </w:r>
            <w:r>
              <w:rPr>
                <w:rFonts w:hint="eastAsia" w:ascii="Times New Roman" w:hAnsi="Times New Roman" w:cs="Times New Roman" w:eastAsiaTheme="minorEastAsia"/>
                <w:snapToGrid/>
                <w:color w:val="auto"/>
                <w:sz w:val="21"/>
                <w:szCs w:val="21"/>
                <w:lang w:val="en-US" w:eastAsia="zh-CN"/>
              </w:rPr>
              <w:t>加工处理</w:t>
            </w:r>
          </w:p>
        </w:tc>
      </w:tr>
      <w:tr w14:paraId="17CB3F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1509" w:type="dxa"/>
            <w:tcMar>
              <w:top w:w="16" w:type="dxa"/>
              <w:left w:w="16" w:type="dxa"/>
              <w:right w:w="16" w:type="dxa"/>
            </w:tcMar>
            <w:vAlign w:val="center"/>
          </w:tcPr>
          <w:p w14:paraId="1EEC1731">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建设性质</w:t>
            </w:r>
          </w:p>
        </w:tc>
        <w:tc>
          <w:tcPr>
            <w:tcW w:w="1696" w:type="dxa"/>
            <w:vAlign w:val="center"/>
          </w:tcPr>
          <w:p w14:paraId="7A7CB9EF">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sym w:font="Wingdings 2" w:char="0052"/>
            </w:r>
            <w:r>
              <w:rPr>
                <w:rFonts w:hint="default" w:ascii="Times New Roman" w:hAnsi="Times New Roman" w:cs="Times New Roman" w:eastAsiaTheme="minorEastAsia"/>
                <w:color w:val="auto"/>
                <w:kern w:val="0"/>
                <w:szCs w:val="21"/>
                <w:highlight w:val="none"/>
              </w:rPr>
              <w:t>新建(迁建)</w:t>
            </w:r>
          </w:p>
          <w:p w14:paraId="12F2F961">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lang w:eastAsia="zh-CN"/>
              </w:rPr>
              <w:t>□</w:t>
            </w:r>
            <w:r>
              <w:rPr>
                <w:rFonts w:hint="default" w:ascii="Times New Roman" w:hAnsi="Times New Roman" w:cs="Times New Roman" w:eastAsiaTheme="minorEastAsia"/>
                <w:color w:val="auto"/>
                <w:kern w:val="0"/>
                <w:szCs w:val="21"/>
                <w:highlight w:val="none"/>
              </w:rPr>
              <w:t>改建</w:t>
            </w:r>
          </w:p>
          <w:p w14:paraId="4AB96763">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lang w:eastAsia="zh-CN"/>
              </w:rPr>
              <w:t>□</w:t>
            </w:r>
            <w:r>
              <w:rPr>
                <w:rFonts w:hint="default" w:ascii="Times New Roman" w:hAnsi="Times New Roman" w:cs="Times New Roman" w:eastAsiaTheme="minorEastAsia"/>
                <w:color w:val="auto"/>
                <w:kern w:val="0"/>
                <w:szCs w:val="21"/>
                <w:highlight w:val="none"/>
              </w:rPr>
              <w:t>扩建</w:t>
            </w:r>
          </w:p>
          <w:p w14:paraId="39D97305">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sym w:font="Wingdings 2" w:char="00A3"/>
            </w:r>
            <w:r>
              <w:rPr>
                <w:rFonts w:hint="default" w:ascii="Times New Roman" w:hAnsi="Times New Roman" w:cs="Times New Roman" w:eastAsiaTheme="minorEastAsia"/>
                <w:color w:val="auto"/>
                <w:kern w:val="0"/>
                <w:szCs w:val="21"/>
                <w:highlight w:val="none"/>
              </w:rPr>
              <w:t>技术改造</w:t>
            </w:r>
          </w:p>
        </w:tc>
        <w:tc>
          <w:tcPr>
            <w:tcW w:w="2004" w:type="dxa"/>
            <w:vAlign w:val="center"/>
          </w:tcPr>
          <w:p w14:paraId="1F9A03C6">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建设项目</w:t>
            </w:r>
          </w:p>
          <w:p w14:paraId="260ED4A2">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申报情形</w:t>
            </w:r>
          </w:p>
        </w:tc>
        <w:tc>
          <w:tcPr>
            <w:tcW w:w="4059" w:type="dxa"/>
            <w:vAlign w:val="center"/>
          </w:tcPr>
          <w:p w14:paraId="60F1936E">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sym w:font="Wingdings 2" w:char="0052"/>
            </w:r>
            <w:r>
              <w:rPr>
                <w:rFonts w:hint="default" w:ascii="Times New Roman" w:hAnsi="Times New Roman" w:cs="Times New Roman" w:eastAsiaTheme="minorEastAsia"/>
                <w:color w:val="auto"/>
                <w:kern w:val="0"/>
                <w:szCs w:val="21"/>
                <w:highlight w:val="none"/>
              </w:rPr>
              <w:t>首次申报项目</w:t>
            </w:r>
          </w:p>
          <w:p w14:paraId="4EEC1330">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sym w:font="Wingdings 2" w:char="00A3"/>
            </w:r>
            <w:r>
              <w:rPr>
                <w:rFonts w:hint="default" w:ascii="Times New Roman" w:hAnsi="Times New Roman" w:cs="Times New Roman" w:eastAsiaTheme="minorEastAsia"/>
                <w:color w:val="auto"/>
                <w:kern w:val="0"/>
                <w:szCs w:val="21"/>
                <w:highlight w:val="none"/>
              </w:rPr>
              <w:t>不予批准后再次申报项目</w:t>
            </w:r>
          </w:p>
          <w:p w14:paraId="7E4776E8">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sym w:font="Wingdings 2" w:char="00A3"/>
            </w:r>
            <w:r>
              <w:rPr>
                <w:rFonts w:hint="default" w:ascii="Times New Roman" w:hAnsi="Times New Roman" w:cs="Times New Roman" w:eastAsiaTheme="minorEastAsia"/>
                <w:color w:val="auto"/>
                <w:kern w:val="0"/>
                <w:szCs w:val="21"/>
                <w:highlight w:val="none"/>
              </w:rPr>
              <w:t>超五年重新审核项目</w:t>
            </w:r>
          </w:p>
          <w:p w14:paraId="74BCEB9B">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sym w:font="Wingdings 2" w:char="00A3"/>
            </w:r>
            <w:r>
              <w:rPr>
                <w:rFonts w:hint="default" w:ascii="Times New Roman" w:hAnsi="Times New Roman" w:cs="Times New Roman" w:eastAsiaTheme="minorEastAsia"/>
                <w:color w:val="auto"/>
                <w:kern w:val="0"/>
                <w:szCs w:val="21"/>
                <w:highlight w:val="none"/>
              </w:rPr>
              <w:t>重大变动重新报批项目</w:t>
            </w:r>
          </w:p>
        </w:tc>
      </w:tr>
      <w:tr w14:paraId="368385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1509" w:type="dxa"/>
            <w:tcMar>
              <w:top w:w="16" w:type="dxa"/>
              <w:left w:w="16" w:type="dxa"/>
              <w:right w:w="16" w:type="dxa"/>
            </w:tcMar>
            <w:vAlign w:val="center"/>
          </w:tcPr>
          <w:p w14:paraId="22862A1B">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项目审批(核准/</w:t>
            </w:r>
          </w:p>
          <w:p w14:paraId="12493D70">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备案)部门(选填)</w:t>
            </w:r>
          </w:p>
        </w:tc>
        <w:tc>
          <w:tcPr>
            <w:tcW w:w="1696" w:type="dxa"/>
            <w:vAlign w:val="center"/>
          </w:tcPr>
          <w:p w14:paraId="05749920">
            <w:pPr>
              <w:spacing w:line="240" w:lineRule="auto"/>
              <w:ind w:firstLine="0" w:firstLineChars="0"/>
              <w:jc w:val="center"/>
              <w:rPr>
                <w:rFonts w:hint="eastAsia" w:ascii="Times New Roman" w:hAnsi="Times New Roman" w:cs="Times New Roman" w:eastAsiaTheme="minorEastAsia"/>
                <w:color w:val="auto"/>
                <w:kern w:val="0"/>
                <w:szCs w:val="21"/>
                <w:highlight w:val="none"/>
                <w:lang w:eastAsia="zh-CN"/>
              </w:rPr>
            </w:pPr>
            <w:r>
              <w:rPr>
                <w:rFonts w:hint="eastAsia" w:cs="Times New Roman" w:eastAsiaTheme="minorEastAsia"/>
                <w:color w:val="auto"/>
                <w:kern w:val="0"/>
                <w:szCs w:val="21"/>
                <w:highlight w:val="none"/>
                <w:lang w:eastAsia="zh-CN"/>
              </w:rPr>
              <w:t>河北迁安经济开发区管理委员会(迁安高新技术产业开发区管理委员会)</w:t>
            </w:r>
          </w:p>
        </w:tc>
        <w:tc>
          <w:tcPr>
            <w:tcW w:w="2004" w:type="dxa"/>
            <w:vAlign w:val="center"/>
          </w:tcPr>
          <w:p w14:paraId="4B34E9FB">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项目审批(核准/</w:t>
            </w:r>
          </w:p>
          <w:p w14:paraId="1DF1D249">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备案)文号(选填)</w:t>
            </w:r>
          </w:p>
        </w:tc>
        <w:tc>
          <w:tcPr>
            <w:tcW w:w="4059" w:type="dxa"/>
            <w:vAlign w:val="center"/>
          </w:tcPr>
          <w:p w14:paraId="2FE8AAB5">
            <w:pPr>
              <w:spacing w:line="240" w:lineRule="auto"/>
              <w:ind w:firstLine="0" w:firstLineChars="0"/>
              <w:jc w:val="center"/>
              <w:rPr>
                <w:rFonts w:hint="default" w:ascii="Times New Roman" w:hAnsi="Times New Roman" w:cs="Times New Roman" w:eastAsiaTheme="minorEastAsia"/>
                <w:color w:val="auto"/>
                <w:kern w:val="0"/>
                <w:szCs w:val="21"/>
                <w:highlight w:val="yellow"/>
                <w:lang w:eastAsia="zh-CN"/>
              </w:rPr>
            </w:pPr>
            <w:r>
              <w:rPr>
                <w:rFonts w:hint="eastAsia" w:cs="Times New Roman" w:eastAsiaTheme="minorEastAsia"/>
                <w:color w:val="auto"/>
                <w:kern w:val="0"/>
                <w:szCs w:val="21"/>
                <w:highlight w:val="none"/>
                <w:lang w:eastAsia="zh-CN"/>
              </w:rPr>
              <w:t>迁经开行审投资西备字[2026]3</w:t>
            </w:r>
            <w:r>
              <w:rPr>
                <w:rFonts w:hint="eastAsia" w:cs="Times New Roman" w:eastAsiaTheme="minorEastAsia"/>
                <w:color w:val="auto"/>
                <w:kern w:val="0"/>
                <w:szCs w:val="21"/>
                <w:highlight w:val="none"/>
                <w:lang w:val="en-US" w:eastAsia="zh-CN"/>
              </w:rPr>
              <w:t>4</w:t>
            </w:r>
            <w:r>
              <w:rPr>
                <w:rFonts w:hint="eastAsia" w:cs="Times New Roman" w:eastAsiaTheme="minorEastAsia"/>
                <w:color w:val="auto"/>
                <w:kern w:val="0"/>
                <w:szCs w:val="21"/>
                <w:highlight w:val="none"/>
                <w:lang w:eastAsia="zh-CN"/>
              </w:rPr>
              <w:t>号</w:t>
            </w:r>
          </w:p>
        </w:tc>
      </w:tr>
      <w:tr w14:paraId="61F0DF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09" w:type="dxa"/>
            <w:tcMar>
              <w:top w:w="16" w:type="dxa"/>
              <w:left w:w="16" w:type="dxa"/>
              <w:right w:w="16" w:type="dxa"/>
            </w:tcMar>
            <w:vAlign w:val="center"/>
          </w:tcPr>
          <w:p w14:paraId="0756CD42">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总投资(万元)</w:t>
            </w:r>
          </w:p>
        </w:tc>
        <w:tc>
          <w:tcPr>
            <w:tcW w:w="1696" w:type="dxa"/>
            <w:vAlign w:val="center"/>
          </w:tcPr>
          <w:p w14:paraId="7C353358">
            <w:pPr>
              <w:spacing w:line="240" w:lineRule="auto"/>
              <w:ind w:firstLine="0" w:firstLineChars="0"/>
              <w:jc w:val="center"/>
              <w:rPr>
                <w:rFonts w:hint="default" w:ascii="Times New Roman" w:hAnsi="Times New Roman" w:cs="Times New Roman" w:eastAsiaTheme="minorEastAsia"/>
                <w:color w:val="auto"/>
                <w:kern w:val="0"/>
                <w:szCs w:val="21"/>
                <w:highlight w:val="none"/>
                <w:lang w:val="en-US" w:eastAsia="zh-CN"/>
              </w:rPr>
            </w:pPr>
            <w:r>
              <w:rPr>
                <w:rFonts w:hint="eastAsia" w:cs="Times New Roman" w:eastAsiaTheme="minorEastAsia"/>
                <w:color w:val="auto"/>
                <w:kern w:val="0"/>
                <w:szCs w:val="21"/>
                <w:highlight w:val="none"/>
                <w:lang w:val="en-US" w:eastAsia="zh-CN"/>
              </w:rPr>
              <w:t>200</w:t>
            </w:r>
          </w:p>
        </w:tc>
        <w:tc>
          <w:tcPr>
            <w:tcW w:w="2004" w:type="dxa"/>
            <w:tcMar>
              <w:top w:w="16" w:type="dxa"/>
              <w:left w:w="16" w:type="dxa"/>
              <w:right w:w="16" w:type="dxa"/>
            </w:tcMar>
            <w:vAlign w:val="center"/>
          </w:tcPr>
          <w:p w14:paraId="4BE77F55">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环保投资(万元)</w:t>
            </w:r>
          </w:p>
        </w:tc>
        <w:tc>
          <w:tcPr>
            <w:tcW w:w="4059" w:type="dxa"/>
            <w:vAlign w:val="center"/>
          </w:tcPr>
          <w:p w14:paraId="0FBB9203">
            <w:pPr>
              <w:spacing w:line="240" w:lineRule="auto"/>
              <w:ind w:firstLine="0" w:firstLineChars="0"/>
              <w:jc w:val="center"/>
              <w:rPr>
                <w:rFonts w:hint="default" w:ascii="Times New Roman" w:hAnsi="Times New Roman" w:cs="Times New Roman" w:eastAsiaTheme="minorEastAsia"/>
                <w:color w:val="auto"/>
                <w:kern w:val="0"/>
                <w:szCs w:val="21"/>
                <w:highlight w:val="none"/>
                <w:lang w:val="en-US" w:eastAsia="zh-CN"/>
              </w:rPr>
            </w:pPr>
            <w:r>
              <w:rPr>
                <w:rFonts w:hint="eastAsia" w:cs="Times New Roman" w:eastAsiaTheme="minorEastAsia"/>
                <w:color w:val="auto"/>
                <w:kern w:val="0"/>
                <w:szCs w:val="21"/>
                <w:highlight w:val="none"/>
                <w:lang w:val="en-US" w:eastAsia="zh-CN"/>
              </w:rPr>
              <w:t>20</w:t>
            </w:r>
          </w:p>
        </w:tc>
      </w:tr>
      <w:tr w14:paraId="44A710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09" w:type="dxa"/>
            <w:tcMar>
              <w:top w:w="16" w:type="dxa"/>
              <w:left w:w="16" w:type="dxa"/>
              <w:right w:w="16" w:type="dxa"/>
            </w:tcMar>
            <w:vAlign w:val="center"/>
          </w:tcPr>
          <w:p w14:paraId="015A865B">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环保投资占比(%)</w:t>
            </w:r>
          </w:p>
        </w:tc>
        <w:tc>
          <w:tcPr>
            <w:tcW w:w="1696" w:type="dxa"/>
            <w:vAlign w:val="center"/>
          </w:tcPr>
          <w:p w14:paraId="604B5C96">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eastAsia" w:cs="Times New Roman" w:eastAsiaTheme="minorEastAsia"/>
                <w:color w:val="auto"/>
                <w:kern w:val="0"/>
                <w:szCs w:val="21"/>
                <w:highlight w:val="none"/>
                <w:lang w:val="en-US" w:eastAsia="zh-CN"/>
              </w:rPr>
              <w:t>10</w:t>
            </w:r>
            <w:r>
              <w:rPr>
                <w:rFonts w:hint="default" w:ascii="Times New Roman" w:hAnsi="Times New Roman" w:cs="Times New Roman" w:eastAsiaTheme="minorEastAsia"/>
                <w:color w:val="auto"/>
                <w:kern w:val="0"/>
                <w:szCs w:val="21"/>
                <w:highlight w:val="none"/>
              </w:rPr>
              <w:t>%</w:t>
            </w:r>
          </w:p>
        </w:tc>
        <w:tc>
          <w:tcPr>
            <w:tcW w:w="2004" w:type="dxa"/>
            <w:tcMar>
              <w:top w:w="16" w:type="dxa"/>
              <w:left w:w="16" w:type="dxa"/>
              <w:right w:w="16" w:type="dxa"/>
            </w:tcMar>
            <w:vAlign w:val="center"/>
          </w:tcPr>
          <w:p w14:paraId="48EDED51">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施工工期</w:t>
            </w:r>
          </w:p>
        </w:tc>
        <w:tc>
          <w:tcPr>
            <w:tcW w:w="4059" w:type="dxa"/>
            <w:vAlign w:val="center"/>
          </w:tcPr>
          <w:p w14:paraId="039A2105">
            <w:pP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eastAsia" w:cs="Times New Roman" w:eastAsiaTheme="minorEastAsia"/>
                <w:color w:val="auto"/>
                <w:kern w:val="0"/>
                <w:szCs w:val="21"/>
                <w:highlight w:val="none"/>
                <w:lang w:val="en-US" w:eastAsia="zh-CN"/>
              </w:rPr>
              <w:t>2</w:t>
            </w:r>
            <w:r>
              <w:rPr>
                <w:rFonts w:hint="default" w:ascii="Times New Roman" w:hAnsi="Times New Roman" w:cs="Times New Roman" w:eastAsiaTheme="minorEastAsia"/>
                <w:color w:val="auto"/>
                <w:kern w:val="0"/>
                <w:szCs w:val="21"/>
                <w:highlight w:val="none"/>
              </w:rPr>
              <w:t>个月</w:t>
            </w:r>
          </w:p>
        </w:tc>
      </w:tr>
      <w:tr w14:paraId="57D2EB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09" w:type="dxa"/>
            <w:tcMar>
              <w:top w:w="16" w:type="dxa"/>
              <w:left w:w="16" w:type="dxa"/>
              <w:right w:w="16" w:type="dxa"/>
            </w:tcMar>
            <w:vAlign w:val="center"/>
          </w:tcPr>
          <w:p w14:paraId="72AD5A66">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是否开工建设</w:t>
            </w:r>
          </w:p>
        </w:tc>
        <w:tc>
          <w:tcPr>
            <w:tcW w:w="1696" w:type="dxa"/>
            <w:vAlign w:val="center"/>
          </w:tcPr>
          <w:p w14:paraId="1DDCACDC">
            <w:pPr>
              <w:shd w:val="clea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sym w:font="Wingdings 2" w:char="0052"/>
            </w:r>
            <w:r>
              <w:rPr>
                <w:rFonts w:hint="default" w:ascii="Times New Roman" w:hAnsi="Times New Roman" w:cs="Times New Roman" w:eastAsiaTheme="minorEastAsia"/>
                <w:color w:val="auto"/>
                <w:kern w:val="0"/>
                <w:szCs w:val="21"/>
                <w:highlight w:val="none"/>
              </w:rPr>
              <w:t>否</w:t>
            </w:r>
          </w:p>
          <w:p w14:paraId="6371C611">
            <w:pPr>
              <w:shd w:val="clear"/>
              <w:spacing w:line="240" w:lineRule="auto"/>
              <w:ind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sym w:font="Wingdings 2" w:char="00A3"/>
            </w:r>
            <w:r>
              <w:rPr>
                <w:rFonts w:hint="default" w:ascii="Times New Roman" w:hAnsi="Times New Roman" w:cs="Times New Roman" w:eastAsiaTheme="minorEastAsia"/>
                <w:color w:val="auto"/>
                <w:kern w:val="0"/>
                <w:szCs w:val="21"/>
                <w:highlight w:val="none"/>
              </w:rPr>
              <w:t>是</w:t>
            </w:r>
          </w:p>
        </w:tc>
        <w:tc>
          <w:tcPr>
            <w:tcW w:w="2004" w:type="dxa"/>
            <w:tcMar>
              <w:top w:w="16" w:type="dxa"/>
              <w:left w:w="16" w:type="dxa"/>
              <w:right w:w="16" w:type="dxa"/>
            </w:tcMar>
            <w:vAlign w:val="center"/>
          </w:tcPr>
          <w:p w14:paraId="5F684BB3">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用地(用海)</w:t>
            </w:r>
          </w:p>
          <w:p w14:paraId="5E416AE5">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面积(m</w:t>
            </w:r>
            <w:r>
              <w:rPr>
                <w:rFonts w:hint="default" w:ascii="Times New Roman" w:hAnsi="Times New Roman" w:cs="Times New Roman" w:eastAsiaTheme="minorEastAsia"/>
                <w:b/>
                <w:bCs/>
                <w:color w:val="auto"/>
                <w:kern w:val="0"/>
                <w:highlight w:val="none"/>
                <w:vertAlign w:val="superscript"/>
              </w:rPr>
              <w:t>2</w:t>
            </w:r>
            <w:r>
              <w:rPr>
                <w:rFonts w:hint="default" w:ascii="Times New Roman" w:hAnsi="Times New Roman" w:cs="Times New Roman" w:eastAsiaTheme="minorEastAsia"/>
                <w:b/>
                <w:bCs/>
                <w:color w:val="auto"/>
                <w:kern w:val="0"/>
                <w:highlight w:val="none"/>
              </w:rPr>
              <w:t>)</w:t>
            </w:r>
          </w:p>
        </w:tc>
        <w:tc>
          <w:tcPr>
            <w:tcW w:w="4059" w:type="dxa"/>
            <w:vAlign w:val="center"/>
          </w:tcPr>
          <w:p w14:paraId="507F5D17">
            <w:pPr>
              <w:spacing w:line="240" w:lineRule="auto"/>
              <w:ind w:firstLine="0" w:firstLineChars="0"/>
              <w:jc w:val="center"/>
              <w:rPr>
                <w:rFonts w:hint="default" w:ascii="Times New Roman" w:hAnsi="Times New Roman" w:cs="Times New Roman" w:eastAsiaTheme="minorEastAsia"/>
                <w:color w:val="auto"/>
                <w:kern w:val="0"/>
                <w:szCs w:val="21"/>
                <w:highlight w:val="none"/>
                <w:lang w:val="en-US" w:eastAsia="zh-CN"/>
              </w:rPr>
            </w:pPr>
            <w:r>
              <w:rPr>
                <w:rFonts w:hint="eastAsia" w:cs="Times New Roman" w:eastAsiaTheme="minorEastAsia"/>
                <w:color w:val="auto"/>
                <w:kern w:val="0"/>
                <w:szCs w:val="21"/>
                <w:highlight w:val="none"/>
                <w:lang w:val="en-US" w:eastAsia="zh-CN"/>
              </w:rPr>
              <w:t>0</w:t>
            </w:r>
          </w:p>
        </w:tc>
      </w:tr>
      <w:tr w14:paraId="77AFD6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509" w:type="dxa"/>
            <w:vAlign w:val="center"/>
          </w:tcPr>
          <w:p w14:paraId="120023AF">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专项评价设置情况</w:t>
            </w:r>
          </w:p>
        </w:tc>
        <w:tc>
          <w:tcPr>
            <w:tcW w:w="7759" w:type="dxa"/>
            <w:gridSpan w:val="3"/>
            <w:vAlign w:val="center"/>
          </w:tcPr>
          <w:p w14:paraId="20CE5C12">
            <w:pPr>
              <w:pStyle w:val="83"/>
              <w:spacing w:after="0"/>
              <w:ind w:left="0" w:leftChars="0" w:firstLine="0" w:firstLineChars="0"/>
              <w:jc w:val="center"/>
              <w:rPr>
                <w:rFonts w:hint="default" w:ascii="Times New Roman" w:hAnsi="Times New Roman" w:cs="Times New Roman" w:eastAsiaTheme="minorEastAsia"/>
                <w:b/>
                <w:color w:val="auto"/>
                <w:sz w:val="21"/>
                <w:szCs w:val="21"/>
                <w:highlight w:val="none"/>
              </w:rPr>
            </w:pPr>
            <w:r>
              <w:rPr>
                <w:rFonts w:hint="default" w:ascii="Times New Roman" w:hAnsi="Times New Roman" w:cs="Times New Roman" w:eastAsiaTheme="minorEastAsia"/>
                <w:b/>
                <w:color w:val="auto"/>
                <w:sz w:val="21"/>
                <w:szCs w:val="21"/>
                <w:highlight w:val="none"/>
              </w:rPr>
              <w:t>表1-1    项目专项评价设置情况判定表</w:t>
            </w:r>
          </w:p>
          <w:tbl>
            <w:tblPr>
              <w:tblStyle w:val="8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1"/>
              <w:gridCol w:w="3247"/>
              <w:gridCol w:w="2728"/>
              <w:gridCol w:w="687"/>
            </w:tblGrid>
            <w:tr w14:paraId="36914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78" w:type="pct"/>
                  <w:vAlign w:val="center"/>
                </w:tcPr>
                <w:p w14:paraId="4EEC6CBB">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类别</w:t>
                  </w:r>
                </w:p>
              </w:tc>
              <w:tc>
                <w:tcPr>
                  <w:tcW w:w="2155" w:type="pct"/>
                  <w:vAlign w:val="center"/>
                </w:tcPr>
                <w:p w14:paraId="4B2ABC4E">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设置原则</w:t>
                  </w:r>
                </w:p>
              </w:tc>
              <w:tc>
                <w:tcPr>
                  <w:tcW w:w="1811" w:type="pct"/>
                  <w:vAlign w:val="center"/>
                </w:tcPr>
                <w:p w14:paraId="17D18615">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项目情况</w:t>
                  </w:r>
                </w:p>
              </w:tc>
              <w:tc>
                <w:tcPr>
                  <w:tcW w:w="454" w:type="pct"/>
                  <w:vAlign w:val="center"/>
                </w:tcPr>
                <w:p w14:paraId="515654D8">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是否设置</w:t>
                  </w:r>
                </w:p>
              </w:tc>
            </w:tr>
            <w:tr w14:paraId="6CA68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78" w:type="pct"/>
                  <w:vAlign w:val="center"/>
                </w:tcPr>
                <w:p w14:paraId="6DEFE875">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大气</w:t>
                  </w:r>
                </w:p>
              </w:tc>
              <w:tc>
                <w:tcPr>
                  <w:tcW w:w="2155" w:type="pct"/>
                  <w:vAlign w:val="center"/>
                </w:tcPr>
                <w:p w14:paraId="23B2F0F4">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排放废气含有毒有害污染物二噁英、苯并[a]芘、氰化物、氯气且厂界外500米范围内有环境空气保护目标的建设项目</w:t>
                  </w:r>
                </w:p>
              </w:tc>
              <w:tc>
                <w:tcPr>
                  <w:tcW w:w="1811" w:type="pct"/>
                  <w:vAlign w:val="center"/>
                </w:tcPr>
                <w:p w14:paraId="3703E4E6">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项目废气污染物主要为颗粒物，不涉及二噁英、苯并[a]芘、氰化物、氯气以及《有毒有害大气污染物名录》中的污染物</w:t>
                  </w:r>
                </w:p>
              </w:tc>
              <w:tc>
                <w:tcPr>
                  <w:tcW w:w="454" w:type="pct"/>
                  <w:vAlign w:val="center"/>
                </w:tcPr>
                <w:p w14:paraId="526BC5AA">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否</w:t>
                  </w:r>
                </w:p>
              </w:tc>
            </w:tr>
            <w:tr w14:paraId="6C0FE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78" w:type="pct"/>
                  <w:vAlign w:val="center"/>
                </w:tcPr>
                <w:p w14:paraId="5504B830">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地表水</w:t>
                  </w:r>
                </w:p>
              </w:tc>
              <w:tc>
                <w:tcPr>
                  <w:tcW w:w="2155" w:type="pct"/>
                  <w:vAlign w:val="center"/>
                </w:tcPr>
                <w:p w14:paraId="0D895E6F">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新增工业废水直排建设项目(槽罐车外送污水处理厂的除外)；新增废水直排的污水集中处理厂</w:t>
                  </w:r>
                </w:p>
              </w:tc>
              <w:tc>
                <w:tcPr>
                  <w:tcW w:w="1811" w:type="pct"/>
                  <w:vAlign w:val="center"/>
                </w:tcPr>
                <w:p w14:paraId="1E821BE8">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color w:val="auto"/>
                      <w:sz w:val="21"/>
                      <w:szCs w:val="21"/>
                      <w:highlight w:val="none"/>
                      <w:lang w:val="en-US" w:eastAsia="zh-CN"/>
                    </w:rPr>
                    <w:t>项目洗车废水沉淀后循环使用，不外排</w:t>
                  </w:r>
                  <w:r>
                    <w:rPr>
                      <w:rFonts w:hint="default" w:ascii="Times New Roman" w:hAnsi="Times New Roman" w:cs="Times New Roman" w:eastAsiaTheme="minorEastAsia"/>
                      <w:color w:val="auto"/>
                      <w:sz w:val="21"/>
                      <w:szCs w:val="21"/>
                      <w:highlight w:val="none"/>
                    </w:rPr>
                    <w:t>。</w:t>
                  </w:r>
                  <w:r>
                    <w:rPr>
                      <w:rFonts w:hint="default" w:ascii="Times New Roman" w:hAnsi="Times New Roman" w:cs="Times New Roman"/>
                      <w:color w:val="auto"/>
                      <w:sz w:val="21"/>
                      <w:szCs w:val="21"/>
                      <w:highlight w:val="none"/>
                    </w:rPr>
                    <w:t>本项目无新增生活污水</w:t>
                  </w:r>
                </w:p>
              </w:tc>
              <w:tc>
                <w:tcPr>
                  <w:tcW w:w="454" w:type="pct"/>
                  <w:vAlign w:val="center"/>
                </w:tcPr>
                <w:p w14:paraId="36F1B0D1">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否</w:t>
                  </w:r>
                </w:p>
              </w:tc>
            </w:tr>
            <w:tr w14:paraId="55719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78" w:type="pct"/>
                  <w:vAlign w:val="center"/>
                </w:tcPr>
                <w:p w14:paraId="3628F6A3">
                  <w:pPr>
                    <w:pStyle w:val="49"/>
                    <w:spacing w:line="280" w:lineRule="exact"/>
                    <w:ind w:firstLine="0" w:firstLineChars="0"/>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环境风险</w:t>
                  </w:r>
                </w:p>
              </w:tc>
              <w:tc>
                <w:tcPr>
                  <w:tcW w:w="2155" w:type="pct"/>
                  <w:vAlign w:val="center"/>
                </w:tcPr>
                <w:p w14:paraId="7DFFDC99">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bookmarkStart w:id="1" w:name="OLE_LINK108"/>
                  <w:r>
                    <w:rPr>
                      <w:rFonts w:hint="default" w:ascii="Times New Roman" w:hAnsi="Times New Roman" w:cs="Times New Roman" w:eastAsiaTheme="minorEastAsia"/>
                      <w:color w:val="auto"/>
                      <w:sz w:val="21"/>
                      <w:szCs w:val="21"/>
                      <w:highlight w:val="none"/>
                    </w:rPr>
                    <w:t>有毒有害和易燃易爆危险物质</w:t>
                  </w:r>
                  <w:bookmarkEnd w:id="1"/>
                  <w:r>
                    <w:rPr>
                      <w:rFonts w:hint="default" w:ascii="Times New Roman" w:hAnsi="Times New Roman" w:cs="Times New Roman" w:eastAsiaTheme="minorEastAsia"/>
                      <w:color w:val="auto"/>
                      <w:sz w:val="21"/>
                      <w:szCs w:val="21"/>
                      <w:highlight w:val="none"/>
                    </w:rPr>
                    <w:t>存储量超过临界量的建设项目</w:t>
                  </w:r>
                </w:p>
              </w:tc>
              <w:tc>
                <w:tcPr>
                  <w:tcW w:w="1811" w:type="pct"/>
                  <w:vAlign w:val="center"/>
                </w:tcPr>
                <w:p w14:paraId="3CB6143A">
                  <w:pPr>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项目涉及的环境风险物质主要为废润滑油</w:t>
                  </w:r>
                  <w:r>
                    <w:rPr>
                      <w:rFonts w:hint="default" w:ascii="Times New Roman" w:hAnsi="Times New Roman" w:cs="Times New Roman" w:eastAsiaTheme="minorEastAsia"/>
                      <w:color w:val="auto"/>
                      <w:sz w:val="21"/>
                      <w:szCs w:val="21"/>
                      <w:highlight w:val="none"/>
                      <w:lang w:eastAsia="zh-CN"/>
                    </w:rPr>
                    <w:t>、</w:t>
                  </w:r>
                  <w:r>
                    <w:rPr>
                      <w:rFonts w:hint="default" w:ascii="Times New Roman" w:hAnsi="Times New Roman" w:cs="Times New Roman" w:eastAsiaTheme="minorEastAsia"/>
                      <w:color w:val="auto"/>
                      <w:sz w:val="21"/>
                      <w:szCs w:val="21"/>
                      <w:highlight w:val="none"/>
                      <w:lang w:val="en-US" w:eastAsia="zh-CN"/>
                    </w:rPr>
                    <w:t>废液压油</w:t>
                  </w:r>
                  <w:r>
                    <w:rPr>
                      <w:rFonts w:hint="default" w:ascii="Times New Roman" w:hAnsi="Times New Roman" w:cs="Times New Roman" w:eastAsiaTheme="minorEastAsia"/>
                      <w:color w:val="auto"/>
                      <w:sz w:val="21"/>
                      <w:szCs w:val="21"/>
                      <w:highlight w:val="none"/>
                    </w:rPr>
                    <w:t>等含油类风险物质，最大储存量Q＜1，简单分析，因此本评价不设置环境风险专项评价</w:t>
                  </w:r>
                </w:p>
              </w:tc>
              <w:tc>
                <w:tcPr>
                  <w:tcW w:w="454" w:type="pct"/>
                  <w:vAlign w:val="center"/>
                </w:tcPr>
                <w:p w14:paraId="3BA745DE">
                  <w:pPr>
                    <w:pStyle w:val="49"/>
                    <w:spacing w:line="280" w:lineRule="exact"/>
                    <w:ind w:firstLine="0" w:firstLineChars="0"/>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否</w:t>
                  </w:r>
                </w:p>
              </w:tc>
            </w:tr>
            <w:tr w14:paraId="7F401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78" w:type="pct"/>
                  <w:vAlign w:val="center"/>
                </w:tcPr>
                <w:p w14:paraId="147FA32E">
                  <w:pPr>
                    <w:pStyle w:val="49"/>
                    <w:spacing w:line="280" w:lineRule="exact"/>
                    <w:ind w:firstLine="0" w:firstLineChars="0"/>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生态</w:t>
                  </w:r>
                </w:p>
              </w:tc>
              <w:tc>
                <w:tcPr>
                  <w:tcW w:w="2155" w:type="pct"/>
                  <w:vAlign w:val="center"/>
                </w:tcPr>
                <w:p w14:paraId="44D6A87A">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取水口下游500米范围内有重要水生生物的自然产卵场、索饵场、越冬场和洄游通道的</w:t>
                  </w:r>
                  <w:bookmarkStart w:id="2" w:name="OLE_LINK110"/>
                  <w:r>
                    <w:rPr>
                      <w:rFonts w:hint="default" w:ascii="Times New Roman" w:hAnsi="Times New Roman" w:cs="Times New Roman" w:eastAsiaTheme="minorEastAsia"/>
                      <w:color w:val="auto"/>
                      <w:sz w:val="21"/>
                      <w:szCs w:val="21"/>
                      <w:highlight w:val="none"/>
                    </w:rPr>
                    <w:t>新增河道取水的污染类建设项目</w:t>
                  </w:r>
                  <w:bookmarkEnd w:id="2"/>
                </w:p>
              </w:tc>
              <w:tc>
                <w:tcPr>
                  <w:tcW w:w="1811" w:type="pct"/>
                  <w:vAlign w:val="center"/>
                </w:tcPr>
                <w:p w14:paraId="32928B8D">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项目不属于新增河道取水的污染类建设项目</w:t>
                  </w:r>
                </w:p>
              </w:tc>
              <w:tc>
                <w:tcPr>
                  <w:tcW w:w="454" w:type="pct"/>
                  <w:vAlign w:val="center"/>
                </w:tcPr>
                <w:p w14:paraId="1EFA62C1">
                  <w:pPr>
                    <w:pStyle w:val="49"/>
                    <w:spacing w:line="280" w:lineRule="exact"/>
                    <w:ind w:firstLine="0" w:firstLineChars="0"/>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否</w:t>
                  </w:r>
                </w:p>
              </w:tc>
            </w:tr>
            <w:tr w14:paraId="3D295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78" w:type="pct"/>
                  <w:vAlign w:val="center"/>
                </w:tcPr>
                <w:p w14:paraId="379FD45A">
                  <w:pPr>
                    <w:pStyle w:val="49"/>
                    <w:spacing w:line="280" w:lineRule="exact"/>
                    <w:ind w:firstLine="0" w:firstLineChars="0"/>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海洋</w:t>
                  </w:r>
                </w:p>
              </w:tc>
              <w:tc>
                <w:tcPr>
                  <w:tcW w:w="2155" w:type="pct"/>
                  <w:vAlign w:val="center"/>
                </w:tcPr>
                <w:p w14:paraId="00B11A3B">
                  <w:pPr>
                    <w:pStyle w:val="49"/>
                    <w:spacing w:line="280" w:lineRule="exact"/>
                    <w:ind w:firstLine="0" w:firstLineChars="0"/>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直接向海排放污染物的海洋工程建设项目</w:t>
                  </w:r>
                </w:p>
              </w:tc>
              <w:tc>
                <w:tcPr>
                  <w:tcW w:w="1811" w:type="pct"/>
                  <w:vAlign w:val="center"/>
                </w:tcPr>
                <w:p w14:paraId="027619E1">
                  <w:pPr>
                    <w:pStyle w:val="49"/>
                    <w:spacing w:line="280" w:lineRule="exact"/>
                    <w:ind w:firstLine="0" w:firstLineChars="0"/>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项目区域不涉及海洋，不属于海洋工程建设项目</w:t>
                  </w:r>
                </w:p>
              </w:tc>
              <w:tc>
                <w:tcPr>
                  <w:tcW w:w="454" w:type="pct"/>
                  <w:vAlign w:val="center"/>
                </w:tcPr>
                <w:p w14:paraId="70F546B2">
                  <w:pPr>
                    <w:pStyle w:val="49"/>
                    <w:spacing w:line="280" w:lineRule="exact"/>
                    <w:ind w:firstLine="0" w:firstLineChars="0"/>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否</w:t>
                  </w:r>
                </w:p>
              </w:tc>
            </w:tr>
            <w:tr w14:paraId="129B5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000" w:type="pct"/>
                  <w:gridSpan w:val="4"/>
                  <w:vAlign w:val="center"/>
                </w:tcPr>
                <w:p w14:paraId="6D83491E">
                  <w:pPr>
                    <w:pStyle w:val="49"/>
                    <w:spacing w:line="280" w:lineRule="exact"/>
                    <w:ind w:firstLine="0" w:firstLineChars="0"/>
                    <w:jc w:val="both"/>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注：1.废气中有毒有害污染物指纳入《有毒有害大气污染物名录》的污染物(不包括无排放标准的污染物)。2.环境空气保护目标指自然保护区、风景名胜区、居住区、文化区和农村地区中人群较集中的区域。3.临界量及其计算方法参考《建设项目环境风险评价技术导则》(HJ169)附录B、附录C。</w:t>
                  </w:r>
                </w:p>
              </w:tc>
            </w:tr>
          </w:tbl>
          <w:p w14:paraId="252CB2D0">
            <w:pPr>
              <w:widowControl w:val="0"/>
              <w:ind w:firstLine="0" w:firstLineChars="0"/>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kern w:val="0"/>
                <w:sz w:val="21"/>
                <w:szCs w:val="21"/>
                <w:highlight w:val="none"/>
              </w:rPr>
              <w:t>根据表1-1对比分析，项目不需要设置专项评价。</w:t>
            </w:r>
          </w:p>
        </w:tc>
      </w:tr>
      <w:tr w14:paraId="1E6197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09" w:type="dxa"/>
            <w:vAlign w:val="center"/>
          </w:tcPr>
          <w:p w14:paraId="76F91854">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规划情况</w:t>
            </w:r>
          </w:p>
        </w:tc>
        <w:tc>
          <w:tcPr>
            <w:tcW w:w="7759" w:type="dxa"/>
            <w:gridSpan w:val="3"/>
            <w:shd w:val="clear" w:color="auto" w:fill="auto"/>
            <w:vAlign w:val="center"/>
          </w:tcPr>
          <w:p w14:paraId="26C1A382">
            <w:pPr>
              <w:pStyle w:val="2"/>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规划情况见表1-</w:t>
            </w:r>
            <w:r>
              <w:rPr>
                <w:rFonts w:hint="default"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rPr>
              <w:t>。</w:t>
            </w:r>
          </w:p>
          <w:p w14:paraId="3282E905">
            <w:pPr>
              <w:pStyle w:val="2"/>
              <w:ind w:firstLine="0" w:firstLineChars="0"/>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表1-</w:t>
            </w:r>
            <w:r>
              <w:rPr>
                <w:rFonts w:hint="default" w:ascii="Times New Roman" w:hAnsi="Times New Roman" w:cs="Times New Roman"/>
                <w:b/>
                <w:bCs/>
                <w:color w:val="auto"/>
                <w:sz w:val="21"/>
                <w:szCs w:val="21"/>
                <w:lang w:val="en-US" w:eastAsia="zh-CN"/>
              </w:rPr>
              <w:t>2</w:t>
            </w:r>
            <w:r>
              <w:rPr>
                <w:rFonts w:hint="default" w:ascii="Times New Roman" w:hAnsi="Times New Roman" w:cs="Times New Roman"/>
                <w:b/>
                <w:bCs/>
                <w:color w:val="auto"/>
                <w:sz w:val="21"/>
                <w:szCs w:val="21"/>
              </w:rPr>
              <w:t xml:space="preserve">  规划情况一览表</w:t>
            </w:r>
          </w:p>
          <w:tbl>
            <w:tblPr>
              <w:tblStyle w:val="8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17"/>
              <w:gridCol w:w="1669"/>
              <w:gridCol w:w="5144"/>
            </w:tblGrid>
            <w:tr w14:paraId="18EB0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476" w:type="pct"/>
                  <w:noWrap w:val="0"/>
                  <w:vAlign w:val="center"/>
                </w:tcPr>
                <w:p w14:paraId="3463BD70">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序号</w:t>
                  </w:r>
                </w:p>
              </w:tc>
              <w:tc>
                <w:tcPr>
                  <w:tcW w:w="1108" w:type="pct"/>
                  <w:noWrap w:val="0"/>
                  <w:vAlign w:val="center"/>
                </w:tcPr>
                <w:p w14:paraId="038FD81B">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项目</w:t>
                  </w:r>
                </w:p>
              </w:tc>
              <w:tc>
                <w:tcPr>
                  <w:tcW w:w="3415" w:type="pct"/>
                  <w:noWrap w:val="0"/>
                  <w:vAlign w:val="center"/>
                </w:tcPr>
                <w:p w14:paraId="0E34E68B">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内容</w:t>
                  </w:r>
                </w:p>
              </w:tc>
            </w:tr>
            <w:tr w14:paraId="68D63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476" w:type="pct"/>
                  <w:noWrap w:val="0"/>
                  <w:vAlign w:val="center"/>
                </w:tcPr>
                <w:p w14:paraId="1ED7472D">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1</w:t>
                  </w:r>
                </w:p>
              </w:tc>
              <w:tc>
                <w:tcPr>
                  <w:tcW w:w="1108" w:type="pct"/>
                  <w:noWrap w:val="0"/>
                  <w:vAlign w:val="center"/>
                </w:tcPr>
                <w:p w14:paraId="52C5B6E7">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规划名称</w:t>
                  </w:r>
                </w:p>
              </w:tc>
              <w:tc>
                <w:tcPr>
                  <w:tcW w:w="3415" w:type="pct"/>
                  <w:noWrap w:val="0"/>
                  <w:vAlign w:val="center"/>
                </w:tcPr>
                <w:p w14:paraId="7558CE6D">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河北迁安经济开发区总体规划(2022-2030年)</w:t>
                  </w:r>
                </w:p>
              </w:tc>
            </w:tr>
            <w:tr w14:paraId="63DF2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476" w:type="pct"/>
                  <w:noWrap w:val="0"/>
                  <w:vAlign w:val="center"/>
                </w:tcPr>
                <w:p w14:paraId="559F4C46">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2</w:t>
                  </w:r>
                </w:p>
              </w:tc>
              <w:tc>
                <w:tcPr>
                  <w:tcW w:w="1108" w:type="pct"/>
                  <w:noWrap w:val="0"/>
                  <w:vAlign w:val="center"/>
                </w:tcPr>
                <w:p w14:paraId="6B724C50">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审批机关</w:t>
                  </w:r>
                </w:p>
              </w:tc>
              <w:tc>
                <w:tcPr>
                  <w:tcW w:w="3415" w:type="pct"/>
                  <w:vMerge w:val="restart"/>
                  <w:noWrap w:val="0"/>
                  <w:vAlign w:val="center"/>
                </w:tcPr>
                <w:p w14:paraId="4D584DE3">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暂时未审批通过</w:t>
                  </w:r>
                </w:p>
              </w:tc>
            </w:tr>
            <w:tr w14:paraId="1FDC9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476" w:type="pct"/>
                  <w:noWrap w:val="0"/>
                  <w:vAlign w:val="center"/>
                </w:tcPr>
                <w:p w14:paraId="54E1FDA6">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3</w:t>
                  </w:r>
                </w:p>
              </w:tc>
              <w:tc>
                <w:tcPr>
                  <w:tcW w:w="1108" w:type="pct"/>
                  <w:noWrap w:val="0"/>
                  <w:vAlign w:val="center"/>
                </w:tcPr>
                <w:p w14:paraId="165E318D">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审批文件名称</w:t>
                  </w:r>
                </w:p>
                <w:p w14:paraId="277B2669">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及文号</w:t>
                  </w:r>
                </w:p>
              </w:tc>
              <w:tc>
                <w:tcPr>
                  <w:tcW w:w="3415" w:type="pct"/>
                  <w:vMerge w:val="continue"/>
                  <w:noWrap w:val="0"/>
                  <w:vAlign w:val="center"/>
                </w:tcPr>
                <w:p w14:paraId="0F43A703">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p>
              </w:tc>
            </w:tr>
          </w:tbl>
          <w:p w14:paraId="076DBCA0">
            <w:pPr>
              <w:autoSpaceDE w:val="0"/>
              <w:autoSpaceDN w:val="0"/>
              <w:adjustRightInd w:val="0"/>
              <w:snapToGrid w:val="0"/>
              <w:spacing w:line="440" w:lineRule="exact"/>
              <w:ind w:firstLine="420" w:firstLineChars="200"/>
              <w:rPr>
                <w:rFonts w:hint="default" w:ascii="Times New Roman" w:hAnsi="Times New Roman" w:eastAsia="宋体" w:cs="Times New Roman"/>
                <w:color w:val="auto"/>
                <w:kern w:val="0"/>
                <w:sz w:val="21"/>
                <w:szCs w:val="21"/>
                <w:lang w:val="en-US" w:eastAsia="zh-CN" w:bidi="ar-SA"/>
              </w:rPr>
            </w:pPr>
          </w:p>
        </w:tc>
      </w:tr>
      <w:tr w14:paraId="6C0725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09" w:type="dxa"/>
            <w:vAlign w:val="center"/>
          </w:tcPr>
          <w:p w14:paraId="49D02FAB">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规划环境影响评价情况</w:t>
            </w:r>
          </w:p>
        </w:tc>
        <w:tc>
          <w:tcPr>
            <w:tcW w:w="7759" w:type="dxa"/>
            <w:gridSpan w:val="3"/>
            <w:shd w:val="clear" w:color="auto" w:fill="auto"/>
            <w:vAlign w:val="center"/>
          </w:tcPr>
          <w:p w14:paraId="4D3BA854">
            <w:pPr>
              <w:pStyle w:val="2"/>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规划环境影响评价情况见表1-</w:t>
            </w:r>
            <w:r>
              <w:rPr>
                <w:rFonts w:hint="default" w:ascii="Times New Roman" w:hAnsi="Times New Roman" w:cs="Times New Roman"/>
                <w:color w:val="auto"/>
                <w:sz w:val="21"/>
                <w:szCs w:val="21"/>
                <w:lang w:val="en-US" w:eastAsia="zh-CN"/>
              </w:rPr>
              <w:t>3</w:t>
            </w:r>
            <w:r>
              <w:rPr>
                <w:rFonts w:hint="default" w:ascii="Times New Roman" w:hAnsi="Times New Roman" w:cs="Times New Roman"/>
                <w:color w:val="auto"/>
                <w:sz w:val="21"/>
                <w:szCs w:val="21"/>
              </w:rPr>
              <w:t>。</w:t>
            </w:r>
          </w:p>
          <w:p w14:paraId="7FC5DA62">
            <w:pPr>
              <w:pStyle w:val="2"/>
              <w:ind w:firstLine="0" w:firstLineChars="0"/>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表1-</w:t>
            </w:r>
            <w:r>
              <w:rPr>
                <w:rFonts w:hint="default" w:ascii="Times New Roman" w:hAnsi="Times New Roman" w:cs="Times New Roman"/>
                <w:b/>
                <w:bCs/>
                <w:color w:val="auto"/>
                <w:sz w:val="21"/>
                <w:szCs w:val="21"/>
                <w:lang w:val="en-US" w:eastAsia="zh-CN"/>
              </w:rPr>
              <w:t>3</w:t>
            </w:r>
            <w:r>
              <w:rPr>
                <w:rFonts w:hint="default" w:ascii="Times New Roman" w:hAnsi="Times New Roman" w:cs="Times New Roman"/>
                <w:b/>
                <w:bCs/>
                <w:color w:val="auto"/>
                <w:sz w:val="21"/>
                <w:szCs w:val="21"/>
              </w:rPr>
              <w:t xml:space="preserve">  规划环境影响评价情况一览表</w:t>
            </w:r>
          </w:p>
          <w:tbl>
            <w:tblPr>
              <w:tblStyle w:val="8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18"/>
              <w:gridCol w:w="1474"/>
              <w:gridCol w:w="5438"/>
            </w:tblGrid>
            <w:tr w14:paraId="11956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410" w:type="pct"/>
                  <w:noWrap w:val="0"/>
                  <w:vAlign w:val="center"/>
                </w:tcPr>
                <w:p w14:paraId="1427F9DC">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序号</w:t>
                  </w:r>
                </w:p>
              </w:tc>
              <w:tc>
                <w:tcPr>
                  <w:tcW w:w="979" w:type="pct"/>
                  <w:noWrap w:val="0"/>
                  <w:vAlign w:val="center"/>
                </w:tcPr>
                <w:p w14:paraId="7C650F61">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项目</w:t>
                  </w:r>
                </w:p>
              </w:tc>
              <w:tc>
                <w:tcPr>
                  <w:tcW w:w="3609" w:type="pct"/>
                  <w:noWrap w:val="0"/>
                  <w:vAlign w:val="center"/>
                </w:tcPr>
                <w:p w14:paraId="7087DE3D">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内容</w:t>
                  </w:r>
                </w:p>
              </w:tc>
            </w:tr>
            <w:tr w14:paraId="337A6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0" w:type="pct"/>
                  <w:noWrap w:val="0"/>
                  <w:vAlign w:val="center"/>
                </w:tcPr>
                <w:p w14:paraId="5322D3D9">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1</w:t>
                  </w:r>
                </w:p>
              </w:tc>
              <w:tc>
                <w:tcPr>
                  <w:tcW w:w="979" w:type="pct"/>
                  <w:noWrap w:val="0"/>
                  <w:vAlign w:val="center"/>
                </w:tcPr>
                <w:p w14:paraId="632578C3">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规划环境影响评价文件名称</w:t>
                  </w:r>
                </w:p>
              </w:tc>
              <w:tc>
                <w:tcPr>
                  <w:tcW w:w="3609" w:type="pct"/>
                  <w:noWrap w:val="0"/>
                  <w:vAlign w:val="center"/>
                </w:tcPr>
                <w:p w14:paraId="1237E983">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《河北迁安经济开发区总体规划(2022-2030年)环境影响报告书》</w:t>
                  </w:r>
                </w:p>
              </w:tc>
            </w:tr>
            <w:tr w14:paraId="2CDDC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0" w:type="pct"/>
                  <w:noWrap w:val="0"/>
                  <w:vAlign w:val="center"/>
                </w:tcPr>
                <w:p w14:paraId="13E4F880">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2</w:t>
                  </w:r>
                </w:p>
              </w:tc>
              <w:tc>
                <w:tcPr>
                  <w:tcW w:w="979" w:type="pct"/>
                  <w:noWrap w:val="0"/>
                  <w:vAlign w:val="center"/>
                </w:tcPr>
                <w:p w14:paraId="21E257E9">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审查机关</w:t>
                  </w:r>
                </w:p>
              </w:tc>
              <w:tc>
                <w:tcPr>
                  <w:tcW w:w="3609" w:type="pct"/>
                  <w:noWrap w:val="0"/>
                  <w:vAlign w:val="center"/>
                </w:tcPr>
                <w:p w14:paraId="548B78BC">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河北省生态环境厅</w:t>
                  </w:r>
                </w:p>
              </w:tc>
            </w:tr>
            <w:tr w14:paraId="7EA59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0" w:type="pct"/>
                  <w:noWrap w:val="0"/>
                  <w:vAlign w:val="center"/>
                </w:tcPr>
                <w:p w14:paraId="2C5D315B">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3</w:t>
                  </w:r>
                </w:p>
              </w:tc>
              <w:tc>
                <w:tcPr>
                  <w:tcW w:w="979" w:type="pct"/>
                  <w:noWrap w:val="0"/>
                  <w:vAlign w:val="center"/>
                </w:tcPr>
                <w:p w14:paraId="139AB255">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审查文件名称及文号</w:t>
                  </w:r>
                </w:p>
              </w:tc>
              <w:tc>
                <w:tcPr>
                  <w:tcW w:w="3609" w:type="pct"/>
                  <w:noWrap w:val="0"/>
                  <w:vAlign w:val="center"/>
                </w:tcPr>
                <w:p w14:paraId="279BB450">
                  <w:pPr>
                    <w:pStyle w:val="49"/>
                    <w:spacing w:line="280" w:lineRule="exact"/>
                    <w:ind w:firstLine="0" w:firstLineChars="0"/>
                    <w:contextualSpacing/>
                    <w:jc w:val="center"/>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《关于&lt;河北迁安经济开发区总体规划(2022-2030年)环境影响报告书&gt;的审查意见》(冀环环评函[2025]1283号)</w:t>
                  </w:r>
                </w:p>
              </w:tc>
            </w:tr>
          </w:tbl>
          <w:p w14:paraId="5C11683C">
            <w:pPr>
              <w:pStyle w:val="2"/>
              <w:bidi w:val="0"/>
              <w:ind w:firstLine="420" w:firstLineChars="200"/>
              <w:rPr>
                <w:rFonts w:hint="default" w:ascii="Times New Roman" w:hAnsi="Times New Roman" w:eastAsia="宋体" w:cs="Times New Roman"/>
                <w:color w:val="auto"/>
                <w:kern w:val="0"/>
                <w:sz w:val="21"/>
                <w:szCs w:val="21"/>
                <w:lang w:val="en-US" w:eastAsia="zh-CN" w:bidi="ar-SA"/>
              </w:rPr>
            </w:pPr>
          </w:p>
        </w:tc>
      </w:tr>
      <w:tr w14:paraId="33A7C4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91" w:hRule="atLeast"/>
          <w:jc w:val="center"/>
        </w:trPr>
        <w:tc>
          <w:tcPr>
            <w:tcW w:w="1509" w:type="dxa"/>
            <w:vAlign w:val="center"/>
          </w:tcPr>
          <w:p w14:paraId="6E130319">
            <w:pPr>
              <w:spacing w:line="240" w:lineRule="auto"/>
              <w:ind w:firstLine="0" w:firstLineChars="0"/>
              <w:jc w:val="center"/>
              <w:rPr>
                <w:rFonts w:hint="default" w:ascii="Times New Roman" w:hAnsi="Times New Roman" w:cs="Times New Roman" w:eastAsiaTheme="minorEastAsia"/>
                <w:b/>
                <w:bCs/>
                <w:color w:val="auto"/>
                <w:kern w:val="0"/>
                <w:highlight w:val="none"/>
              </w:rPr>
            </w:pPr>
            <w:r>
              <w:rPr>
                <w:rFonts w:hint="default" w:ascii="Times New Roman" w:hAnsi="Times New Roman" w:cs="Times New Roman" w:eastAsiaTheme="minorEastAsia"/>
                <w:b/>
                <w:bCs/>
                <w:color w:val="auto"/>
                <w:kern w:val="0"/>
                <w:highlight w:val="none"/>
              </w:rPr>
              <w:t>规划及规划环境影响评价符合性分析</w:t>
            </w:r>
          </w:p>
        </w:tc>
        <w:tc>
          <w:tcPr>
            <w:tcW w:w="7759" w:type="dxa"/>
            <w:gridSpan w:val="3"/>
            <w:vAlign w:val="center"/>
          </w:tcPr>
          <w:p w14:paraId="51736B3E">
            <w:pPr>
              <w:pStyle w:val="77"/>
              <w:keepNext w:val="0"/>
              <w:keepLines w:val="0"/>
              <w:pageBreakBefore w:val="0"/>
              <w:widowControl/>
              <w:kinsoku/>
              <w:wordWrap/>
              <w:overflowPunct/>
              <w:topLinePunct w:val="0"/>
              <w:autoSpaceDE w:val="0"/>
              <w:autoSpaceDN w:val="0"/>
              <w:bidi w:val="0"/>
              <w:adjustRightInd w:val="0"/>
              <w:snapToGrid w:val="0"/>
              <w:spacing w:before="0" w:beforeAutospacing="0" w:after="0" w:afterAutospacing="0" w:line="360" w:lineRule="auto"/>
              <w:ind w:firstLine="422" w:firstLineChars="200"/>
              <w:jc w:val="both"/>
              <w:textAlignment w:val="auto"/>
              <w:rPr>
                <w:rFonts w:hint="default" w:ascii="Times New Roman" w:hAnsi="Times New Roman" w:cs="Times New Roman"/>
                <w:b/>
                <w:color w:val="auto"/>
                <w:sz w:val="21"/>
                <w:szCs w:val="21"/>
              </w:rPr>
            </w:pPr>
            <w:r>
              <w:rPr>
                <w:rFonts w:hint="default" w:ascii="Times New Roman" w:hAnsi="Times New Roman" w:cs="Times New Roman"/>
                <w:b/>
                <w:color w:val="auto"/>
                <w:sz w:val="21"/>
                <w:szCs w:val="21"/>
              </w:rPr>
              <w:t>1.与河北迁安经济开发区总体规划符合性分析</w:t>
            </w:r>
          </w:p>
          <w:p w14:paraId="6B78DD43">
            <w:pPr>
              <w:keepNext w:val="0"/>
              <w:keepLines w:val="0"/>
              <w:pageBreakBefore w:val="0"/>
              <w:widowControl/>
              <w:kinsoku/>
              <w:wordWrap/>
              <w:overflowPunct/>
              <w:topLinePunct w:val="0"/>
              <w:autoSpaceDE w:val="0"/>
              <w:autoSpaceDN w:val="0"/>
              <w:bidi w:val="0"/>
              <w:adjustRightInd w:val="0"/>
              <w:snapToGrid w:val="0"/>
              <w:spacing w:line="360" w:lineRule="auto"/>
              <w:ind w:firstLine="422" w:firstLineChars="200"/>
              <w:jc w:val="both"/>
              <w:textAlignment w:val="auto"/>
              <w:rPr>
                <w:rFonts w:hint="default" w:ascii="Times New Roman" w:hAnsi="Times New Roman" w:cs="Times New Roman"/>
                <w:b/>
                <w:color w:val="auto"/>
                <w:kern w:val="0"/>
                <w:szCs w:val="21"/>
              </w:rPr>
            </w:pPr>
            <w:r>
              <w:rPr>
                <w:rFonts w:hint="default" w:ascii="Times New Roman" w:hAnsi="Times New Roman" w:cs="Times New Roman"/>
                <w:b/>
                <w:color w:val="auto"/>
                <w:kern w:val="0"/>
                <w:szCs w:val="21"/>
              </w:rPr>
              <w:t>1.1规划概况</w:t>
            </w:r>
          </w:p>
          <w:p w14:paraId="28B70E79">
            <w:pPr>
              <w:pStyle w:val="549"/>
              <w:keepNext w:val="0"/>
              <w:keepLines w:val="0"/>
              <w:pageBreakBefore w:val="0"/>
              <w:widowControl/>
              <w:kinsoku/>
              <w:wordWrap/>
              <w:overflowPunct/>
              <w:topLinePunct w:val="0"/>
              <w:autoSpaceDE w:val="0"/>
              <w:autoSpaceDN w:val="0"/>
              <w:bidi w:val="0"/>
              <w:adjustRightInd w:val="0"/>
              <w:snapToGrid w:val="0"/>
              <w:spacing w:beforeLines="0" w:line="360" w:lineRule="auto"/>
              <w:ind w:firstLine="420"/>
              <w:jc w:val="both"/>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河北迁安经济开发区(以下称“开发区”)成立于2010年，位于迁安市域西南侧，是河北省首家千亿级工业聚集区、京津冀协同发展40个重点园区之一，蝉联省能级提升综合示范开发区。经十余载的发展壮大，开发区内基本形成了以钢铁冶金产业为龙头，带动装备制造、煤化工、环保等上下游产业融合发展、链式集聚的良性发展格局。</w:t>
            </w:r>
          </w:p>
          <w:p w14:paraId="5752EED6">
            <w:pPr>
              <w:pStyle w:val="549"/>
              <w:keepNext w:val="0"/>
              <w:keepLines w:val="0"/>
              <w:pageBreakBefore w:val="0"/>
              <w:widowControl/>
              <w:kinsoku/>
              <w:wordWrap/>
              <w:overflowPunct/>
              <w:topLinePunct w:val="0"/>
              <w:autoSpaceDE w:val="0"/>
              <w:autoSpaceDN w:val="0"/>
              <w:bidi w:val="0"/>
              <w:adjustRightInd w:val="0"/>
              <w:snapToGrid w:val="0"/>
              <w:spacing w:beforeLines="0" w:line="360" w:lineRule="auto"/>
              <w:ind w:firstLine="420"/>
              <w:jc w:val="both"/>
              <w:textAlignment w:val="auto"/>
              <w:rPr>
                <w:rFonts w:hint="default" w:ascii="Times New Roman" w:hAnsi="Times New Roman" w:cs="Times New Roman"/>
                <w:b/>
                <w:color w:val="auto"/>
                <w:kern w:val="0"/>
                <w:szCs w:val="21"/>
              </w:rPr>
            </w:pPr>
            <w:r>
              <w:rPr>
                <w:rFonts w:hint="default" w:ascii="Times New Roman" w:hAnsi="Times New Roman" w:cs="Times New Roman"/>
                <w:color w:val="auto"/>
                <w:sz w:val="21"/>
                <w:szCs w:val="21"/>
              </w:rPr>
              <w:t>为进一步推动开发区产业结构转型升级，优化区域发展空间和布局，河北迁安经济开发区管理委员会(迁安高新技术产业开发区管理委员会)结合国土空间规划、“三区三线”成果及省政府批复的面积，拟对开发区规划范围、规划面积和产业进行优化调整，并编制了《河北迁安经济开发区总体规划(2022-2030年)》。规划开发区包含智能创新产业园、钢铁焦化建材产业园、冶金建材产业园、现代装备及循环产业园、钢铁及节能环保产业园、高端装备及氢能产业园。规划以精品钢铁及下游耗钢、装备制造、</w:t>
            </w:r>
            <w:r>
              <w:rPr>
                <w:rFonts w:hint="default" w:ascii="Times New Roman" w:hAnsi="Times New Roman" w:cs="Times New Roman"/>
                <w:color w:val="auto"/>
                <w:kern w:val="0"/>
                <w:sz w:val="21"/>
                <w:szCs w:val="21"/>
              </w:rPr>
              <w:t>煤化工及新材料</w:t>
            </w:r>
            <w:r>
              <w:rPr>
                <w:rFonts w:hint="default" w:ascii="Times New Roman" w:hAnsi="Times New Roman" w:cs="Times New Roman"/>
                <w:color w:val="auto"/>
                <w:sz w:val="21"/>
                <w:szCs w:val="21"/>
              </w:rPr>
              <w:t>为主，建立循环经济体系，带动废弃资源综合利用、绿色建材等环保产业的发展。规划期限2022-2030年。2025年6月</w:t>
            </w:r>
            <w:r>
              <w:rPr>
                <w:rFonts w:hint="default" w:ascii="Times New Roman" w:hAnsi="Times New Roman" w:cs="Times New Roman"/>
                <w:bCs/>
                <w:color w:val="auto"/>
                <w:sz w:val="21"/>
                <w:szCs w:val="21"/>
              </w:rPr>
              <w:t>唐山立业工程技术咨询有限公司编制完成了《</w:t>
            </w:r>
            <w:r>
              <w:rPr>
                <w:rFonts w:hint="default" w:ascii="Times New Roman" w:hAnsi="Times New Roman" w:cs="Times New Roman"/>
                <w:color w:val="auto"/>
                <w:kern w:val="0"/>
                <w:sz w:val="21"/>
                <w:szCs w:val="21"/>
              </w:rPr>
              <w:t>河北迁安经济开发区总体规划(2022-2030年)</w:t>
            </w:r>
            <w:r>
              <w:rPr>
                <w:rFonts w:hint="default" w:ascii="Times New Roman" w:hAnsi="Times New Roman" w:cs="Times New Roman"/>
                <w:bCs/>
                <w:color w:val="auto"/>
                <w:sz w:val="21"/>
                <w:szCs w:val="21"/>
              </w:rPr>
              <w:t>环境影响报告书》，河北省生态环境厅于2025年6月29日出具该环境影响报告书的审查意见，文号“</w:t>
            </w:r>
            <w:r>
              <w:rPr>
                <w:rFonts w:hint="default" w:ascii="Times New Roman" w:hAnsi="Times New Roman" w:cs="Times New Roman"/>
                <w:color w:val="auto"/>
                <w:kern w:val="0"/>
                <w:sz w:val="21"/>
                <w:szCs w:val="21"/>
              </w:rPr>
              <w:t>冀环环评函[2025]1283号</w:t>
            </w:r>
            <w:r>
              <w:rPr>
                <w:rFonts w:hint="default" w:ascii="Times New Roman" w:hAnsi="Times New Roman" w:cs="Times New Roman"/>
                <w:bCs/>
                <w:color w:val="auto"/>
                <w:sz w:val="21"/>
                <w:szCs w:val="21"/>
              </w:rPr>
              <w:t>”</w:t>
            </w:r>
            <w:r>
              <w:rPr>
                <w:rFonts w:hint="default" w:ascii="Times New Roman" w:hAnsi="Times New Roman" w:cs="Times New Roman"/>
                <w:color w:val="auto"/>
                <w:szCs w:val="21"/>
              </w:rPr>
              <w:t>。</w:t>
            </w:r>
          </w:p>
          <w:p w14:paraId="3619D254">
            <w:pPr>
              <w:snapToGrid w:val="0"/>
              <w:spacing w:line="360" w:lineRule="auto"/>
              <w:ind w:firstLine="422" w:firstLineChars="200"/>
              <w:rPr>
                <w:rFonts w:hint="default" w:ascii="Times New Roman" w:hAnsi="Times New Roman" w:cs="Times New Roman"/>
                <w:color w:val="auto"/>
                <w:szCs w:val="21"/>
              </w:rPr>
            </w:pPr>
            <w:r>
              <w:rPr>
                <w:rFonts w:hint="default" w:ascii="Times New Roman" w:hAnsi="Times New Roman" w:cs="Times New Roman"/>
                <w:b/>
                <w:color w:val="auto"/>
                <w:kern w:val="0"/>
                <w:szCs w:val="21"/>
              </w:rPr>
              <w:t>1.2功能分区</w:t>
            </w:r>
          </w:p>
          <w:p w14:paraId="2792649B">
            <w:pPr>
              <w:adjustRightInd w:val="0"/>
              <w:snapToGrid w:val="0"/>
              <w:spacing w:line="360" w:lineRule="auto"/>
              <w:ind w:firstLine="420" w:firstLineChars="200"/>
              <w:rPr>
                <w:rFonts w:hint="default" w:ascii="Times New Roman" w:hAnsi="Times New Roman" w:cs="Times New Roman"/>
                <w:color w:val="auto"/>
                <w:szCs w:val="21"/>
              </w:rPr>
            </w:pPr>
            <w:r>
              <w:rPr>
                <w:rFonts w:hint="default" w:ascii="Times New Roman" w:hAnsi="Times New Roman" w:cs="Times New Roman"/>
                <w:bCs/>
                <w:color w:val="auto"/>
                <w:szCs w:val="21"/>
              </w:rPr>
              <w:t>根据《</w:t>
            </w:r>
            <w:r>
              <w:rPr>
                <w:rFonts w:hint="default" w:ascii="Times New Roman" w:hAnsi="Times New Roman" w:cs="Times New Roman"/>
                <w:color w:val="auto"/>
                <w:szCs w:val="21"/>
              </w:rPr>
              <w:t>河北迁安经济开发区总体规划(2022-2030年)</w:t>
            </w:r>
            <w:r>
              <w:rPr>
                <w:rFonts w:hint="default" w:ascii="Times New Roman" w:hAnsi="Times New Roman" w:cs="Times New Roman"/>
                <w:bCs/>
                <w:color w:val="auto"/>
                <w:szCs w:val="21"/>
              </w:rPr>
              <w:t>》，</w:t>
            </w:r>
            <w:r>
              <w:rPr>
                <w:rFonts w:hint="default" w:ascii="Times New Roman" w:hAnsi="Times New Roman" w:cs="Times New Roman"/>
                <w:color w:val="auto"/>
                <w:szCs w:val="21"/>
              </w:rPr>
              <w:t>规划空间结构为“一主四星多片区”的组团布局形态</w:t>
            </w:r>
            <w:r>
              <w:rPr>
                <w:rFonts w:hint="default" w:ascii="Times New Roman" w:hAnsi="Times New Roman" w:cs="Times New Roman"/>
                <w:bCs/>
                <w:color w:val="auto"/>
                <w:szCs w:val="21"/>
              </w:rPr>
              <w:t>。</w:t>
            </w:r>
            <w:r>
              <w:rPr>
                <w:rFonts w:hint="default" w:ascii="Times New Roman" w:hAnsi="Times New Roman" w:cs="Times New Roman"/>
                <w:color w:val="auto"/>
                <w:szCs w:val="21"/>
              </w:rPr>
              <w:t>其中：“一主”指迁安市经济开发区主体功能区，分别为智能创新产业园和钢铁焦化建材产业园；“四星”指迁安经济开发区的外围地块，具体为冶金建材产业园、现代装备及循环产业园、钢铁及节能环保产业园、高端装备及氢能产业园；“多片区”指主体功能区的四个特色产业区，即智能创新产业园内的钢铁产业区、装备制造产业区和钢铁焦化建材产业园内的煤化工及钢铁建材产业区和化工集中区(南部片区)。</w:t>
            </w:r>
          </w:p>
          <w:p w14:paraId="303BA376">
            <w:pPr>
              <w:pStyle w:val="2"/>
              <w:bidi w:val="0"/>
              <w:rPr>
                <w:rFonts w:hint="default" w:ascii="Times New Roman" w:hAnsi="Times New Roman" w:cs="Times New Roman"/>
                <w:color w:val="auto"/>
              </w:rPr>
            </w:pPr>
            <w:r>
              <w:rPr>
                <w:rFonts w:hint="default" w:ascii="Times New Roman" w:hAnsi="Times New Roman" w:cs="Times New Roman"/>
                <w:color w:val="auto"/>
              </w:rPr>
              <w:t>开发区规划以精品钢铁及下游耗钢、装备制造、煤化工及新材料为主导产业，建立循环经济体系，带动废弃资源综合利用、绿色建材等环保产业的发展。</w:t>
            </w:r>
          </w:p>
          <w:p w14:paraId="10553094">
            <w:pPr>
              <w:pStyle w:val="2"/>
              <w:bidi w:val="0"/>
              <w:rPr>
                <w:rFonts w:hint="default" w:ascii="Times New Roman" w:hAnsi="Times New Roman" w:cs="Times New Roman"/>
                <w:color w:val="auto"/>
              </w:rPr>
            </w:pPr>
            <w:r>
              <w:rPr>
                <w:rFonts w:hint="default" w:ascii="Times New Roman" w:hAnsi="Times New Roman" w:cs="Times New Roman"/>
                <w:color w:val="auto"/>
              </w:rPr>
              <w:t>项目位于河北迁安经济开发区</w:t>
            </w:r>
            <w:r>
              <w:rPr>
                <w:rFonts w:hint="default" w:ascii="Times New Roman" w:hAnsi="Times New Roman" w:cs="Times New Roman"/>
                <w:color w:val="auto"/>
                <w:lang w:val="en-US" w:eastAsia="zh-CN"/>
              </w:rPr>
              <w:t>的智能创新产业园-钢铁产业区</w:t>
            </w:r>
            <w:r>
              <w:rPr>
                <w:rFonts w:hint="default" w:ascii="Times New Roman" w:hAnsi="Times New Roman" w:cs="Times New Roman"/>
                <w:color w:val="auto"/>
              </w:rPr>
              <w:t>。该区发展方向为</w:t>
            </w:r>
            <w:r>
              <w:rPr>
                <w:rFonts w:hint="default" w:ascii="Times New Roman" w:hAnsi="Times New Roman" w:cs="Times New Roman"/>
                <w:color w:val="auto"/>
                <w:lang w:val="en-US" w:eastAsia="zh-CN"/>
              </w:rPr>
              <w:t>钢铁及下游耗钢产业：重点发展以板材、型钢为主的耗钢产业；环保产业：重点发展以上游废钢破碎、汽车拆解和下游钢铁及冶金固体废物综合利用为主的环保产业。</w:t>
            </w:r>
          </w:p>
          <w:p w14:paraId="4775502F">
            <w:pPr>
              <w:pStyle w:val="2"/>
              <w:rPr>
                <w:rFonts w:hint="default" w:ascii="Times New Roman" w:hAnsi="Times New Roman" w:eastAsia="宋体" w:cs="Times New Roman"/>
                <w:color w:val="auto"/>
                <w:lang w:val="en-US" w:eastAsia="zh-CN"/>
              </w:rPr>
            </w:pPr>
            <w:r>
              <w:rPr>
                <w:rFonts w:hint="default" w:ascii="Times New Roman" w:hAnsi="Times New Roman" w:cs="Times New Roman" w:eastAsiaTheme="minorEastAsia"/>
                <w:color w:val="auto"/>
                <w:kern w:val="0"/>
                <w:sz w:val="21"/>
                <w:szCs w:val="21"/>
                <w:highlight w:val="none"/>
              </w:rPr>
              <w:t>本项目为</w:t>
            </w:r>
            <w:r>
              <w:rPr>
                <w:rFonts w:hint="default"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eastAsiaTheme="minorEastAsia"/>
                <w:color w:val="auto"/>
                <w:kern w:val="0"/>
                <w:sz w:val="21"/>
                <w:szCs w:val="21"/>
                <w:highlight w:val="none"/>
              </w:rPr>
              <w:t>，</w:t>
            </w:r>
            <w:r>
              <w:rPr>
                <w:rFonts w:hint="default" w:ascii="Times New Roman" w:hAnsi="Times New Roman" w:cs="Times New Roman" w:eastAsiaTheme="minorEastAsia"/>
                <w:color w:val="auto"/>
                <w:kern w:val="0"/>
                <w:sz w:val="21"/>
                <w:szCs w:val="21"/>
                <w:highlight w:val="none"/>
                <w:lang w:val="en-US" w:eastAsia="zh-CN"/>
              </w:rPr>
              <w:t>对钢铁企业的废弃资源进行综合利用，属于对大综固体废弃物自利用循环产业，属于鼓励行为，</w:t>
            </w:r>
            <w:r>
              <w:rPr>
                <w:rFonts w:hint="default" w:ascii="Times New Roman" w:hAnsi="Times New Roman" w:cs="Times New Roman" w:eastAsiaTheme="minorEastAsia"/>
                <w:color w:val="auto"/>
                <w:kern w:val="0"/>
                <w:sz w:val="21"/>
                <w:szCs w:val="21"/>
                <w:highlight w:val="none"/>
              </w:rPr>
              <w:t>符合园区功能定位要求。</w:t>
            </w:r>
            <w:r>
              <w:rPr>
                <w:rFonts w:hint="default" w:ascii="Times New Roman" w:hAnsi="Times New Roman" w:eastAsia="宋体" w:cs="Times New Roman"/>
                <w:b w:val="0"/>
                <w:bCs w:val="0"/>
                <w:color w:val="auto"/>
              </w:rPr>
              <w:t>开发区产业布局规划</w:t>
            </w:r>
            <w:r>
              <w:rPr>
                <w:rFonts w:hint="default" w:ascii="Times New Roman" w:hAnsi="Times New Roman" w:eastAsia="宋体" w:cs="Times New Roman"/>
                <w:b w:val="0"/>
                <w:bCs w:val="0"/>
                <w:color w:val="auto"/>
                <w:lang w:val="en-US" w:eastAsia="zh-CN"/>
              </w:rPr>
              <w:t>见图1-1。</w:t>
            </w:r>
          </w:p>
          <w:p w14:paraId="416125B0">
            <w:pPr>
              <w:pStyle w:val="32"/>
              <w:spacing w:after="0" w:line="360" w:lineRule="auto"/>
              <w:ind w:left="0" w:leftChars="0" w:firstLine="0" w:firstLineChars="0"/>
              <w:jc w:val="center"/>
              <w:rPr>
                <w:color w:val="auto"/>
              </w:rPr>
            </w:pPr>
            <w:r>
              <w:rPr>
                <w:color w:val="auto"/>
                <w:sz w:val="21"/>
              </w:rPr>
              <mc:AlternateContent>
                <mc:Choice Requires="wps">
                  <w:drawing>
                    <wp:anchor distT="0" distB="0" distL="114300" distR="114300" simplePos="0" relativeHeight="251667456" behindDoc="0" locked="0" layoutInCell="1" allowOverlap="1">
                      <wp:simplePos x="0" y="0"/>
                      <wp:positionH relativeFrom="column">
                        <wp:posOffset>1400175</wp:posOffset>
                      </wp:positionH>
                      <wp:positionV relativeFrom="paragraph">
                        <wp:posOffset>3021330</wp:posOffset>
                      </wp:positionV>
                      <wp:extent cx="57150" cy="57785"/>
                      <wp:effectExtent l="4445" t="4445" r="14605" b="13970"/>
                      <wp:wrapNone/>
                      <wp:docPr id="18" name="矩形 18"/>
                      <wp:cNvGraphicFramePr/>
                      <a:graphic xmlns:a="http://schemas.openxmlformats.org/drawingml/2006/main">
                        <a:graphicData uri="http://schemas.microsoft.com/office/word/2010/wordprocessingShape">
                          <wps:wsp>
                            <wps:cNvSpPr/>
                            <wps:spPr>
                              <a:xfrm flipH="1">
                                <a:off x="0" y="0"/>
                                <a:ext cx="57150" cy="57785"/>
                              </a:xfrm>
                              <a:prstGeom prst="rect">
                                <a:avLst/>
                              </a:prstGeom>
                              <a:solidFill>
                                <a:srgbClr val="FF0000"/>
                              </a:solidFill>
                              <a:ln w="9525" cap="flat" cmpd="sng">
                                <a:solidFill>
                                  <a:srgbClr val="FF0000"/>
                                </a:solidFill>
                                <a:prstDash val="solid"/>
                                <a:miter/>
                                <a:headEnd type="none" w="med" len="med"/>
                                <a:tailEnd type="none" w="med" len="med"/>
                              </a:ln>
                            </wps:spPr>
                            <wps:bodyPr upright="1"/>
                          </wps:wsp>
                        </a:graphicData>
                      </a:graphic>
                    </wp:anchor>
                  </w:drawing>
                </mc:Choice>
                <mc:Fallback>
                  <w:pict>
                    <v:rect id="_x0000_s1026" o:spid="_x0000_s1026" o:spt="1" style="position:absolute;left:0pt;flip:x;margin-left:110.25pt;margin-top:237.9pt;height:4.55pt;width:4.5pt;z-index:251667456;mso-width-relative:page;mso-height-relative:page;" fillcolor="#FF0000" filled="t" stroked="t" coordsize="21600,21600" o:gfxdata="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O7lYoPXAAAACwEAAA8AAAAAAAAAAQAgAAAAIgAAAGRycy9kb3ducmV2&#10;LnhtbFBLAQIUABQAAAAIAIdO4kCJKxkm/QEAACcEAAAOAAAAAAAAAAEAIAAAACYBAABkcnMvZTJv&#10;RG9jLnhtbFBLBQYAAAAABgAGAFkBAACVBQAAAAA=&#10;">
                      <v:fill on="t" focussize="0,0"/>
                      <v:stroke color="#FF0000" joinstyle="miter"/>
                      <v:imagedata o:title=""/>
                      <o:lock v:ext="edit" aspectratio="f"/>
                    </v:rect>
                  </w:pict>
                </mc:Fallback>
              </mc:AlternateContent>
            </w:r>
            <w:r>
              <w:rPr>
                <w:color w:val="auto"/>
                <w:sz w:val="21"/>
              </w:rPr>
              <mc:AlternateContent>
                <mc:Choice Requires="wps">
                  <w:drawing>
                    <wp:anchor distT="0" distB="0" distL="114300" distR="114300" simplePos="0" relativeHeight="251668480" behindDoc="0" locked="0" layoutInCell="1" allowOverlap="1">
                      <wp:simplePos x="0" y="0"/>
                      <wp:positionH relativeFrom="column">
                        <wp:posOffset>546735</wp:posOffset>
                      </wp:positionH>
                      <wp:positionV relativeFrom="paragraph">
                        <wp:posOffset>1188720</wp:posOffset>
                      </wp:positionV>
                      <wp:extent cx="847090" cy="302895"/>
                      <wp:effectExtent l="5080" t="4445" r="43180" b="1578610"/>
                      <wp:wrapNone/>
                      <wp:docPr id="21" name="圆角矩形标注 21"/>
                      <wp:cNvGraphicFramePr/>
                      <a:graphic xmlns:a="http://schemas.openxmlformats.org/drawingml/2006/main">
                        <a:graphicData uri="http://schemas.microsoft.com/office/word/2010/wordprocessingShape">
                          <wps:wsp>
                            <wps:cNvSpPr/>
                            <wps:spPr>
                              <a:xfrm flipH="1">
                                <a:off x="0" y="0"/>
                                <a:ext cx="847090" cy="302895"/>
                              </a:xfrm>
                              <a:prstGeom prst="wedgeRoundRectCallout">
                                <a:avLst>
                                  <a:gd name="adj1" fmla="val -52998"/>
                                  <a:gd name="adj2" fmla="val 556289"/>
                                  <a:gd name="adj3" fmla="val 16667"/>
                                </a:avLst>
                              </a:prstGeom>
                              <a:solidFill>
                                <a:srgbClr val="FFFFFF"/>
                              </a:solidFill>
                              <a:ln w="9525" cap="flat" cmpd="sng">
                                <a:solidFill>
                                  <a:srgbClr val="000000"/>
                                </a:solidFill>
                                <a:prstDash val="solid"/>
                                <a:miter/>
                                <a:headEnd type="none" w="med" len="med"/>
                                <a:tailEnd type="none" w="med" len="med"/>
                              </a:ln>
                            </wps:spPr>
                            <wps:txbx>
                              <w:txbxContent>
                                <w:p w14:paraId="349D05B6">
                                  <w:pPr>
                                    <w:keepNext w:val="0"/>
                                    <w:keepLines w:val="0"/>
                                    <w:pageBreakBefore w:val="0"/>
                                    <w:widowControl/>
                                    <w:kinsoku/>
                                    <w:wordWrap/>
                                    <w:overflowPunct/>
                                    <w:topLinePunct w:val="0"/>
                                    <w:bidi w:val="0"/>
                                    <w:adjustRightInd w:val="0"/>
                                    <w:snapToGrid w:val="0"/>
                                    <w:ind w:firstLine="0" w:firstLineChars="0"/>
                                    <w:textAlignment w:val="auto"/>
                                  </w:pPr>
                                  <w:r>
                                    <w:t>项目位置</w:t>
                                  </w:r>
                                </w:p>
                              </w:txbxContent>
                            </wps:txbx>
                            <wps:bodyPr upright="1"/>
                          </wps:wsp>
                        </a:graphicData>
                      </a:graphic>
                    </wp:anchor>
                  </w:drawing>
                </mc:Choice>
                <mc:Fallback>
                  <w:pict>
                    <v:shape id="_x0000_s1026" o:spid="_x0000_s1026" o:spt="62" type="#_x0000_t62" style="position:absolute;left:0pt;flip:x;margin-left:43.05pt;margin-top:93.6pt;height:23.85pt;width:66.7pt;z-index:251668480;mso-width-relative:page;mso-height-relative:page;" fillcolor="#FFFFFF" filled="t" stroked="t" coordsize="21600,21600" o:gfxdata="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Avkrtw&#10;2AAAAAoBAAAPAAAAAAAAAAEAIAAAACIAAABkcnMvZG93bnJldi54bWxQSwECFAAUAAAACACHTuJA&#10;Z1/z61oCAADIBAAADgAAAAAAAAABACAAAAAnAQAAZHJzL2Uyb0RvYy54bWxQSwUGAAAAAAYABgBZ&#10;AQAA8wUAAAAA&#10;" adj="-648,130958,14400">
                      <v:fill on="t" focussize="0,0"/>
                      <v:stroke color="#000000" joinstyle="miter"/>
                      <v:imagedata o:title=""/>
                      <o:lock v:ext="edit" aspectratio="f"/>
                      <v:textbox>
                        <w:txbxContent>
                          <w:p w14:paraId="349D05B6">
                            <w:pPr>
                              <w:keepNext w:val="0"/>
                              <w:keepLines w:val="0"/>
                              <w:pageBreakBefore w:val="0"/>
                              <w:widowControl/>
                              <w:kinsoku/>
                              <w:wordWrap/>
                              <w:overflowPunct/>
                              <w:topLinePunct w:val="0"/>
                              <w:bidi w:val="0"/>
                              <w:adjustRightInd w:val="0"/>
                              <w:snapToGrid w:val="0"/>
                              <w:ind w:firstLine="0" w:firstLineChars="0"/>
                              <w:textAlignment w:val="auto"/>
                            </w:pPr>
                            <w:r>
                              <w:t>项目位置</w:t>
                            </w:r>
                          </w:p>
                        </w:txbxContent>
                      </v:textbox>
                    </v:shape>
                  </w:pict>
                </mc:Fallback>
              </mc:AlternateContent>
            </w:r>
            <w:r>
              <w:rPr>
                <w:color w:val="auto"/>
              </w:rPr>
              <w:drawing>
                <wp:anchor distT="0" distB="0" distL="114300" distR="114300" simplePos="0" relativeHeight="251669504" behindDoc="0" locked="0" layoutInCell="1" allowOverlap="1">
                  <wp:simplePos x="0" y="0"/>
                  <wp:positionH relativeFrom="column">
                    <wp:posOffset>3830320</wp:posOffset>
                  </wp:positionH>
                  <wp:positionV relativeFrom="paragraph">
                    <wp:posOffset>3810</wp:posOffset>
                  </wp:positionV>
                  <wp:extent cx="579120" cy="611505"/>
                  <wp:effectExtent l="0" t="0" r="11430" b="17145"/>
                  <wp:wrapNone/>
                  <wp:docPr id="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
                          <pic:cNvPicPr>
                            <a:picLocks noChangeAspect="1"/>
                          </pic:cNvPicPr>
                        </pic:nvPicPr>
                        <pic:blipFill>
                          <a:blip r:embed="rId11"/>
                          <a:stretch>
                            <a:fillRect/>
                          </a:stretch>
                        </pic:blipFill>
                        <pic:spPr>
                          <a:xfrm>
                            <a:off x="0" y="0"/>
                            <a:ext cx="579120" cy="611505"/>
                          </a:xfrm>
                          <a:prstGeom prst="rect">
                            <a:avLst/>
                          </a:prstGeom>
                          <a:noFill/>
                          <a:ln>
                            <a:noFill/>
                          </a:ln>
                        </pic:spPr>
                      </pic:pic>
                    </a:graphicData>
                  </a:graphic>
                </wp:anchor>
              </w:drawing>
            </w:r>
            <w:r>
              <w:rPr>
                <w:color w:val="auto"/>
              </w:rPr>
              <w:drawing>
                <wp:inline distT="0" distB="0" distL="114300" distR="114300">
                  <wp:extent cx="3856990" cy="3263900"/>
                  <wp:effectExtent l="9525" t="9525" r="19685" b="22225"/>
                  <wp:docPr id="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2"/>
                          <pic:cNvPicPr>
                            <a:picLocks noChangeAspect="1"/>
                          </pic:cNvPicPr>
                        </pic:nvPicPr>
                        <pic:blipFill>
                          <a:blip r:embed="rId12"/>
                          <a:stretch>
                            <a:fillRect/>
                          </a:stretch>
                        </pic:blipFill>
                        <pic:spPr>
                          <a:xfrm>
                            <a:off x="0" y="0"/>
                            <a:ext cx="3856990" cy="3263900"/>
                          </a:xfrm>
                          <a:prstGeom prst="rect">
                            <a:avLst/>
                          </a:prstGeom>
                          <a:noFill/>
                          <a:ln w="6350" cap="flat" cmpd="sng">
                            <a:solidFill>
                              <a:srgbClr val="000000"/>
                            </a:solidFill>
                            <a:prstDash val="solid"/>
                            <a:miter/>
                            <a:headEnd type="none" w="med" len="med"/>
                            <a:tailEnd type="none" w="med" len="med"/>
                          </a:ln>
                        </pic:spPr>
                      </pic:pic>
                    </a:graphicData>
                  </a:graphic>
                </wp:inline>
              </w:drawing>
            </w:r>
          </w:p>
          <w:p w14:paraId="774F4BD0">
            <w:pPr>
              <w:keepNext w:val="0"/>
              <w:keepLines w:val="0"/>
              <w:pageBreakBefore w:val="0"/>
              <w:widowControl/>
              <w:kinsoku/>
              <w:wordWrap/>
              <w:overflowPunct/>
              <w:topLinePunct w:val="0"/>
              <w:autoSpaceDE w:val="0"/>
              <w:autoSpaceDN w:val="0"/>
              <w:bidi w:val="0"/>
              <w:adjustRightInd w:val="0"/>
              <w:snapToGrid w:val="0"/>
              <w:ind w:left="0" w:leftChars="0" w:firstLine="0" w:firstLineChars="0"/>
              <w:jc w:val="center"/>
              <w:textAlignment w:val="auto"/>
              <w:rPr>
                <w:rFonts w:hint="default" w:ascii="Times New Roman" w:hAnsi="Times New Roman" w:cs="Times New Roman"/>
                <w:b/>
                <w:bCs/>
                <w:color w:val="auto"/>
                <w:lang w:eastAsia="zh-CN"/>
              </w:rPr>
            </w:pPr>
            <w:r>
              <w:rPr>
                <w:rFonts w:hint="default" w:ascii="Times New Roman" w:hAnsi="Times New Roman" w:cs="Times New Roman"/>
                <w:b/>
                <w:bCs/>
                <w:color w:val="auto"/>
              </w:rPr>
              <w:t>图1-1  开发区产业布局规划图</w:t>
            </w:r>
            <w:r>
              <w:rPr>
                <w:rFonts w:hint="default" w:ascii="Times New Roman" w:hAnsi="Times New Roman" w:cs="Times New Roman"/>
                <w:b/>
                <w:bCs/>
                <w:color w:val="auto"/>
                <w:lang w:eastAsia="zh-CN"/>
              </w:rPr>
              <w:t>(</w:t>
            </w:r>
            <w:r>
              <w:rPr>
                <w:rFonts w:hint="default" w:ascii="Times New Roman" w:hAnsi="Times New Roman" w:cs="Times New Roman"/>
                <w:b/>
                <w:bCs/>
                <w:color w:val="auto"/>
                <w:lang w:val="en-US" w:eastAsia="zh-CN"/>
              </w:rPr>
              <w:t>局部</w:t>
            </w:r>
            <w:r>
              <w:rPr>
                <w:rFonts w:hint="default" w:ascii="Times New Roman" w:hAnsi="Times New Roman" w:cs="Times New Roman"/>
                <w:b/>
                <w:bCs/>
                <w:color w:val="auto"/>
                <w:lang w:eastAsia="zh-CN"/>
              </w:rPr>
              <w:t>)</w:t>
            </w:r>
          </w:p>
          <w:p w14:paraId="5E260A11">
            <w:pPr>
              <w:pStyle w:val="2"/>
              <w:rPr>
                <w:b/>
                <w:bCs/>
                <w:color w:val="auto"/>
              </w:rPr>
            </w:pPr>
            <w:r>
              <w:rPr>
                <w:rFonts w:hint="eastAsia"/>
                <w:b/>
                <w:bCs/>
                <w:color w:val="auto"/>
                <w:lang w:val="en-US" w:eastAsia="zh-CN"/>
              </w:rPr>
              <w:t>1.3</w:t>
            </w:r>
            <w:r>
              <w:rPr>
                <w:rFonts w:hint="eastAsia"/>
                <w:b/>
                <w:bCs/>
                <w:color w:val="auto"/>
              </w:rPr>
              <w:t>用地布局规划</w:t>
            </w:r>
          </w:p>
          <w:p w14:paraId="5512E46D">
            <w:pPr>
              <w:pStyle w:val="2"/>
              <w:rPr>
                <w:rFonts w:hint="default" w:ascii="Times New Roman" w:hAnsi="Times New Roman" w:cs="Times New Roman"/>
                <w:color w:val="auto"/>
              </w:rPr>
            </w:pPr>
            <w:r>
              <w:rPr>
                <w:rFonts w:hint="default" w:ascii="Times New Roman" w:hAnsi="Times New Roman" w:cs="Times New Roman"/>
                <w:color w:val="auto"/>
              </w:rPr>
              <w:t>根据《河北迁安经济开发区总体规划(2022-2030年)》，</w:t>
            </w:r>
            <w:r>
              <w:rPr>
                <w:rFonts w:hint="default" w:ascii="Times New Roman" w:hAnsi="Times New Roman" w:cs="Times New Roman"/>
                <w:color w:val="auto"/>
                <w:lang w:val="en-US" w:eastAsia="zh-CN"/>
              </w:rPr>
              <w:t>规划</w:t>
            </w:r>
            <w:r>
              <w:rPr>
                <w:rFonts w:hint="default" w:ascii="Times New Roman" w:hAnsi="Times New Roman" w:cs="Times New Roman"/>
                <w:color w:val="auto"/>
              </w:rPr>
              <w:t>建设用地全部位于城镇开发边界内，城镇开发边界外区域规划为留白用地，不进行开发建设。项目位于</w:t>
            </w:r>
            <w:r>
              <w:rPr>
                <w:rFonts w:hint="default" w:ascii="Times New Roman" w:hAnsi="Times New Roman" w:cs="Times New Roman" w:eastAsiaTheme="minorEastAsia"/>
                <w:color w:val="auto"/>
                <w:kern w:val="0"/>
                <w:szCs w:val="21"/>
                <w:highlight w:val="none"/>
                <w:lang w:val="en-US" w:eastAsia="zh-CN"/>
              </w:rPr>
              <w:t>河北迁安经济开发区，公司现有厂区内</w:t>
            </w:r>
            <w:r>
              <w:rPr>
                <w:rFonts w:hint="default" w:ascii="Times New Roman" w:hAnsi="Times New Roman" w:cs="Times New Roman"/>
                <w:color w:val="auto"/>
              </w:rPr>
              <w:t>，根据开发区用地布局规划图，项目占地类型为工业用地(见图1-2)，符合用地布局规划要求。</w:t>
            </w:r>
          </w:p>
          <w:p w14:paraId="33C5DFEA">
            <w:pPr>
              <w:pStyle w:val="2"/>
              <w:ind w:firstLine="0" w:firstLineChars="0"/>
              <w:jc w:val="center"/>
              <w:rPr>
                <w:rFonts w:hint="eastAsia"/>
                <w:bCs/>
                <w:color w:val="auto"/>
              </w:rPr>
            </w:pPr>
            <w:r>
              <w:rPr>
                <w:color w:val="auto"/>
                <w:sz w:val="21"/>
              </w:rPr>
              <mc:AlternateContent>
                <mc:Choice Requires="wps">
                  <w:drawing>
                    <wp:anchor distT="0" distB="0" distL="114300" distR="114300" simplePos="0" relativeHeight="251670528" behindDoc="0" locked="0" layoutInCell="1" allowOverlap="1">
                      <wp:simplePos x="0" y="0"/>
                      <wp:positionH relativeFrom="column">
                        <wp:posOffset>1364615</wp:posOffset>
                      </wp:positionH>
                      <wp:positionV relativeFrom="paragraph">
                        <wp:posOffset>2745105</wp:posOffset>
                      </wp:positionV>
                      <wp:extent cx="53975" cy="53975"/>
                      <wp:effectExtent l="5080" t="5080" r="17145" b="17145"/>
                      <wp:wrapNone/>
                      <wp:docPr id="24" name="矩形 24"/>
                      <wp:cNvGraphicFramePr/>
                      <a:graphic xmlns:a="http://schemas.openxmlformats.org/drawingml/2006/main">
                        <a:graphicData uri="http://schemas.microsoft.com/office/word/2010/wordprocessingShape">
                          <wps:wsp>
                            <wps:cNvSpPr/>
                            <wps:spPr>
                              <a:xfrm>
                                <a:off x="0" y="0"/>
                                <a:ext cx="53975" cy="53975"/>
                              </a:xfrm>
                              <a:prstGeom prst="rect">
                                <a:avLst/>
                              </a:prstGeom>
                              <a:solidFill>
                                <a:srgbClr val="FF0000"/>
                              </a:solidFill>
                              <a:ln w="9525" cap="flat" cmpd="sng">
                                <a:solidFill>
                                  <a:srgbClr val="FF0000"/>
                                </a:solidFill>
                                <a:prstDash val="solid"/>
                                <a:miter/>
                                <a:headEnd type="none" w="med" len="med"/>
                                <a:tailEnd type="none" w="med" len="med"/>
                              </a:ln>
                            </wps:spPr>
                            <wps:bodyPr upright="1"/>
                          </wps:wsp>
                        </a:graphicData>
                      </a:graphic>
                    </wp:anchor>
                  </w:drawing>
                </mc:Choice>
                <mc:Fallback>
                  <w:pict>
                    <v:rect id="_x0000_s1026" o:spid="_x0000_s1026" o:spt="1" style="position:absolute;left:0pt;margin-left:107.45pt;margin-top:216.15pt;height:4.25pt;width:4.25pt;z-index:251670528;mso-width-relative:page;mso-height-relative:page;" fillcolor="#FF0000" filled="t" stroked="t" coordsize="21600,21600" o:gfxdata="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gjKv9sAAAALAQAADwAAAAAAAAABACAAAAAiAAAAZHJzL2Rvd25yZXYueG1s&#10;UEsBAhQAFAAAAAgAh07iQHFJxZP1AQAAHQQAAA4AAAAAAAAAAQAgAAAAKgEAAGRycy9lMm9Eb2Mu&#10;eG1sUEsFBgAAAAAGAAYAWQEAAJEFAAAAAA==&#10;">
                      <v:fill on="t" focussize="0,0"/>
                      <v:stroke color="#FF0000" joinstyle="miter"/>
                      <v:imagedata o:title=""/>
                      <o:lock v:ext="edit" aspectratio="f"/>
                    </v:rect>
                  </w:pict>
                </mc:Fallback>
              </mc:AlternateContent>
            </w:r>
            <w:r>
              <w:rPr>
                <w:color w:val="auto"/>
                <w:sz w:val="21"/>
              </w:rPr>
              <mc:AlternateContent>
                <mc:Choice Requires="wps">
                  <w:drawing>
                    <wp:anchor distT="0" distB="0" distL="114300" distR="114300" simplePos="0" relativeHeight="251671552" behindDoc="0" locked="0" layoutInCell="1" allowOverlap="1">
                      <wp:simplePos x="0" y="0"/>
                      <wp:positionH relativeFrom="column">
                        <wp:posOffset>1710055</wp:posOffset>
                      </wp:positionH>
                      <wp:positionV relativeFrom="paragraph">
                        <wp:posOffset>120650</wp:posOffset>
                      </wp:positionV>
                      <wp:extent cx="797560" cy="281940"/>
                      <wp:effectExtent l="302260" t="4445" r="5080" b="2399665"/>
                      <wp:wrapNone/>
                      <wp:docPr id="23" name="圆角矩形标注 23"/>
                      <wp:cNvGraphicFramePr/>
                      <a:graphic xmlns:a="http://schemas.openxmlformats.org/drawingml/2006/main">
                        <a:graphicData uri="http://schemas.microsoft.com/office/word/2010/wordprocessingShape">
                          <wps:wsp>
                            <wps:cNvSpPr/>
                            <wps:spPr>
                              <a:xfrm>
                                <a:off x="0" y="0"/>
                                <a:ext cx="797560" cy="281940"/>
                              </a:xfrm>
                              <a:prstGeom prst="wedgeRoundRectCallout">
                                <a:avLst>
                                  <a:gd name="adj1" fmla="val -86464"/>
                                  <a:gd name="adj2" fmla="val 887387"/>
                                  <a:gd name="adj3" fmla="val 16667"/>
                                </a:avLst>
                              </a:prstGeom>
                              <a:solidFill>
                                <a:srgbClr val="FFFFFF"/>
                              </a:solidFill>
                              <a:ln w="9525" cap="flat" cmpd="sng">
                                <a:solidFill>
                                  <a:srgbClr val="000000"/>
                                </a:solidFill>
                                <a:prstDash val="solid"/>
                                <a:miter/>
                                <a:headEnd type="none" w="med" len="med"/>
                                <a:tailEnd type="none" w="med" len="med"/>
                              </a:ln>
                            </wps:spPr>
                            <wps:txbx>
                              <w:txbxContent>
                                <w:p w14:paraId="19F53805">
                                  <w:pPr>
                                    <w:keepNext w:val="0"/>
                                    <w:keepLines w:val="0"/>
                                    <w:pageBreakBefore w:val="0"/>
                                    <w:widowControl/>
                                    <w:kinsoku/>
                                    <w:wordWrap/>
                                    <w:overflowPunct/>
                                    <w:topLinePunct w:val="0"/>
                                    <w:bidi w:val="0"/>
                                    <w:adjustRightInd w:val="0"/>
                                    <w:snapToGrid w:val="0"/>
                                    <w:ind w:firstLine="0" w:firstLineChars="0"/>
                                    <w:textAlignment w:val="auto"/>
                                  </w:pPr>
                                  <w:r>
                                    <w:t>项目位置</w:t>
                                  </w:r>
                                </w:p>
                              </w:txbxContent>
                            </wps:txbx>
                            <wps:bodyPr upright="1"/>
                          </wps:wsp>
                        </a:graphicData>
                      </a:graphic>
                    </wp:anchor>
                  </w:drawing>
                </mc:Choice>
                <mc:Fallback>
                  <w:pict>
                    <v:shape id="_x0000_s1026" o:spid="_x0000_s1026" o:spt="62" type="#_x0000_t62" style="position:absolute;left:0pt;margin-left:134.65pt;margin-top:9.5pt;height:22.2pt;width:62.8pt;z-index:251671552;mso-width-relative:page;mso-height-relative:page;" fillcolor="#FFFFFF" filled="t" stroked="t" coordsize="21600,21600" o:gfxdata="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GYhE5fWAAAACQEA&#10;AA8AAAAAAAAAAQAgAAAAIgAAAGRycy9kb3ducmV2LnhtbFBLAQIUABQAAAAIAIdO4kDUe58wVQIA&#10;AL4EAAAOAAAAAAAAAAEAIAAAACUBAABkcnMvZTJvRG9jLnhtbFBLBQYAAAAABgAGAFkBAADsBQAA&#10;AAA=&#10;" adj="-7876,202476,14400">
                      <v:fill on="t" focussize="0,0"/>
                      <v:stroke color="#000000" joinstyle="miter"/>
                      <v:imagedata o:title=""/>
                      <o:lock v:ext="edit" aspectratio="f"/>
                      <v:textbox>
                        <w:txbxContent>
                          <w:p w14:paraId="19F53805">
                            <w:pPr>
                              <w:keepNext w:val="0"/>
                              <w:keepLines w:val="0"/>
                              <w:pageBreakBefore w:val="0"/>
                              <w:widowControl/>
                              <w:kinsoku/>
                              <w:wordWrap/>
                              <w:overflowPunct/>
                              <w:topLinePunct w:val="0"/>
                              <w:bidi w:val="0"/>
                              <w:adjustRightInd w:val="0"/>
                              <w:snapToGrid w:val="0"/>
                              <w:ind w:firstLine="0" w:firstLineChars="0"/>
                              <w:textAlignment w:val="auto"/>
                            </w:pPr>
                            <w:r>
                              <w:t>项目位置</w:t>
                            </w:r>
                          </w:p>
                        </w:txbxContent>
                      </v:textbox>
                    </v:shape>
                  </w:pict>
                </mc:Fallback>
              </mc:AlternateContent>
            </w:r>
            <w:r>
              <w:rPr>
                <w:color w:val="auto"/>
              </w:rPr>
              <w:drawing>
                <wp:anchor distT="0" distB="0" distL="114300" distR="114300" simplePos="0" relativeHeight="251672576" behindDoc="0" locked="0" layoutInCell="1" allowOverlap="1">
                  <wp:simplePos x="0" y="0"/>
                  <wp:positionH relativeFrom="column">
                    <wp:posOffset>3867150</wp:posOffset>
                  </wp:positionH>
                  <wp:positionV relativeFrom="paragraph">
                    <wp:posOffset>42545</wp:posOffset>
                  </wp:positionV>
                  <wp:extent cx="579120" cy="611505"/>
                  <wp:effectExtent l="0" t="0" r="11430" b="17145"/>
                  <wp:wrapNone/>
                  <wp:docPr id="22"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24"/>
                          <pic:cNvPicPr>
                            <a:picLocks noChangeAspect="1"/>
                          </pic:cNvPicPr>
                        </pic:nvPicPr>
                        <pic:blipFill>
                          <a:blip r:embed="rId11"/>
                          <a:stretch>
                            <a:fillRect/>
                          </a:stretch>
                        </pic:blipFill>
                        <pic:spPr>
                          <a:xfrm>
                            <a:off x="0" y="0"/>
                            <a:ext cx="579120" cy="611505"/>
                          </a:xfrm>
                          <a:prstGeom prst="rect">
                            <a:avLst/>
                          </a:prstGeom>
                          <a:noFill/>
                          <a:ln>
                            <a:noFill/>
                          </a:ln>
                        </pic:spPr>
                      </pic:pic>
                    </a:graphicData>
                  </a:graphic>
                </wp:anchor>
              </w:drawing>
            </w:r>
            <w:r>
              <w:rPr>
                <w:rFonts w:hint="eastAsia"/>
                <w:bCs/>
                <w:color w:val="auto"/>
              </w:rPr>
              <w:object>
                <v:shape id="_x0000_i1025" o:spt="75" type="#_x0000_t75" style="height:241.15pt;width:298.3pt;" o:ole="t" filled="f" o:preferrelative="t" stroked="f" coordsize="21600,21600">
                  <v:path/>
                  <v:fill on="f" focussize="0,0"/>
                  <v:stroke on="f" weight="0.5pt"/>
                  <v:imagedata r:id="rId14" o:title=""/>
                  <o:lock v:ext="edit" aspectratio="f"/>
                  <w10:wrap type="none"/>
                  <w10:anchorlock/>
                </v:shape>
                <o:OLEObject Type="Embed" ProgID="Visio.Drawing.11" ShapeID="_x0000_i1025" DrawAspect="Content" ObjectID="_1468075725" r:id="rId13">
                  <o:LockedField>false</o:LockedField>
                </o:OLEObject>
              </w:object>
            </w:r>
          </w:p>
          <w:p w14:paraId="76AD64D3">
            <w:pPr>
              <w:autoSpaceDE w:val="0"/>
              <w:autoSpaceDN w:val="0"/>
              <w:adjustRightInd w:val="0"/>
              <w:spacing w:line="360" w:lineRule="auto"/>
              <w:jc w:val="center"/>
              <w:rPr>
                <w:rFonts w:hint="default" w:ascii="Times New Roman" w:hAnsi="Times New Roman" w:cs="Times New Roman"/>
                <w:b/>
                <w:color w:val="auto"/>
                <w:szCs w:val="21"/>
              </w:rPr>
            </w:pPr>
            <w:r>
              <w:rPr>
                <w:rFonts w:hint="default" w:ascii="Times New Roman" w:hAnsi="Times New Roman" w:cs="Times New Roman"/>
                <w:b/>
                <w:color w:val="auto"/>
                <w:szCs w:val="21"/>
              </w:rPr>
              <w:t>图1-2  开发区用地规划图</w:t>
            </w:r>
            <w:r>
              <w:rPr>
                <w:rFonts w:hint="default" w:ascii="Times New Roman" w:hAnsi="Times New Roman" w:cs="Times New Roman"/>
                <w:b/>
                <w:bCs/>
                <w:color w:val="auto"/>
                <w:lang w:eastAsia="zh-CN"/>
              </w:rPr>
              <w:t>(</w:t>
            </w:r>
            <w:r>
              <w:rPr>
                <w:rFonts w:hint="default" w:ascii="Times New Roman" w:hAnsi="Times New Roman" w:cs="Times New Roman"/>
                <w:b/>
                <w:bCs/>
                <w:color w:val="auto"/>
                <w:lang w:val="en-US" w:eastAsia="zh-CN"/>
              </w:rPr>
              <w:t>局部</w:t>
            </w:r>
            <w:r>
              <w:rPr>
                <w:rFonts w:hint="default" w:ascii="Times New Roman" w:hAnsi="Times New Roman" w:cs="Times New Roman"/>
                <w:b/>
                <w:bCs/>
                <w:color w:val="auto"/>
                <w:lang w:eastAsia="zh-CN"/>
              </w:rPr>
              <w:t>)</w:t>
            </w:r>
          </w:p>
          <w:p w14:paraId="67A65CAE">
            <w:pPr>
              <w:spacing w:line="360" w:lineRule="auto"/>
              <w:ind w:firstLine="422" w:firstLineChars="200"/>
              <w:contextualSpacing/>
              <w:rPr>
                <w:rFonts w:hint="default" w:ascii="Times New Roman" w:hAnsi="Times New Roman" w:cs="Times New Roman"/>
                <w:b/>
                <w:bCs w:val="0"/>
                <w:color w:val="auto"/>
                <w:szCs w:val="21"/>
              </w:rPr>
            </w:pPr>
            <w:r>
              <w:rPr>
                <w:rFonts w:hint="default" w:ascii="Times New Roman" w:hAnsi="Times New Roman" w:cs="Times New Roman"/>
                <w:b/>
                <w:bCs w:val="0"/>
                <w:color w:val="auto"/>
                <w:szCs w:val="21"/>
                <w:lang w:val="en-US" w:eastAsia="zh-CN"/>
              </w:rPr>
              <w:t>1.4</w:t>
            </w:r>
            <w:r>
              <w:rPr>
                <w:rFonts w:hint="default" w:ascii="Times New Roman" w:hAnsi="Times New Roman" w:cs="Times New Roman"/>
                <w:b/>
                <w:bCs w:val="0"/>
                <w:color w:val="auto"/>
                <w:szCs w:val="21"/>
              </w:rPr>
              <w:t>基础设施</w:t>
            </w:r>
          </w:p>
          <w:p w14:paraId="628635A5">
            <w:pPr>
              <w:spacing w:line="360" w:lineRule="auto"/>
              <w:ind w:firstLine="420" w:firstLineChars="200"/>
              <w:contextualSpacing/>
              <w:rPr>
                <w:rFonts w:hint="default" w:ascii="Times New Roman" w:hAnsi="Times New Roman" w:cs="Times New Roman"/>
                <w:bCs/>
                <w:color w:val="auto"/>
                <w:szCs w:val="21"/>
              </w:rPr>
            </w:pPr>
            <w:r>
              <w:rPr>
                <w:rFonts w:hint="default" w:ascii="Times New Roman" w:hAnsi="Times New Roman" w:cs="Times New Roman"/>
                <w:bCs/>
                <w:color w:val="auto"/>
                <w:szCs w:val="21"/>
              </w:rPr>
              <w:t>(1)给水工程</w:t>
            </w:r>
          </w:p>
          <w:p w14:paraId="0A2D407B">
            <w:pPr>
              <w:spacing w:line="360" w:lineRule="auto"/>
              <w:ind w:firstLine="420" w:firstLineChars="200"/>
              <w:contextualSpacing/>
              <w:rPr>
                <w:rFonts w:hint="default" w:ascii="Times New Roman" w:hAnsi="Times New Roman" w:cs="Times New Roman"/>
                <w:bCs/>
                <w:color w:val="auto"/>
                <w:szCs w:val="21"/>
              </w:rPr>
            </w:pPr>
            <w:r>
              <w:rPr>
                <w:rFonts w:hint="default" w:ascii="Times New Roman" w:hAnsi="Times New Roman" w:cs="Times New Roman"/>
                <w:bCs/>
                <w:color w:val="auto"/>
                <w:szCs w:val="21"/>
              </w:rPr>
              <w:t>规划经济开发区总用水量1.5亿立方米，水源为地下水和地表水，其中地下水来自企业合法取水设施，地表水来自迁安市净水厂和企业现有取水设施。地下水最大供水规模1.16亿立方米/年(规划期内不再新增)，地表水供水规模0.61亿立方米/年。迁安市净水厂建成投运后，优先利用地表水，逐步压采地下水。</w:t>
            </w:r>
          </w:p>
          <w:p w14:paraId="3BF1A082">
            <w:pPr>
              <w:pStyle w:val="2"/>
              <w:rPr>
                <w:rFonts w:hint="default" w:ascii="Times New Roman" w:hAnsi="Times New Roman" w:cs="Times New Roman"/>
                <w:color w:val="auto"/>
              </w:rPr>
            </w:pPr>
            <w:r>
              <w:rPr>
                <w:rFonts w:hint="default" w:ascii="Times New Roman" w:hAnsi="Times New Roman" w:cs="Times New Roman"/>
                <w:color w:val="auto"/>
                <w:lang w:val="en-US" w:eastAsia="zh-CN"/>
              </w:rPr>
              <w:t>目前，迁安市正在建设迁安市净水厂，水源为滦河地表水，用于替代区域地下水。净水厂供水规模为18万m³/d(5500万m³/a)，主要为迁安经济开发区(分配量5400万m³/a)、</w:t>
            </w:r>
            <w:r>
              <w:rPr>
                <w:rFonts w:hint="default" w:ascii="Times New Roman" w:hAnsi="Times New Roman" w:cs="Times New Roman"/>
                <w:color w:val="auto"/>
              </w:rPr>
              <w:t>迁安市北方钢铁物流产业聚集区</w:t>
            </w:r>
            <w:r>
              <w:rPr>
                <w:rFonts w:hint="default" w:ascii="Times New Roman" w:hAnsi="Times New Roman" w:cs="Times New Roman"/>
                <w:color w:val="auto"/>
                <w:lang w:val="en-US" w:eastAsia="zh-CN"/>
              </w:rPr>
              <w:t>供应地表水。目前迁安市净水厂已建成，正在铺设供水管线，预计2026年底供水。该工程环评2020年通过审批(迁行审环评[2020]28号)，2024年进行了重新报批(迁行审环评[2025]5号)，对供水量、供水范围和时间进行变动。目前，该水厂已取得取水许可证，许可证编号：B130283S2024-1942，许可取水量5500万立方米/年。</w:t>
            </w:r>
          </w:p>
          <w:p w14:paraId="34AA6FE7">
            <w:pPr>
              <w:widowControl/>
              <w:ind w:firstLine="420"/>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lang w:val="en-US" w:eastAsia="zh-CN"/>
              </w:rPr>
              <w:t>智能创新产业园：</w:t>
            </w:r>
            <w:r>
              <w:rPr>
                <w:rFonts w:hint="default" w:ascii="Times New Roman" w:hAnsi="Times New Roman" w:eastAsia="宋体" w:cs="Times New Roman"/>
                <w:color w:val="auto"/>
                <w:kern w:val="0"/>
                <w:sz w:val="21"/>
                <w:szCs w:val="21"/>
                <w:highlight w:val="none"/>
                <w:lang w:val="en-US" w:eastAsia="zh-CN"/>
              </w:rPr>
              <w:t>产业园钢铁企业优先利</w:t>
            </w:r>
            <w:r>
              <w:rPr>
                <w:rFonts w:hint="default" w:ascii="Times New Roman" w:hAnsi="Times New Roman" w:eastAsia="宋体" w:cs="Times New Roman"/>
                <w:color w:val="auto"/>
                <w:kern w:val="0"/>
                <w:sz w:val="21"/>
                <w:szCs w:val="21"/>
                <w:highlight w:val="none"/>
              </w:rPr>
              <w:t>用</w:t>
            </w:r>
            <w:r>
              <w:rPr>
                <w:rFonts w:hint="default" w:ascii="Times New Roman" w:hAnsi="Times New Roman" w:eastAsia="宋体" w:cs="Times New Roman"/>
                <w:color w:val="auto"/>
                <w:kern w:val="0"/>
                <w:sz w:val="21"/>
                <w:szCs w:val="21"/>
                <w:highlight w:val="none"/>
                <w:lang w:val="en-US" w:eastAsia="zh-CN"/>
              </w:rPr>
              <w:t>迁安市净水厂和专用供水管线</w:t>
            </w:r>
            <w:r>
              <w:rPr>
                <w:rFonts w:hint="default" w:ascii="Times New Roman" w:hAnsi="Times New Roman" w:eastAsia="宋体" w:cs="Times New Roman"/>
                <w:color w:val="auto"/>
                <w:kern w:val="0"/>
                <w:sz w:val="21"/>
                <w:szCs w:val="21"/>
                <w:highlight w:val="none"/>
              </w:rPr>
              <w:t>供水</w:t>
            </w:r>
            <w:r>
              <w:rPr>
                <w:rFonts w:hint="default" w:ascii="Times New Roman" w:hAnsi="Times New Roman" w:eastAsia="宋体" w:cs="Times New Roman"/>
                <w:color w:val="auto"/>
                <w:kern w:val="0"/>
                <w:sz w:val="21"/>
                <w:szCs w:val="21"/>
                <w:highlight w:val="none"/>
                <w:lang w:eastAsia="zh-CN"/>
              </w:rPr>
              <w:t>，</w:t>
            </w:r>
            <w:r>
              <w:rPr>
                <w:rFonts w:hint="default" w:ascii="Times New Roman" w:hAnsi="Times New Roman" w:eastAsia="宋体" w:cs="Times New Roman"/>
                <w:color w:val="auto"/>
                <w:kern w:val="0"/>
                <w:sz w:val="21"/>
                <w:szCs w:val="21"/>
                <w:highlight w:val="none"/>
                <w:lang w:val="en-US" w:eastAsia="zh-CN"/>
              </w:rPr>
              <w:t>不足部分由现有</w:t>
            </w:r>
            <w:r>
              <w:rPr>
                <w:rFonts w:hint="default" w:ascii="Times New Roman" w:hAnsi="Times New Roman" w:eastAsia="宋体" w:cs="Times New Roman"/>
                <w:color w:val="auto"/>
                <w:kern w:val="0"/>
                <w:sz w:val="21"/>
                <w:szCs w:val="21"/>
                <w:highlight w:val="none"/>
              </w:rPr>
              <w:t>自备供水设施</w:t>
            </w:r>
            <w:r>
              <w:rPr>
                <w:rFonts w:hint="default" w:ascii="Times New Roman" w:hAnsi="Times New Roman" w:eastAsia="宋体" w:cs="Times New Roman"/>
                <w:color w:val="auto"/>
                <w:kern w:val="0"/>
                <w:sz w:val="21"/>
                <w:szCs w:val="21"/>
                <w:highlight w:val="none"/>
                <w:lang w:val="en-US" w:eastAsia="zh-CN"/>
              </w:rPr>
              <w:t>供应；产业园规划新建地表水泵站，水源为迁安市净水厂，接入现有供水管线，与现有地下水供水泵站共同供应产业园西沙河东侧区域用水。</w:t>
            </w:r>
          </w:p>
          <w:p w14:paraId="7F521249">
            <w:pPr>
              <w:widowControl/>
              <w:ind w:firstLine="420"/>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项目为</w:t>
            </w:r>
            <w:r>
              <w:rPr>
                <w:rFonts w:hint="default" w:ascii="Times New Roman" w:hAnsi="Times New Roman" w:eastAsia="宋体" w:cs="Times New Roman"/>
                <w:snapToGrid/>
                <w:color w:val="auto"/>
                <w:kern w:val="0"/>
                <w:sz w:val="21"/>
                <w:szCs w:val="21"/>
                <w:highlight w:val="none"/>
                <w:lang w:val="en-US" w:eastAsia="zh-CN" w:bidi="ar-SA"/>
              </w:rPr>
              <w:t>废弃资源综合利用项目</w:t>
            </w:r>
            <w:r>
              <w:rPr>
                <w:rFonts w:hint="default" w:ascii="Times New Roman" w:hAnsi="Times New Roman" w:eastAsia="宋体" w:cs="Times New Roman"/>
                <w:color w:val="auto"/>
                <w:kern w:val="0"/>
                <w:sz w:val="21"/>
                <w:szCs w:val="21"/>
                <w:highlight w:val="none"/>
              </w:rPr>
              <w:t>，</w:t>
            </w:r>
            <w:r>
              <w:rPr>
                <w:rFonts w:hint="default" w:ascii="Times New Roman" w:hAnsi="Times New Roman" w:eastAsia="宋体" w:cs="Times New Roman"/>
                <w:color w:val="auto"/>
                <w:kern w:val="0"/>
                <w:sz w:val="21"/>
                <w:szCs w:val="21"/>
                <w:highlight w:val="none"/>
                <w:lang w:val="en-US" w:eastAsia="zh-CN"/>
              </w:rPr>
              <w:t>用水量为</w:t>
            </w:r>
            <w:r>
              <w:rPr>
                <w:rFonts w:hint="default" w:ascii="Times New Roman" w:hAnsi="Times New Roman" w:cs="Times New Roman"/>
                <w:color w:val="auto"/>
                <w:kern w:val="0"/>
                <w:sz w:val="21"/>
                <w:szCs w:val="21"/>
                <w:highlight w:val="none"/>
                <w:lang w:val="en-US" w:eastAsia="zh-CN"/>
              </w:rPr>
              <w:t>3.35</w:t>
            </w:r>
            <w:r>
              <w:rPr>
                <w:rFonts w:hint="default" w:ascii="Times New Roman" w:hAnsi="Times New Roman" w:eastAsia="宋体" w:cs="Times New Roman"/>
                <w:color w:val="auto"/>
                <w:kern w:val="0"/>
                <w:sz w:val="21"/>
                <w:szCs w:val="21"/>
                <w:highlight w:val="none"/>
                <w:lang w:val="en-US" w:eastAsia="zh-CN"/>
              </w:rPr>
              <w:t>万t，</w:t>
            </w:r>
            <w:r>
              <w:rPr>
                <w:rFonts w:hint="default" w:ascii="Times New Roman" w:hAnsi="Times New Roman" w:eastAsia="宋体" w:cs="Times New Roman"/>
                <w:color w:val="auto"/>
                <w:sz w:val="21"/>
                <w:szCs w:val="21"/>
                <w:highlight w:val="none"/>
                <w:lang w:val="en-US" w:eastAsia="zh-CN"/>
              </w:rPr>
              <w:t>用水由现有供水管网提供，符合开发区规划</w:t>
            </w:r>
            <w:r>
              <w:rPr>
                <w:rFonts w:hint="default" w:ascii="Times New Roman" w:hAnsi="Times New Roman" w:eastAsia="宋体" w:cs="Times New Roman"/>
                <w:color w:val="auto"/>
                <w:kern w:val="0"/>
                <w:sz w:val="21"/>
                <w:szCs w:val="21"/>
                <w:highlight w:val="none"/>
              </w:rPr>
              <w:t>。</w:t>
            </w:r>
          </w:p>
          <w:p w14:paraId="7979BDDB">
            <w:pPr>
              <w:spacing w:line="360" w:lineRule="auto"/>
              <w:ind w:firstLine="420" w:firstLineChars="200"/>
              <w:contextualSpacing/>
              <w:rPr>
                <w:rFonts w:hint="default" w:ascii="Times New Roman" w:hAnsi="Times New Roman" w:cs="Times New Roman"/>
                <w:bCs/>
                <w:color w:val="auto"/>
                <w:szCs w:val="21"/>
              </w:rPr>
            </w:pPr>
            <w:r>
              <w:rPr>
                <w:rFonts w:hint="default" w:ascii="Times New Roman" w:hAnsi="Times New Roman" w:cs="Times New Roman"/>
                <w:bCs/>
                <w:color w:val="auto"/>
                <w:szCs w:val="21"/>
              </w:rPr>
              <w:t>(2)排水工程</w:t>
            </w:r>
          </w:p>
          <w:p w14:paraId="02699218">
            <w:pPr>
              <w:autoSpaceDE w:val="0"/>
              <w:autoSpaceDN w:val="0"/>
              <w:adjustRightInd w:val="0"/>
              <w:spacing w:line="360" w:lineRule="auto"/>
              <w:ind w:firstLine="420" w:firstLineChars="200"/>
              <w:contextualSpacing/>
              <w:rPr>
                <w:rFonts w:hint="default" w:ascii="Times New Roman" w:hAnsi="Times New Roman" w:cs="Times New Roman"/>
                <w:color w:val="auto"/>
                <w:szCs w:val="21"/>
              </w:rPr>
            </w:pPr>
            <w:r>
              <w:rPr>
                <w:rFonts w:hint="default" w:ascii="Times New Roman" w:hAnsi="Times New Roman" w:cs="Times New Roman"/>
                <w:color w:val="auto"/>
                <w:szCs w:val="21"/>
              </w:rPr>
              <w:t>排水体制：采用雨污分流制，污水全部排入污水处理厂，雨水排入西沙河。</w:t>
            </w:r>
          </w:p>
          <w:p w14:paraId="0501A6C5">
            <w:pPr>
              <w:autoSpaceDE w:val="0"/>
              <w:autoSpaceDN w:val="0"/>
              <w:adjustRightInd w:val="0"/>
              <w:spacing w:line="360" w:lineRule="auto"/>
              <w:ind w:firstLine="420" w:firstLineChars="200"/>
              <w:contextualSpacing/>
              <w:rPr>
                <w:rFonts w:hint="default" w:ascii="Times New Roman" w:hAnsi="Times New Roman" w:cs="Times New Roman"/>
                <w:color w:val="auto"/>
                <w:szCs w:val="21"/>
              </w:rPr>
            </w:pPr>
            <w:r>
              <w:rPr>
                <w:rFonts w:hint="default" w:ascii="Times New Roman" w:hAnsi="Times New Roman" w:cs="Times New Roman"/>
                <w:color w:val="auto"/>
                <w:szCs w:val="21"/>
              </w:rPr>
              <w:t>规划开发区污水处理率达到100%，废水经处理后优先回用，剩余部分外排。鼓励区内钢铁、焦化企业利用各产业园配套污水处理厂再生水，减少新鲜水耗。</w:t>
            </w:r>
          </w:p>
          <w:p w14:paraId="340464E1">
            <w:pPr>
              <w:pStyle w:val="2"/>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智能创新产业园：污水全部收纳至迁安市经济开发区污水处理厂，逐步取缔该区的其他入河排污口，污水处理厂规模规划期内扩建至2万m³/d，并配套建设深度处理设施，出水优先回用，剩余部分外排至西沙河。</w:t>
            </w:r>
          </w:p>
          <w:p w14:paraId="438188BF">
            <w:pPr>
              <w:pStyle w:val="2"/>
              <w:rPr>
                <w:rFonts w:hint="default" w:ascii="Times New Roman" w:hAnsi="Times New Roman" w:cs="Times New Roman"/>
                <w:color w:val="auto"/>
              </w:rPr>
            </w:pPr>
            <w:r>
              <w:rPr>
                <w:rFonts w:hint="default" w:ascii="Times New Roman" w:hAnsi="Times New Roman" w:eastAsia="宋体" w:cs="Times New Roman"/>
                <w:color w:val="auto"/>
                <w:kern w:val="0"/>
                <w:sz w:val="21"/>
                <w:szCs w:val="21"/>
                <w:highlight w:val="none"/>
              </w:rPr>
              <w:t>项目</w:t>
            </w:r>
            <w:r>
              <w:rPr>
                <w:rFonts w:hint="default" w:ascii="Times New Roman" w:hAnsi="Times New Roman" w:eastAsia="宋体" w:cs="Times New Roman"/>
                <w:color w:val="auto"/>
                <w:sz w:val="21"/>
                <w:szCs w:val="21"/>
                <w:highlight w:val="none"/>
                <w:lang w:val="en-US" w:eastAsia="zh-CN"/>
              </w:rPr>
              <w:t>洗车废水沉淀后循环使用，不外排，</w:t>
            </w:r>
            <w:r>
              <w:rPr>
                <w:rFonts w:hint="default" w:ascii="Times New Roman" w:hAnsi="Times New Roman" w:eastAsia="宋体" w:cs="Times New Roman"/>
                <w:color w:val="auto"/>
                <w:sz w:val="21"/>
                <w:szCs w:val="21"/>
                <w:highlight w:val="none"/>
              </w:rPr>
              <w:t>本项目无新增生活污水</w:t>
            </w:r>
            <w:r>
              <w:rPr>
                <w:rFonts w:hint="default" w:ascii="Times New Roman" w:hAnsi="Times New Roman" w:eastAsia="宋体" w:cs="Times New Roman"/>
                <w:color w:val="auto"/>
                <w:kern w:val="0"/>
                <w:sz w:val="21"/>
                <w:szCs w:val="21"/>
                <w:highlight w:val="none"/>
              </w:rPr>
              <w:t>。</w:t>
            </w:r>
          </w:p>
          <w:p w14:paraId="39B75058">
            <w:pPr>
              <w:spacing w:line="360" w:lineRule="auto"/>
              <w:ind w:firstLine="420" w:firstLineChars="200"/>
              <w:contextualSpacing/>
              <w:rPr>
                <w:rFonts w:hint="default" w:ascii="Times New Roman" w:hAnsi="Times New Roman" w:cs="Times New Roman"/>
                <w:bCs/>
                <w:color w:val="auto"/>
                <w:szCs w:val="21"/>
              </w:rPr>
            </w:pPr>
            <w:r>
              <w:rPr>
                <w:rFonts w:hint="default" w:ascii="Times New Roman" w:hAnsi="Times New Roman" w:cs="Times New Roman"/>
                <w:bCs/>
                <w:color w:val="auto"/>
                <w:szCs w:val="21"/>
              </w:rPr>
              <w:t>(3)供热工程</w:t>
            </w:r>
          </w:p>
          <w:p w14:paraId="17AE786F">
            <w:pPr>
              <w:spacing w:line="360" w:lineRule="auto"/>
              <w:ind w:firstLine="420" w:firstLineChars="200"/>
              <w:contextualSpacing/>
              <w:rPr>
                <w:rFonts w:hint="default" w:ascii="Times New Roman" w:hAnsi="Times New Roman" w:cs="Times New Roman"/>
                <w:bCs/>
                <w:color w:val="auto"/>
                <w:szCs w:val="21"/>
              </w:rPr>
            </w:pPr>
            <w:r>
              <w:rPr>
                <w:rFonts w:hint="default" w:ascii="Times New Roman" w:hAnsi="Times New Roman" w:cs="Times New Roman"/>
                <w:bCs/>
                <w:color w:val="auto"/>
                <w:szCs w:val="21"/>
              </w:rPr>
              <w:t>开发区内各区域以内部工厂生产余热供热，采用热水和蒸汽两种介质。</w:t>
            </w:r>
          </w:p>
          <w:p w14:paraId="415CBBA3">
            <w:pPr>
              <w:pStyle w:val="2"/>
              <w:bidi w:val="0"/>
              <w:rPr>
                <w:rFonts w:hint="default" w:ascii="Times New Roman" w:hAnsi="Times New Roman" w:cs="Times New Roman"/>
                <w:color w:val="auto"/>
              </w:rPr>
            </w:pPr>
            <w:r>
              <w:rPr>
                <w:rFonts w:hint="default" w:ascii="Times New Roman" w:hAnsi="Times New Roman" w:cs="Times New Roman"/>
                <w:color w:val="auto"/>
                <w:lang w:val="en-US" w:eastAsia="zh-CN"/>
              </w:rPr>
              <w:t>智能创新产业园：采暖热源来自首钢迁钢、九江线材、松汀钢铁等钢铁企业工业余热。</w:t>
            </w:r>
          </w:p>
          <w:p w14:paraId="355D635E">
            <w:pPr>
              <w:spacing w:line="360" w:lineRule="auto"/>
              <w:ind w:firstLine="420" w:firstLineChars="200"/>
              <w:contextualSpacing/>
              <w:rPr>
                <w:rFonts w:hint="default" w:ascii="Times New Roman" w:hAnsi="Times New Roman" w:eastAsia="宋体" w:cs="Times New Roman"/>
                <w:bCs/>
                <w:color w:val="auto"/>
                <w:szCs w:val="21"/>
                <w:highlight w:val="none"/>
              </w:rPr>
            </w:pPr>
            <w:r>
              <w:rPr>
                <w:rFonts w:hint="default" w:ascii="Times New Roman" w:hAnsi="Times New Roman" w:cs="Times New Roman"/>
                <w:color w:val="auto"/>
                <w:sz w:val="21"/>
                <w:szCs w:val="21"/>
                <w:highlight w:val="none"/>
              </w:rPr>
              <w:t>项目生产车间无需供热，办公楼供热</w:t>
            </w:r>
            <w:r>
              <w:rPr>
                <w:rFonts w:hint="default" w:ascii="Times New Roman" w:hAnsi="Times New Roman" w:cs="Times New Roman"/>
                <w:color w:val="auto"/>
                <w:sz w:val="21"/>
                <w:szCs w:val="21"/>
                <w:highlight w:val="none"/>
                <w:lang w:val="en-US" w:eastAsia="zh-CN"/>
              </w:rPr>
              <w:t>依托现有空调</w:t>
            </w:r>
            <w:r>
              <w:rPr>
                <w:rFonts w:hint="default" w:ascii="Times New Roman" w:hAnsi="Times New Roman" w:cs="Times New Roman"/>
                <w:color w:val="auto"/>
                <w:sz w:val="21"/>
                <w:szCs w:val="21"/>
                <w:highlight w:val="none"/>
              </w:rPr>
              <w:t>。</w:t>
            </w:r>
          </w:p>
          <w:p w14:paraId="4A26059B">
            <w:pPr>
              <w:spacing w:line="360" w:lineRule="auto"/>
              <w:ind w:firstLine="420" w:firstLineChars="200"/>
              <w:contextualSpacing/>
              <w:rPr>
                <w:rFonts w:hint="default" w:ascii="Times New Roman" w:hAnsi="Times New Roman" w:cs="Times New Roman"/>
                <w:bCs/>
                <w:color w:val="auto"/>
                <w:szCs w:val="21"/>
              </w:rPr>
            </w:pPr>
            <w:r>
              <w:rPr>
                <w:rFonts w:hint="default" w:ascii="Times New Roman" w:hAnsi="Times New Roman" w:cs="Times New Roman"/>
                <w:bCs/>
                <w:color w:val="auto"/>
                <w:szCs w:val="21"/>
              </w:rPr>
              <w:t>(4)燃气工程规划</w:t>
            </w:r>
          </w:p>
          <w:p w14:paraId="3D6E4BB8">
            <w:pPr>
              <w:spacing w:line="360" w:lineRule="auto"/>
              <w:ind w:firstLine="420" w:firstLineChars="200"/>
              <w:contextualSpacing/>
              <w:rPr>
                <w:rFonts w:hint="default" w:ascii="Times New Roman" w:hAnsi="Times New Roman" w:cs="Times New Roman"/>
                <w:bCs/>
                <w:color w:val="auto"/>
                <w:szCs w:val="21"/>
              </w:rPr>
            </w:pPr>
            <w:r>
              <w:rPr>
                <w:rFonts w:hint="default" w:ascii="Times New Roman" w:hAnsi="Times New Roman" w:cs="Times New Roman"/>
                <w:bCs/>
                <w:color w:val="auto"/>
                <w:szCs w:val="21"/>
              </w:rPr>
              <w:t>开发区气源以中石油永唐秦天然气、中俄东线天然气为主要气源，以中俄东线天然气管道工程作为重要气源支撑。保留首钢天然气高中压调压站，推进完善调压站、输配供气等燃气管网建设，加快构建天然气骨干环网系统，形成安全、高效的天然气供给系统。煤气由开发区钢铁、焦化企业提供。</w:t>
            </w:r>
          </w:p>
          <w:p w14:paraId="60BC4EBA">
            <w:pPr>
              <w:pStyle w:val="2"/>
              <w:rPr>
                <w:rFonts w:hint="default" w:ascii="Times New Roman" w:hAnsi="Times New Roman" w:cs="Times New Roman"/>
                <w:color w:val="auto"/>
              </w:rPr>
            </w:pPr>
            <w:r>
              <w:rPr>
                <w:rFonts w:hint="default" w:ascii="Times New Roman" w:hAnsi="Times New Roman" w:cs="Times New Roman"/>
                <w:color w:val="auto"/>
              </w:rPr>
              <w:t>项目不涉及燃气。</w:t>
            </w:r>
          </w:p>
          <w:p w14:paraId="649CE4E6">
            <w:pPr>
              <w:pStyle w:val="2"/>
              <w:rPr>
                <w:b/>
                <w:bCs/>
                <w:color w:val="auto"/>
              </w:rPr>
            </w:pPr>
            <w:r>
              <w:rPr>
                <w:rFonts w:hint="eastAsia"/>
                <w:b/>
                <w:bCs/>
                <w:color w:val="auto"/>
                <w:lang w:val="en-US" w:eastAsia="zh-CN"/>
              </w:rPr>
              <w:t>1.5</w:t>
            </w:r>
            <w:r>
              <w:rPr>
                <w:rFonts w:hint="eastAsia"/>
                <w:b/>
                <w:bCs/>
                <w:color w:val="auto"/>
              </w:rPr>
              <w:t>与规划环评“开发区准入清单”符合性分析</w:t>
            </w:r>
          </w:p>
          <w:p w14:paraId="6E6D84B4">
            <w:pPr>
              <w:pStyle w:val="2"/>
              <w:rPr>
                <w:color w:val="auto"/>
              </w:rPr>
            </w:pPr>
            <w:r>
              <w:rPr>
                <w:rFonts w:hint="eastAsia"/>
                <w:color w:val="auto"/>
              </w:rPr>
              <w:t>项目与规划环评“开发区准入清单”符合性分析见表1-</w:t>
            </w:r>
            <w:r>
              <w:rPr>
                <w:rFonts w:hint="eastAsia"/>
                <w:color w:val="auto"/>
                <w:lang w:val="en-US" w:eastAsia="zh-CN"/>
              </w:rPr>
              <w:t>4</w:t>
            </w:r>
            <w:r>
              <w:rPr>
                <w:rFonts w:hint="eastAsia"/>
                <w:color w:val="auto"/>
              </w:rPr>
              <w:t>。</w:t>
            </w:r>
          </w:p>
          <w:p w14:paraId="3ADCFAB5">
            <w:pPr>
              <w:pStyle w:val="2"/>
              <w:ind w:firstLine="0" w:firstLineChars="0"/>
              <w:jc w:val="center"/>
              <w:rPr>
                <w:b/>
                <w:bCs/>
                <w:color w:val="auto"/>
              </w:rPr>
            </w:pPr>
            <w:r>
              <w:rPr>
                <w:rFonts w:hint="eastAsia"/>
                <w:b/>
                <w:bCs/>
                <w:color w:val="auto"/>
              </w:rPr>
              <w:t>表1-</w:t>
            </w:r>
            <w:r>
              <w:rPr>
                <w:rFonts w:hint="eastAsia"/>
                <w:b/>
                <w:bCs/>
                <w:color w:val="auto"/>
                <w:lang w:val="en-US" w:eastAsia="zh-CN"/>
              </w:rPr>
              <w:t>4</w:t>
            </w:r>
            <w:r>
              <w:rPr>
                <w:rFonts w:hint="eastAsia"/>
                <w:b/>
                <w:bCs/>
                <w:color w:val="auto"/>
              </w:rPr>
              <w:t xml:space="preserve">   项目与规划环评“开发区准入清单”符合性分析</w:t>
            </w:r>
          </w:p>
          <w:tbl>
            <w:tblPr>
              <w:tblStyle w:val="8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9"/>
              <w:gridCol w:w="5193"/>
              <w:gridCol w:w="1432"/>
              <w:gridCol w:w="419"/>
            </w:tblGrid>
            <w:tr w14:paraId="11DD9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324" w:type="pct"/>
                  <w:noWrap w:val="0"/>
                  <w:vAlign w:val="center"/>
                </w:tcPr>
                <w:p w14:paraId="17AF6D73">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类别</w:t>
                  </w:r>
                </w:p>
              </w:tc>
              <w:tc>
                <w:tcPr>
                  <w:tcW w:w="3446" w:type="pct"/>
                  <w:noWrap w:val="0"/>
                  <w:vAlign w:val="center"/>
                </w:tcPr>
                <w:p w14:paraId="25E2D54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要求</w:t>
                  </w:r>
                </w:p>
              </w:tc>
              <w:tc>
                <w:tcPr>
                  <w:tcW w:w="950" w:type="pct"/>
                  <w:noWrap w:val="0"/>
                  <w:vAlign w:val="center"/>
                </w:tcPr>
                <w:p w14:paraId="5EE3EA8E">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项目情况</w:t>
                  </w:r>
                </w:p>
              </w:tc>
              <w:tc>
                <w:tcPr>
                  <w:tcW w:w="278" w:type="pct"/>
                  <w:noWrap w:val="0"/>
                  <w:vAlign w:val="center"/>
                </w:tcPr>
                <w:p w14:paraId="60520B58">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符合性</w:t>
                  </w:r>
                </w:p>
              </w:tc>
            </w:tr>
            <w:tr w14:paraId="7D3C2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24" w:type="pct"/>
                  <w:noWrap w:val="0"/>
                  <w:vAlign w:val="center"/>
                </w:tcPr>
                <w:p w14:paraId="4F5AF8B8">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总体要求</w:t>
                  </w:r>
                </w:p>
              </w:tc>
              <w:tc>
                <w:tcPr>
                  <w:tcW w:w="3446" w:type="pct"/>
                  <w:noWrap w:val="0"/>
                  <w:vAlign w:val="center"/>
                </w:tcPr>
                <w:p w14:paraId="7B21873D">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严格控制“两高”项目和钢铁炼钢项目建设规模，“两高”项目产能上限为：铁水产能3338万吨、粗钢产能2865万吨、焦炭产能550万吨、铝铁合金产能1.16万吨；钢铁产能上限为：粗钢产能3370万吨。除在建项目外不再新增“两高”产能和钢铁炼钢产能，通过实施产能减量置换、装备升级改造项目，允许实施不新增产能的技术改造或装备提升项目。</w:t>
                  </w:r>
                </w:p>
                <w:p w14:paraId="61ACE984">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2.钢铁下游耗钢产业：禁止建设专业电镀处理中心项目。</w:t>
                  </w:r>
                </w:p>
                <w:p w14:paraId="20AFBD8E">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3.化工产业：禁止发展煤制液体燃料生产、乙烯、丙烯、对二甲苯、丁二醇、己二酸、醋酸</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利用捕集的二氧化碳为原料生产的醋酸除外</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制造等污染较重的项目。化工重点监控点维持现状用地规模，不新增焦炭产能，仅进行以节能降碳为主的升级改造项目。</w:t>
                  </w:r>
                </w:p>
                <w:p w14:paraId="0B86904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4.装备制造产业：禁止建设专业电镀处理中心项目，涉及电镀工序项目涉水生产设施优先采用架空布置，不得发展涉及C26行业的氢能电池材料生产。</w:t>
                  </w:r>
                </w:p>
                <w:p w14:paraId="1651FA31">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环保产业：禁止发展废矿物油化学提纯加工废弃资源利用项目，禁止发展废铅蓄电池拆解处置项目，禁止发展未配套磁选、粉磨等深加工工艺的低值化资源回收项目；禁止建设年处理量小于5万吨的废钢破碎分选项目(电弧炉炼钢配套项目除外)。</w:t>
                  </w:r>
                </w:p>
              </w:tc>
              <w:tc>
                <w:tcPr>
                  <w:tcW w:w="950" w:type="pct"/>
                  <w:noWrap w:val="0"/>
                  <w:vAlign w:val="center"/>
                </w:tcPr>
                <w:p w14:paraId="0B159898">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项目位于河北迁安经济开发区</w:t>
                  </w:r>
                  <w:r>
                    <w:rPr>
                      <w:rFonts w:hint="default" w:ascii="Times New Roman" w:hAnsi="Times New Roman" w:cs="Times New Roman"/>
                      <w:color w:val="auto"/>
                      <w:sz w:val="21"/>
                      <w:szCs w:val="21"/>
                      <w:lang w:val="en-US" w:eastAsia="zh-CN"/>
                    </w:rPr>
                    <w:t>智能创新产业园</w:t>
                  </w:r>
                  <w:r>
                    <w:rPr>
                      <w:rFonts w:hint="default" w:ascii="Times New Roman" w:hAnsi="Times New Roman" w:cs="Times New Roman"/>
                      <w:color w:val="auto"/>
                      <w:sz w:val="21"/>
                      <w:szCs w:val="21"/>
                    </w:rPr>
                    <w:t>，项目</w:t>
                  </w:r>
                  <w:r>
                    <w:rPr>
                      <w:rFonts w:hint="default" w:ascii="Times New Roman" w:hAnsi="Times New Roman" w:cs="Times New Roman"/>
                      <w:color w:val="auto"/>
                      <w:sz w:val="21"/>
                      <w:szCs w:val="21"/>
                      <w:lang w:val="en-US" w:eastAsia="zh-CN"/>
                    </w:rPr>
                    <w:t>为</w:t>
                  </w:r>
                  <w:r>
                    <w:rPr>
                      <w:rFonts w:hint="default"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color w:val="auto"/>
                      <w:sz w:val="21"/>
                      <w:szCs w:val="21"/>
                    </w:rPr>
                    <w:t>，不涉及钢铁产能变化</w:t>
                  </w:r>
                </w:p>
              </w:tc>
              <w:tc>
                <w:tcPr>
                  <w:tcW w:w="278" w:type="pct"/>
                  <w:noWrap w:val="0"/>
                  <w:vAlign w:val="center"/>
                </w:tcPr>
                <w:p w14:paraId="496E48E1">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14:paraId="0191F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24" w:type="pct"/>
                  <w:noWrap w:val="0"/>
                  <w:vAlign w:val="center"/>
                </w:tcPr>
                <w:p w14:paraId="569B32EB">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空间布局约束</w:t>
                  </w:r>
                </w:p>
              </w:tc>
              <w:tc>
                <w:tcPr>
                  <w:tcW w:w="3446" w:type="pct"/>
                  <w:noWrap w:val="0"/>
                  <w:vAlign w:val="center"/>
                </w:tcPr>
                <w:p w14:paraId="2BCA25BD">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1.开发区内城镇开发边界外区域为留白用地，严禁开发建设。</w:t>
                  </w:r>
                </w:p>
                <w:p w14:paraId="0AC57CF1">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2.严格按照优化调整建议中针对产业布局及敏感区等提出的要求进行布局，将现状村庄和规划居住区作为环境敏感点予以保护，合理控制周边建设项目布局，根据不同的区位特点进行差别化管控。</w:t>
                  </w:r>
                </w:p>
                <w:p w14:paraId="04CC160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智能创新产业园：龙山小区、鸽子湾、松汀、曹庄子、大张庄等村边界外延50m范围内禁止建设喷涂、酸洗、镀锌、电镀工序，不得布置氨储罐、酸储罐、涉及恶臭气体排放的污水处理设施，不得布置环保产业生产加工工序。</w:t>
                  </w:r>
                </w:p>
                <w:p w14:paraId="7C47F21E">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3.存在地下水污染风险隐患的工序或装置应尽量远离地下水弱防渗区布置，因工艺布局确实无法远离的，应严格防渗措施或采取可视化的防渗措施。</w:t>
                  </w:r>
                </w:p>
                <w:p w14:paraId="6F9175E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4.涉及《唐山市地下水污染防治重点区划定方案(试行)》中一级、二级管控区的项目，严格按照方案提出的管控要求进行开发建设和后期环境管理。</w:t>
                  </w:r>
                </w:p>
                <w:p w14:paraId="593F800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5.河道</w:t>
                  </w:r>
                  <w:r>
                    <w:rPr>
                      <w:rFonts w:hint="default" w:ascii="Times New Roman" w:hAnsi="Times New Roman" w:cs="Times New Roman"/>
                      <w:color w:val="auto"/>
                      <w:sz w:val="21"/>
                      <w:szCs w:val="21"/>
                      <w:lang w:val="en-US" w:eastAsia="zh-CN"/>
                    </w:rPr>
                    <w:t>邻水</w:t>
                  </w:r>
                  <w:r>
                    <w:rPr>
                      <w:rFonts w:hint="default" w:ascii="Times New Roman" w:hAnsi="Times New Roman" w:cs="Times New Roman"/>
                      <w:color w:val="auto"/>
                      <w:sz w:val="21"/>
                      <w:szCs w:val="21"/>
                    </w:rPr>
                    <w:t>控制线或河道岸线50m范围内不得布置涉及有毒有害和易燃易爆危险物质的储罐，不得布设含电镀工序、产生CODcr浓度≥10000mg/L或氨氮浓度≥2000mg/L有机废液的装置，不得布设污水处理站、</w:t>
                  </w:r>
                  <w:r>
                    <w:rPr>
                      <w:rFonts w:hint="default" w:ascii="Times New Roman" w:hAnsi="Times New Roman" w:cs="Times New Roman"/>
                      <w:color w:val="auto"/>
                      <w:sz w:val="21"/>
                      <w:szCs w:val="21"/>
                      <w:lang w:val="en-US" w:eastAsia="zh-CN"/>
                    </w:rPr>
                    <w:t>危废间</w:t>
                  </w:r>
                  <w:r>
                    <w:rPr>
                      <w:rFonts w:hint="default" w:ascii="Times New Roman" w:hAnsi="Times New Roman" w:cs="Times New Roman"/>
                      <w:color w:val="auto"/>
                      <w:sz w:val="21"/>
                      <w:szCs w:val="21"/>
                    </w:rPr>
                    <w:t>。</w:t>
                  </w:r>
                </w:p>
                <w:p w14:paraId="789869B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建议加强村庄搬迁前的空间布局管控，入区项目优先选择距离现有村庄较远的地块布局，并按照环评文件设置一定的大气环境防护距离，在不能满足上述条件时，开发区内现状村庄结合规划开发时序适时启动搬迁。</w:t>
                  </w:r>
                </w:p>
              </w:tc>
              <w:tc>
                <w:tcPr>
                  <w:tcW w:w="950" w:type="pct"/>
                  <w:noWrap w:val="0"/>
                  <w:vAlign w:val="center"/>
                </w:tcPr>
                <w:p w14:paraId="018FB92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项目位于河北迁安经济开发区</w:t>
                  </w:r>
                  <w:r>
                    <w:rPr>
                      <w:rFonts w:hint="default" w:ascii="Times New Roman" w:hAnsi="Times New Roman" w:cs="Times New Roman"/>
                      <w:color w:val="auto"/>
                      <w:sz w:val="21"/>
                      <w:szCs w:val="21"/>
                      <w:lang w:val="en-US" w:eastAsia="zh-CN"/>
                    </w:rPr>
                    <w:t>智能创新产业园</w:t>
                  </w:r>
                  <w:r>
                    <w:rPr>
                      <w:rFonts w:hint="default" w:ascii="Times New Roman" w:hAnsi="Times New Roman" w:cs="Times New Roman"/>
                      <w:color w:val="auto"/>
                      <w:sz w:val="21"/>
                      <w:szCs w:val="21"/>
                    </w:rPr>
                    <w:t>，现有厂区内，位于城镇开发边界内，不新增占地</w:t>
                  </w:r>
                </w:p>
              </w:tc>
              <w:tc>
                <w:tcPr>
                  <w:tcW w:w="278" w:type="pct"/>
                  <w:noWrap w:val="0"/>
                  <w:vAlign w:val="center"/>
                </w:tcPr>
                <w:p w14:paraId="6F3B037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14:paraId="3C974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24" w:type="pct"/>
                  <w:noWrap w:val="0"/>
                  <w:vAlign w:val="center"/>
                </w:tcPr>
                <w:p w14:paraId="1AA9E439">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污染物排放管控</w:t>
                  </w:r>
                </w:p>
              </w:tc>
              <w:tc>
                <w:tcPr>
                  <w:tcW w:w="3446" w:type="pct"/>
                  <w:noWrap w:val="0"/>
                  <w:vAlign w:val="center"/>
                </w:tcPr>
                <w:p w14:paraId="63351113">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1.开发区污染物排放</w:t>
                  </w:r>
                </w:p>
                <w:p w14:paraId="216915F4">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①污染物允许排放量</w:t>
                  </w:r>
                </w:p>
                <w:p w14:paraId="4BE0D4F1">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大气污染物：颗粒物8673.177t/a、二氧化硫2790.935t/a、氮氧化物5110.100t/a、非甲烷总烃60.376t/a、苯2.204t/a、甲苯1.548t/a、二甲苯2.146t/a、氨气393.626t/a、硫化氢17.176t/a、氯化氢31.831t/a、苯乙烯1.48t/a、硫酸雾4.569t/a、甲醇1.661t/a、铅13.607t/a、二噁英21.673g-TEQ/a、一氧化碳688430.513t/a、氟化物82.515t/a、氰化氢0.171t/a、酚类0.065t/a、苯并[a]芘0.021t/a、苯可溶物6.877t/a、磷酸雾0.003t/a、铬及其化合物0.011t/a、镍及其化合物0.001t/a、镉及其化合物6.02E-03t/a、砷及其化合物4.00E-03t/a、汞及其化合物5.55E-03t/a、锡及其化合物3.62E-04t/a、锑及其化合物8.63E-05t/a、铜及其化合物8.16E-04t/a、锰及其化合物9.82E-04t/a；</w:t>
                  </w:r>
                </w:p>
                <w:p w14:paraId="11688CB0">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水污染物：COD100.153t/a、氨氮5.233t/a、总磷1.002t/a、总氮44.044t/a、BOD522.082t/a、石油类2.936t/a、氯化物22.574t/a、挥发酚0.103t/a、硫化物1.026t/a、氰化物0.513t/a、总锌1.82t/a。</w:t>
                  </w:r>
                </w:p>
                <w:p w14:paraId="63318790">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②开发区存量源削减量</w:t>
                  </w:r>
                </w:p>
                <w:p w14:paraId="72D4F1E3">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大气污染物：颗粒物2098.581t/a、二氧化硫672.290t/a、氮氧化物1600.138t/a、非甲烷总烃41.876t/a；</w:t>
                  </w:r>
                </w:p>
                <w:p w14:paraId="45AC652E">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水污染物：COD728.299t/a、氨氮70.239t/a、总磷7.977t/a、总氮52.013t/a、BOD</w:t>
                  </w:r>
                  <w:r>
                    <w:rPr>
                      <w:rFonts w:hint="default" w:ascii="Times New Roman" w:hAnsi="Times New Roman" w:cs="Times New Roman"/>
                      <w:color w:val="auto"/>
                      <w:sz w:val="21"/>
                      <w:szCs w:val="21"/>
                      <w:vertAlign w:val="subscript"/>
                    </w:rPr>
                    <w:t>5</w:t>
                  </w:r>
                  <w:r>
                    <w:rPr>
                      <w:rFonts w:hint="default" w:ascii="Times New Roman" w:hAnsi="Times New Roman" w:cs="Times New Roman"/>
                      <w:color w:val="auto"/>
                      <w:sz w:val="21"/>
                      <w:szCs w:val="21"/>
                    </w:rPr>
                    <w:t>679.655t/a。</w:t>
                  </w:r>
                </w:p>
                <w:p w14:paraId="07674350">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③开发区新增源控制量</w:t>
                  </w:r>
                </w:p>
                <w:p w14:paraId="0ED423E9">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大气污染物：颗粒物1174.669t/a、二氧化硫488.265t/a、氮氧化物1037.322t/a、非甲烷总烃25.263t/a、苯1.026t/a、甲苯1.080t/a、二甲苯1.401t/a、氨气73.567t/a、硫化氢0.958t/a、氯化氢11.119t/a、苯乙烯0.596t/a、硫酸雾1.279t/a、甲醇1.661t/a、铅1.881t/a、二噁英5.003t/a、CO59494.676t/a、氟化物15.134t/a、镉及其化合物6.00E-03t/a、砷及其化合物4.00E-03t/a、汞及其化合物5.54E-03t/a；</w:t>
                  </w:r>
                </w:p>
                <w:p w14:paraId="7C45C4D8">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水污染物：COD7.162t/a、氨氮-3.745t/a、总磷-0.049t/a、总氮11.445t/a、BOD</w:t>
                  </w:r>
                  <w:r>
                    <w:rPr>
                      <w:rFonts w:hint="default" w:ascii="Times New Roman" w:hAnsi="Times New Roman" w:cs="Times New Roman"/>
                      <w:color w:val="auto"/>
                      <w:sz w:val="21"/>
                      <w:szCs w:val="21"/>
                      <w:vertAlign w:val="subscript"/>
                    </w:rPr>
                    <w:t>5</w:t>
                  </w:r>
                  <w:r>
                    <w:rPr>
                      <w:rFonts w:hint="default" w:ascii="Times New Roman" w:hAnsi="Times New Roman" w:cs="Times New Roman"/>
                      <w:color w:val="auto"/>
                      <w:sz w:val="21"/>
                      <w:szCs w:val="21"/>
                    </w:rPr>
                    <w:t>1.420t/a(迁安经济开发区污水处理厂提标改造后，部分因子污染物排放量较2023年减少)。</w:t>
                  </w:r>
                </w:p>
                <w:p w14:paraId="3A47A015">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2.开发区碳排放：规划末期碳排放量8838.780万tCO</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/a，碳排放强度不得超过11.785tCO</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/万元增加值。</w:t>
                  </w:r>
                </w:p>
                <w:p w14:paraId="78D738C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3.新建具有绩效评级要求的涉气建设项目，须达到B级及以上水平。</w:t>
                  </w:r>
                </w:p>
                <w:p w14:paraId="7F51A5B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4.含第一类污染物的重金属废水全部回用，不得外排。</w:t>
                  </w:r>
                </w:p>
                <w:p w14:paraId="3B40F38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5.入区项目废水全部排入开发区规划或依托的污水处理厂或废水全部回用不外排，不得单独设置废水排放口，开发区污水收集处理率达到100%。</w:t>
                  </w:r>
                </w:p>
                <w:p w14:paraId="222DE98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6.化工产业万元工业产值污染物排放量为颗粒物0.013kg/万元、二氧化硫0.009kg/万元、氮氧化物0.066kg/万元、VOCs0.025kg/万元，万元工业产值能耗为0.44tce/万元。</w:t>
                  </w:r>
                </w:p>
              </w:tc>
              <w:tc>
                <w:tcPr>
                  <w:tcW w:w="950" w:type="pct"/>
                  <w:noWrap w:val="0"/>
                  <w:vAlign w:val="center"/>
                </w:tcPr>
                <w:p w14:paraId="6A642D8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highlight w:val="none"/>
                    </w:rPr>
                    <w:t>1、项目实施后，</w:t>
                  </w:r>
                  <w:r>
                    <w:rPr>
                      <w:rFonts w:hint="default" w:ascii="Times New Roman" w:hAnsi="Times New Roman" w:cs="Times New Roman" w:eastAsiaTheme="minorEastAsia"/>
                      <w:color w:val="auto"/>
                      <w:kern w:val="0"/>
                      <w:sz w:val="21"/>
                      <w:szCs w:val="21"/>
                      <w:highlight w:val="none"/>
                    </w:rPr>
                    <w:t>废气污染物为颗粒物，本项目为</w:t>
                  </w:r>
                  <w:r>
                    <w:rPr>
                      <w:rFonts w:hint="default"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eastAsiaTheme="minorEastAsia"/>
                      <w:color w:val="auto"/>
                      <w:kern w:val="0"/>
                      <w:sz w:val="21"/>
                      <w:szCs w:val="21"/>
                      <w:highlight w:val="none"/>
                    </w:rPr>
                    <w:t>，</w:t>
                  </w:r>
                  <w:r>
                    <w:rPr>
                      <w:rFonts w:hint="default" w:ascii="Times New Roman" w:hAnsi="Times New Roman" w:cs="Times New Roman" w:eastAsiaTheme="minorEastAsia"/>
                      <w:color w:val="auto"/>
                      <w:kern w:val="0"/>
                      <w:sz w:val="21"/>
                      <w:szCs w:val="21"/>
                      <w:highlight w:val="none"/>
                      <w:lang w:val="en-US" w:eastAsia="zh-CN"/>
                    </w:rPr>
                    <w:t>项目</w:t>
                  </w:r>
                  <w:r>
                    <w:rPr>
                      <w:rFonts w:hint="default" w:ascii="Times New Roman" w:hAnsi="Times New Roman" w:cs="Times New Roman" w:eastAsiaTheme="minorEastAsia"/>
                      <w:snapToGrid w:val="0"/>
                      <w:color w:val="auto"/>
                      <w:sz w:val="21"/>
                      <w:szCs w:val="21"/>
                      <w:highlight w:val="none"/>
                    </w:rPr>
                    <w:t>废气颗粒物</w:t>
                  </w:r>
                  <w:r>
                    <w:rPr>
                      <w:rFonts w:hint="default" w:ascii="Times New Roman" w:hAnsi="Times New Roman" w:cs="Times New Roman" w:eastAsiaTheme="minorEastAsia"/>
                      <w:snapToGrid w:val="0"/>
                      <w:color w:val="auto"/>
                      <w:sz w:val="21"/>
                      <w:szCs w:val="21"/>
                      <w:highlight w:val="none"/>
                      <w:lang w:val="en-US" w:eastAsia="zh-CN"/>
                    </w:rPr>
                    <w:t>排放满足</w:t>
                  </w:r>
                  <w:r>
                    <w:rPr>
                      <w:rFonts w:hint="default" w:ascii="Times New Roman" w:hAnsi="Times New Roman" w:cs="Times New Roman" w:eastAsiaTheme="minorEastAsia"/>
                      <w:snapToGrid w:val="0"/>
                      <w:color w:val="auto"/>
                      <w:sz w:val="21"/>
                      <w:szCs w:val="21"/>
                      <w:highlight w:val="none"/>
                    </w:rPr>
                    <w:t>《钢铁工业大气污染物超低排放标准》(DB13/2169-2018)</w:t>
                  </w:r>
                  <w:r>
                    <w:rPr>
                      <w:rFonts w:hint="default" w:ascii="Times New Roman" w:hAnsi="Times New Roman" w:cs="Times New Roman" w:eastAsiaTheme="minorEastAsia"/>
                      <w:snapToGrid w:val="0"/>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项目洗车废水沉淀后循环使用，不外排，</w:t>
                  </w:r>
                  <w:r>
                    <w:rPr>
                      <w:rFonts w:hint="default" w:ascii="Times New Roman" w:hAnsi="Times New Roman" w:cs="Times New Roman"/>
                      <w:color w:val="auto"/>
                      <w:sz w:val="21"/>
                      <w:szCs w:val="21"/>
                      <w:highlight w:val="none"/>
                    </w:rPr>
                    <w:t>本项目无新增生活污水</w:t>
                  </w:r>
                  <w:r>
                    <w:rPr>
                      <w:rFonts w:hint="default" w:ascii="Times New Roman" w:hAnsi="Times New Roman" w:cs="Times New Roman"/>
                      <w:color w:val="auto"/>
                      <w:sz w:val="21"/>
                      <w:szCs w:val="21"/>
                      <w:highlight w:val="none"/>
                      <w:lang w:val="en-US" w:eastAsia="zh-CN"/>
                    </w:rPr>
                    <w:t>，不会</w:t>
                  </w:r>
                  <w:r>
                    <w:rPr>
                      <w:rFonts w:hint="default" w:ascii="Times New Roman" w:hAnsi="Times New Roman" w:cs="Times New Roman"/>
                      <w:color w:val="auto"/>
                      <w:sz w:val="21"/>
                      <w:szCs w:val="21"/>
                      <w:highlight w:val="none"/>
                    </w:rPr>
                    <w:t>突破</w:t>
                  </w:r>
                  <w:r>
                    <w:rPr>
                      <w:rFonts w:hint="default" w:ascii="Times New Roman" w:hAnsi="Times New Roman" w:cs="Times New Roman"/>
                      <w:color w:val="auto"/>
                      <w:sz w:val="21"/>
                      <w:szCs w:val="21"/>
                      <w:highlight w:val="none"/>
                      <w:lang w:val="en-US" w:eastAsia="zh-CN"/>
                    </w:rPr>
                    <w:t>园区</w:t>
                  </w:r>
                  <w:r>
                    <w:rPr>
                      <w:rFonts w:hint="default" w:ascii="Times New Roman" w:hAnsi="Times New Roman" w:cs="Times New Roman"/>
                      <w:color w:val="auto"/>
                      <w:sz w:val="21"/>
                      <w:szCs w:val="21"/>
                      <w:highlight w:val="none"/>
                    </w:rPr>
                    <w:t>污染物新增排放量；2、3、4、5、6不涉及</w:t>
                  </w:r>
                </w:p>
              </w:tc>
              <w:tc>
                <w:tcPr>
                  <w:tcW w:w="278" w:type="pct"/>
                  <w:noWrap w:val="0"/>
                  <w:vAlign w:val="center"/>
                </w:tcPr>
                <w:p w14:paraId="149F75F6">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14:paraId="43A26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24" w:type="pct"/>
                  <w:noWrap w:val="0"/>
                  <w:vAlign w:val="center"/>
                </w:tcPr>
                <w:p w14:paraId="4D9D4AB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环境风险防控</w:t>
                  </w:r>
                </w:p>
              </w:tc>
              <w:tc>
                <w:tcPr>
                  <w:tcW w:w="3446" w:type="pct"/>
                  <w:noWrap w:val="0"/>
                  <w:vAlign w:val="center"/>
                </w:tcPr>
                <w:p w14:paraId="364A525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1.重点监管企业和开发区周边土壤环境定期开展监督性监测，重点监测重金属和持久性有机污染物。</w:t>
                  </w:r>
                </w:p>
                <w:p w14:paraId="492868B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rPr>
                    <w:t>2.强化新污染物治理和化学品信息化管理，加强危废处置</w:t>
                  </w:r>
                  <w:r>
                    <w:rPr>
                      <w:rFonts w:hint="default" w:ascii="Times New Roman" w:hAnsi="Times New Roman" w:cs="Times New Roman"/>
                      <w:color w:val="auto"/>
                      <w:sz w:val="21"/>
                      <w:szCs w:val="21"/>
                      <w:highlight w:val="none"/>
                    </w:rPr>
                    <w:t>及管控。</w:t>
                  </w:r>
                </w:p>
                <w:p w14:paraId="1F5B9A81">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highlight w:val="none"/>
                    </w:rPr>
                    <w:t>3.涉及水环境风险的入区项目，应重点关注水环境风险应急措施，确保突发事故情况水环境风险</w:t>
                  </w:r>
                  <w:r>
                    <w:rPr>
                      <w:rFonts w:hint="default" w:ascii="Times New Roman" w:hAnsi="Times New Roman" w:cs="Times New Roman"/>
                      <w:color w:val="auto"/>
                      <w:sz w:val="21"/>
                      <w:szCs w:val="21"/>
                    </w:rPr>
                    <w:t>物质不进入地表水体。</w:t>
                  </w:r>
                </w:p>
                <w:p w14:paraId="15C2CFD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4.入区企业应按照相关要求，组织编制《环境风险应急预案》并定期开展修编工作，成立应急组织机构，定期开展应急演练，提高区域环境风险防范能力。</w:t>
                  </w:r>
                </w:p>
                <w:p w14:paraId="50CD7A20">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危险废物转移过程中应采取防扬散、防流失、防渗漏或者其他防止污染环境的措施，不得擅自倾倒、堆放、丢弃、遗撒危险废物。转移过程发生危险废物突发环境事件时，应立即采取有效措施消除或者减轻对环境的污染危害，并按相关规定向事故发生地有关部门报告。</w:t>
                  </w:r>
                </w:p>
                <w:p w14:paraId="23BB51E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开发区需在化工集中区(南部片区)地块一设置园区级事故池，各雨水入河口新增截断阀等风险防范措施，构建三级环境风险防控体系，强化危化品泄漏应急处置措施，三级防控体系需与园区及流域级应急预案相衔接。</w:t>
                  </w:r>
                </w:p>
              </w:tc>
              <w:tc>
                <w:tcPr>
                  <w:tcW w:w="950" w:type="pct"/>
                  <w:noWrap w:val="0"/>
                  <w:vAlign w:val="center"/>
                </w:tcPr>
                <w:p w14:paraId="45FE4F6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rPr>
                    <w:t>1、</w:t>
                  </w:r>
                  <w:r>
                    <w:rPr>
                      <w:rFonts w:hint="default" w:ascii="Times New Roman" w:hAnsi="Times New Roman" w:cs="Times New Roman"/>
                      <w:color w:val="auto"/>
                      <w:sz w:val="21"/>
                      <w:szCs w:val="21"/>
                      <w:lang w:val="en-US" w:eastAsia="zh-CN"/>
                    </w:rPr>
                    <w:t>不属于土壤重点监管单位</w:t>
                  </w:r>
                </w:p>
                <w:p w14:paraId="51570629">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2、项目采取严格的环境风险防范措施，防止对区域周边环境敏感点和地表水环境造成影响</w:t>
                  </w:r>
                </w:p>
                <w:p w14:paraId="6733ADC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w:t>
                  </w:r>
                  <w:r>
                    <w:rPr>
                      <w:rFonts w:hint="default" w:ascii="Times New Roman" w:hAnsi="Times New Roman" w:cs="Times New Roman"/>
                      <w:color w:val="auto"/>
                      <w:sz w:val="21"/>
                      <w:szCs w:val="21"/>
                      <w:lang w:val="en-US" w:eastAsia="zh-CN"/>
                    </w:rPr>
                    <w:t>项目不属于涉及水环境风险的入区项目。</w:t>
                  </w:r>
                  <w:r>
                    <w:rPr>
                      <w:rFonts w:hint="eastAsia" w:ascii="Times New Roman" w:cs="Times New Roman"/>
                      <w:color w:val="auto"/>
                      <w:sz w:val="21"/>
                      <w:szCs w:val="21"/>
                      <w:lang w:val="en-US" w:eastAsia="zh-CN"/>
                    </w:rPr>
                    <w:t>公司的突发环境事件应急预案于2026年3月13日在唐山市生态环境局迁安市分局备案(编号为130283-2026-036-H)</w:t>
                  </w:r>
                  <w:r>
                    <w:rPr>
                      <w:rFonts w:hint="eastAsia"/>
                      <w:color w:val="auto"/>
                      <w:lang w:val="en-US" w:eastAsia="zh-CN"/>
                    </w:rPr>
                    <w:t>。</w:t>
                  </w:r>
                  <w:r>
                    <w:rPr>
                      <w:rFonts w:hint="default" w:ascii="Times New Roman" w:hAnsi="Times New Roman" w:cs="Times New Roman"/>
                      <w:color w:val="auto"/>
                      <w:sz w:val="21"/>
                      <w:szCs w:val="21"/>
                    </w:rPr>
                    <w:t>项目针对可能出现的突发环境事件制定了完善的风险防范措施，环境风险可防控</w:t>
                  </w:r>
                </w:p>
                <w:p w14:paraId="4D243F98">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4、项目产生的</w:t>
                  </w:r>
                  <w:r>
                    <w:rPr>
                      <w:rFonts w:hint="default" w:ascii="Times New Roman" w:hAnsi="Times New Roman" w:cs="Times New Roman"/>
                      <w:color w:val="auto"/>
                      <w:sz w:val="21"/>
                      <w:szCs w:val="21"/>
                      <w:highlight w:val="none"/>
                    </w:rPr>
                    <w:t>废润滑油、废液压油收集于</w:t>
                  </w:r>
                  <w:r>
                    <w:rPr>
                      <w:rFonts w:hint="eastAsia" w:ascii="Times New Roman" w:cs="Times New Roman"/>
                      <w:color w:val="auto"/>
                      <w:sz w:val="21"/>
                      <w:szCs w:val="21"/>
                      <w:highlight w:val="none"/>
                      <w:lang w:eastAsia="zh-CN"/>
                    </w:rPr>
                    <w:t>铁桶</w:t>
                  </w:r>
                  <w:r>
                    <w:rPr>
                      <w:rFonts w:hint="default" w:ascii="Times New Roman" w:hAnsi="Times New Roman" w:cs="Times New Roman"/>
                      <w:color w:val="auto"/>
                      <w:sz w:val="21"/>
                      <w:szCs w:val="21"/>
                      <w:highlight w:val="none"/>
                    </w:rPr>
                    <w:t>内与废油桶在危废间暂存后，定期交有资质的单位处置</w:t>
                  </w:r>
                </w:p>
              </w:tc>
              <w:tc>
                <w:tcPr>
                  <w:tcW w:w="278" w:type="pct"/>
                  <w:noWrap w:val="0"/>
                  <w:vAlign w:val="center"/>
                </w:tcPr>
                <w:p w14:paraId="40DC5F7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14:paraId="76225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24" w:type="pct"/>
                  <w:noWrap w:val="0"/>
                  <w:vAlign w:val="center"/>
                </w:tcPr>
                <w:p w14:paraId="267DEA68">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资源开发利用要求</w:t>
                  </w:r>
                </w:p>
              </w:tc>
              <w:tc>
                <w:tcPr>
                  <w:tcW w:w="3446" w:type="pct"/>
                  <w:noWrap w:val="0"/>
                  <w:vAlign w:val="center"/>
                </w:tcPr>
                <w:p w14:paraId="3E3F8C2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1.入区项目应符合水资源管理制度的要求，优先使用再生水和地表水；具备使用再生水条件但未充分利用的钢铁、化工等行业不得批准其新增取水许可。</w:t>
                  </w:r>
                </w:p>
                <w:p w14:paraId="3CA0FE6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开发区集中供水实施前，充分利用现有合法取水设施，严格落实取水许可制度，不再开凿新的用于工业用途的取水井。集中供水实施后，钢铁、焦化企业优先利用再生水、地表水作为生产水源，不足部分由现有合法地下水取水设施供应，其他现有企业及后续入驻企业使用集中供水，企业现有自备地下水井转为备用或关停。严禁工业用水开采深层地下水。</w:t>
                  </w:r>
                </w:p>
                <w:p w14:paraId="371FB7FD">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至规划期末，开发区资源和能源消耗量应满足划定的开发利用总量上线。能源利用上线：2471.292万tce/a；水资源利用上线：新水量10712.378万m³/a(地表水6129.440万m³/a、地下水4582.939万m³/a)；土地利用上线：建设用地面积38.79k</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，工业用地面积34.37k</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；煤炭资源利用上线为1258万t/a，其中燃料煤546万t/a，原料煤712万t/a。</w:t>
                  </w:r>
                </w:p>
                <w:p w14:paraId="035C3AB6">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4.不断优化能源消费结构，优先利用区域工业余热资源，因工艺需求，企业可自建燃气等清洁能源锅炉并充分论证可行性，禁止建设分散燃煤供热设施。</w:t>
                  </w:r>
                </w:p>
                <w:p w14:paraId="3EB4A8FB">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5.已实施集中供热的区域，不得建设用于冬季采暖的燃气、生物质锅炉。</w:t>
                  </w:r>
                </w:p>
                <w:p w14:paraId="379A5BD4">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现有的钢铁、焦化产业技术改造或装备提升项目各工序能耗、水耗满足《粗钢生产主要工序单位产品能源消耗限额》(GB21256-2013)、《工业重点领域能效标杆水平和基准水平(2023年版)》(发改产业[2023]723号)、《水利部关于印发钢铁等十八项工业用水定额的通知》(水节约[2019]373号)中新建企业先进值、标杆水平等要求。其他入区项目清洁生产水平须达到国家已颁布的相应清洁生产标准或清洁生产评价指标体系的国内先进水平(二级水平)，同时满足相应行业审批原则的规定，无标准的应达到国内先进及以上水平。</w:t>
                  </w:r>
                </w:p>
              </w:tc>
              <w:tc>
                <w:tcPr>
                  <w:tcW w:w="950" w:type="pct"/>
                  <w:noWrap w:val="0"/>
                  <w:vAlign w:val="center"/>
                </w:tcPr>
                <w:p w14:paraId="03F21C0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highlight w:val="none"/>
                      <w:lang w:val="en-US" w:eastAsia="zh-CN"/>
                    </w:rPr>
                    <w:t>用水由现有供水管网提供。公司已取得河北省水利厅核发的取水许可证，取水点位于滨河街道办事处麻官营村东滦河右岸，为傍河取水，取水方式为在岸边建井，井内安装水泵抽水，管线输送。</w:t>
                  </w:r>
                </w:p>
              </w:tc>
              <w:tc>
                <w:tcPr>
                  <w:tcW w:w="278" w:type="pct"/>
                  <w:noWrap w:val="0"/>
                  <w:vAlign w:val="center"/>
                </w:tcPr>
                <w:p w14:paraId="5A55086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left="0" w:leftChars="0" w:right="0" w:rightChars="0" w:firstLine="0" w:firstLineChars="0"/>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bl>
          <w:p w14:paraId="57B9B2B5">
            <w:pPr>
              <w:spacing w:line="360" w:lineRule="auto"/>
              <w:ind w:firstLine="420" w:firstLineChars="200"/>
              <w:contextualSpacing/>
              <w:rPr>
                <w:rFonts w:hint="eastAsia" w:ascii="宋体" w:hAnsi="宋体"/>
                <w:bCs/>
                <w:color w:val="auto"/>
                <w:szCs w:val="21"/>
              </w:rPr>
            </w:pPr>
            <w:r>
              <w:rPr>
                <w:rFonts w:hint="eastAsia" w:ascii="宋体" w:hAnsi="宋体"/>
                <w:bCs/>
                <w:color w:val="auto"/>
                <w:szCs w:val="21"/>
              </w:rPr>
              <w:t>通过上述分析，项目符合规划环评“开发区准入清单”相关要求。</w:t>
            </w:r>
          </w:p>
          <w:p w14:paraId="1901F7EA">
            <w:pPr>
              <w:spacing w:line="360" w:lineRule="auto"/>
              <w:ind w:firstLine="420" w:firstLineChars="200"/>
              <w:contextualSpacing/>
              <w:rPr>
                <w:rFonts w:hint="eastAsia" w:ascii="宋体" w:hAnsi="宋体" w:eastAsia="宋体" w:cs="Times New Roman"/>
                <w:bCs/>
                <w:color w:val="auto"/>
                <w:szCs w:val="21"/>
                <w:lang w:val="en-US" w:eastAsia="zh-CN"/>
              </w:rPr>
            </w:pPr>
            <w:r>
              <w:rPr>
                <w:rFonts w:hint="eastAsia" w:ascii="宋体" w:hAnsi="宋体" w:eastAsia="宋体" w:cs="Times New Roman"/>
                <w:bCs/>
                <w:color w:val="auto"/>
                <w:szCs w:val="21"/>
                <w:lang w:val="en-US" w:eastAsia="zh-CN"/>
              </w:rPr>
              <w:t>1.6与规划环评结论符合性分析</w:t>
            </w:r>
          </w:p>
          <w:p w14:paraId="1DD0B24D">
            <w:pPr>
              <w:pStyle w:val="2"/>
              <w:keepNext w:val="0"/>
              <w:keepLines w:val="0"/>
              <w:pageBreakBefore w:val="0"/>
              <w:widowControl/>
              <w:kinsoku/>
              <w:wordWrap/>
              <w:overflowPunct/>
              <w:topLinePunct w:val="0"/>
              <w:autoSpaceDE w:val="0"/>
              <w:autoSpaceDN w:val="0"/>
              <w:bidi w:val="0"/>
              <w:adjustRightInd w:val="0"/>
              <w:snapToGrid w:val="0"/>
              <w:textAlignment w:val="auto"/>
              <w:rPr>
                <w:rFonts w:hint="eastAsia"/>
                <w:color w:val="auto"/>
                <w:lang w:val="en-US" w:eastAsia="zh-CN"/>
              </w:rPr>
            </w:pPr>
            <w:r>
              <w:rPr>
                <w:rFonts w:hint="eastAsia"/>
                <w:color w:val="auto"/>
                <w:lang w:val="en-US" w:eastAsia="zh-CN"/>
              </w:rPr>
              <w:t>评价从经济发展与区域环境承载力的角度对规划进行了全局分析，并提出了优化调整建议。河北迁安经济开发区总体规划(2022-2030年)符合国家、河北省、唐山市相关规划要求；规划产业的发展符合当前国家、省、市产业政策要求。在落实区域削减源以及评价提出的预防和治理措施的情况下，开发区规划的实施对周围环境影响可接受，不会改变区域环境功能，可满足环境质量底线要求；在充分利用地表水、再生水以及加强环境管理的前提下，区域资源环境可以承载规划的实施，不突破水资源、土地资源利用上线；规划范围内不涉及生态保护红线区；规划产业空间布局和能源结构相对合理，可以达到相应的环境保护目标。</w:t>
            </w:r>
          </w:p>
          <w:p w14:paraId="75717B5C">
            <w:pPr>
              <w:pStyle w:val="2"/>
              <w:keepNext w:val="0"/>
              <w:keepLines w:val="0"/>
              <w:pageBreakBefore w:val="0"/>
              <w:widowControl/>
              <w:kinsoku/>
              <w:wordWrap/>
              <w:overflowPunct/>
              <w:topLinePunct w:val="0"/>
              <w:autoSpaceDE w:val="0"/>
              <w:autoSpaceDN w:val="0"/>
              <w:bidi w:val="0"/>
              <w:adjustRightInd w:val="0"/>
              <w:snapToGrid w:val="0"/>
              <w:textAlignment w:val="auto"/>
              <w:rPr>
                <w:rFonts w:hint="eastAsia"/>
                <w:color w:val="auto"/>
                <w:lang w:val="en-US" w:eastAsia="zh-CN"/>
              </w:rPr>
            </w:pPr>
            <w:r>
              <w:rPr>
                <w:rFonts w:hint="eastAsia"/>
                <w:color w:val="auto"/>
                <w:lang w:val="en-US" w:eastAsia="zh-CN"/>
              </w:rPr>
              <w:t>规划应加强环境保护预防和治理措施，产业发展规模需“量水而行”，根据评价提出的分区管控要求、环境影响减缓措施与协同降碳建议，加强开发区空间管控，严格控制污染物排放总量，并采纳评价提出的调整建议和相关要求对规划进行优化调整后，《河北迁安经济开发区总体规划》(2022-2030年)的实施具有环境合理性和可行性。</w:t>
            </w:r>
          </w:p>
          <w:p w14:paraId="04775A2C">
            <w:pPr>
              <w:pStyle w:val="2"/>
              <w:bidi w:val="0"/>
              <w:rPr>
                <w:rFonts w:hint="default" w:ascii="宋体" w:hAnsi="宋体" w:eastAsia="宋体" w:cs="宋体"/>
                <w:color w:val="auto"/>
                <w:highlight w:val="none"/>
                <w:lang w:val="en-US" w:eastAsia="zh-CN"/>
              </w:rPr>
            </w:pPr>
            <w:r>
              <w:rPr>
                <w:rFonts w:hint="default" w:ascii="宋体" w:hAnsi="宋体" w:eastAsia="宋体" w:cs="宋体"/>
                <w:color w:val="auto"/>
                <w:highlight w:val="none"/>
                <w:lang w:val="en-US" w:eastAsia="zh-CN"/>
              </w:rPr>
              <w:t>本项目产业定位及用地布局符合规划要求</w:t>
            </w:r>
            <w:r>
              <w:rPr>
                <w:rFonts w:hint="eastAsia" w:ascii="宋体" w:hAnsi="宋体" w:eastAsia="宋体" w:cs="宋体"/>
                <w:color w:val="auto"/>
                <w:highlight w:val="none"/>
                <w:lang w:val="en-US" w:eastAsia="zh-CN"/>
              </w:rPr>
              <w:t>，</w:t>
            </w:r>
            <w:r>
              <w:rPr>
                <w:rFonts w:hint="eastAsia"/>
                <w:color w:val="auto"/>
                <w:highlight w:val="none"/>
                <w:lang w:val="en-US" w:eastAsia="zh-CN"/>
              </w:rPr>
              <w:t>废气污染物满足</w:t>
            </w:r>
            <w:r>
              <w:rPr>
                <w:rFonts w:hint="eastAsia" w:asciiTheme="minorEastAsia" w:hAnsiTheme="minorEastAsia" w:eastAsiaTheme="minorEastAsia" w:cstheme="minorEastAsia"/>
                <w:snapToGrid w:val="0"/>
                <w:color w:val="auto"/>
                <w:sz w:val="21"/>
                <w:szCs w:val="21"/>
                <w:highlight w:val="none"/>
                <w:lang w:val="en-US" w:eastAsia="zh-CN"/>
              </w:rPr>
              <w:t>排放标准</w:t>
            </w:r>
            <w:r>
              <w:rPr>
                <w:rFonts w:hint="eastAsia"/>
                <w:color w:val="auto"/>
                <w:highlight w:val="none"/>
                <w:lang w:val="en-US" w:eastAsia="zh-CN"/>
              </w:rPr>
              <w:t>，</w:t>
            </w:r>
            <w:r>
              <w:rPr>
                <w:rFonts w:hint="default" w:ascii="宋体" w:hAnsi="宋体" w:eastAsia="宋体" w:cs="宋体"/>
                <w:color w:val="auto"/>
                <w:highlight w:val="none"/>
                <w:lang w:val="en-US" w:eastAsia="zh-CN"/>
              </w:rPr>
              <w:t>落实本评价提出的预防和治理措施的情况下，对周围环境影响可接受</w:t>
            </w:r>
            <w:r>
              <w:rPr>
                <w:rFonts w:hint="eastAsia" w:ascii="宋体" w:hAnsi="宋体" w:eastAsia="宋体" w:cs="宋体"/>
                <w:color w:val="auto"/>
                <w:highlight w:val="none"/>
                <w:lang w:val="en-US" w:eastAsia="zh-CN"/>
              </w:rPr>
              <w:t>；</w:t>
            </w:r>
            <w:r>
              <w:rPr>
                <w:rFonts w:hint="default" w:ascii="宋体" w:hAnsi="宋体" w:eastAsia="宋体" w:cs="宋体"/>
                <w:color w:val="auto"/>
                <w:highlight w:val="none"/>
                <w:lang w:val="en-US" w:eastAsia="zh-CN"/>
              </w:rPr>
              <w:t>本项目建设不突破水资源、土地资源利用上线</w:t>
            </w:r>
            <w:r>
              <w:rPr>
                <w:rFonts w:hint="eastAsia" w:ascii="宋体" w:hAnsi="宋体" w:eastAsia="宋体" w:cs="宋体"/>
                <w:color w:val="auto"/>
                <w:highlight w:val="none"/>
                <w:lang w:val="en-US" w:eastAsia="zh-CN"/>
              </w:rPr>
              <w:t>；</w:t>
            </w:r>
            <w:r>
              <w:rPr>
                <w:rFonts w:hint="default" w:ascii="宋体" w:hAnsi="宋体" w:eastAsia="宋体" w:cs="宋体"/>
                <w:color w:val="auto"/>
                <w:highlight w:val="none"/>
                <w:lang w:val="en-US" w:eastAsia="zh-CN"/>
              </w:rPr>
              <w:t>在加强环境保护预防和治理措施前提下，本项目满足规划要求的分区管控要求、环境影响减缓措施与协同降碳建议，并严格控制污染物排放总量。</w:t>
            </w:r>
            <w:r>
              <w:rPr>
                <w:rFonts w:hint="eastAsia" w:ascii="宋体" w:hAnsi="宋体" w:eastAsia="宋体" w:cs="宋体"/>
                <w:color w:val="auto"/>
                <w:highlight w:val="none"/>
                <w:lang w:val="en-US" w:eastAsia="zh-CN"/>
              </w:rPr>
              <w:t>因此，项目符合规划环评结论。</w:t>
            </w:r>
          </w:p>
          <w:p w14:paraId="3BCC4C67">
            <w:pPr>
              <w:spacing w:line="360" w:lineRule="auto"/>
              <w:ind w:firstLine="420" w:firstLineChars="200"/>
              <w:contextualSpacing/>
              <w:rPr>
                <w:rFonts w:ascii="宋体" w:hAnsi="宋体"/>
                <w:bCs/>
                <w:color w:val="auto"/>
                <w:szCs w:val="21"/>
              </w:rPr>
            </w:pPr>
            <w:r>
              <w:rPr>
                <w:rFonts w:hint="eastAsia" w:ascii="宋体" w:hAnsi="宋体"/>
                <w:bCs/>
                <w:color w:val="auto"/>
                <w:szCs w:val="21"/>
                <w:lang w:val="en-US" w:eastAsia="zh-CN"/>
              </w:rPr>
              <w:t>1.7</w:t>
            </w:r>
            <w:r>
              <w:rPr>
                <w:rFonts w:hint="eastAsia" w:ascii="宋体" w:hAnsi="宋体"/>
                <w:bCs/>
                <w:color w:val="auto"/>
                <w:szCs w:val="21"/>
              </w:rPr>
              <w:t>与规划环评审查意见符合性分析</w:t>
            </w:r>
          </w:p>
          <w:p w14:paraId="135E2FD8">
            <w:pPr>
              <w:spacing w:line="360" w:lineRule="auto"/>
              <w:ind w:firstLine="420" w:firstLineChars="200"/>
              <w:contextualSpacing/>
              <w:rPr>
                <w:rFonts w:hint="eastAsia" w:ascii="宋体" w:hAnsi="宋体"/>
                <w:bCs/>
                <w:color w:val="auto"/>
                <w:szCs w:val="21"/>
              </w:rPr>
            </w:pPr>
            <w:r>
              <w:rPr>
                <w:rFonts w:hint="eastAsia" w:ascii="宋体" w:hAnsi="宋体"/>
                <w:bCs/>
                <w:color w:val="auto"/>
                <w:szCs w:val="21"/>
              </w:rPr>
              <w:t>项目与</w:t>
            </w:r>
            <w:r>
              <w:rPr>
                <w:rFonts w:hint="eastAsia" w:ascii="宋体" w:hAnsi="宋体"/>
                <w:color w:val="auto"/>
                <w:kern w:val="0"/>
                <w:szCs w:val="21"/>
              </w:rPr>
              <w:t>《关于</w:t>
            </w:r>
            <w:r>
              <w:rPr>
                <w:rFonts w:hint="eastAsia" w:ascii="宋体" w:hAnsi="宋体"/>
                <w:color w:val="auto"/>
                <w:kern w:val="0"/>
                <w:szCs w:val="21"/>
                <w:lang w:val="en-US" w:eastAsia="zh-CN"/>
              </w:rPr>
              <w:t>&lt;</w:t>
            </w:r>
            <w:r>
              <w:rPr>
                <w:rFonts w:hint="eastAsia" w:ascii="宋体" w:hAnsi="宋体" w:cs="宋体"/>
                <w:color w:val="auto"/>
                <w:kern w:val="0"/>
                <w:szCs w:val="21"/>
              </w:rPr>
              <w:t>河北迁安经济开发区总体规划(2022-2030年)</w:t>
            </w:r>
            <w:r>
              <w:rPr>
                <w:rFonts w:hint="eastAsia" w:ascii="宋体" w:hAnsi="宋体"/>
                <w:color w:val="auto"/>
                <w:kern w:val="0"/>
                <w:szCs w:val="21"/>
              </w:rPr>
              <w:t>环境影响报告书</w:t>
            </w:r>
            <w:r>
              <w:rPr>
                <w:rFonts w:hint="eastAsia" w:ascii="宋体" w:hAnsi="宋体"/>
                <w:color w:val="auto"/>
                <w:kern w:val="0"/>
                <w:szCs w:val="21"/>
                <w:lang w:val="en-US" w:eastAsia="zh-CN"/>
              </w:rPr>
              <w:t>&gt;</w:t>
            </w:r>
            <w:r>
              <w:rPr>
                <w:rFonts w:hint="eastAsia" w:ascii="宋体" w:hAnsi="宋体"/>
                <w:color w:val="auto"/>
                <w:kern w:val="0"/>
                <w:szCs w:val="21"/>
              </w:rPr>
              <w:t>的审查意见》(冀环环评函[2025]1283号)</w:t>
            </w:r>
            <w:r>
              <w:rPr>
                <w:rFonts w:hint="eastAsia" w:ascii="宋体" w:hAnsi="宋体"/>
                <w:bCs/>
                <w:color w:val="auto"/>
                <w:szCs w:val="21"/>
              </w:rPr>
              <w:t>的符合性见表1-</w:t>
            </w:r>
            <w:r>
              <w:rPr>
                <w:rFonts w:hint="eastAsia" w:ascii="宋体" w:hAnsi="宋体"/>
                <w:bCs/>
                <w:color w:val="auto"/>
                <w:szCs w:val="21"/>
                <w:lang w:val="en-US" w:eastAsia="zh-CN"/>
              </w:rPr>
              <w:t>5</w:t>
            </w:r>
            <w:r>
              <w:rPr>
                <w:rFonts w:hint="eastAsia" w:ascii="宋体" w:hAnsi="宋体"/>
                <w:bCs/>
                <w:color w:val="auto"/>
                <w:szCs w:val="21"/>
              </w:rPr>
              <w:t>。</w:t>
            </w:r>
          </w:p>
          <w:p w14:paraId="6E8F0B44">
            <w:pPr>
              <w:autoSpaceDE w:val="0"/>
              <w:autoSpaceDN w:val="0"/>
              <w:adjustRightInd w:val="0"/>
              <w:spacing w:line="360" w:lineRule="auto"/>
              <w:jc w:val="center"/>
              <w:rPr>
                <w:rFonts w:ascii="宋体" w:hAnsi="宋体" w:cs="宋体"/>
                <w:b/>
                <w:color w:val="auto"/>
                <w:szCs w:val="21"/>
              </w:rPr>
            </w:pPr>
            <w:r>
              <w:rPr>
                <w:rFonts w:hint="eastAsia" w:ascii="宋体" w:hAnsi="宋体" w:cs="宋体"/>
                <w:b/>
                <w:color w:val="auto"/>
                <w:szCs w:val="21"/>
              </w:rPr>
              <w:t>表1-</w:t>
            </w:r>
            <w:r>
              <w:rPr>
                <w:rFonts w:hint="eastAsia" w:ascii="宋体" w:hAnsi="宋体" w:cs="宋体"/>
                <w:b/>
                <w:color w:val="auto"/>
                <w:szCs w:val="21"/>
                <w:lang w:val="en-US" w:eastAsia="zh-CN"/>
              </w:rPr>
              <w:t xml:space="preserve">5 </w:t>
            </w:r>
            <w:r>
              <w:rPr>
                <w:rFonts w:ascii="宋体" w:hAnsi="宋体" w:cs="宋体"/>
                <w:b/>
                <w:color w:val="auto"/>
                <w:szCs w:val="21"/>
              </w:rPr>
              <w:t xml:space="preserve"> </w:t>
            </w:r>
            <w:r>
              <w:rPr>
                <w:rFonts w:hint="eastAsia" w:ascii="宋体" w:hAnsi="宋体" w:cs="宋体"/>
                <w:b/>
                <w:color w:val="auto"/>
                <w:szCs w:val="21"/>
              </w:rPr>
              <w:t xml:space="preserve">  项目与规划环评审查意见符合性分析</w:t>
            </w:r>
          </w:p>
          <w:tbl>
            <w:tblPr>
              <w:tblStyle w:val="84"/>
              <w:tblW w:w="4998" w:type="pct"/>
              <w:tblInd w:w="0" w:type="dxa"/>
              <w:tblLayout w:type="fixed"/>
              <w:tblCellMar>
                <w:top w:w="0" w:type="dxa"/>
                <w:left w:w="108" w:type="dxa"/>
                <w:bottom w:w="0" w:type="dxa"/>
                <w:right w:w="108" w:type="dxa"/>
              </w:tblCellMar>
            </w:tblPr>
            <w:tblGrid>
              <w:gridCol w:w="427"/>
              <w:gridCol w:w="3484"/>
              <w:gridCol w:w="2830"/>
              <w:gridCol w:w="798"/>
            </w:tblGrid>
            <w:tr w14:paraId="26050A3E">
              <w:tblPrEx>
                <w:tblCellMar>
                  <w:top w:w="0" w:type="dxa"/>
                  <w:left w:w="108" w:type="dxa"/>
                  <w:bottom w:w="0" w:type="dxa"/>
                  <w:right w:w="108" w:type="dxa"/>
                </w:tblCellMar>
              </w:tblPrEx>
              <w:trPr>
                <w:trHeight w:val="397" w:hRule="atLeast"/>
              </w:trPr>
              <w:tc>
                <w:tcPr>
                  <w:tcW w:w="284" w:type="pct"/>
                  <w:tcBorders>
                    <w:top w:val="single" w:color="auto" w:sz="4" w:space="0"/>
                    <w:left w:val="single" w:color="auto" w:sz="4" w:space="0"/>
                    <w:bottom w:val="single" w:color="auto" w:sz="4" w:space="0"/>
                    <w:right w:val="single" w:color="auto" w:sz="4" w:space="0"/>
                  </w:tcBorders>
                  <w:noWrap w:val="0"/>
                  <w:vAlign w:val="center"/>
                </w:tcPr>
                <w:p w14:paraId="4FA94331">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序号</w:t>
                  </w:r>
                </w:p>
              </w:tc>
              <w:tc>
                <w:tcPr>
                  <w:tcW w:w="2310" w:type="pct"/>
                  <w:tcBorders>
                    <w:top w:val="single" w:color="auto" w:sz="4" w:space="0"/>
                    <w:left w:val="nil"/>
                    <w:bottom w:val="single" w:color="auto" w:sz="4" w:space="0"/>
                    <w:right w:val="single" w:color="auto" w:sz="4" w:space="0"/>
                  </w:tcBorders>
                  <w:noWrap w:val="0"/>
                  <w:vAlign w:val="center"/>
                </w:tcPr>
                <w:p w14:paraId="39B6A5A4">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审查意见</w:t>
                  </w:r>
                </w:p>
              </w:tc>
              <w:tc>
                <w:tcPr>
                  <w:tcW w:w="1876" w:type="pct"/>
                  <w:tcBorders>
                    <w:top w:val="single" w:color="auto" w:sz="4" w:space="0"/>
                    <w:left w:val="nil"/>
                    <w:bottom w:val="single" w:color="auto" w:sz="4" w:space="0"/>
                    <w:right w:val="single" w:color="auto" w:sz="4" w:space="0"/>
                  </w:tcBorders>
                  <w:noWrap w:val="0"/>
                  <w:vAlign w:val="center"/>
                </w:tcPr>
                <w:p w14:paraId="3C7BCC2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项目情况</w:t>
                  </w:r>
                </w:p>
              </w:tc>
              <w:tc>
                <w:tcPr>
                  <w:tcW w:w="529" w:type="pct"/>
                  <w:tcBorders>
                    <w:top w:val="single" w:color="auto" w:sz="4" w:space="0"/>
                    <w:left w:val="nil"/>
                    <w:bottom w:val="single" w:color="auto" w:sz="4" w:space="0"/>
                    <w:right w:val="single" w:color="auto" w:sz="4" w:space="0"/>
                  </w:tcBorders>
                  <w:noWrap w:val="0"/>
                  <w:vAlign w:val="center"/>
                </w:tcPr>
                <w:p w14:paraId="5050E746">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符合性</w:t>
                  </w:r>
                </w:p>
              </w:tc>
            </w:tr>
            <w:tr w14:paraId="3DCA5474">
              <w:tblPrEx>
                <w:tblCellMar>
                  <w:top w:w="0" w:type="dxa"/>
                  <w:left w:w="108" w:type="dxa"/>
                  <w:bottom w:w="0" w:type="dxa"/>
                  <w:right w:w="108" w:type="dxa"/>
                </w:tblCellMar>
              </w:tblPrEx>
              <w:trPr>
                <w:trHeight w:val="397" w:hRule="atLeast"/>
              </w:trPr>
              <w:tc>
                <w:tcPr>
                  <w:tcW w:w="284" w:type="pct"/>
                  <w:tcBorders>
                    <w:top w:val="nil"/>
                    <w:left w:val="single" w:color="auto" w:sz="4" w:space="0"/>
                    <w:bottom w:val="single" w:color="auto" w:sz="4" w:space="0"/>
                    <w:right w:val="single" w:color="auto" w:sz="4" w:space="0"/>
                  </w:tcBorders>
                  <w:noWrap w:val="0"/>
                  <w:vAlign w:val="center"/>
                </w:tcPr>
                <w:p w14:paraId="5CC09EE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1</w:t>
                  </w:r>
                </w:p>
              </w:tc>
              <w:tc>
                <w:tcPr>
                  <w:tcW w:w="2310" w:type="pct"/>
                  <w:tcBorders>
                    <w:top w:val="nil"/>
                    <w:left w:val="single" w:color="auto" w:sz="4" w:space="0"/>
                    <w:bottom w:val="single" w:color="auto" w:sz="4" w:space="0"/>
                    <w:right w:val="single" w:color="auto" w:sz="4" w:space="0"/>
                  </w:tcBorders>
                  <w:noWrap w:val="0"/>
                  <w:vAlign w:val="center"/>
                </w:tcPr>
                <w:p w14:paraId="7408434E">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落实国家及区域发展战略，坚持生态优先、提质增效，以生态环境质量改善为核心，做好与各级国土空间规划和生态环境分区管控体系的协调</w:t>
                  </w:r>
                  <w:r>
                    <w:rPr>
                      <w:rFonts w:hint="eastAsia"/>
                      <w:color w:val="auto"/>
                      <w:lang w:val="en-US" w:eastAsia="zh-CN"/>
                    </w:rPr>
                    <w:t>衔接</w:t>
                  </w:r>
                  <w:r>
                    <w:rPr>
                      <w:rFonts w:hint="eastAsia"/>
                      <w:color w:val="auto"/>
                    </w:rPr>
                    <w:t>，进一步优化《规划》布局、产业定位和发展规模</w:t>
                  </w:r>
                </w:p>
              </w:tc>
              <w:tc>
                <w:tcPr>
                  <w:tcW w:w="1876" w:type="pct"/>
                  <w:tcBorders>
                    <w:top w:val="nil"/>
                    <w:left w:val="nil"/>
                    <w:bottom w:val="single" w:color="auto" w:sz="4" w:space="0"/>
                    <w:right w:val="single" w:color="auto" w:sz="4" w:space="0"/>
                  </w:tcBorders>
                  <w:noWrap w:val="0"/>
                  <w:vAlign w:val="center"/>
                </w:tcPr>
                <w:p w14:paraId="23B0DA6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color w:val="auto"/>
                    </w:rPr>
                  </w:pPr>
                  <w:r>
                    <w:rPr>
                      <w:rFonts w:hint="eastAsia"/>
                      <w:color w:val="auto"/>
                      <w:sz w:val="21"/>
                      <w:szCs w:val="21"/>
                    </w:rPr>
                    <w:t>项目位于河北迁安经济开发区</w:t>
                  </w:r>
                  <w:r>
                    <w:rPr>
                      <w:rFonts w:hint="eastAsia"/>
                      <w:color w:val="auto"/>
                      <w:sz w:val="21"/>
                      <w:szCs w:val="21"/>
                      <w:lang w:val="en-US" w:eastAsia="zh-CN"/>
                    </w:rPr>
                    <w:t>智能创新产业园</w:t>
                  </w:r>
                  <w:r>
                    <w:rPr>
                      <w:rFonts w:hint="eastAsia"/>
                      <w:color w:val="auto"/>
                    </w:rPr>
                    <w:t>，</w:t>
                  </w:r>
                  <w:r>
                    <w:rPr>
                      <w:rFonts w:hint="eastAsia"/>
                      <w:color w:val="auto"/>
                      <w:sz w:val="21"/>
                      <w:szCs w:val="21"/>
                    </w:rPr>
                    <w:t>项目</w:t>
                  </w:r>
                  <w:r>
                    <w:rPr>
                      <w:rFonts w:hint="eastAsia"/>
                      <w:color w:val="auto"/>
                      <w:sz w:val="21"/>
                      <w:szCs w:val="21"/>
                      <w:lang w:val="en-US" w:eastAsia="zh-CN"/>
                    </w:rPr>
                    <w:t>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eastAsia"/>
                      <w:color w:val="auto"/>
                    </w:rPr>
                    <w:t>，不涉及钢铁产能变化，符合开发区产业布局和发展规划</w:t>
                  </w:r>
                </w:p>
              </w:tc>
              <w:tc>
                <w:tcPr>
                  <w:tcW w:w="529" w:type="pct"/>
                  <w:tcBorders>
                    <w:top w:val="nil"/>
                    <w:left w:val="single" w:color="auto" w:sz="4" w:space="0"/>
                    <w:bottom w:val="single" w:color="auto" w:sz="4" w:space="0"/>
                    <w:right w:val="single" w:color="auto" w:sz="4" w:space="0"/>
                  </w:tcBorders>
                  <w:noWrap w:val="0"/>
                  <w:vAlign w:val="center"/>
                </w:tcPr>
                <w:p w14:paraId="71B4B9CD">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w:t>
                  </w:r>
                </w:p>
              </w:tc>
            </w:tr>
            <w:tr w14:paraId="657F6E93">
              <w:tblPrEx>
                <w:tblCellMar>
                  <w:top w:w="0" w:type="dxa"/>
                  <w:left w:w="108" w:type="dxa"/>
                  <w:bottom w:w="0" w:type="dxa"/>
                  <w:right w:w="108" w:type="dxa"/>
                </w:tblCellMar>
              </w:tblPrEx>
              <w:trPr>
                <w:trHeight w:val="397" w:hRule="atLeast"/>
              </w:trPr>
              <w:tc>
                <w:tcPr>
                  <w:tcW w:w="284" w:type="pct"/>
                  <w:tcBorders>
                    <w:top w:val="nil"/>
                    <w:left w:val="single" w:color="auto" w:sz="4" w:space="0"/>
                    <w:bottom w:val="single" w:color="auto" w:sz="4" w:space="0"/>
                    <w:right w:val="single" w:color="auto" w:sz="4" w:space="0"/>
                  </w:tcBorders>
                  <w:noWrap w:val="0"/>
                  <w:vAlign w:val="center"/>
                </w:tcPr>
                <w:p w14:paraId="30DD5284">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2</w:t>
                  </w:r>
                </w:p>
              </w:tc>
              <w:tc>
                <w:tcPr>
                  <w:tcW w:w="2310" w:type="pct"/>
                  <w:tcBorders>
                    <w:top w:val="nil"/>
                    <w:left w:val="single" w:color="auto" w:sz="4" w:space="0"/>
                    <w:bottom w:val="single" w:color="auto" w:sz="4" w:space="0"/>
                    <w:right w:val="single" w:color="auto" w:sz="4" w:space="0"/>
                  </w:tcBorders>
                  <w:noWrap w:val="0"/>
                  <w:vAlign w:val="center"/>
                </w:tcPr>
                <w:p w14:paraId="3C2758F1">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推进开发区绿色低碳转型发展，实现减污降碳协同增效目标。根据国家、地方碳减排和碳达峰行动方案及路径要求，进一步优化开发区能源结构、交通运输方式等《规划》内容。</w:t>
                  </w:r>
                </w:p>
              </w:tc>
              <w:tc>
                <w:tcPr>
                  <w:tcW w:w="1876" w:type="pct"/>
                  <w:tcBorders>
                    <w:top w:val="nil"/>
                    <w:left w:val="nil"/>
                    <w:bottom w:val="single" w:color="auto" w:sz="4" w:space="0"/>
                    <w:right w:val="single" w:color="auto" w:sz="4" w:space="0"/>
                  </w:tcBorders>
                  <w:noWrap w:val="0"/>
                  <w:vAlign w:val="center"/>
                </w:tcPr>
                <w:p w14:paraId="6E8D84D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项目采用节能、节电设备</w:t>
                  </w:r>
                  <w:r>
                    <w:rPr>
                      <w:rFonts w:hint="eastAsia"/>
                      <w:color w:val="auto"/>
                      <w:lang w:val="en-US" w:eastAsia="zh-CN"/>
                    </w:rPr>
                    <w:t>等</w:t>
                  </w:r>
                  <w:r>
                    <w:rPr>
                      <w:rFonts w:hint="eastAsia"/>
                      <w:color w:val="auto"/>
                    </w:rPr>
                    <w:t>降碳措施</w:t>
                  </w:r>
                </w:p>
              </w:tc>
              <w:tc>
                <w:tcPr>
                  <w:tcW w:w="529" w:type="pct"/>
                  <w:tcBorders>
                    <w:top w:val="nil"/>
                    <w:left w:val="single" w:color="auto" w:sz="4" w:space="0"/>
                    <w:bottom w:val="single" w:color="auto" w:sz="4" w:space="0"/>
                    <w:right w:val="single" w:color="auto" w:sz="4" w:space="0"/>
                  </w:tcBorders>
                  <w:noWrap w:val="0"/>
                  <w:vAlign w:val="center"/>
                </w:tcPr>
                <w:p w14:paraId="0DC4550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w:t>
                  </w:r>
                </w:p>
              </w:tc>
            </w:tr>
            <w:tr w14:paraId="2A1582F8">
              <w:tblPrEx>
                <w:tblCellMar>
                  <w:top w:w="0" w:type="dxa"/>
                  <w:left w:w="108" w:type="dxa"/>
                  <w:bottom w:w="0" w:type="dxa"/>
                  <w:right w:w="108" w:type="dxa"/>
                </w:tblCellMar>
              </w:tblPrEx>
              <w:trPr>
                <w:trHeight w:val="90" w:hRule="atLeast"/>
              </w:trPr>
              <w:tc>
                <w:tcPr>
                  <w:tcW w:w="284" w:type="pct"/>
                  <w:tcBorders>
                    <w:top w:val="nil"/>
                    <w:left w:val="single" w:color="auto" w:sz="4" w:space="0"/>
                    <w:bottom w:val="single" w:color="auto" w:sz="4" w:space="0"/>
                    <w:right w:val="single" w:color="auto" w:sz="4" w:space="0"/>
                  </w:tcBorders>
                  <w:noWrap w:val="0"/>
                  <w:vAlign w:val="center"/>
                </w:tcPr>
                <w:p w14:paraId="7C7431E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3</w:t>
                  </w:r>
                </w:p>
              </w:tc>
              <w:tc>
                <w:tcPr>
                  <w:tcW w:w="2310" w:type="pct"/>
                  <w:tcBorders>
                    <w:top w:val="nil"/>
                    <w:left w:val="single" w:color="auto" w:sz="4" w:space="0"/>
                    <w:bottom w:val="single" w:color="auto" w:sz="4" w:space="0"/>
                    <w:right w:val="single" w:color="auto" w:sz="4" w:space="0"/>
                  </w:tcBorders>
                  <w:noWrap w:val="0"/>
                  <w:vAlign w:val="center"/>
                </w:tcPr>
                <w:p w14:paraId="1200EE9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严格空间管控要求，优化功能布局。进一步优化开发区产业布局。落实《报告书》提出的空间布局引导和管控要求，优化工业、居住等各类用地的空间分布和产业的梯级布局，严格涉风险源企业管理，确保人居环境安全。</w:t>
                  </w:r>
                </w:p>
              </w:tc>
              <w:tc>
                <w:tcPr>
                  <w:tcW w:w="1876" w:type="pct"/>
                  <w:tcBorders>
                    <w:top w:val="nil"/>
                    <w:left w:val="nil"/>
                    <w:bottom w:val="single" w:color="auto" w:sz="4" w:space="0"/>
                    <w:right w:val="single" w:color="auto" w:sz="4" w:space="0"/>
                  </w:tcBorders>
                  <w:noWrap w:val="0"/>
                  <w:vAlign w:val="center"/>
                </w:tcPr>
                <w:p w14:paraId="4C5B0D4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color w:val="auto"/>
                    </w:rPr>
                  </w:pPr>
                  <w:r>
                    <w:rPr>
                      <w:rFonts w:hint="eastAsia"/>
                      <w:color w:val="auto"/>
                    </w:rPr>
                    <w:t>项目</w:t>
                  </w:r>
                  <w:r>
                    <w:rPr>
                      <w:rFonts w:hint="eastAsia"/>
                      <w:color w:val="auto"/>
                      <w:lang w:val="en-US" w:eastAsia="zh-CN"/>
                    </w:rPr>
                    <w:t>位于</w:t>
                  </w:r>
                  <w:r>
                    <w:rPr>
                      <w:rFonts w:hint="eastAsia"/>
                      <w:color w:val="auto"/>
                      <w:sz w:val="21"/>
                      <w:szCs w:val="21"/>
                    </w:rPr>
                    <w:t>河北迁安经济开发区</w:t>
                  </w:r>
                  <w:r>
                    <w:rPr>
                      <w:rFonts w:hint="eastAsia"/>
                      <w:color w:val="auto"/>
                      <w:sz w:val="21"/>
                      <w:szCs w:val="21"/>
                      <w:lang w:eastAsia="zh-CN"/>
                    </w:rPr>
                    <w:t>，</w:t>
                  </w:r>
                  <w:r>
                    <w:rPr>
                      <w:rFonts w:hint="eastAsia"/>
                      <w:color w:val="auto"/>
                      <w:sz w:val="21"/>
                      <w:szCs w:val="21"/>
                      <w:lang w:val="en-US" w:eastAsia="zh-CN"/>
                    </w:rPr>
                    <w:t>现有厂区内建设，</w:t>
                  </w:r>
                  <w:r>
                    <w:rPr>
                      <w:rFonts w:hint="eastAsia"/>
                      <w:color w:val="auto"/>
                    </w:rPr>
                    <w:t>不新增占地，位于迁安市城镇开发边界内，项目采取严格的风险防范措施，确保人居环境安全</w:t>
                  </w:r>
                </w:p>
              </w:tc>
              <w:tc>
                <w:tcPr>
                  <w:tcW w:w="529" w:type="pct"/>
                  <w:tcBorders>
                    <w:top w:val="nil"/>
                    <w:left w:val="single" w:color="auto" w:sz="4" w:space="0"/>
                    <w:bottom w:val="single" w:color="auto" w:sz="4" w:space="0"/>
                    <w:right w:val="single" w:color="auto" w:sz="4" w:space="0"/>
                  </w:tcBorders>
                  <w:noWrap w:val="0"/>
                  <w:vAlign w:val="center"/>
                </w:tcPr>
                <w:p w14:paraId="353750B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w:t>
                  </w:r>
                </w:p>
              </w:tc>
            </w:tr>
            <w:tr w14:paraId="46404905">
              <w:tblPrEx>
                <w:tblCellMar>
                  <w:top w:w="0" w:type="dxa"/>
                  <w:left w:w="108" w:type="dxa"/>
                  <w:bottom w:w="0" w:type="dxa"/>
                  <w:right w:w="108" w:type="dxa"/>
                </w:tblCellMar>
              </w:tblPrEx>
              <w:trPr>
                <w:trHeight w:val="397" w:hRule="atLeast"/>
              </w:trPr>
              <w:tc>
                <w:tcPr>
                  <w:tcW w:w="284" w:type="pct"/>
                  <w:tcBorders>
                    <w:top w:val="nil"/>
                    <w:left w:val="single" w:color="auto" w:sz="4" w:space="0"/>
                    <w:bottom w:val="single" w:color="auto" w:sz="4" w:space="0"/>
                    <w:right w:val="single" w:color="auto" w:sz="4" w:space="0"/>
                  </w:tcBorders>
                  <w:noWrap w:val="0"/>
                  <w:vAlign w:val="center"/>
                </w:tcPr>
                <w:p w14:paraId="187AFAE8">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4</w:t>
                  </w:r>
                </w:p>
              </w:tc>
              <w:tc>
                <w:tcPr>
                  <w:tcW w:w="2310" w:type="pct"/>
                  <w:tcBorders>
                    <w:top w:val="nil"/>
                    <w:left w:val="nil"/>
                    <w:bottom w:val="single" w:color="auto" w:sz="4" w:space="0"/>
                    <w:right w:val="single" w:color="auto" w:sz="4" w:space="0"/>
                  </w:tcBorders>
                  <w:noWrap w:val="0"/>
                  <w:vAlign w:val="center"/>
                </w:tcPr>
                <w:p w14:paraId="292F19D5">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严守环境质量底线，强化污染物排放总量管控。提升现有及入区企业污染治理设施及环境管理水平，严格落实《报告书》提出的大气污染物削减方案。强化涉重废水污染治理，严格落实重金属管控要求，第一类重金属厂区内回用，不得外排。严格落实《关于加强重点行业建设项目区域削减措施监督管理的通知》相关要求。</w:t>
                  </w:r>
                </w:p>
              </w:tc>
              <w:tc>
                <w:tcPr>
                  <w:tcW w:w="1876" w:type="pct"/>
                  <w:tcBorders>
                    <w:top w:val="nil"/>
                    <w:left w:val="nil"/>
                    <w:bottom w:val="single" w:color="auto" w:sz="4" w:space="0"/>
                    <w:right w:val="single" w:color="auto" w:sz="4" w:space="0"/>
                  </w:tcBorders>
                  <w:noWrap w:val="0"/>
                  <w:vAlign w:val="center"/>
                </w:tcPr>
                <w:p w14:paraId="00C3EAB5">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eastAsia="宋体"/>
                      <w:color w:val="auto"/>
                      <w:lang w:val="en-US" w:eastAsia="zh-CN"/>
                    </w:rPr>
                  </w:pPr>
                  <w:r>
                    <w:rPr>
                      <w:rFonts w:hint="eastAsia"/>
                      <w:color w:val="auto"/>
                    </w:rPr>
                    <w:t>项目采取严格环保治理措施，</w:t>
                  </w:r>
                  <w:r>
                    <w:rPr>
                      <w:rFonts w:hint="eastAsia" w:asciiTheme="minorEastAsia" w:hAnsiTheme="minorEastAsia" w:eastAsiaTheme="minorEastAsia" w:cstheme="minorEastAsia"/>
                      <w:snapToGrid w:val="0"/>
                      <w:color w:val="auto"/>
                      <w:sz w:val="21"/>
                      <w:szCs w:val="21"/>
                      <w:highlight w:val="none"/>
                    </w:rPr>
                    <w:t>废气颗粒物</w:t>
                  </w:r>
                  <w:r>
                    <w:rPr>
                      <w:rFonts w:hint="eastAsia" w:asciiTheme="minorEastAsia" w:hAnsiTheme="minorEastAsia" w:eastAsiaTheme="minorEastAsia" w:cstheme="minorEastAsia"/>
                      <w:snapToGrid w:val="0"/>
                      <w:color w:val="auto"/>
                      <w:sz w:val="21"/>
                      <w:szCs w:val="21"/>
                      <w:highlight w:val="none"/>
                      <w:lang w:val="en-US" w:eastAsia="zh-CN"/>
                    </w:rPr>
                    <w:t>排放满足</w:t>
                  </w:r>
                  <w:r>
                    <w:rPr>
                      <w:rFonts w:hint="eastAsia" w:asciiTheme="minorEastAsia" w:hAnsiTheme="minorEastAsia" w:eastAsiaTheme="minorEastAsia" w:cstheme="minorEastAsia"/>
                      <w:snapToGrid w:val="0"/>
                      <w:color w:val="auto"/>
                      <w:sz w:val="21"/>
                      <w:szCs w:val="21"/>
                      <w:highlight w:val="none"/>
                    </w:rPr>
                    <w:t>《钢铁工业大气污染物超低排放标准》</w:t>
                  </w:r>
                  <w:r>
                    <w:rPr>
                      <w:rFonts w:hint="default" w:ascii="Times New Roman" w:hAnsi="Times New Roman" w:cs="Times New Roman" w:eastAsiaTheme="minorEastAsia"/>
                      <w:snapToGrid w:val="0"/>
                      <w:color w:val="auto"/>
                      <w:sz w:val="21"/>
                      <w:szCs w:val="21"/>
                      <w:highlight w:val="none"/>
                    </w:rPr>
                    <w:t>(DB13/2169-2018)</w:t>
                  </w:r>
                  <w:r>
                    <w:rPr>
                      <w:rFonts w:hint="eastAsia"/>
                      <w:color w:val="auto"/>
                    </w:rPr>
                    <w:t>；</w:t>
                  </w:r>
                  <w:r>
                    <w:rPr>
                      <w:rFonts w:hint="eastAsia"/>
                      <w:color w:val="auto"/>
                      <w:sz w:val="21"/>
                      <w:szCs w:val="21"/>
                      <w:highlight w:val="none"/>
                      <w:lang w:val="en-US" w:eastAsia="zh-CN"/>
                    </w:rPr>
                    <w:t>项目洗车废水沉淀后循环使用，不外排，</w:t>
                  </w:r>
                  <w:r>
                    <w:rPr>
                      <w:rFonts w:hint="default" w:ascii="Times New Roman" w:hAnsi="Times New Roman" w:cs="Times New Roman"/>
                      <w:color w:val="auto"/>
                      <w:sz w:val="21"/>
                      <w:szCs w:val="21"/>
                      <w:highlight w:val="none"/>
                    </w:rPr>
                    <w:t>本项目无新增生活污水</w:t>
                  </w:r>
                  <w:r>
                    <w:rPr>
                      <w:rFonts w:hint="eastAsia"/>
                      <w:color w:val="auto"/>
                      <w:sz w:val="21"/>
                      <w:szCs w:val="21"/>
                      <w:highlight w:val="none"/>
                      <w:lang w:val="en-US" w:eastAsia="zh-CN"/>
                    </w:rPr>
                    <w:t>，</w:t>
                  </w:r>
                  <w:r>
                    <w:rPr>
                      <w:rFonts w:hint="eastAsia"/>
                      <w:color w:val="auto"/>
                    </w:rPr>
                    <w:t>不涉及第一类重金属</w:t>
                  </w:r>
                </w:p>
              </w:tc>
              <w:tc>
                <w:tcPr>
                  <w:tcW w:w="529" w:type="pct"/>
                  <w:tcBorders>
                    <w:top w:val="nil"/>
                    <w:left w:val="nil"/>
                    <w:bottom w:val="single" w:color="auto" w:sz="4" w:space="0"/>
                    <w:right w:val="single" w:color="auto" w:sz="4" w:space="0"/>
                  </w:tcBorders>
                  <w:noWrap w:val="0"/>
                  <w:vAlign w:val="center"/>
                </w:tcPr>
                <w:p w14:paraId="288151DB">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w:t>
                  </w:r>
                </w:p>
              </w:tc>
            </w:tr>
            <w:tr w14:paraId="1967EF7C">
              <w:tblPrEx>
                <w:tblCellMar>
                  <w:top w:w="0" w:type="dxa"/>
                  <w:left w:w="108" w:type="dxa"/>
                  <w:bottom w:w="0" w:type="dxa"/>
                  <w:right w:w="108" w:type="dxa"/>
                </w:tblCellMar>
              </w:tblPrEx>
              <w:trPr>
                <w:trHeight w:val="397" w:hRule="atLeast"/>
              </w:trPr>
              <w:tc>
                <w:tcPr>
                  <w:tcW w:w="284" w:type="pct"/>
                  <w:tcBorders>
                    <w:top w:val="nil"/>
                    <w:left w:val="single" w:color="auto" w:sz="4" w:space="0"/>
                    <w:bottom w:val="single" w:color="auto" w:sz="4" w:space="0"/>
                    <w:right w:val="single" w:color="auto" w:sz="4" w:space="0"/>
                  </w:tcBorders>
                  <w:noWrap w:val="0"/>
                  <w:vAlign w:val="center"/>
                </w:tcPr>
                <w:p w14:paraId="4B694F7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5</w:t>
                  </w:r>
                </w:p>
              </w:tc>
              <w:tc>
                <w:tcPr>
                  <w:tcW w:w="2310" w:type="pct"/>
                  <w:tcBorders>
                    <w:top w:val="nil"/>
                    <w:left w:val="nil"/>
                    <w:bottom w:val="single" w:color="auto" w:sz="4" w:space="0"/>
                    <w:right w:val="single" w:color="auto" w:sz="4" w:space="0"/>
                  </w:tcBorders>
                  <w:noWrap w:val="0"/>
                  <w:vAlign w:val="center"/>
                </w:tcPr>
                <w:p w14:paraId="109DC9FE">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严格入区项目生态环境准入，推动绿色低碳高质量发展。严格落实《报告书》提出的开发区生态环境准入要求和与规划不符的现有企业环境管理要求。严格落实《报告书》提出的“两高”行业产能控制要求，以及钢铁下游耗钢、装备制造、化工等产业发展要求。开发区不断提高现有企业清洁生产水平，促进开发区产业转型升级与生态环境保护、人居环境安全相协调。</w:t>
                  </w:r>
                </w:p>
              </w:tc>
              <w:tc>
                <w:tcPr>
                  <w:tcW w:w="1876" w:type="pct"/>
                  <w:tcBorders>
                    <w:top w:val="nil"/>
                    <w:left w:val="nil"/>
                    <w:bottom w:val="single" w:color="auto" w:sz="4" w:space="0"/>
                    <w:right w:val="single" w:color="auto" w:sz="4" w:space="0"/>
                  </w:tcBorders>
                  <w:noWrap w:val="0"/>
                  <w:vAlign w:val="center"/>
                </w:tcPr>
                <w:p w14:paraId="6657CB84">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项目位于</w:t>
                  </w:r>
                  <w:r>
                    <w:rPr>
                      <w:rFonts w:hint="eastAsia"/>
                      <w:color w:val="auto"/>
                      <w:sz w:val="21"/>
                      <w:szCs w:val="21"/>
                    </w:rPr>
                    <w:t>位于河北迁安经济开发区</w:t>
                  </w:r>
                  <w:r>
                    <w:rPr>
                      <w:rFonts w:hint="eastAsia"/>
                      <w:color w:val="auto"/>
                      <w:sz w:val="21"/>
                      <w:szCs w:val="21"/>
                      <w:lang w:val="en-US" w:eastAsia="zh-CN"/>
                    </w:rPr>
                    <w:t>智能创新产业园</w:t>
                  </w:r>
                  <w:r>
                    <w:rPr>
                      <w:rFonts w:hint="eastAsia"/>
                      <w:color w:val="auto"/>
                    </w:rPr>
                    <w:t>，</w:t>
                  </w:r>
                  <w:r>
                    <w:rPr>
                      <w:rFonts w:hint="eastAsia"/>
                      <w:color w:val="auto"/>
                      <w:sz w:val="21"/>
                      <w:szCs w:val="21"/>
                    </w:rPr>
                    <w:t>项目</w:t>
                  </w:r>
                  <w:r>
                    <w:rPr>
                      <w:rFonts w:hint="eastAsia"/>
                      <w:color w:val="auto"/>
                      <w:sz w:val="21"/>
                      <w:szCs w:val="21"/>
                      <w:lang w:val="en-US" w:eastAsia="zh-CN"/>
                    </w:rPr>
                    <w:t>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eastAsia"/>
                      <w:color w:val="auto"/>
                    </w:rPr>
                    <w:t>，不涉及钢铁产能变化</w:t>
                  </w:r>
                </w:p>
              </w:tc>
              <w:tc>
                <w:tcPr>
                  <w:tcW w:w="529" w:type="pct"/>
                  <w:tcBorders>
                    <w:top w:val="nil"/>
                    <w:left w:val="nil"/>
                    <w:bottom w:val="single" w:color="auto" w:sz="4" w:space="0"/>
                    <w:right w:val="single" w:color="auto" w:sz="4" w:space="0"/>
                  </w:tcBorders>
                  <w:noWrap w:val="0"/>
                  <w:vAlign w:val="center"/>
                </w:tcPr>
                <w:p w14:paraId="59083571">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w:t>
                  </w:r>
                </w:p>
              </w:tc>
            </w:tr>
            <w:tr w14:paraId="5FB5DBE9">
              <w:trPr>
                <w:trHeight w:val="477" w:hRule="atLeast"/>
              </w:trPr>
              <w:tc>
                <w:tcPr>
                  <w:tcW w:w="284" w:type="pct"/>
                  <w:vMerge w:val="restart"/>
                  <w:tcBorders>
                    <w:top w:val="single" w:color="auto" w:sz="4" w:space="0"/>
                    <w:left w:val="single" w:color="auto" w:sz="4" w:space="0"/>
                    <w:bottom w:val="single" w:color="auto" w:sz="4" w:space="0"/>
                    <w:right w:val="single" w:color="auto" w:sz="4" w:space="0"/>
                  </w:tcBorders>
                  <w:noWrap w:val="0"/>
                  <w:vAlign w:val="center"/>
                </w:tcPr>
                <w:p w14:paraId="0576204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6</w:t>
                  </w:r>
                </w:p>
              </w:tc>
              <w:tc>
                <w:tcPr>
                  <w:tcW w:w="2310" w:type="pct"/>
                  <w:vMerge w:val="restart"/>
                  <w:tcBorders>
                    <w:top w:val="single" w:color="auto" w:sz="4" w:space="0"/>
                    <w:left w:val="nil"/>
                    <w:bottom w:val="single" w:color="auto" w:sz="4" w:space="0"/>
                    <w:right w:val="single" w:color="auto" w:sz="4" w:space="0"/>
                  </w:tcBorders>
                  <w:noWrap w:val="0"/>
                  <w:vAlign w:val="center"/>
                </w:tcPr>
                <w:p w14:paraId="5889CCC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加强环境基础设施建设。加快落实《报告书》提出的地表水厂、再生水供水设施、化工集中区污水处理设施、配套管网建设。根据供热需求，优化供热规划规模和形式，充分利用工业余热资源，禁止新建分散燃煤供热设施。</w:t>
                  </w:r>
                </w:p>
              </w:tc>
              <w:tc>
                <w:tcPr>
                  <w:tcW w:w="1876" w:type="pct"/>
                  <w:tcBorders>
                    <w:top w:val="single" w:color="auto" w:sz="4" w:space="0"/>
                    <w:left w:val="nil"/>
                    <w:bottom w:val="single" w:color="auto" w:sz="4" w:space="0"/>
                    <w:right w:val="single" w:color="auto" w:sz="4" w:space="0"/>
                  </w:tcBorders>
                  <w:noWrap w:val="0"/>
                  <w:vAlign w:val="center"/>
                </w:tcPr>
                <w:p w14:paraId="186AFCAD">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项目</w:t>
                  </w:r>
                  <w:r>
                    <w:rPr>
                      <w:rFonts w:hint="default" w:ascii="Times New Roman" w:hAnsi="Times New Roman" w:eastAsia="宋体" w:cs="Times New Roman"/>
                      <w:color w:val="auto"/>
                      <w:sz w:val="21"/>
                      <w:szCs w:val="21"/>
                      <w:highlight w:val="none"/>
                      <w:lang w:val="en-US" w:eastAsia="zh-CN"/>
                    </w:rPr>
                    <w:t>用水由现有供水管网提供</w:t>
                  </w:r>
                </w:p>
              </w:tc>
              <w:tc>
                <w:tcPr>
                  <w:tcW w:w="529" w:type="pct"/>
                  <w:vMerge w:val="restart"/>
                  <w:tcBorders>
                    <w:top w:val="single" w:color="auto" w:sz="4" w:space="0"/>
                    <w:left w:val="nil"/>
                    <w:right w:val="single" w:color="auto" w:sz="4" w:space="0"/>
                  </w:tcBorders>
                  <w:noWrap w:val="0"/>
                  <w:vAlign w:val="center"/>
                </w:tcPr>
                <w:p w14:paraId="5FE9AB9D">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w:t>
                  </w:r>
                </w:p>
              </w:tc>
            </w:tr>
            <w:tr w14:paraId="0BEC743A">
              <w:trPr>
                <w:trHeight w:val="794" w:hRule="atLeast"/>
              </w:trPr>
              <w:tc>
                <w:tcPr>
                  <w:tcW w:w="284" w:type="pct"/>
                  <w:vMerge w:val="continue"/>
                  <w:tcBorders>
                    <w:top w:val="single" w:color="auto" w:sz="4" w:space="0"/>
                    <w:left w:val="single" w:color="auto" w:sz="4" w:space="0"/>
                    <w:bottom w:val="single" w:color="auto" w:sz="4" w:space="0"/>
                    <w:right w:val="single" w:color="auto" w:sz="4" w:space="0"/>
                  </w:tcBorders>
                  <w:noWrap w:val="0"/>
                  <w:vAlign w:val="center"/>
                </w:tcPr>
                <w:p w14:paraId="64B5A4B3">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p>
              </w:tc>
              <w:tc>
                <w:tcPr>
                  <w:tcW w:w="2310" w:type="pct"/>
                  <w:vMerge w:val="continue"/>
                  <w:tcBorders>
                    <w:top w:val="single" w:color="auto" w:sz="4" w:space="0"/>
                    <w:left w:val="nil"/>
                    <w:bottom w:val="single" w:color="auto" w:sz="4" w:space="0"/>
                    <w:right w:val="single" w:color="auto" w:sz="4" w:space="0"/>
                  </w:tcBorders>
                  <w:noWrap w:val="0"/>
                  <w:vAlign w:val="center"/>
                </w:tcPr>
                <w:p w14:paraId="7AB49810">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p>
              </w:tc>
              <w:tc>
                <w:tcPr>
                  <w:tcW w:w="1876" w:type="pct"/>
                  <w:tcBorders>
                    <w:top w:val="single" w:color="auto" w:sz="4" w:space="0"/>
                    <w:left w:val="nil"/>
                    <w:bottom w:val="single" w:color="auto" w:sz="4" w:space="0"/>
                    <w:right w:val="single" w:color="auto" w:sz="4" w:space="0"/>
                  </w:tcBorders>
                  <w:noWrap w:val="0"/>
                  <w:vAlign w:val="center"/>
                </w:tcPr>
                <w:p w14:paraId="6675AA75">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sz w:val="21"/>
                      <w:szCs w:val="21"/>
                      <w:highlight w:val="none"/>
                      <w:lang w:val="en-US" w:eastAsia="zh-CN"/>
                    </w:rPr>
                    <w:t>公司已取得河北省水利厅核发的取水许可证，取水点位于滨河街道办事处麻官营村东滦河右岸，为傍河取水，取水方式为在岸边建井，井内安装水泵抽水，管线输送。</w:t>
                  </w:r>
                </w:p>
              </w:tc>
              <w:tc>
                <w:tcPr>
                  <w:tcW w:w="529" w:type="pct"/>
                  <w:vMerge w:val="continue"/>
                  <w:tcBorders>
                    <w:left w:val="nil"/>
                    <w:bottom w:val="single" w:color="auto" w:sz="4" w:space="0"/>
                    <w:right w:val="single" w:color="auto" w:sz="4" w:space="0"/>
                  </w:tcBorders>
                  <w:noWrap w:val="0"/>
                  <w:vAlign w:val="center"/>
                </w:tcPr>
                <w:p w14:paraId="250F611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p>
              </w:tc>
            </w:tr>
            <w:tr w14:paraId="28782A54">
              <w:tblPrEx>
                <w:tblCellMar>
                  <w:top w:w="0" w:type="dxa"/>
                  <w:left w:w="108" w:type="dxa"/>
                  <w:bottom w:w="0" w:type="dxa"/>
                  <w:right w:w="108" w:type="dxa"/>
                </w:tblCellMar>
              </w:tblPrEx>
              <w:trPr>
                <w:trHeight w:val="397" w:hRule="atLeast"/>
              </w:trPr>
              <w:tc>
                <w:tcPr>
                  <w:tcW w:w="284" w:type="pct"/>
                  <w:tcBorders>
                    <w:top w:val="single" w:color="auto" w:sz="4" w:space="0"/>
                    <w:left w:val="single" w:color="auto" w:sz="4" w:space="0"/>
                    <w:bottom w:val="single" w:color="auto" w:sz="4" w:space="0"/>
                    <w:right w:val="single" w:color="auto" w:sz="4" w:space="0"/>
                  </w:tcBorders>
                  <w:noWrap w:val="0"/>
                  <w:vAlign w:val="center"/>
                </w:tcPr>
                <w:p w14:paraId="534CA2D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7</w:t>
                  </w:r>
                </w:p>
              </w:tc>
              <w:tc>
                <w:tcPr>
                  <w:tcW w:w="2310" w:type="pct"/>
                  <w:tcBorders>
                    <w:top w:val="single" w:color="auto" w:sz="4" w:space="0"/>
                    <w:left w:val="nil"/>
                    <w:bottom w:val="single" w:color="auto" w:sz="4" w:space="0"/>
                    <w:right w:val="single" w:color="auto" w:sz="4" w:space="0"/>
                  </w:tcBorders>
                  <w:noWrap w:val="0"/>
                  <w:vAlign w:val="center"/>
                </w:tcPr>
                <w:p w14:paraId="41C693A8">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优化运输方式，落实应急运输响应方案。开发区应进一步提高廊道、铁路运输及清洁能源汽车比例，减轻运输产生的不利环境影响。结合秋冬行业错峰生产和重污染天气应急响应要求，在黄色及以上重污染天气预警期间，重点用车企业实施应急运输响应。</w:t>
                  </w:r>
                </w:p>
              </w:tc>
              <w:tc>
                <w:tcPr>
                  <w:tcW w:w="1876" w:type="pct"/>
                  <w:tcBorders>
                    <w:top w:val="single" w:color="auto" w:sz="4" w:space="0"/>
                    <w:left w:val="nil"/>
                    <w:bottom w:val="single" w:color="auto" w:sz="4" w:space="0"/>
                    <w:right w:val="single" w:color="auto" w:sz="4" w:space="0"/>
                  </w:tcBorders>
                  <w:noWrap w:val="0"/>
                  <w:vAlign w:val="center"/>
                </w:tcPr>
                <w:p w14:paraId="377A3BCB">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color w:val="auto"/>
                    </w:rPr>
                  </w:pPr>
                  <w:r>
                    <w:rPr>
                      <w:rFonts w:hint="eastAsia" w:asciiTheme="minorEastAsia" w:hAnsiTheme="minorEastAsia" w:eastAsiaTheme="minorEastAsia" w:cstheme="minorEastAsia"/>
                      <w:color w:val="auto"/>
                      <w:kern w:val="0"/>
                      <w:sz w:val="21"/>
                      <w:szCs w:val="21"/>
                      <w:highlight w:val="none"/>
                    </w:rPr>
                    <w:t>项目原料、成品运输</w:t>
                  </w:r>
                  <w:r>
                    <w:rPr>
                      <w:rFonts w:hint="eastAsia"/>
                      <w:color w:val="auto"/>
                      <w:lang w:val="en-US" w:eastAsia="zh-CN"/>
                    </w:rPr>
                    <w:t>全部采用新能源汽车</w:t>
                  </w:r>
                </w:p>
              </w:tc>
              <w:tc>
                <w:tcPr>
                  <w:tcW w:w="529" w:type="pct"/>
                  <w:tcBorders>
                    <w:top w:val="single" w:color="auto" w:sz="4" w:space="0"/>
                    <w:left w:val="nil"/>
                    <w:bottom w:val="single" w:color="auto" w:sz="4" w:space="0"/>
                    <w:right w:val="single" w:color="auto" w:sz="4" w:space="0"/>
                  </w:tcBorders>
                  <w:noWrap w:val="0"/>
                  <w:vAlign w:val="center"/>
                </w:tcPr>
                <w:p w14:paraId="2BBE414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w:t>
                  </w:r>
                </w:p>
              </w:tc>
            </w:tr>
            <w:tr w14:paraId="4F20B507">
              <w:tblPrEx>
                <w:tblCellMar>
                  <w:top w:w="0" w:type="dxa"/>
                  <w:left w:w="108" w:type="dxa"/>
                  <w:bottom w:w="0" w:type="dxa"/>
                  <w:right w:w="108" w:type="dxa"/>
                </w:tblCellMar>
              </w:tblPrEx>
              <w:trPr>
                <w:trHeight w:val="397" w:hRule="atLeast"/>
              </w:trPr>
              <w:tc>
                <w:tcPr>
                  <w:tcW w:w="284" w:type="pct"/>
                  <w:tcBorders>
                    <w:top w:val="single" w:color="auto" w:sz="4" w:space="0"/>
                    <w:left w:val="single" w:color="auto" w:sz="4" w:space="0"/>
                    <w:bottom w:val="single" w:color="auto" w:sz="4" w:space="0"/>
                    <w:right w:val="single" w:color="auto" w:sz="4" w:space="0"/>
                  </w:tcBorders>
                  <w:noWrap w:val="0"/>
                  <w:vAlign w:val="center"/>
                </w:tcPr>
                <w:p w14:paraId="2D089401">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8</w:t>
                  </w:r>
                </w:p>
              </w:tc>
              <w:tc>
                <w:tcPr>
                  <w:tcW w:w="2310" w:type="pct"/>
                  <w:tcBorders>
                    <w:top w:val="single" w:color="auto" w:sz="4" w:space="0"/>
                    <w:left w:val="nil"/>
                    <w:bottom w:val="single" w:color="auto" w:sz="4" w:space="0"/>
                    <w:right w:val="single" w:color="auto" w:sz="4" w:space="0"/>
                  </w:tcBorders>
                  <w:noWrap w:val="0"/>
                  <w:vAlign w:val="center"/>
                </w:tcPr>
                <w:p w14:paraId="661DAB05">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健全完善环境监测体系，强化环境风险防范。健全完善包括环境空气、地表水、地下水、土壤、声等环境要素的监控体系；强化开发区风险防控体系的建立，健全应急响应联动机制。严格落实《报告书》提出的各项环境风险防控措施，提升环境风险防控和应急响应能力，保障区域环境安全。</w:t>
                  </w:r>
                </w:p>
              </w:tc>
              <w:tc>
                <w:tcPr>
                  <w:tcW w:w="1876" w:type="pct"/>
                  <w:tcBorders>
                    <w:top w:val="single" w:color="auto" w:sz="4" w:space="0"/>
                    <w:left w:val="nil"/>
                    <w:bottom w:val="single" w:color="auto" w:sz="4" w:space="0"/>
                    <w:right w:val="single" w:color="auto" w:sz="4" w:space="0"/>
                  </w:tcBorders>
                  <w:noWrap w:val="0"/>
                  <w:vAlign w:val="center"/>
                </w:tcPr>
                <w:p w14:paraId="06ECFAD5">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color w:val="auto"/>
                    </w:rPr>
                  </w:pPr>
                  <w:r>
                    <w:rPr>
                      <w:rFonts w:hint="eastAsia"/>
                      <w:color w:val="auto"/>
                      <w:lang w:val="en-US" w:eastAsia="zh-CN"/>
                    </w:rPr>
                    <w:t>公司</w:t>
                  </w:r>
                  <w:r>
                    <w:rPr>
                      <w:rFonts w:hint="eastAsia"/>
                      <w:color w:val="auto"/>
                    </w:rPr>
                    <w:t>定期进行</w:t>
                  </w:r>
                  <w:r>
                    <w:rPr>
                      <w:rFonts w:hint="eastAsia"/>
                      <w:color w:val="auto"/>
                      <w:lang w:val="en-US" w:eastAsia="zh-CN"/>
                    </w:rPr>
                    <w:t>废气</w:t>
                  </w:r>
                  <w:r>
                    <w:rPr>
                      <w:rFonts w:hint="eastAsia"/>
                      <w:color w:val="auto"/>
                    </w:rPr>
                    <w:t>、声等环境要素的监测，</w:t>
                  </w:r>
                  <w:r>
                    <w:rPr>
                      <w:rFonts w:hint="eastAsia"/>
                      <w:color w:val="auto"/>
                      <w:lang w:val="en-US" w:eastAsia="zh-CN"/>
                    </w:rPr>
                    <w:t>突发环境事件应急预案</w:t>
                  </w:r>
                  <w:r>
                    <w:rPr>
                      <w:rFonts w:hint="eastAsia" w:ascii="Times New Roman" w:cs="Times New Roman"/>
                      <w:color w:val="auto"/>
                      <w:sz w:val="21"/>
                      <w:szCs w:val="21"/>
                      <w:lang w:val="en-US" w:eastAsia="zh-CN"/>
                    </w:rPr>
                    <w:t>于2026年3月13日在唐山市生态环境局迁安市分局备案(编号为130283-2026-036-H)</w:t>
                  </w:r>
                  <w:r>
                    <w:rPr>
                      <w:rFonts w:hint="eastAsia"/>
                      <w:color w:val="auto"/>
                      <w:lang w:val="en-US" w:eastAsia="zh-CN"/>
                    </w:rPr>
                    <w:t>。项目建成后结合实际情况给出各风险源的防范措施</w:t>
                  </w:r>
                  <w:r>
                    <w:rPr>
                      <w:rFonts w:hint="eastAsia"/>
                      <w:color w:val="auto"/>
                    </w:rPr>
                    <w:t>，环境风险可防控，</w:t>
                  </w:r>
                  <w:r>
                    <w:rPr>
                      <w:rFonts w:hint="eastAsia"/>
                      <w:color w:val="auto"/>
                      <w:lang w:val="en-US" w:eastAsia="zh-CN"/>
                    </w:rPr>
                    <w:t>企业日常</w:t>
                  </w:r>
                  <w:r>
                    <w:rPr>
                      <w:rFonts w:hint="eastAsia"/>
                      <w:color w:val="auto"/>
                    </w:rPr>
                    <w:t>加强与园区的联防联控</w:t>
                  </w:r>
                </w:p>
              </w:tc>
              <w:tc>
                <w:tcPr>
                  <w:tcW w:w="529" w:type="pct"/>
                  <w:tcBorders>
                    <w:top w:val="single" w:color="auto" w:sz="4" w:space="0"/>
                    <w:left w:val="nil"/>
                    <w:bottom w:val="single" w:color="auto" w:sz="4" w:space="0"/>
                    <w:right w:val="single" w:color="auto" w:sz="4" w:space="0"/>
                  </w:tcBorders>
                  <w:noWrap w:val="0"/>
                  <w:vAlign w:val="center"/>
                </w:tcPr>
                <w:p w14:paraId="5FDF9CE0">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w:t>
                  </w:r>
                </w:p>
              </w:tc>
            </w:tr>
            <w:tr w14:paraId="7C9B33D6">
              <w:tblPrEx>
                <w:tblCellMar>
                  <w:top w:w="0" w:type="dxa"/>
                  <w:left w:w="108" w:type="dxa"/>
                  <w:bottom w:w="0" w:type="dxa"/>
                  <w:right w:w="108" w:type="dxa"/>
                </w:tblCellMar>
              </w:tblPrEx>
              <w:trPr>
                <w:trHeight w:val="397" w:hRule="atLeast"/>
              </w:trPr>
              <w:tc>
                <w:tcPr>
                  <w:tcW w:w="284" w:type="pct"/>
                  <w:tcBorders>
                    <w:top w:val="single" w:color="auto" w:sz="4" w:space="0"/>
                    <w:left w:val="single" w:color="auto" w:sz="4" w:space="0"/>
                    <w:bottom w:val="single" w:color="auto" w:sz="4" w:space="0"/>
                    <w:right w:val="single" w:color="auto" w:sz="4" w:space="0"/>
                  </w:tcBorders>
                  <w:noWrap w:val="0"/>
                  <w:vAlign w:val="center"/>
                </w:tcPr>
                <w:p w14:paraId="7BB1DE2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color w:val="auto"/>
                    </w:rPr>
                  </w:pPr>
                  <w:r>
                    <w:rPr>
                      <w:rFonts w:hint="eastAsia"/>
                      <w:color w:val="auto"/>
                    </w:rPr>
                    <w:t>9</w:t>
                  </w:r>
                </w:p>
              </w:tc>
              <w:tc>
                <w:tcPr>
                  <w:tcW w:w="2310" w:type="pct"/>
                  <w:tcBorders>
                    <w:top w:val="single" w:color="auto" w:sz="4" w:space="0"/>
                    <w:left w:val="nil"/>
                    <w:bottom w:val="single" w:color="auto" w:sz="4" w:space="0"/>
                    <w:right w:val="single" w:color="auto" w:sz="4" w:space="0"/>
                  </w:tcBorders>
                  <w:noWrap w:val="0"/>
                  <w:vAlign w:val="center"/>
                </w:tcPr>
                <w:p w14:paraId="1889D108">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拟入区建设项目应加强与规划环评联动，做好建设项目环境影响评价工作。加强与规划环评的联动，严格项目生态环境准入条件，重点开展工程分析、污染物允许排放量测算和环保措施的可行性论证等工作，强化生态环境保护相关措施的落实。规划环评中协调性分析、环境现状、污染源调查等符合要求的资料可供建设项目环评共享，建设项目环评相应评价内容可结合实际情况予以适当简化。</w:t>
                  </w:r>
                </w:p>
              </w:tc>
              <w:tc>
                <w:tcPr>
                  <w:tcW w:w="1876" w:type="pct"/>
                  <w:tcBorders>
                    <w:top w:val="single" w:color="auto" w:sz="4" w:space="0"/>
                    <w:left w:val="nil"/>
                    <w:bottom w:val="single" w:color="auto" w:sz="4" w:space="0"/>
                    <w:right w:val="single" w:color="auto" w:sz="4" w:space="0"/>
                  </w:tcBorders>
                  <w:noWrap w:val="0"/>
                  <w:vAlign w:val="center"/>
                </w:tcPr>
                <w:p w14:paraId="5E2D62F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color w:val="auto"/>
                    </w:rPr>
                  </w:pPr>
                  <w:r>
                    <w:rPr>
                      <w:rFonts w:hint="eastAsia"/>
                      <w:color w:val="auto"/>
                    </w:rPr>
                    <w:t>本项目符合开发区准入清单要求，本次评价重点开展工程分析、污染物排放量和环保措施可行性分析等工作</w:t>
                  </w:r>
                </w:p>
              </w:tc>
              <w:tc>
                <w:tcPr>
                  <w:tcW w:w="529" w:type="pct"/>
                  <w:tcBorders>
                    <w:top w:val="single" w:color="auto" w:sz="4" w:space="0"/>
                    <w:left w:val="nil"/>
                    <w:bottom w:val="single" w:color="auto" w:sz="4" w:space="0"/>
                    <w:right w:val="single" w:color="auto" w:sz="4" w:space="0"/>
                  </w:tcBorders>
                  <w:noWrap w:val="0"/>
                  <w:vAlign w:val="center"/>
                </w:tcPr>
                <w:p w14:paraId="150C1623">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eastAsia"/>
                      <w:color w:val="auto"/>
                    </w:rPr>
                  </w:pPr>
                  <w:r>
                    <w:rPr>
                      <w:rFonts w:hint="eastAsia"/>
                      <w:color w:val="auto"/>
                    </w:rPr>
                    <w:t>符合</w:t>
                  </w:r>
                </w:p>
              </w:tc>
            </w:tr>
          </w:tbl>
          <w:p w14:paraId="262B22CF">
            <w:pPr>
              <w:keepNext w:val="0"/>
              <w:keepLines w:val="0"/>
              <w:pageBreakBefore w:val="0"/>
              <w:widowControl/>
              <w:kinsoku/>
              <w:wordWrap/>
              <w:overflowPunct/>
              <w:topLinePunct w:val="0"/>
              <w:autoSpaceDE w:val="0"/>
              <w:autoSpaceDN w:val="0"/>
              <w:bidi w:val="0"/>
              <w:adjustRightInd w:val="0"/>
              <w:snapToGrid w:val="0"/>
              <w:ind w:firstLine="420" w:firstLineChars="200"/>
              <w:jc w:val="both"/>
              <w:textAlignment w:val="auto"/>
              <w:rPr>
                <w:rFonts w:hint="default" w:ascii="Times New Roman" w:hAnsi="Times New Roman" w:cs="Times New Roman" w:eastAsiaTheme="minorEastAsia"/>
                <w:color w:val="auto"/>
                <w:kern w:val="0"/>
                <w:szCs w:val="21"/>
                <w:highlight w:val="yellow"/>
              </w:rPr>
            </w:pPr>
            <w:r>
              <w:rPr>
                <w:rFonts w:hint="eastAsia"/>
                <w:color w:val="auto"/>
              </w:rPr>
              <w:t>通过上述分析，</w:t>
            </w:r>
            <w:r>
              <w:rPr>
                <w:color w:val="auto"/>
              </w:rPr>
              <w:t>项目符合</w:t>
            </w:r>
            <w:r>
              <w:rPr>
                <w:rFonts w:hint="eastAsia"/>
                <w:color w:val="auto"/>
              </w:rPr>
              <w:t>《关于</w:t>
            </w:r>
            <w:r>
              <w:rPr>
                <w:rFonts w:hint="eastAsia"/>
                <w:color w:val="auto"/>
                <w:lang w:val="en-US" w:eastAsia="zh-CN"/>
              </w:rPr>
              <w:t>&lt;</w:t>
            </w:r>
            <w:r>
              <w:rPr>
                <w:rFonts w:hint="eastAsia"/>
                <w:color w:val="auto"/>
              </w:rPr>
              <w:t>河北迁安经济开发区总体规划(2022-2030年)环境影响报告书</w:t>
            </w:r>
            <w:r>
              <w:rPr>
                <w:rFonts w:hint="eastAsia"/>
                <w:color w:val="auto"/>
                <w:lang w:val="en-US" w:eastAsia="zh-CN"/>
              </w:rPr>
              <w:t>&gt;</w:t>
            </w:r>
            <w:r>
              <w:rPr>
                <w:rFonts w:hint="eastAsia"/>
                <w:color w:val="auto"/>
              </w:rPr>
              <w:t>的审查意见》(冀环环评函[2025]1283号)</w:t>
            </w:r>
            <w:r>
              <w:rPr>
                <w:color w:val="auto"/>
              </w:rPr>
              <w:t>相关要求</w:t>
            </w:r>
            <w:r>
              <w:rPr>
                <w:rFonts w:hint="eastAsia"/>
                <w:color w:val="auto"/>
              </w:rPr>
              <w:t>。</w:t>
            </w:r>
          </w:p>
        </w:tc>
      </w:tr>
      <w:tr w14:paraId="6F4D5D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74" w:hRule="atLeast"/>
          <w:jc w:val="center"/>
        </w:trPr>
        <w:tc>
          <w:tcPr>
            <w:tcW w:w="1509" w:type="dxa"/>
            <w:vAlign w:val="center"/>
          </w:tcPr>
          <w:p w14:paraId="61D4FDF2">
            <w:pPr>
              <w:ind w:firstLine="0" w:firstLineChars="0"/>
              <w:jc w:val="center"/>
              <w:rPr>
                <w:rFonts w:hint="default" w:ascii="Times New Roman" w:hAnsi="Times New Roman" w:cs="Times New Roman" w:eastAsiaTheme="minorEastAsia"/>
                <w:color w:val="auto"/>
                <w:kern w:val="0"/>
                <w:sz w:val="32"/>
                <w:highlight w:val="yellow"/>
              </w:rPr>
            </w:pPr>
            <w:r>
              <w:rPr>
                <w:rFonts w:hint="default" w:ascii="Times New Roman" w:hAnsi="Times New Roman" w:cs="Times New Roman" w:eastAsiaTheme="minorEastAsia"/>
                <w:b/>
                <w:bCs/>
                <w:color w:val="auto"/>
                <w:kern w:val="0"/>
                <w:highlight w:val="none"/>
              </w:rPr>
              <w:t>其他符合性分析</w:t>
            </w:r>
          </w:p>
        </w:tc>
        <w:tc>
          <w:tcPr>
            <w:tcW w:w="7759" w:type="dxa"/>
            <w:gridSpan w:val="3"/>
            <w:vAlign w:val="center"/>
          </w:tcPr>
          <w:p w14:paraId="20765E88">
            <w:pPr>
              <w:ind w:firstLine="422"/>
              <w:rPr>
                <w:rFonts w:hint="default" w:ascii="Times New Roman" w:hAnsi="Times New Roman" w:cs="Times New Roman" w:eastAsiaTheme="minorEastAsia"/>
                <w:b/>
                <w:bCs/>
                <w:color w:val="auto"/>
                <w:kern w:val="0"/>
                <w:szCs w:val="21"/>
                <w:highlight w:val="none"/>
              </w:rPr>
            </w:pPr>
            <w:r>
              <w:rPr>
                <w:rFonts w:hint="default" w:ascii="Times New Roman" w:hAnsi="Times New Roman" w:cs="Times New Roman" w:eastAsiaTheme="minorEastAsia"/>
                <w:b/>
                <w:bCs/>
                <w:color w:val="auto"/>
                <w:kern w:val="0"/>
                <w:szCs w:val="21"/>
                <w:highlight w:val="none"/>
              </w:rPr>
              <w:t>1、产业政策符合性</w:t>
            </w:r>
          </w:p>
          <w:p w14:paraId="63F53107">
            <w:pPr>
              <w:rPr>
                <w:rFonts w:hint="default" w:cs="Times New Roman" w:eastAsiaTheme="minorEastAsia"/>
                <w:color w:val="auto"/>
                <w:kern w:val="0"/>
                <w:szCs w:val="21"/>
                <w:highlight w:val="none"/>
                <w:lang w:val="en-US" w:eastAsia="zh-CN"/>
              </w:rPr>
            </w:pPr>
            <w:r>
              <w:rPr>
                <w:rFonts w:eastAsiaTheme="minorEastAsia"/>
                <w:color w:val="auto"/>
                <w:kern w:val="0"/>
                <w:sz w:val="21"/>
                <w:szCs w:val="21"/>
                <w:highlight w:val="none"/>
              </w:rPr>
              <w:t>项目为</w:t>
            </w:r>
            <w:r>
              <w:rPr>
                <w:rFonts w:hint="eastAsia" w:eastAsiaTheme="minorEastAsia"/>
                <w:color w:val="auto"/>
                <w:kern w:val="0"/>
                <w:sz w:val="21"/>
                <w:szCs w:val="21"/>
                <w:highlight w:val="none"/>
              </w:rPr>
              <w:t>废弃资源综合利用项目</w:t>
            </w:r>
            <w:r>
              <w:rPr>
                <w:rFonts w:hint="eastAsia" w:eastAsiaTheme="minorEastAsia"/>
                <w:color w:val="auto"/>
                <w:kern w:val="0"/>
                <w:sz w:val="21"/>
                <w:szCs w:val="21"/>
                <w:highlight w:val="none"/>
                <w:lang w:eastAsia="zh-CN"/>
              </w:rPr>
              <w:t>，</w:t>
            </w:r>
            <w:r>
              <w:rPr>
                <w:rFonts w:hint="default" w:ascii="Times New Roman" w:hAnsi="Times New Roman" w:cs="Times New Roman" w:eastAsiaTheme="minorEastAsia"/>
                <w:color w:val="auto"/>
                <w:kern w:val="0"/>
                <w:szCs w:val="21"/>
                <w:highlight w:val="none"/>
              </w:rPr>
              <w:t>根据《产业结构调整指导目录(2024年本)》，本项目</w:t>
            </w:r>
            <w:r>
              <w:rPr>
                <w:rFonts w:hint="eastAsia" w:cs="Times New Roman" w:eastAsiaTheme="minorEastAsia"/>
                <w:color w:val="auto"/>
                <w:kern w:val="0"/>
                <w:szCs w:val="21"/>
                <w:highlight w:val="none"/>
                <w:lang w:val="en-US" w:eastAsia="zh-CN"/>
              </w:rPr>
              <w:t>属于“八、钢铁”中的“6.冶金固体废弃物综合利用，冶金废液(含废水、废酸、废油等)循环利用”，为鼓励类</w:t>
            </w:r>
            <w:r>
              <w:rPr>
                <w:rFonts w:hint="default" w:ascii="Times New Roman" w:hAnsi="Times New Roman" w:cs="Times New Roman" w:eastAsiaTheme="minorEastAsia"/>
                <w:color w:val="auto"/>
                <w:kern w:val="0"/>
                <w:szCs w:val="21"/>
                <w:highlight w:val="none"/>
              </w:rPr>
              <w:t>；</w:t>
            </w:r>
            <w:r>
              <w:rPr>
                <w:rFonts w:hint="default" w:ascii="Times New Roman" w:hAnsi="Times New Roman" w:cs="Times New Roman"/>
                <w:color w:val="auto"/>
                <w:kern w:val="0"/>
                <w:sz w:val="21"/>
                <w:szCs w:val="21"/>
                <w:highlight w:val="none"/>
              </w:rPr>
              <w:t>不属于《市场准入负面清单(2025年版)》中禁止准入类项目</w:t>
            </w:r>
            <w:r>
              <w:rPr>
                <w:rFonts w:hint="default" w:cs="Times New Roman" w:eastAsiaTheme="minorEastAsia"/>
                <w:color w:val="auto"/>
                <w:kern w:val="0"/>
                <w:szCs w:val="21"/>
                <w:highlight w:val="none"/>
                <w:lang w:val="en-US" w:eastAsia="zh-CN"/>
              </w:rPr>
              <w:t>。本项目已由</w:t>
            </w:r>
            <w:r>
              <w:rPr>
                <w:rFonts w:hint="eastAsia" w:cs="Times New Roman" w:eastAsiaTheme="minorEastAsia"/>
                <w:color w:val="auto"/>
                <w:kern w:val="0"/>
                <w:szCs w:val="21"/>
                <w:highlight w:val="none"/>
                <w:lang w:val="en-US" w:eastAsia="zh-CN"/>
              </w:rPr>
              <w:t>河北迁安经济开发区管理委员会(迁安高新技术产业开发区管理委员会)</w:t>
            </w:r>
            <w:r>
              <w:rPr>
                <w:rFonts w:hint="default" w:cs="Times New Roman" w:eastAsiaTheme="minorEastAsia"/>
                <w:color w:val="auto"/>
                <w:kern w:val="0"/>
                <w:szCs w:val="21"/>
                <w:highlight w:val="none"/>
                <w:lang w:val="en-US" w:eastAsia="zh-CN"/>
              </w:rPr>
              <w:t>出具了项目</w:t>
            </w:r>
            <w:r>
              <w:rPr>
                <w:rFonts w:hint="eastAsia" w:cs="Times New Roman" w:eastAsiaTheme="minorEastAsia"/>
                <w:color w:val="auto"/>
                <w:kern w:val="0"/>
                <w:szCs w:val="21"/>
                <w:highlight w:val="none"/>
                <w:lang w:val="en-US" w:eastAsia="zh-CN"/>
              </w:rPr>
              <w:t>备案文件</w:t>
            </w:r>
            <w:r>
              <w:rPr>
                <w:rFonts w:hint="default" w:cs="Times New Roman" w:eastAsiaTheme="minorEastAsia"/>
                <w:color w:val="auto"/>
                <w:kern w:val="0"/>
                <w:szCs w:val="21"/>
                <w:highlight w:val="none"/>
                <w:lang w:val="en-US" w:eastAsia="zh-CN"/>
              </w:rPr>
              <w:t>，文号：</w:t>
            </w:r>
            <w:r>
              <w:rPr>
                <w:rFonts w:hint="eastAsia" w:cs="Times New Roman" w:eastAsiaTheme="minorEastAsia"/>
                <w:color w:val="auto"/>
                <w:kern w:val="0"/>
                <w:szCs w:val="21"/>
                <w:highlight w:val="none"/>
                <w:lang w:val="en-US" w:eastAsia="zh-CN"/>
              </w:rPr>
              <w:t>迁经开行审投资西备字[2026]34号</w:t>
            </w:r>
            <w:r>
              <w:rPr>
                <w:rFonts w:hint="default" w:cs="Times New Roman" w:eastAsiaTheme="minorEastAsia"/>
                <w:color w:val="auto"/>
                <w:kern w:val="0"/>
                <w:szCs w:val="21"/>
                <w:highlight w:val="none"/>
                <w:lang w:val="en-US" w:eastAsia="zh-CN"/>
              </w:rPr>
              <w:t>。</w:t>
            </w:r>
          </w:p>
          <w:p w14:paraId="70879A8D">
            <w:pP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t>因此，本项目的建设符合国家及地方产业政策。</w:t>
            </w:r>
          </w:p>
          <w:p w14:paraId="4F38A83D">
            <w:pPr>
              <w:autoSpaceDE w:val="0"/>
              <w:autoSpaceDN w:val="0"/>
              <w:adjustRightInd w:val="0"/>
              <w:snapToGrid w:val="0"/>
              <w:ind w:firstLine="422"/>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2、选址合理性</w:t>
            </w:r>
          </w:p>
          <w:p w14:paraId="4B9B0A7F">
            <w:pPr>
              <w:widowControl/>
              <w:ind w:firstLine="420"/>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本项目位于</w:t>
            </w:r>
            <w:r>
              <w:rPr>
                <w:rFonts w:hint="default" w:ascii="Times New Roman" w:hAnsi="Times New Roman" w:cs="Times New Roman" w:eastAsiaTheme="minorEastAsia"/>
                <w:color w:val="auto"/>
                <w:kern w:val="0"/>
                <w:szCs w:val="21"/>
                <w:highlight w:val="none"/>
                <w:lang w:val="en-US" w:eastAsia="zh-CN"/>
              </w:rPr>
              <w:t>河北迁安经济开发区，公司现有厂区内，</w:t>
            </w:r>
            <w:r>
              <w:rPr>
                <w:rFonts w:hint="eastAsia" w:cs="Times New Roman" w:eastAsiaTheme="minorEastAsia"/>
                <w:color w:val="auto"/>
                <w:kern w:val="0"/>
                <w:szCs w:val="21"/>
                <w:highlight w:val="none"/>
                <w:lang w:val="en-US" w:eastAsia="zh-CN"/>
              </w:rPr>
              <w:t>不新增占地。</w:t>
            </w:r>
            <w:r>
              <w:rPr>
                <w:rFonts w:hint="default" w:ascii="Times New Roman" w:hAnsi="Times New Roman" w:cs="Times New Roman"/>
                <w:color w:val="auto"/>
                <w:kern w:val="0"/>
                <w:sz w:val="21"/>
                <w:szCs w:val="21"/>
                <w:highlight w:val="none"/>
                <w:lang w:bidi="ar"/>
              </w:rPr>
              <w:t>项目不占用自然保护区、风景名胜区、饮用水水源地、生态红线等环境敏感区。项目选址合理。</w:t>
            </w:r>
          </w:p>
          <w:p w14:paraId="2AE3D699">
            <w:pPr>
              <w:ind w:firstLine="422"/>
              <w:jc w:val="both"/>
              <w:rPr>
                <w:rFonts w:hint="default" w:ascii="Times New Roman" w:hAnsi="Times New Roman" w:cs="Times New Roman"/>
                <w:b/>
                <w:bCs/>
                <w:color w:val="auto"/>
                <w:kern w:val="0"/>
                <w:szCs w:val="21"/>
                <w:highlight w:val="none"/>
              </w:rPr>
            </w:pPr>
            <w:r>
              <w:rPr>
                <w:rFonts w:hint="default" w:ascii="Times New Roman" w:hAnsi="Times New Roman" w:cs="Times New Roman"/>
                <w:b/>
                <w:bCs/>
                <w:color w:val="auto"/>
                <w:kern w:val="0"/>
                <w:szCs w:val="21"/>
                <w:highlight w:val="none"/>
                <w:lang w:val="en-US" w:eastAsia="zh-CN"/>
              </w:rPr>
              <w:t>3</w:t>
            </w:r>
            <w:r>
              <w:rPr>
                <w:rFonts w:hint="default" w:ascii="Times New Roman" w:hAnsi="Times New Roman" w:cs="Times New Roman"/>
                <w:b/>
                <w:bCs/>
                <w:color w:val="auto"/>
                <w:kern w:val="0"/>
                <w:szCs w:val="21"/>
                <w:highlight w:val="none"/>
              </w:rPr>
              <w:t>、“三线一单”符合性分析</w:t>
            </w:r>
          </w:p>
          <w:p w14:paraId="714E0AE6">
            <w:pP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t>(1)生态红线：根据《</w:t>
            </w:r>
            <w:r>
              <w:rPr>
                <w:rFonts w:hint="default" w:ascii="Times New Roman" w:hAnsi="Times New Roman" w:cs="Times New Roman"/>
                <w:color w:val="auto"/>
                <w:highlight w:val="none"/>
              </w:rPr>
              <w:t>迁安市国土空间总体规划</w:t>
            </w:r>
            <w:r>
              <w:rPr>
                <w:rFonts w:hint="default" w:ascii="Times New Roman" w:hAnsi="Times New Roman" w:cs="Times New Roman" w:eastAsiaTheme="minorEastAsia"/>
                <w:color w:val="auto"/>
                <w:kern w:val="0"/>
                <w:szCs w:val="21"/>
                <w:highlight w:val="none"/>
              </w:rPr>
              <w:t>》</w:t>
            </w:r>
            <w:r>
              <w:rPr>
                <w:rFonts w:hint="default" w:ascii="Times New Roman" w:hAnsi="Times New Roman" w:cs="Times New Roman" w:eastAsiaTheme="minorEastAsia"/>
                <w:color w:val="auto"/>
                <w:kern w:val="0"/>
                <w:szCs w:val="21"/>
                <w:highlight w:val="none"/>
                <w:lang w:val="en-US" w:eastAsia="zh-CN"/>
              </w:rPr>
              <w:t>(2021-2035年)</w:t>
            </w:r>
            <w:r>
              <w:rPr>
                <w:rFonts w:hint="default" w:ascii="Times New Roman" w:hAnsi="Times New Roman" w:cs="Times New Roman" w:eastAsiaTheme="minorEastAsia"/>
                <w:color w:val="auto"/>
                <w:kern w:val="0"/>
                <w:szCs w:val="21"/>
                <w:highlight w:val="none"/>
              </w:rPr>
              <w:t>，本项目不在生态保护红线区内，</w:t>
            </w:r>
            <w:r>
              <w:rPr>
                <w:rFonts w:hint="default" w:ascii="Times New Roman" w:hAnsi="Times New Roman" w:cs="Times New Roman" w:eastAsiaTheme="minorEastAsia"/>
                <w:color w:val="auto"/>
                <w:kern w:val="0"/>
                <w:szCs w:val="21"/>
                <w:highlight w:val="none"/>
                <w:lang w:val="en-US" w:eastAsia="zh-CN"/>
              </w:rPr>
              <w:t>距离最近的生态保护红线为</w:t>
            </w:r>
            <w:r>
              <w:rPr>
                <w:rFonts w:hint="eastAsia" w:cs="Times New Roman" w:eastAsiaTheme="minorEastAsia"/>
                <w:color w:val="auto"/>
                <w:kern w:val="0"/>
                <w:szCs w:val="21"/>
                <w:highlight w:val="none"/>
                <w:lang w:val="en-US" w:eastAsia="zh-CN"/>
              </w:rPr>
              <w:t>西</w:t>
            </w:r>
            <w:r>
              <w:rPr>
                <w:rFonts w:hint="default" w:ascii="Times New Roman" w:hAnsi="Times New Roman" w:cs="Times New Roman" w:eastAsiaTheme="minorEastAsia"/>
                <w:color w:val="auto"/>
                <w:kern w:val="0"/>
                <w:szCs w:val="21"/>
                <w:highlight w:val="none"/>
                <w:lang w:val="en-US" w:eastAsia="zh-CN"/>
              </w:rPr>
              <w:t>南侧2</w:t>
            </w:r>
            <w:r>
              <w:rPr>
                <w:rFonts w:hint="eastAsia" w:cs="Times New Roman" w:eastAsiaTheme="minorEastAsia"/>
                <w:color w:val="auto"/>
                <w:kern w:val="0"/>
                <w:szCs w:val="21"/>
                <w:highlight w:val="none"/>
                <w:lang w:val="en-US" w:eastAsia="zh-CN"/>
              </w:rPr>
              <w:t>.85</w:t>
            </w:r>
            <w:r>
              <w:rPr>
                <w:rFonts w:hint="default" w:ascii="Times New Roman" w:hAnsi="Times New Roman" w:cs="Times New Roman" w:eastAsiaTheme="minorEastAsia"/>
                <w:color w:val="auto"/>
                <w:kern w:val="0"/>
                <w:szCs w:val="21"/>
                <w:highlight w:val="none"/>
                <w:lang w:val="en-US" w:eastAsia="zh-CN"/>
              </w:rPr>
              <w:t>km的</w:t>
            </w:r>
            <w:r>
              <w:rPr>
                <w:rFonts w:hint="default" w:ascii="Times New Roman" w:hAnsi="Times New Roman" w:cs="Times New Roman" w:eastAsiaTheme="minorEastAsia"/>
                <w:color w:val="auto"/>
                <w:kern w:val="0"/>
                <w:szCs w:val="21"/>
                <w:highlight w:val="none"/>
              </w:rPr>
              <w:t>燕山水源涵养-生物多样性维护生态保护红线。</w:t>
            </w:r>
          </w:p>
          <w:p w14:paraId="0F863006">
            <w:pPr>
              <w:pStyle w:val="56"/>
              <w:keepNext w:val="0"/>
              <w:keepLines w:val="0"/>
              <w:pageBreakBefore w:val="0"/>
              <w:widowControl/>
              <w:kinsoku/>
              <w:wordWrap/>
              <w:overflowPunct/>
              <w:topLinePunct w:val="0"/>
              <w:autoSpaceDE w:val="0"/>
              <w:autoSpaceDN w:val="0"/>
              <w:bidi w:val="0"/>
              <w:adjustRightInd w:val="0"/>
              <w:snapToGrid w:val="0"/>
              <w:ind w:firstLine="0" w:firstLineChars="0"/>
              <w:textAlignment w:val="auto"/>
              <w:rPr>
                <w:rFonts w:hint="default"/>
                <w:color w:val="auto"/>
              </w:rPr>
            </w:pPr>
            <w:r>
              <w:rPr>
                <w:rFonts w:hint="default"/>
                <w:color w:val="auto"/>
              </w:rPr>
              <w:object>
                <v:shape id="_x0000_i1026" o:spt="75" type="#_x0000_t75" style="height:267pt;width:376.9pt;" o:ole="t" filled="f" o:preferrelative="t" stroked="f" coordsize="21600,21600">
                  <v:path/>
                  <v:fill on="f" focussize="0,0"/>
                  <v:stroke on="f"/>
                  <v:imagedata r:id="rId16" o:title=""/>
                  <o:lock v:ext="edit" aspectratio="f"/>
                  <w10:wrap type="none"/>
                  <w10:anchorlock/>
                </v:shape>
                <o:OLEObject Type="Embed" ProgID="Visio.Drawing.11" ShapeID="_x0000_i1026" DrawAspect="Content" ObjectID="_1468075726" r:id="rId15">
                  <o:LockedField>false</o:LockedField>
                </o:OLEObject>
              </w:object>
            </w:r>
          </w:p>
          <w:p w14:paraId="363A2177">
            <w:pPr>
              <w:widowControl/>
              <w:ind w:firstLine="0" w:firstLineChars="0"/>
              <w:jc w:val="center"/>
              <w:rPr>
                <w:rFonts w:hint="default" w:ascii="Times New Roman" w:hAnsi="Times New Roman" w:cs="Times New Roman" w:eastAsiaTheme="minorEastAsia"/>
                <w:b/>
                <w:bCs/>
                <w:color w:val="auto"/>
                <w:kern w:val="0"/>
                <w:sz w:val="21"/>
                <w:szCs w:val="21"/>
                <w:highlight w:val="none"/>
                <w:lang w:val="en-US" w:eastAsia="zh-CN"/>
              </w:rPr>
            </w:pPr>
            <w:r>
              <w:rPr>
                <w:rFonts w:hint="default" w:ascii="Times New Roman" w:hAnsi="Times New Roman" w:cs="Times New Roman" w:eastAsiaTheme="minorEastAsia"/>
                <w:b/>
                <w:bCs/>
                <w:color w:val="auto"/>
                <w:kern w:val="0"/>
                <w:sz w:val="21"/>
                <w:szCs w:val="21"/>
                <w:highlight w:val="none"/>
                <w:lang w:val="en-US" w:eastAsia="zh-CN"/>
              </w:rPr>
              <w:t>图1</w:t>
            </w:r>
            <w:r>
              <w:rPr>
                <w:rFonts w:hint="eastAsia" w:ascii="Times New Roman" w:hAnsi="Times New Roman" w:cs="Times New Roman" w:eastAsiaTheme="minorEastAsia"/>
                <w:b/>
                <w:bCs/>
                <w:color w:val="auto"/>
                <w:kern w:val="0"/>
                <w:sz w:val="21"/>
                <w:szCs w:val="21"/>
                <w:highlight w:val="none"/>
                <w:lang w:val="en-US" w:eastAsia="zh-CN"/>
              </w:rPr>
              <w:t>-</w:t>
            </w:r>
            <w:r>
              <w:rPr>
                <w:rFonts w:hint="eastAsia" w:cs="Times New Roman" w:eastAsiaTheme="minorEastAsia"/>
                <w:b/>
                <w:bCs/>
                <w:color w:val="auto"/>
                <w:kern w:val="0"/>
                <w:sz w:val="21"/>
                <w:szCs w:val="21"/>
                <w:highlight w:val="none"/>
                <w:lang w:val="en-US" w:eastAsia="zh-CN"/>
              </w:rPr>
              <w:t>3</w:t>
            </w:r>
            <w:r>
              <w:rPr>
                <w:rFonts w:hint="default" w:ascii="Times New Roman" w:hAnsi="Times New Roman" w:cs="Times New Roman" w:eastAsiaTheme="minorEastAsia"/>
                <w:b/>
                <w:bCs/>
                <w:color w:val="auto"/>
                <w:kern w:val="0"/>
                <w:sz w:val="21"/>
                <w:szCs w:val="21"/>
                <w:highlight w:val="none"/>
                <w:lang w:val="en-US" w:eastAsia="zh-CN"/>
              </w:rPr>
              <w:t xml:space="preserve">  </w:t>
            </w:r>
            <w:r>
              <w:rPr>
                <w:rFonts w:hint="eastAsia" w:ascii="Times New Roman" w:hAnsi="Times New Roman" w:cs="Times New Roman" w:eastAsiaTheme="minorEastAsia"/>
                <w:b/>
                <w:bCs/>
                <w:color w:val="auto"/>
                <w:kern w:val="0"/>
                <w:sz w:val="21"/>
                <w:szCs w:val="21"/>
                <w:highlight w:val="none"/>
                <w:lang w:val="en-US" w:eastAsia="zh-CN"/>
              </w:rPr>
              <w:t>迁安市国土空间管控规划图</w:t>
            </w:r>
          </w:p>
          <w:p w14:paraId="507F17BE">
            <w:pPr>
              <w:snapToGrid w:val="0"/>
              <w:ind w:firstLine="420"/>
              <w:rPr>
                <w:rFonts w:hint="default"/>
                <w:color w:val="auto"/>
                <w:kern w:val="0"/>
                <w:sz w:val="21"/>
                <w:szCs w:val="21"/>
                <w:highlight w:val="none"/>
                <w:lang w:val="zh-CN"/>
              </w:rPr>
            </w:pPr>
            <w:r>
              <w:rPr>
                <w:rFonts w:hint="default"/>
                <w:color w:val="auto"/>
                <w:kern w:val="0"/>
                <w:sz w:val="21"/>
                <w:szCs w:val="21"/>
                <w:highlight w:val="none"/>
                <w:lang w:val="zh-CN"/>
              </w:rPr>
              <w:t>(2)环境质量底线：</w:t>
            </w:r>
          </w:p>
          <w:p w14:paraId="20A2157C">
            <w:pPr>
              <w:snapToGrid w:val="0"/>
              <w:ind w:firstLine="420"/>
              <w:rPr>
                <w:rFonts w:hint="eastAsia"/>
                <w:color w:val="auto"/>
                <w:kern w:val="0"/>
                <w:sz w:val="21"/>
                <w:szCs w:val="21"/>
                <w:highlight w:val="none"/>
                <w:lang w:val="en-US" w:eastAsia="zh-CN"/>
              </w:rPr>
            </w:pPr>
            <w:r>
              <w:rPr>
                <w:rFonts w:hint="eastAsia"/>
                <w:color w:val="auto"/>
                <w:kern w:val="0"/>
                <w:sz w:val="21"/>
                <w:szCs w:val="21"/>
                <w:highlight w:val="none"/>
                <w:lang w:val="en-US" w:eastAsia="zh-CN"/>
              </w:rPr>
              <w:t>①环境空气：根据《2024 年唐山市生态环境状况公报》，项目所在区域迁安市为环境质量超标地区(</w:t>
            </w:r>
            <w:r>
              <w:rPr>
                <w:rFonts w:hint="default" w:ascii="Times New Roman" w:hAnsi="Times New Roman" w:cs="Times New Roman"/>
                <w:color w:val="auto"/>
                <w:sz w:val="21"/>
                <w:szCs w:val="21"/>
                <w:highlight w:val="none"/>
              </w:rPr>
              <w:t>PM</w:t>
            </w:r>
            <w:r>
              <w:rPr>
                <w:rFonts w:hint="default" w:ascii="Times New Roman" w:hAnsi="Times New Roman" w:cs="Times New Roman"/>
                <w:color w:val="auto"/>
                <w:sz w:val="21"/>
                <w:szCs w:val="21"/>
                <w:highlight w:val="none"/>
                <w:vertAlign w:val="subscript"/>
              </w:rPr>
              <w:t>2.5</w:t>
            </w:r>
            <w:r>
              <w:rPr>
                <w:rFonts w:hint="default" w:ascii="Times New Roman" w:hAnsi="Times New Roman" w:cs="Times New Roman"/>
                <w:color w:val="auto"/>
                <w:sz w:val="21"/>
                <w:szCs w:val="21"/>
                <w:highlight w:val="none"/>
              </w:rPr>
              <w:t>、PM</w:t>
            </w:r>
            <w:r>
              <w:rPr>
                <w:rFonts w:hint="default" w:ascii="Times New Roman" w:hAnsi="Times New Roman" w:cs="Times New Roman"/>
                <w:color w:val="auto"/>
                <w:sz w:val="21"/>
                <w:szCs w:val="21"/>
                <w:highlight w:val="none"/>
                <w:vertAlign w:val="subscript"/>
              </w:rPr>
              <w:t>10</w:t>
            </w:r>
            <w:r>
              <w:rPr>
                <w:rFonts w:hint="eastAsia" w:cs="Times New Roman"/>
                <w:color w:val="auto"/>
                <w:sz w:val="21"/>
                <w:szCs w:val="21"/>
                <w:highlight w:val="none"/>
                <w:vertAlign w:val="baseline"/>
                <w:lang w:val="en-US" w:eastAsia="zh-CN"/>
              </w:rPr>
              <w:t>年平均浓度、</w:t>
            </w:r>
            <w:r>
              <w:rPr>
                <w:rFonts w:hint="default" w:ascii="Times New Roman" w:hAnsi="Times New Roman" w:cs="Times New Roman"/>
                <w:color w:val="auto"/>
                <w:sz w:val="21"/>
                <w:szCs w:val="21"/>
                <w:highlight w:val="none"/>
              </w:rPr>
              <w:t>O</w:t>
            </w:r>
            <w:r>
              <w:rPr>
                <w:rFonts w:hint="default" w:ascii="Times New Roman" w:hAnsi="Times New Roman" w:cs="Times New Roman"/>
                <w:color w:val="auto"/>
                <w:sz w:val="21"/>
                <w:szCs w:val="21"/>
                <w:highlight w:val="none"/>
                <w:vertAlign w:val="subscript"/>
              </w:rPr>
              <w:t>3</w:t>
            </w:r>
            <w:r>
              <w:rPr>
                <w:rFonts w:hint="default" w:ascii="Times New Roman" w:hAnsi="Times New Roman" w:cs="Times New Roman"/>
                <w:color w:val="auto"/>
                <w:sz w:val="21"/>
                <w:szCs w:val="21"/>
                <w:highlight w:val="none"/>
              </w:rPr>
              <w:t>8小时平均浓度90</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rPr>
              <w:t>百分位数</w:t>
            </w:r>
            <w:r>
              <w:rPr>
                <w:rFonts w:hint="eastAsia" w:cs="Times New Roman"/>
                <w:color w:val="auto"/>
                <w:sz w:val="21"/>
                <w:szCs w:val="21"/>
                <w:highlight w:val="none"/>
                <w:lang w:val="en-US" w:eastAsia="zh-CN"/>
              </w:rPr>
              <w:t>超标</w:t>
            </w:r>
            <w:r>
              <w:rPr>
                <w:rFonts w:hint="eastAsia"/>
                <w:color w:val="auto"/>
                <w:kern w:val="0"/>
                <w:sz w:val="21"/>
                <w:szCs w:val="21"/>
                <w:highlight w:val="none"/>
                <w:lang w:val="en-US" w:eastAsia="zh-CN"/>
              </w:rPr>
              <w:t>)。项目采取了完善的环境治理措施，废气污染物排放满足</w:t>
            </w:r>
            <w:r>
              <w:rPr>
                <w:rFonts w:hint="default" w:ascii="Times New Roman" w:hAnsi="Times New Roman" w:eastAsia="宋体" w:cs="Times New Roman"/>
                <w:color w:val="auto"/>
                <w:kern w:val="0"/>
                <w:sz w:val="21"/>
                <w:szCs w:val="21"/>
                <w:highlight w:val="none"/>
                <w:lang w:val="en-US" w:eastAsia="zh-CN" w:bidi="ar"/>
              </w:rPr>
              <w:t>废气污染物排放满足</w:t>
            </w:r>
            <w:r>
              <w:rPr>
                <w:rFonts w:hint="eastAsia" w:ascii="Times New Roman" w:hAnsi="Times New Roman"/>
                <w:color w:val="auto"/>
                <w:sz w:val="21"/>
                <w:szCs w:val="21"/>
                <w:highlight w:val="none"/>
              </w:rPr>
              <w:t>《钢铁工业大气污染物超低排放标准》</w:t>
            </w:r>
            <w:r>
              <w:rPr>
                <w:rFonts w:hint="eastAsia" w:ascii="Times New Roman" w:hAnsi="Times New Roman"/>
                <w:color w:val="auto"/>
                <w:sz w:val="21"/>
                <w:szCs w:val="21"/>
                <w:highlight w:val="none"/>
                <w:lang w:eastAsia="zh-CN"/>
              </w:rPr>
              <w:t>(</w:t>
            </w:r>
            <w:r>
              <w:rPr>
                <w:rFonts w:hint="eastAsia" w:ascii="Times New Roman" w:hAnsi="Times New Roman"/>
                <w:color w:val="auto"/>
                <w:sz w:val="21"/>
                <w:szCs w:val="21"/>
                <w:highlight w:val="none"/>
              </w:rPr>
              <w:t>DB</w:t>
            </w:r>
            <w:r>
              <w:rPr>
                <w:rFonts w:ascii="Times New Roman" w:hAnsi="Times New Roman"/>
                <w:color w:val="auto"/>
                <w:sz w:val="21"/>
                <w:szCs w:val="21"/>
                <w:highlight w:val="none"/>
              </w:rPr>
              <w:t>13</w:t>
            </w:r>
            <w:r>
              <w:rPr>
                <w:rFonts w:hint="eastAsia" w:ascii="Times New Roman" w:hAnsi="Times New Roman"/>
                <w:color w:val="auto"/>
                <w:sz w:val="21"/>
                <w:szCs w:val="21"/>
                <w:highlight w:val="none"/>
              </w:rPr>
              <w:t>/2169-2018)</w:t>
            </w:r>
            <w:r>
              <w:rPr>
                <w:rFonts w:hint="eastAsia"/>
                <w:color w:val="auto"/>
                <w:sz w:val="21"/>
                <w:szCs w:val="21"/>
                <w:highlight w:val="none"/>
                <w:lang w:val="en-US" w:eastAsia="zh-CN"/>
              </w:rPr>
              <w:t>及</w:t>
            </w:r>
            <w:r>
              <w:rPr>
                <w:rFonts w:hint="eastAsia" w:ascii="Times New Roman" w:hAnsi="Times New Roman"/>
                <w:color w:val="auto"/>
                <w:sz w:val="21"/>
                <w:szCs w:val="21"/>
                <w:highlight w:val="none"/>
                <w:lang w:eastAsia="zh-CN"/>
              </w:rPr>
              <w:t>《唐山市人民政府关于执行重点行业大气污染物排放特别要求的通知》(唐政字[2021]82号)中厂界无组织排放浓度限值要求</w:t>
            </w:r>
            <w:r>
              <w:rPr>
                <w:rFonts w:hint="eastAsia"/>
                <w:color w:val="auto"/>
                <w:kern w:val="0"/>
                <w:sz w:val="21"/>
                <w:szCs w:val="21"/>
                <w:highlight w:val="none"/>
                <w:lang w:val="en-US" w:eastAsia="zh-CN"/>
              </w:rPr>
              <w:t>。</w:t>
            </w:r>
          </w:p>
          <w:p w14:paraId="6639F390">
            <w:pPr>
              <w:snapToGrid w:val="0"/>
              <w:ind w:firstLine="420"/>
              <w:rPr>
                <w:color w:val="auto"/>
                <w:kern w:val="0"/>
                <w:sz w:val="21"/>
                <w:szCs w:val="21"/>
                <w:highlight w:val="none"/>
                <w:lang w:val="zh-CN"/>
              </w:rPr>
            </w:pPr>
            <w:r>
              <w:rPr>
                <w:rFonts w:hint="eastAsia"/>
                <w:color w:val="auto"/>
                <w:kern w:val="0"/>
                <w:sz w:val="21"/>
                <w:szCs w:val="21"/>
                <w:highlight w:val="none"/>
                <w:lang w:val="en-US" w:eastAsia="zh-CN"/>
              </w:rPr>
              <w:t>②项目洗车废水沉淀后循环使用</w:t>
            </w:r>
            <w:r>
              <w:rPr>
                <w:rFonts w:hint="eastAsia"/>
                <w:color w:val="auto"/>
                <w:kern w:val="0"/>
                <w:sz w:val="21"/>
                <w:szCs w:val="21"/>
                <w:highlight w:val="none"/>
                <w:lang w:val="zh-CN"/>
              </w:rPr>
              <w:t>。</w:t>
            </w:r>
            <w:r>
              <w:rPr>
                <w:rFonts w:hint="default"/>
                <w:color w:val="auto"/>
                <w:kern w:val="0"/>
                <w:sz w:val="21"/>
                <w:szCs w:val="21"/>
                <w:highlight w:val="none"/>
                <w:lang w:val="zh-CN"/>
              </w:rPr>
              <w:t>本项目无新增生活污水</w:t>
            </w:r>
            <w:r>
              <w:rPr>
                <w:rFonts w:hint="eastAsia"/>
                <w:color w:val="auto"/>
                <w:kern w:val="0"/>
                <w:sz w:val="21"/>
                <w:szCs w:val="21"/>
                <w:highlight w:val="none"/>
                <w:lang w:val="zh-CN" w:eastAsia="zh-CN"/>
              </w:rPr>
              <w:t>。</w:t>
            </w:r>
            <w:r>
              <w:rPr>
                <w:rFonts w:hint="eastAsia"/>
                <w:color w:val="auto"/>
                <w:kern w:val="0"/>
                <w:sz w:val="21"/>
                <w:szCs w:val="21"/>
                <w:highlight w:val="none"/>
                <w:lang w:val="en-US" w:eastAsia="zh-CN"/>
              </w:rPr>
              <w:t>不与地表水发生直接联系，不会对当地地表水环境造成影响。</w:t>
            </w:r>
          </w:p>
          <w:p w14:paraId="6BA3A532">
            <w:pPr>
              <w:snapToGrid w:val="0"/>
              <w:ind w:firstLine="420"/>
              <w:rPr>
                <w:color w:val="auto"/>
                <w:kern w:val="0"/>
                <w:sz w:val="21"/>
                <w:szCs w:val="21"/>
                <w:highlight w:val="none"/>
              </w:rPr>
            </w:pPr>
            <w:r>
              <w:rPr>
                <w:rFonts w:hint="eastAsia" w:cs="Times New Roman" w:eastAsiaTheme="minorEastAsia"/>
                <w:color w:val="auto"/>
                <w:kern w:val="0"/>
                <w:szCs w:val="21"/>
                <w:highlight w:val="none"/>
                <w:lang w:val="en-US" w:eastAsia="zh-CN"/>
              </w:rPr>
              <w:t>③声环境：</w:t>
            </w:r>
            <w:r>
              <w:rPr>
                <w:color w:val="auto"/>
                <w:kern w:val="0"/>
                <w:sz w:val="21"/>
                <w:szCs w:val="21"/>
                <w:highlight w:val="none"/>
              </w:rPr>
              <w:t>项目</w:t>
            </w:r>
            <w:r>
              <w:rPr>
                <w:color w:val="auto"/>
                <w:kern w:val="0"/>
                <w:sz w:val="21"/>
                <w:szCs w:val="21"/>
                <w:highlight w:val="none"/>
                <w:lang w:val="zh-CN"/>
              </w:rPr>
              <w:t>区域环境噪声符合《声环境质量标准》</w:t>
            </w:r>
            <w:r>
              <w:rPr>
                <w:rFonts w:hint="eastAsia"/>
                <w:color w:val="auto"/>
                <w:kern w:val="0"/>
                <w:sz w:val="21"/>
                <w:szCs w:val="21"/>
                <w:highlight w:val="none"/>
                <w:lang w:val="zh-CN"/>
              </w:rPr>
              <w:t>(</w:t>
            </w:r>
            <w:r>
              <w:rPr>
                <w:color w:val="auto"/>
                <w:kern w:val="0"/>
                <w:sz w:val="21"/>
                <w:szCs w:val="21"/>
                <w:highlight w:val="none"/>
                <w:lang w:val="zh-CN"/>
              </w:rPr>
              <w:t>GB3096-2008)中</w:t>
            </w:r>
            <w:r>
              <w:rPr>
                <w:rFonts w:hint="eastAsia"/>
                <w:color w:val="auto"/>
                <w:kern w:val="0"/>
                <w:sz w:val="21"/>
                <w:szCs w:val="21"/>
                <w:highlight w:val="none"/>
                <w:lang w:val="en-US" w:eastAsia="zh-CN"/>
              </w:rPr>
              <w:t>3</w:t>
            </w:r>
            <w:r>
              <w:rPr>
                <w:color w:val="auto"/>
                <w:kern w:val="0"/>
                <w:sz w:val="21"/>
                <w:szCs w:val="21"/>
                <w:highlight w:val="none"/>
                <w:lang w:val="zh-CN"/>
              </w:rPr>
              <w:t>类标准。项目采取了完善的噪声控制措施，经预测，</w:t>
            </w:r>
            <w:r>
              <w:rPr>
                <w:color w:val="auto"/>
                <w:kern w:val="0"/>
                <w:sz w:val="21"/>
                <w:szCs w:val="21"/>
                <w:highlight w:val="none"/>
              </w:rPr>
              <w:t>厂界噪声</w:t>
            </w:r>
            <w:r>
              <w:rPr>
                <w:rFonts w:hint="eastAsia"/>
                <w:color w:val="auto"/>
                <w:kern w:val="0"/>
                <w:sz w:val="21"/>
                <w:szCs w:val="21"/>
                <w:highlight w:val="none"/>
              </w:rPr>
              <w:t>预测</w:t>
            </w:r>
            <w:r>
              <w:rPr>
                <w:color w:val="auto"/>
                <w:kern w:val="0"/>
                <w:sz w:val="21"/>
                <w:szCs w:val="21"/>
                <w:highlight w:val="none"/>
              </w:rPr>
              <w:t>值满足《工业企业厂界环境噪声排放标准》</w:t>
            </w:r>
            <w:r>
              <w:rPr>
                <w:rFonts w:hint="eastAsia"/>
                <w:color w:val="auto"/>
                <w:kern w:val="0"/>
                <w:sz w:val="21"/>
                <w:szCs w:val="21"/>
                <w:highlight w:val="none"/>
                <w:lang w:eastAsia="zh-CN"/>
              </w:rPr>
              <w:t>(</w:t>
            </w:r>
            <w:r>
              <w:rPr>
                <w:color w:val="auto"/>
                <w:kern w:val="0"/>
                <w:sz w:val="21"/>
                <w:szCs w:val="21"/>
                <w:highlight w:val="none"/>
              </w:rPr>
              <w:t>GB13248-2008)</w:t>
            </w:r>
            <w:r>
              <w:rPr>
                <w:rFonts w:hint="eastAsia"/>
                <w:color w:val="auto"/>
                <w:kern w:val="0"/>
                <w:sz w:val="21"/>
                <w:szCs w:val="21"/>
                <w:highlight w:val="none"/>
                <w:lang w:val="en-US" w:eastAsia="zh-CN"/>
              </w:rPr>
              <w:t>3</w:t>
            </w:r>
            <w:r>
              <w:rPr>
                <w:color w:val="auto"/>
                <w:kern w:val="0"/>
                <w:sz w:val="21"/>
                <w:szCs w:val="21"/>
                <w:highlight w:val="none"/>
              </w:rPr>
              <w:t>类标准要求。</w:t>
            </w:r>
          </w:p>
          <w:p w14:paraId="6BEE443F">
            <w:pP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(3)资源利用上线：本项目为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eastAsiaTheme="minorEastAsia"/>
                <w:color w:val="auto"/>
                <w:kern w:val="0"/>
                <w:sz w:val="21"/>
                <w:szCs w:val="21"/>
                <w:highlight w:val="none"/>
              </w:rPr>
              <w:t>，使用的能源主要为电能、水</w:t>
            </w:r>
            <w:r>
              <w:rPr>
                <w:rFonts w:hint="eastAsia" w:cs="Times New Roman" w:eastAsiaTheme="minorEastAsia"/>
                <w:color w:val="auto"/>
                <w:kern w:val="0"/>
                <w:sz w:val="21"/>
                <w:szCs w:val="21"/>
                <w:highlight w:val="none"/>
                <w:lang w:eastAsia="zh-CN"/>
              </w:rPr>
              <w:t>、</w:t>
            </w:r>
            <w:r>
              <w:rPr>
                <w:rFonts w:hint="eastAsia" w:cs="Times New Roman" w:eastAsiaTheme="minorEastAsia"/>
                <w:color w:val="auto"/>
                <w:kern w:val="0"/>
                <w:sz w:val="21"/>
                <w:szCs w:val="21"/>
                <w:highlight w:val="none"/>
                <w:lang w:val="en-US" w:eastAsia="zh-CN"/>
              </w:rPr>
              <w:t>土地</w:t>
            </w:r>
            <w:r>
              <w:rPr>
                <w:rFonts w:hint="default" w:ascii="Times New Roman" w:hAnsi="Times New Roman" w:cs="Times New Roman" w:eastAsiaTheme="minorEastAsia"/>
                <w:color w:val="auto"/>
                <w:kern w:val="0"/>
                <w:sz w:val="21"/>
                <w:szCs w:val="21"/>
                <w:highlight w:val="none"/>
              </w:rPr>
              <w:t>。</w:t>
            </w:r>
            <w:r>
              <w:rPr>
                <w:rFonts w:hint="eastAsia"/>
                <w:color w:val="auto"/>
                <w:sz w:val="21"/>
                <w:szCs w:val="21"/>
                <w:highlight w:val="none"/>
              </w:rPr>
              <w:t>项目用电</w:t>
            </w:r>
            <w:r>
              <w:rPr>
                <w:rFonts w:hint="eastAsia"/>
                <w:color w:val="auto"/>
                <w:sz w:val="21"/>
                <w:szCs w:val="21"/>
                <w:highlight w:val="none"/>
                <w:lang w:val="en-US" w:eastAsia="zh-CN"/>
              </w:rPr>
              <w:t>由唐山松汀钢铁有限公司现有供电管网提供</w:t>
            </w:r>
            <w:r>
              <w:rPr>
                <w:rFonts w:hint="default" w:ascii="Times New Roman" w:hAnsi="Times New Roman" w:cs="Times New Roman"/>
                <w:color w:val="auto"/>
                <w:sz w:val="21"/>
                <w:szCs w:val="21"/>
                <w:highlight w:val="none"/>
              </w:rPr>
              <w:t>，能够满足项目用电要求，年用电量为</w:t>
            </w:r>
            <w:r>
              <w:rPr>
                <w:rFonts w:hint="eastAsia" w:cs="Times New Roman"/>
                <w:color w:val="auto"/>
                <w:sz w:val="21"/>
                <w:szCs w:val="21"/>
                <w:highlight w:val="none"/>
                <w:lang w:val="en-US" w:eastAsia="zh-CN"/>
              </w:rPr>
              <w:t>50.99</w:t>
            </w:r>
            <w:r>
              <w:rPr>
                <w:rFonts w:hint="default" w:ascii="Times New Roman" w:hAnsi="Times New Roman" w:cs="Times New Roman"/>
                <w:color w:val="auto"/>
                <w:sz w:val="21"/>
                <w:szCs w:val="21"/>
                <w:highlight w:val="none"/>
              </w:rPr>
              <w:t>万kW·h</w:t>
            </w:r>
            <w:r>
              <w:rPr>
                <w:rFonts w:hint="default" w:ascii="Times New Roman" w:hAnsi="Times New Roman" w:cs="Times New Roman" w:eastAsiaTheme="minorEastAsia"/>
                <w:color w:val="auto"/>
                <w:kern w:val="0"/>
                <w:sz w:val="21"/>
                <w:szCs w:val="21"/>
                <w:highlight w:val="none"/>
              </w:rPr>
              <w:t>，年消耗能源较少，</w:t>
            </w:r>
            <w:r>
              <w:rPr>
                <w:rFonts w:hint="eastAsia"/>
                <w:color w:val="auto"/>
                <w:sz w:val="21"/>
                <w:szCs w:val="21"/>
                <w:highlight w:val="none"/>
                <w:lang w:val="en-US" w:eastAsia="zh-CN"/>
              </w:rPr>
              <w:t>用水由现有供水管网提供，用水量较小</w:t>
            </w:r>
            <w:r>
              <w:rPr>
                <w:rFonts w:hint="default" w:ascii="Times New Roman" w:hAnsi="Times New Roman" w:cs="Times New Roman" w:eastAsiaTheme="minorEastAsia"/>
                <w:color w:val="auto"/>
                <w:kern w:val="0"/>
                <w:sz w:val="21"/>
                <w:szCs w:val="21"/>
                <w:highlight w:val="none"/>
                <w:lang w:eastAsia="zh-CN"/>
              </w:rPr>
              <w:t>，</w:t>
            </w:r>
            <w:r>
              <w:rPr>
                <w:rFonts w:hint="eastAsia" w:cs="Times New Roman" w:eastAsiaTheme="minorEastAsia"/>
                <w:color w:val="auto"/>
                <w:kern w:val="0"/>
                <w:sz w:val="21"/>
                <w:szCs w:val="21"/>
                <w:highlight w:val="none"/>
                <w:lang w:val="en-US" w:eastAsia="zh-CN"/>
              </w:rPr>
              <w:t>项目位于现有公司内，不新增占地，</w:t>
            </w:r>
            <w:r>
              <w:rPr>
                <w:rFonts w:hint="default" w:ascii="Times New Roman" w:hAnsi="Times New Roman" w:cs="Times New Roman" w:eastAsiaTheme="minorEastAsia"/>
                <w:color w:val="auto"/>
                <w:kern w:val="0"/>
                <w:sz w:val="21"/>
                <w:szCs w:val="21"/>
                <w:highlight w:val="none"/>
              </w:rPr>
              <w:t>满足资源利用上线要求。</w:t>
            </w:r>
          </w:p>
          <w:p w14:paraId="694C2A9B">
            <w:pPr>
              <w:keepNext w:val="0"/>
              <w:keepLines w:val="0"/>
              <w:widowControl/>
              <w:suppressLineNumbers w:val="0"/>
              <w:jc w:val="left"/>
              <w:rPr>
                <w:rFonts w:hint="eastAsia" w:ascii="Times New Roman" w:hAnsi="Times New Roman" w:cs="Times New Roman" w:eastAsiaTheme="minorEastAsia"/>
                <w:color w:val="auto"/>
                <w:kern w:val="0"/>
                <w:sz w:val="21"/>
                <w:szCs w:val="21"/>
                <w:highlight w:val="none"/>
                <w:lang w:eastAsia="zh-CN"/>
              </w:rPr>
            </w:pPr>
            <w:r>
              <w:rPr>
                <w:rFonts w:hint="default" w:ascii="Times New Roman" w:hAnsi="Times New Roman" w:cs="Times New Roman" w:eastAsiaTheme="minorEastAsia"/>
                <w:color w:val="auto"/>
                <w:kern w:val="0"/>
                <w:sz w:val="21"/>
                <w:szCs w:val="21"/>
                <w:highlight w:val="none"/>
              </w:rPr>
              <w:t>(4)环境准入清单：本项目属于《产业结构调整指导目录(2024年本)》中鼓励类</w:t>
            </w:r>
            <w:r>
              <w:rPr>
                <w:rFonts w:hint="eastAsia" w:cs="Times New Roman" w:eastAsiaTheme="minorEastAsia"/>
                <w:color w:val="auto"/>
                <w:kern w:val="0"/>
                <w:sz w:val="21"/>
                <w:szCs w:val="21"/>
                <w:highlight w:val="none"/>
                <w:lang w:eastAsia="zh-CN"/>
              </w:rPr>
              <w:t>，</w:t>
            </w:r>
            <w:r>
              <w:rPr>
                <w:rFonts w:hint="eastAsia" w:ascii="Times New Roman" w:hAnsi="Times New Roman" w:cs="Times New Roman" w:eastAsiaTheme="minorEastAsia"/>
                <w:color w:val="auto"/>
                <w:kern w:val="0"/>
                <w:sz w:val="21"/>
                <w:szCs w:val="21"/>
                <w:highlight w:val="none"/>
                <w:lang w:val="en-US" w:eastAsia="zh-CN"/>
              </w:rPr>
              <w:t>不属于《市场准入负面清单(2025年版)》的禁止</w:t>
            </w:r>
            <w:r>
              <w:rPr>
                <w:rFonts w:hint="eastAsia" w:cs="Times New Roman" w:eastAsiaTheme="minorEastAsia"/>
                <w:color w:val="auto"/>
                <w:kern w:val="0"/>
                <w:sz w:val="21"/>
                <w:szCs w:val="21"/>
                <w:highlight w:val="none"/>
                <w:lang w:val="en-US" w:eastAsia="zh-CN"/>
              </w:rPr>
              <w:t>准入</w:t>
            </w:r>
            <w:r>
              <w:rPr>
                <w:rFonts w:hint="eastAsia" w:ascii="Times New Roman" w:hAnsi="Times New Roman" w:cs="Times New Roman" w:eastAsiaTheme="minorEastAsia"/>
                <w:color w:val="auto"/>
                <w:kern w:val="0"/>
                <w:sz w:val="21"/>
                <w:szCs w:val="21"/>
                <w:highlight w:val="none"/>
                <w:lang w:val="en-US" w:eastAsia="zh-CN"/>
              </w:rPr>
              <w:t>类项目，属于市场准入负面清单以外的行业、领域、业务等，市场主体可依法平等进入。</w:t>
            </w:r>
          </w:p>
          <w:p w14:paraId="1E9F8630">
            <w:pPr>
              <w:keepNext w:val="0"/>
              <w:keepLines w:val="0"/>
              <w:widowControl/>
              <w:suppressLineNumbers w:val="0"/>
              <w:jc w:val="left"/>
              <w:rPr>
                <w:color w:val="auto"/>
                <w:sz w:val="21"/>
                <w:szCs w:val="21"/>
                <w:highlight w:val="none"/>
              </w:rPr>
            </w:pPr>
            <w:r>
              <w:rPr>
                <w:rFonts w:hint="eastAsia" w:ascii="宋体" w:hAnsi="宋体" w:eastAsia="宋体" w:cs="宋体"/>
                <w:color w:val="auto"/>
                <w:kern w:val="0"/>
                <w:sz w:val="21"/>
                <w:szCs w:val="21"/>
                <w:highlight w:val="none"/>
                <w:lang w:val="en-US" w:eastAsia="zh-CN" w:bidi="ar"/>
              </w:rPr>
              <w:t>(5)“三线一单”分区管控要求</w:t>
            </w:r>
          </w:p>
          <w:p w14:paraId="4057802A">
            <w:pP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①与《河北省人民政府关于加快实施“三线一单”生态环境分区管控的意见》(冀政字[2020]71号)的符合性分析</w:t>
            </w:r>
          </w:p>
          <w:p w14:paraId="43C907A3">
            <w:pPr>
              <w:jc w:val="both"/>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rPr>
              <w:t>根据《河北省人民政府关于加快实施“三线一单”生态环境分区管控的意见》(冀政字[2020]71号)，环境管控单元包括优先保护、重点管控和一般管控单元三类：</w:t>
            </w:r>
          </w:p>
          <w:p w14:paraId="2218DF79">
            <w:pPr>
              <w:jc w:val="both"/>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rPr>
              <w:t>优先保护单元：主要包括生态保护红线，各类自然保护地、饮用水水源保护区、海洋红线区及其他重要生态功能区等一般生态空间。</w:t>
            </w:r>
          </w:p>
          <w:p w14:paraId="297B0D8D">
            <w:pPr>
              <w:jc w:val="both"/>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rPr>
              <w:t>重点管控单元：主要包括城市规划区、省级以上产业园区、港区和开发强度高、污染物排放强度大、环境问题较为突出的区域等。</w:t>
            </w:r>
          </w:p>
          <w:p w14:paraId="009B2CE1">
            <w:pPr>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rPr>
              <w:t>一般管控单元：优先保护单元和重点管控单元之外的其他区域</w:t>
            </w:r>
            <w:r>
              <w:rPr>
                <w:rFonts w:hint="default" w:ascii="Times New Roman" w:hAnsi="Times New Roman" w:cs="Times New Roman"/>
                <w:color w:val="auto"/>
                <w:kern w:val="0"/>
                <w:sz w:val="21"/>
                <w:szCs w:val="21"/>
                <w:highlight w:val="none"/>
                <w:lang w:val="zh-TW"/>
              </w:rPr>
              <w:t>。</w:t>
            </w:r>
            <w:r>
              <w:rPr>
                <w:rFonts w:hint="default" w:ascii="Times New Roman" w:hAnsi="Times New Roman" w:cs="Times New Roman"/>
                <w:color w:val="auto"/>
                <w:kern w:val="0"/>
                <w:sz w:val="21"/>
                <w:szCs w:val="21"/>
                <w:highlight w:val="none"/>
              </w:rPr>
              <w:t>项目与与河北省“三线一单”符合性分析见</w:t>
            </w:r>
            <w:r>
              <w:rPr>
                <w:rFonts w:hint="default" w:ascii="Times New Roman" w:hAnsi="Times New Roman" w:cs="Times New Roman"/>
                <w:color w:val="auto"/>
                <w:kern w:val="0"/>
                <w:sz w:val="21"/>
                <w:szCs w:val="21"/>
                <w:highlight w:val="none"/>
              </w:rPr>
              <w:pict>
                <v:shape id="_x0000_i1027" o:spt="75" type="#_x0000_t75" style="height:0.05pt;width:0.05pt;" filled="f" o:preferrelative="t" stroked="f" coordsize="21600,21600">
                  <v:path/>
                  <v:fill on="f" focussize="0,0"/>
                  <v:stroke on="f" joinstyle="miter"/>
                  <v:imagedata o:title=""/>
                  <o:lock v:ext="edit" aspectratio="t"/>
                  <w10:wrap type="none"/>
                  <w10:anchorlock/>
                </v:shape>
              </w:pict>
            </w:r>
            <w:r>
              <w:rPr>
                <w:rFonts w:hint="default" w:ascii="Times New Roman" w:hAnsi="Times New Roman" w:cs="Times New Roman"/>
                <w:color w:val="auto"/>
                <w:kern w:val="0"/>
                <w:sz w:val="21"/>
                <w:szCs w:val="21"/>
                <w:highlight w:val="none"/>
              </w:rPr>
              <w:fldChar w:fldCharType="begin"/>
            </w:r>
            <w:r>
              <w:rPr>
                <w:color w:val="auto"/>
              </w:rPr>
              <w:instrText xml:space="preserve"> REF _Ref19014 \h  \* MERGEFORMAT</w:instrText>
            </w:r>
            <w:r>
              <w:rPr>
                <w:rFonts w:hint="default" w:ascii="Times New Roman" w:hAnsi="Times New Roman" w:cs="Times New Roman"/>
                <w:color w:val="auto"/>
                <w:kern w:val="0"/>
                <w:sz w:val="21"/>
                <w:szCs w:val="21"/>
                <w:highlight w:val="none"/>
              </w:rPr>
              <w:fldChar w:fldCharType="separate"/>
            </w:r>
            <w:r>
              <w:rPr>
                <w:rFonts w:hint="default" w:ascii="Times New Roman" w:hAnsi="Times New Roman" w:cs="Times New Roman"/>
                <w:color w:val="auto"/>
                <w:sz w:val="21"/>
                <w:szCs w:val="21"/>
                <w:highlight w:val="none"/>
              </w:rPr>
              <w:t>表1</w:t>
            </w:r>
            <w:r>
              <w:rPr>
                <w:rFonts w:hint="default" w:ascii="Times New Roman" w:hAnsi="Times New Roman" w:cs="Times New Roman"/>
                <w:color w:val="auto"/>
                <w:kern w:val="0"/>
                <w:sz w:val="21"/>
                <w:szCs w:val="21"/>
                <w:highlight w:val="none"/>
              </w:rPr>
              <w:fldChar w:fldCharType="end"/>
            </w:r>
            <w:r>
              <w:rPr>
                <w:rFonts w:hint="eastAsia" w:ascii="Times New Roman" w:hAnsi="Times New Roman" w:cs="Times New Roman"/>
                <w:color w:val="auto"/>
                <w:kern w:val="0"/>
                <w:sz w:val="21"/>
                <w:szCs w:val="21"/>
                <w:highlight w:val="none"/>
                <w:lang w:val="en-US" w:eastAsia="zh-CN"/>
              </w:rPr>
              <w:t>-</w:t>
            </w:r>
            <w:r>
              <w:rPr>
                <w:rFonts w:hint="eastAsia" w:cs="Times New Roman"/>
                <w:color w:val="auto"/>
                <w:kern w:val="0"/>
                <w:sz w:val="21"/>
                <w:szCs w:val="21"/>
                <w:highlight w:val="none"/>
                <w:lang w:val="en-US" w:eastAsia="zh-CN"/>
              </w:rPr>
              <w:t>6</w:t>
            </w:r>
            <w:r>
              <w:rPr>
                <w:rFonts w:hint="default" w:ascii="Times New Roman" w:hAnsi="Times New Roman" w:cs="Times New Roman"/>
                <w:color w:val="auto"/>
                <w:kern w:val="0"/>
                <w:sz w:val="21"/>
                <w:szCs w:val="21"/>
                <w:highlight w:val="none"/>
              </w:rPr>
              <w:t>。</w:t>
            </w:r>
          </w:p>
          <w:p w14:paraId="1C91332A">
            <w:pPr>
              <w:pStyle w:val="21"/>
              <w:rPr>
                <w:rFonts w:hint="default" w:ascii="Times New Roman" w:hAnsi="Times New Roman" w:cs="Times New Roman"/>
                <w:color w:val="auto"/>
                <w:highlight w:val="none"/>
              </w:rPr>
            </w:pPr>
            <w:bookmarkStart w:id="3" w:name="_Ref19014"/>
            <w:bookmarkStart w:id="4" w:name="_Ref18992"/>
            <w:r>
              <w:rPr>
                <w:rFonts w:hint="default" w:ascii="Times New Roman" w:hAnsi="Times New Roman" w:cs="Times New Roman"/>
                <w:color w:val="auto"/>
                <w:highlight w:val="none"/>
              </w:rPr>
              <w:t>表</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SEQ 表 \* ARABIC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1</w:t>
            </w:r>
            <w:r>
              <w:rPr>
                <w:rFonts w:hint="default" w:ascii="Times New Roman" w:hAnsi="Times New Roman" w:cs="Times New Roman"/>
                <w:color w:val="auto"/>
                <w:highlight w:val="none"/>
              </w:rPr>
              <w:fldChar w:fldCharType="end"/>
            </w:r>
            <w:bookmarkEnd w:id="3"/>
            <w:r>
              <w:rPr>
                <w:rFonts w:hint="eastAsia" w:ascii="Times New Roman" w:hAnsi="Times New Roman" w:cs="Times New Roman"/>
                <w:color w:val="auto"/>
                <w:highlight w:val="none"/>
                <w:lang w:val="en-US" w:eastAsia="zh-CN"/>
              </w:rPr>
              <w:t>-</w:t>
            </w:r>
            <w:r>
              <w:rPr>
                <w:rFonts w:hint="eastAsia" w:cs="Times New Roman"/>
                <w:color w:val="auto"/>
                <w:highlight w:val="none"/>
                <w:lang w:val="en-US" w:eastAsia="zh-CN"/>
              </w:rPr>
              <w:t>6</w:t>
            </w:r>
            <w:r>
              <w:rPr>
                <w:rFonts w:hint="default" w:ascii="Times New Roman" w:hAnsi="Times New Roman" w:cs="Times New Roman"/>
                <w:color w:val="auto"/>
                <w:highlight w:val="none"/>
              </w:rPr>
              <w:t xml:space="preserve">    本项目与河北省“三线一单”符合性分析一览表</w:t>
            </w:r>
            <w:bookmarkEnd w:id="4"/>
          </w:p>
          <w:tbl>
            <w:tblPr>
              <w:tblStyle w:val="84"/>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3"/>
              <w:gridCol w:w="3065"/>
              <w:gridCol w:w="2737"/>
              <w:gridCol w:w="673"/>
            </w:tblGrid>
            <w:tr w14:paraId="0ED29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9" w:type="pct"/>
                  <w:vAlign w:val="center"/>
                </w:tcPr>
                <w:p w14:paraId="5C7AB50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类型</w:t>
                  </w:r>
                </w:p>
              </w:tc>
              <w:tc>
                <w:tcPr>
                  <w:tcW w:w="2035" w:type="pct"/>
                  <w:vAlign w:val="center"/>
                </w:tcPr>
                <w:p w14:paraId="2B30235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管控要求</w:t>
                  </w:r>
                </w:p>
              </w:tc>
              <w:tc>
                <w:tcPr>
                  <w:tcW w:w="1817" w:type="pct"/>
                  <w:vAlign w:val="center"/>
                </w:tcPr>
                <w:p w14:paraId="3912206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本项目相关内容</w:t>
                  </w:r>
                </w:p>
              </w:tc>
              <w:tc>
                <w:tcPr>
                  <w:tcW w:w="447" w:type="pct"/>
                  <w:vAlign w:val="center"/>
                </w:tcPr>
                <w:p w14:paraId="18FB7E9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符合性</w:t>
                  </w:r>
                </w:p>
              </w:tc>
            </w:tr>
            <w:tr w14:paraId="6CA64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9" w:type="pct"/>
                  <w:vAlign w:val="center"/>
                </w:tcPr>
                <w:p w14:paraId="29B5ADA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生态保护红线</w:t>
                  </w:r>
                </w:p>
              </w:tc>
              <w:tc>
                <w:tcPr>
                  <w:tcW w:w="2035" w:type="pct"/>
                  <w:vAlign w:val="center"/>
                </w:tcPr>
                <w:p w14:paraId="5D9F7B7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重要生态功能区域生态功能不降低、面积不减少、性质不改变。</w:t>
                  </w:r>
                </w:p>
              </w:tc>
              <w:tc>
                <w:tcPr>
                  <w:tcW w:w="1817" w:type="pct"/>
                  <w:vAlign w:val="center"/>
                </w:tcPr>
                <w:p w14:paraId="07F8D29C">
                  <w:pPr>
                    <w:keepNext w:val="0"/>
                    <w:keepLines w:val="0"/>
                    <w:pageBreakBefore w:val="0"/>
                    <w:widowControl/>
                    <w:kinsoku/>
                    <w:wordWrap/>
                    <w:overflowPunct/>
                    <w:topLinePunct w:val="0"/>
                    <w:autoSpaceDE w:val="0"/>
                    <w:autoSpaceDN w:val="0"/>
                    <w:bidi w:val="0"/>
                    <w:adjustRightInd w:val="0"/>
                    <w:snapToGrid w:val="0"/>
                    <w:spacing w:line="280" w:lineRule="exact"/>
                    <w:ind w:left="0" w:leftChars="0" w:firstLine="0" w:firstLineChars="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根据《</w:t>
                  </w:r>
                  <w:r>
                    <w:rPr>
                      <w:rFonts w:hint="default" w:ascii="Times New Roman" w:hAnsi="Times New Roman" w:eastAsia="宋体" w:cs="Times New Roman"/>
                      <w:color w:val="auto"/>
                      <w:sz w:val="21"/>
                      <w:szCs w:val="21"/>
                      <w:highlight w:val="none"/>
                    </w:rPr>
                    <w:t>迁安市国土空间总体规划</w:t>
                  </w:r>
                  <w:r>
                    <w:rPr>
                      <w:rFonts w:hint="default" w:ascii="Times New Roman" w:hAnsi="Times New Roman" w:eastAsia="宋体" w:cs="Times New Roman"/>
                      <w:color w:val="auto"/>
                      <w:kern w:val="0"/>
                      <w:sz w:val="21"/>
                      <w:szCs w:val="21"/>
                      <w:highlight w:val="none"/>
                    </w:rPr>
                    <w:t>》</w:t>
                  </w:r>
                  <w:r>
                    <w:rPr>
                      <w:rFonts w:hint="default" w:ascii="Times New Roman" w:hAnsi="Times New Roman" w:eastAsia="宋体" w:cs="Times New Roman"/>
                      <w:color w:val="auto"/>
                      <w:kern w:val="0"/>
                      <w:sz w:val="21"/>
                      <w:szCs w:val="21"/>
                      <w:highlight w:val="none"/>
                      <w:lang w:val="en-US" w:eastAsia="zh-CN"/>
                    </w:rPr>
                    <w:t>(2021-2035年)</w:t>
                  </w:r>
                  <w:r>
                    <w:rPr>
                      <w:rFonts w:hint="default" w:ascii="Times New Roman" w:hAnsi="Times New Roman" w:eastAsia="宋体" w:cs="Times New Roman"/>
                      <w:color w:val="auto"/>
                      <w:kern w:val="0"/>
                      <w:sz w:val="21"/>
                      <w:szCs w:val="21"/>
                      <w:highlight w:val="none"/>
                    </w:rPr>
                    <w:t>，本项目不在生态保护红线区内，</w:t>
                  </w:r>
                  <w:r>
                    <w:rPr>
                      <w:rFonts w:hint="default" w:ascii="Times New Roman" w:hAnsi="Times New Roman" w:eastAsia="宋体" w:cs="Times New Roman"/>
                      <w:color w:val="auto"/>
                      <w:kern w:val="0"/>
                      <w:sz w:val="21"/>
                      <w:szCs w:val="21"/>
                      <w:highlight w:val="none"/>
                      <w:lang w:val="en-US" w:eastAsia="zh-CN"/>
                    </w:rPr>
                    <w:t>距离最近的生态保护红线为西南侧2.85km的</w:t>
                  </w:r>
                  <w:r>
                    <w:rPr>
                      <w:rFonts w:hint="default" w:ascii="Times New Roman" w:hAnsi="Times New Roman" w:eastAsia="宋体" w:cs="Times New Roman"/>
                      <w:color w:val="auto"/>
                      <w:kern w:val="0"/>
                      <w:sz w:val="21"/>
                      <w:szCs w:val="21"/>
                      <w:highlight w:val="none"/>
                    </w:rPr>
                    <w:t>燕山水源涵养-生物多样性维护生态保护红线。</w:t>
                  </w:r>
                </w:p>
              </w:tc>
              <w:tc>
                <w:tcPr>
                  <w:tcW w:w="447" w:type="pct"/>
                  <w:vAlign w:val="center"/>
                </w:tcPr>
                <w:p w14:paraId="0B8E59C7">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符合</w:t>
                  </w:r>
                </w:p>
              </w:tc>
            </w:tr>
            <w:tr w14:paraId="114E0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9" w:type="pct"/>
                  <w:vAlign w:val="center"/>
                </w:tcPr>
                <w:p w14:paraId="51C4EC6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环境质量底线</w:t>
                  </w:r>
                </w:p>
              </w:tc>
              <w:tc>
                <w:tcPr>
                  <w:tcW w:w="2035" w:type="pct"/>
                  <w:vAlign w:val="center"/>
                </w:tcPr>
                <w:p w14:paraId="47CE1A5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到2025年，地表水国考断面优良(Ⅲ类以上)比例、近岸海域优良海水比例逐步提升；PM</w:t>
                  </w:r>
                  <w:r>
                    <w:rPr>
                      <w:rFonts w:hint="default" w:ascii="Times New Roman" w:hAnsi="Times New Roman" w:eastAsia="宋体" w:cs="Times New Roman"/>
                      <w:color w:val="auto"/>
                      <w:kern w:val="0"/>
                      <w:sz w:val="21"/>
                      <w:szCs w:val="21"/>
                      <w:highlight w:val="none"/>
                      <w:vertAlign w:val="subscript"/>
                    </w:rPr>
                    <w:t>2.5</w:t>
                  </w:r>
                  <w:r>
                    <w:rPr>
                      <w:rFonts w:hint="default" w:ascii="Times New Roman" w:hAnsi="Times New Roman" w:eastAsia="宋体" w:cs="Times New Roman"/>
                      <w:color w:val="auto"/>
                      <w:kern w:val="0"/>
                      <w:sz w:val="21"/>
                      <w:szCs w:val="21"/>
                      <w:highlight w:val="none"/>
                    </w:rPr>
                    <w:t>年均浓度持续降低、优良天数比例稳步提升；土壤受污染耕地安全利用率、污染地块安全利用率进一步提升。</w:t>
                  </w:r>
                </w:p>
              </w:tc>
              <w:tc>
                <w:tcPr>
                  <w:tcW w:w="1817" w:type="pct"/>
                  <w:vAlign w:val="center"/>
                </w:tcPr>
                <w:p w14:paraId="1BC3DB3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项目采取了完善的环境治理措施，废气污染物排放满足</w:t>
                  </w:r>
                  <w:r>
                    <w:rPr>
                      <w:rFonts w:hint="eastAsia" w:ascii="Times New Roman" w:hAnsi="Times New Roman"/>
                      <w:color w:val="auto"/>
                      <w:sz w:val="21"/>
                      <w:szCs w:val="21"/>
                      <w:highlight w:val="none"/>
                    </w:rPr>
                    <w:t>《钢铁工业大气污染物超低排放标准》</w:t>
                  </w:r>
                  <w:r>
                    <w:rPr>
                      <w:rFonts w:hint="eastAsia" w:ascii="Times New Roman" w:hAnsi="Times New Roman"/>
                      <w:color w:val="auto"/>
                      <w:sz w:val="21"/>
                      <w:szCs w:val="21"/>
                      <w:highlight w:val="none"/>
                      <w:lang w:eastAsia="zh-CN"/>
                    </w:rPr>
                    <w:t>(</w:t>
                  </w:r>
                  <w:r>
                    <w:rPr>
                      <w:rFonts w:hint="eastAsia" w:ascii="Times New Roman" w:hAnsi="Times New Roman"/>
                      <w:color w:val="auto"/>
                      <w:sz w:val="21"/>
                      <w:szCs w:val="21"/>
                      <w:highlight w:val="none"/>
                    </w:rPr>
                    <w:t>DB</w:t>
                  </w:r>
                  <w:r>
                    <w:rPr>
                      <w:rFonts w:ascii="Times New Roman" w:hAnsi="Times New Roman"/>
                      <w:color w:val="auto"/>
                      <w:sz w:val="21"/>
                      <w:szCs w:val="21"/>
                      <w:highlight w:val="none"/>
                    </w:rPr>
                    <w:t>13</w:t>
                  </w:r>
                  <w:r>
                    <w:rPr>
                      <w:rFonts w:hint="eastAsia" w:ascii="Times New Roman" w:hAnsi="Times New Roman"/>
                      <w:color w:val="auto"/>
                      <w:sz w:val="21"/>
                      <w:szCs w:val="21"/>
                      <w:highlight w:val="none"/>
                    </w:rPr>
                    <w:t>/2169-2018)</w:t>
                  </w:r>
                  <w:r>
                    <w:rPr>
                      <w:rFonts w:hint="eastAsia"/>
                      <w:color w:val="auto"/>
                      <w:sz w:val="21"/>
                      <w:szCs w:val="21"/>
                      <w:highlight w:val="none"/>
                      <w:lang w:val="en-US" w:eastAsia="zh-CN"/>
                    </w:rPr>
                    <w:t>及</w:t>
                  </w:r>
                  <w:r>
                    <w:rPr>
                      <w:rFonts w:hint="eastAsia" w:ascii="Times New Roman" w:hAnsi="Times New Roman"/>
                      <w:color w:val="auto"/>
                      <w:sz w:val="21"/>
                      <w:szCs w:val="21"/>
                      <w:highlight w:val="none"/>
                      <w:lang w:eastAsia="zh-CN"/>
                    </w:rPr>
                    <w:t>《唐山市人民政府关于执行重点行业大气污染物排放特别要求的通知》(唐政字[2021]82号)中厂界无组织排放浓度限值要求</w:t>
                  </w:r>
                  <w:r>
                    <w:rPr>
                      <w:rFonts w:hint="default" w:ascii="Times New Roman" w:hAnsi="Times New Roman" w:eastAsia="宋体" w:cs="Times New Roman"/>
                      <w:color w:val="auto"/>
                      <w:kern w:val="0"/>
                      <w:sz w:val="21"/>
                      <w:szCs w:val="21"/>
                      <w:highlight w:val="none"/>
                      <w:lang w:val="en-US" w:eastAsia="zh-CN" w:bidi="ar"/>
                    </w:rPr>
                    <w:t>；</w:t>
                  </w:r>
                  <w:r>
                    <w:rPr>
                      <w:rFonts w:hint="default" w:ascii="Times New Roman" w:hAnsi="Times New Roman" w:eastAsia="宋体" w:cs="Times New Roman"/>
                      <w:color w:val="auto"/>
                      <w:sz w:val="21"/>
                      <w:szCs w:val="21"/>
                      <w:highlight w:val="none"/>
                      <w:lang w:val="en-US" w:eastAsia="zh-CN"/>
                    </w:rPr>
                    <w:t>项目洗车废水沉淀后循环使用</w:t>
                  </w:r>
                  <w:r>
                    <w:rPr>
                      <w:rFonts w:hint="default" w:ascii="Times New Roman" w:hAnsi="Times New Roman" w:eastAsia="宋体" w:cs="Times New Roman"/>
                      <w:color w:val="auto"/>
                      <w:sz w:val="21"/>
                      <w:szCs w:val="21"/>
                      <w:highlight w:val="none"/>
                    </w:rPr>
                    <w:t>。本项目无新增生活污水</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kern w:val="0"/>
                      <w:sz w:val="21"/>
                      <w:szCs w:val="21"/>
                      <w:highlight w:val="none"/>
                      <w:lang w:val="en-US" w:eastAsia="zh-CN" w:bidi="ar"/>
                    </w:rPr>
                    <w:t>不与地表水发生直接联系，不会对当地地表水环境造成影响；</w:t>
                  </w:r>
                  <w:r>
                    <w:rPr>
                      <w:rFonts w:hint="default" w:ascii="Times New Roman" w:hAnsi="Times New Roman" w:eastAsia="宋体" w:cs="Times New Roman"/>
                      <w:color w:val="auto"/>
                      <w:kern w:val="0"/>
                      <w:sz w:val="21"/>
                      <w:szCs w:val="21"/>
                      <w:highlight w:val="none"/>
                      <w:lang w:val="zh-CN"/>
                    </w:rPr>
                    <w:t>项目采取了完善的噪声控制措施，经预测，</w:t>
                  </w:r>
                  <w:r>
                    <w:rPr>
                      <w:rFonts w:hint="default" w:ascii="Times New Roman" w:hAnsi="Times New Roman" w:eastAsia="宋体" w:cs="Times New Roman"/>
                      <w:color w:val="auto"/>
                      <w:kern w:val="0"/>
                      <w:sz w:val="21"/>
                      <w:szCs w:val="21"/>
                      <w:highlight w:val="none"/>
                    </w:rPr>
                    <w:t>厂界噪声预测值满足《工业企业厂界环境噪声排放标准》</w:t>
                  </w:r>
                  <w:r>
                    <w:rPr>
                      <w:rFonts w:hint="default" w:ascii="Times New Roman" w:hAnsi="Times New Roman" w:eastAsia="宋体" w:cs="Times New Roman"/>
                      <w:color w:val="auto"/>
                      <w:kern w:val="0"/>
                      <w:sz w:val="21"/>
                      <w:szCs w:val="21"/>
                      <w:highlight w:val="none"/>
                      <w:lang w:eastAsia="zh-CN"/>
                    </w:rPr>
                    <w:t>(</w:t>
                  </w:r>
                  <w:r>
                    <w:rPr>
                      <w:rFonts w:hint="default" w:ascii="Times New Roman" w:hAnsi="Times New Roman" w:eastAsia="宋体" w:cs="Times New Roman"/>
                      <w:color w:val="auto"/>
                      <w:kern w:val="0"/>
                      <w:sz w:val="21"/>
                      <w:szCs w:val="21"/>
                      <w:highlight w:val="none"/>
                    </w:rPr>
                    <w:t>GB13248-2008)</w:t>
                  </w:r>
                  <w:r>
                    <w:rPr>
                      <w:rFonts w:hint="default" w:ascii="Times New Roman" w:hAnsi="Times New Roman" w:eastAsia="宋体" w:cs="Times New Roman"/>
                      <w:color w:val="auto"/>
                      <w:kern w:val="0"/>
                      <w:sz w:val="21"/>
                      <w:szCs w:val="21"/>
                      <w:highlight w:val="none"/>
                      <w:lang w:val="en-US" w:eastAsia="zh-CN"/>
                    </w:rPr>
                    <w:t>3</w:t>
                  </w:r>
                  <w:r>
                    <w:rPr>
                      <w:rFonts w:hint="default" w:ascii="Times New Roman" w:hAnsi="Times New Roman" w:eastAsia="宋体" w:cs="Times New Roman"/>
                      <w:color w:val="auto"/>
                      <w:kern w:val="0"/>
                      <w:sz w:val="21"/>
                      <w:szCs w:val="21"/>
                      <w:highlight w:val="none"/>
                    </w:rPr>
                    <w:t>类标准要求</w:t>
                  </w:r>
                  <w:r>
                    <w:rPr>
                      <w:rFonts w:hint="default" w:ascii="Times New Roman" w:hAnsi="Times New Roman" w:eastAsia="宋体" w:cs="Times New Roman"/>
                      <w:color w:val="auto"/>
                      <w:kern w:val="0"/>
                      <w:sz w:val="21"/>
                      <w:szCs w:val="21"/>
                      <w:highlight w:val="none"/>
                      <w:lang w:eastAsia="zh-CN"/>
                    </w:rPr>
                    <w:t>。</w:t>
                  </w:r>
                </w:p>
              </w:tc>
              <w:tc>
                <w:tcPr>
                  <w:tcW w:w="447" w:type="pct"/>
                  <w:vAlign w:val="center"/>
                </w:tcPr>
                <w:p w14:paraId="4C1FD2F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符合</w:t>
                  </w:r>
                </w:p>
              </w:tc>
            </w:tr>
            <w:tr w14:paraId="35DFA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9" w:type="pct"/>
                  <w:vAlign w:val="center"/>
                </w:tcPr>
                <w:p w14:paraId="39FEE27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资源利用上线</w:t>
                  </w:r>
                </w:p>
              </w:tc>
              <w:tc>
                <w:tcPr>
                  <w:tcW w:w="2035" w:type="pct"/>
                  <w:vAlign w:val="center"/>
                </w:tcPr>
                <w:p w14:paraId="4B7297C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1、以保障生态安全、改善环境质量为核心，合理确定全省资源利用上线目标，实现水资源与水环境、能源与大气环境、岸线与海洋环境的协同管控。</w:t>
                  </w:r>
                </w:p>
                <w:p w14:paraId="4B11923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2、到2035年，广泛形成绿色生产生活方式，生态环境根本好转，建成蓝天、碧水、净土的美丽河北。</w:t>
                  </w:r>
                </w:p>
              </w:tc>
              <w:tc>
                <w:tcPr>
                  <w:tcW w:w="1817" w:type="pct"/>
                  <w:vAlign w:val="center"/>
                </w:tcPr>
                <w:p w14:paraId="7A5E2E1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eastAsia"/>
                      <w:color w:val="auto"/>
                      <w:sz w:val="21"/>
                      <w:szCs w:val="21"/>
                      <w:highlight w:val="none"/>
                    </w:rPr>
                    <w:t>项目用电</w:t>
                  </w:r>
                  <w:r>
                    <w:rPr>
                      <w:rFonts w:hint="eastAsia"/>
                      <w:color w:val="auto"/>
                      <w:sz w:val="21"/>
                      <w:szCs w:val="21"/>
                      <w:highlight w:val="none"/>
                      <w:lang w:val="en-US" w:eastAsia="zh-CN"/>
                    </w:rPr>
                    <w:t>由唐山松汀钢铁有限公司现有供电管网提供</w:t>
                  </w:r>
                  <w:r>
                    <w:rPr>
                      <w:rFonts w:hint="default" w:ascii="Times New Roman" w:hAnsi="Times New Roman" w:cs="Times New Roman"/>
                      <w:color w:val="auto"/>
                      <w:sz w:val="21"/>
                      <w:szCs w:val="21"/>
                      <w:highlight w:val="none"/>
                    </w:rPr>
                    <w:t>，能够满足项目用电要求，年用电量为</w:t>
                  </w:r>
                  <w:r>
                    <w:rPr>
                      <w:rFonts w:hint="eastAsia" w:cs="Times New Roman"/>
                      <w:color w:val="auto"/>
                      <w:sz w:val="21"/>
                      <w:szCs w:val="21"/>
                      <w:highlight w:val="none"/>
                      <w:lang w:val="en-US" w:eastAsia="zh-CN"/>
                    </w:rPr>
                    <w:t>50.99</w:t>
                  </w:r>
                  <w:r>
                    <w:rPr>
                      <w:rFonts w:hint="default" w:ascii="Times New Roman" w:hAnsi="Times New Roman" w:cs="Times New Roman"/>
                      <w:color w:val="auto"/>
                      <w:sz w:val="21"/>
                      <w:szCs w:val="21"/>
                      <w:highlight w:val="none"/>
                    </w:rPr>
                    <w:t>万kW·h</w:t>
                  </w:r>
                  <w:r>
                    <w:rPr>
                      <w:rFonts w:hint="default" w:ascii="Times New Roman" w:hAnsi="Times New Roman" w:cs="Times New Roman" w:eastAsiaTheme="minorEastAsia"/>
                      <w:color w:val="auto"/>
                      <w:kern w:val="0"/>
                      <w:sz w:val="21"/>
                      <w:szCs w:val="21"/>
                      <w:highlight w:val="none"/>
                    </w:rPr>
                    <w:t>，年消耗能源较少，</w:t>
                  </w:r>
                  <w:r>
                    <w:rPr>
                      <w:rFonts w:hint="eastAsia"/>
                      <w:color w:val="auto"/>
                      <w:sz w:val="21"/>
                      <w:szCs w:val="21"/>
                      <w:highlight w:val="none"/>
                      <w:lang w:val="en-US" w:eastAsia="zh-CN"/>
                    </w:rPr>
                    <w:t>用水由现有供水管网提供，用水量较小</w:t>
                  </w:r>
                  <w:r>
                    <w:rPr>
                      <w:rFonts w:hint="default" w:ascii="Times New Roman" w:hAnsi="Times New Roman" w:cs="Times New Roman" w:eastAsiaTheme="minorEastAsia"/>
                      <w:color w:val="auto"/>
                      <w:kern w:val="0"/>
                      <w:sz w:val="21"/>
                      <w:szCs w:val="21"/>
                      <w:highlight w:val="none"/>
                      <w:lang w:eastAsia="zh-CN"/>
                    </w:rPr>
                    <w:t>，</w:t>
                  </w:r>
                  <w:r>
                    <w:rPr>
                      <w:rFonts w:hint="eastAsia" w:cs="Times New Roman" w:eastAsiaTheme="minorEastAsia"/>
                      <w:color w:val="auto"/>
                      <w:kern w:val="0"/>
                      <w:sz w:val="21"/>
                      <w:szCs w:val="21"/>
                      <w:highlight w:val="none"/>
                      <w:lang w:val="en-US" w:eastAsia="zh-CN"/>
                    </w:rPr>
                    <w:t>项目位于现有公司内，不新增占地，</w:t>
                  </w:r>
                  <w:r>
                    <w:rPr>
                      <w:rFonts w:hint="default" w:ascii="Times New Roman" w:hAnsi="Times New Roman" w:cs="Times New Roman" w:eastAsiaTheme="minorEastAsia"/>
                      <w:color w:val="auto"/>
                      <w:kern w:val="0"/>
                      <w:sz w:val="21"/>
                      <w:szCs w:val="21"/>
                      <w:highlight w:val="none"/>
                    </w:rPr>
                    <w:t>满足资源利用上线要求。</w:t>
                  </w:r>
                </w:p>
              </w:tc>
              <w:tc>
                <w:tcPr>
                  <w:tcW w:w="447" w:type="pct"/>
                  <w:vAlign w:val="center"/>
                </w:tcPr>
                <w:p w14:paraId="67AB83F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符合</w:t>
                  </w:r>
                </w:p>
              </w:tc>
            </w:tr>
            <w:tr w14:paraId="2FC7A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9" w:type="pct"/>
                  <w:vAlign w:val="center"/>
                </w:tcPr>
                <w:p w14:paraId="43020A4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生态环境管控总体要求</w:t>
                  </w:r>
                </w:p>
              </w:tc>
              <w:tc>
                <w:tcPr>
                  <w:tcW w:w="2035" w:type="pct"/>
                  <w:vAlign w:val="center"/>
                </w:tcPr>
                <w:p w14:paraId="7F7B520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val="0"/>
                    <w:bidi w:val="0"/>
                    <w:adjustRightInd w:val="0"/>
                    <w:snapToGrid w:val="0"/>
                    <w:spacing w:before="0" w:beforeAutospacing="0" w:after="0" w:afterAutospacing="0" w:line="280" w:lineRule="exact"/>
                    <w:ind w:left="0" w:right="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重点管控单元。。</w:t>
                  </w:r>
                </w:p>
                <w:p w14:paraId="2B862A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val="0"/>
                    <w:bidi w:val="0"/>
                    <w:adjustRightInd w:val="0"/>
                    <w:snapToGrid w:val="0"/>
                    <w:spacing w:before="0" w:beforeAutospacing="0" w:after="0" w:afterAutospacing="0" w:line="280" w:lineRule="exact"/>
                    <w:ind w:left="0" w:right="0"/>
                    <w:jc w:val="left"/>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lang w:val="en-US" w:eastAsia="zh-CN" w:bidi="ar"/>
                    </w:rPr>
                    <w:t>省级以上产业园区重点管控单元。严格产业准入，完善园区设施建设，推动设施提标改造；实施污染物总量控制，落实排污许可证制度；强化资源利用效率和地下水开采管控。</w:t>
                  </w:r>
                </w:p>
              </w:tc>
              <w:tc>
                <w:tcPr>
                  <w:tcW w:w="1817" w:type="pct"/>
                  <w:vAlign w:val="center"/>
                </w:tcPr>
                <w:p w14:paraId="6D17330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rPr>
                    <w:t>项目</w:t>
                  </w:r>
                  <w:r>
                    <w:rPr>
                      <w:rFonts w:hint="default" w:ascii="Times New Roman" w:hAnsi="Times New Roman" w:eastAsia="宋体" w:cs="Times New Roman"/>
                      <w:color w:val="auto"/>
                      <w:kern w:val="0"/>
                      <w:sz w:val="21"/>
                      <w:szCs w:val="21"/>
                      <w:highlight w:val="none"/>
                    </w:rPr>
                    <w:t>位于</w:t>
                  </w:r>
                  <w:r>
                    <w:rPr>
                      <w:rFonts w:hint="default" w:ascii="Times New Roman" w:hAnsi="Times New Roman" w:eastAsia="宋体" w:cs="Times New Roman"/>
                      <w:color w:val="auto"/>
                      <w:kern w:val="0"/>
                      <w:sz w:val="21"/>
                      <w:szCs w:val="21"/>
                      <w:highlight w:val="none"/>
                      <w:lang w:val="en-US" w:eastAsia="zh-CN"/>
                    </w:rPr>
                    <w:t>重点</w:t>
                  </w:r>
                  <w:r>
                    <w:rPr>
                      <w:rFonts w:hint="default" w:ascii="Times New Roman" w:hAnsi="Times New Roman" w:eastAsia="宋体" w:cs="Times New Roman"/>
                      <w:color w:val="auto"/>
                      <w:kern w:val="0"/>
                      <w:sz w:val="21"/>
                      <w:szCs w:val="21"/>
                      <w:highlight w:val="none"/>
                    </w:rPr>
                    <w:t>管控单元。项目为</w:t>
                  </w:r>
                  <w:r>
                    <w:rPr>
                      <w:rFonts w:hint="default" w:ascii="Times New Roman" w:hAnsi="Times New Roman" w:eastAsia="宋体" w:cs="Times New Roman"/>
                      <w:snapToGrid/>
                      <w:color w:val="auto"/>
                      <w:kern w:val="0"/>
                      <w:sz w:val="21"/>
                      <w:szCs w:val="21"/>
                      <w:highlight w:val="none"/>
                      <w:lang w:val="en-US" w:eastAsia="zh-CN" w:bidi="ar-SA"/>
                    </w:rPr>
                    <w:t>废弃资源综合利用项目</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kern w:val="0"/>
                      <w:sz w:val="21"/>
                      <w:szCs w:val="21"/>
                      <w:highlight w:val="none"/>
                    </w:rPr>
                    <w:t>本项目属于《产业结构调整指导目录(2024年本)》中鼓励类</w:t>
                  </w:r>
                  <w:r>
                    <w:rPr>
                      <w:rFonts w:hint="default" w:ascii="Times New Roman" w:hAnsi="Times New Roman" w:eastAsia="宋体" w:cs="Times New Roman"/>
                      <w:color w:val="auto"/>
                      <w:kern w:val="0"/>
                      <w:sz w:val="21"/>
                      <w:szCs w:val="21"/>
                      <w:highlight w:val="none"/>
                      <w:lang w:eastAsia="zh-CN"/>
                    </w:rPr>
                    <w:t>，</w:t>
                  </w:r>
                  <w:r>
                    <w:rPr>
                      <w:rFonts w:hint="default" w:ascii="Times New Roman" w:hAnsi="Times New Roman" w:eastAsia="宋体" w:cs="Times New Roman"/>
                      <w:color w:val="auto"/>
                      <w:kern w:val="0"/>
                      <w:sz w:val="21"/>
                      <w:szCs w:val="21"/>
                      <w:highlight w:val="none"/>
                      <w:lang w:val="en-US" w:eastAsia="zh-CN"/>
                    </w:rPr>
                    <w:t>不属于《市场准入负面清单(2025年版)》的禁止</w:t>
                  </w:r>
                  <w:r>
                    <w:rPr>
                      <w:rFonts w:hint="eastAsia" w:cs="Times New Roman"/>
                      <w:color w:val="auto"/>
                      <w:kern w:val="0"/>
                      <w:sz w:val="21"/>
                      <w:szCs w:val="21"/>
                      <w:highlight w:val="none"/>
                      <w:lang w:val="en-US" w:eastAsia="zh-CN"/>
                    </w:rPr>
                    <w:t>准入</w:t>
                  </w:r>
                  <w:r>
                    <w:rPr>
                      <w:rFonts w:hint="default" w:ascii="Times New Roman" w:hAnsi="Times New Roman" w:eastAsia="宋体" w:cs="Times New Roman"/>
                      <w:color w:val="auto"/>
                      <w:kern w:val="0"/>
                      <w:sz w:val="21"/>
                      <w:szCs w:val="21"/>
                      <w:highlight w:val="none"/>
                      <w:lang w:val="en-US" w:eastAsia="zh-CN"/>
                    </w:rPr>
                    <w:t>类项目。</w:t>
                  </w:r>
                </w:p>
              </w:tc>
              <w:tc>
                <w:tcPr>
                  <w:tcW w:w="447" w:type="pct"/>
                  <w:vAlign w:val="center"/>
                </w:tcPr>
                <w:p w14:paraId="1D2BA75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符合</w:t>
                  </w:r>
                </w:p>
              </w:tc>
            </w:tr>
          </w:tbl>
          <w:p w14:paraId="0479FFF9">
            <w:pP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由上表分析可知，本项目符合河北省“三线一单”相关要求。</w:t>
            </w:r>
          </w:p>
          <w:p w14:paraId="47E5785C">
            <w:pP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项目位于</w:t>
            </w:r>
            <w:r>
              <w:rPr>
                <w:rFonts w:hint="default" w:ascii="Times New Roman" w:hAnsi="Times New Roman" w:cs="Times New Roman"/>
                <w:color w:val="auto"/>
                <w:kern w:val="0"/>
                <w:szCs w:val="21"/>
                <w:highlight w:val="none"/>
                <w:lang w:val="en-US" w:eastAsia="zh-CN"/>
              </w:rPr>
              <w:t>重点</w:t>
            </w:r>
            <w:r>
              <w:rPr>
                <w:rFonts w:hint="default" w:ascii="Times New Roman" w:hAnsi="Times New Roman" w:cs="Times New Roman"/>
                <w:color w:val="auto"/>
                <w:kern w:val="0"/>
                <w:szCs w:val="21"/>
                <w:highlight w:val="none"/>
              </w:rPr>
              <w:t>管控单元，在河北省环境管控单元分布图中的位置见</w:t>
            </w:r>
            <w:r>
              <w:rPr>
                <w:rFonts w:hint="default" w:ascii="Times New Roman" w:hAnsi="Times New Roman" w:cs="Times New Roman"/>
                <w:color w:val="auto"/>
                <w:kern w:val="0"/>
                <w:szCs w:val="21"/>
                <w:highlight w:val="none"/>
              </w:rPr>
              <w:fldChar w:fldCharType="begin"/>
            </w:r>
            <w:r>
              <w:rPr>
                <w:color w:val="auto"/>
              </w:rPr>
              <w:instrText xml:space="preserve"> REF _Ref4336 \h  \* MERGEFORMAT</w:instrText>
            </w:r>
            <w:r>
              <w:rPr>
                <w:rFonts w:hint="default" w:ascii="Times New Roman" w:hAnsi="Times New Roman" w:cs="Times New Roman"/>
                <w:color w:val="auto"/>
                <w:kern w:val="0"/>
                <w:szCs w:val="21"/>
                <w:highlight w:val="none"/>
              </w:rPr>
              <w:fldChar w:fldCharType="separate"/>
            </w:r>
            <w:r>
              <w:rPr>
                <w:rFonts w:hint="default" w:ascii="Times New Roman" w:hAnsi="Times New Roman" w:cs="Times New Roman"/>
                <w:color w:val="auto"/>
                <w:highlight w:val="none"/>
              </w:rPr>
              <w:t>图1</w:t>
            </w:r>
            <w:r>
              <w:rPr>
                <w:rFonts w:hint="default" w:ascii="Times New Roman" w:hAnsi="Times New Roman" w:cs="Times New Roman"/>
                <w:color w:val="auto"/>
                <w:kern w:val="0"/>
                <w:szCs w:val="21"/>
                <w:highlight w:val="none"/>
              </w:rPr>
              <w:fldChar w:fldCharType="end"/>
            </w:r>
            <w:r>
              <w:rPr>
                <w:rFonts w:hint="eastAsia" w:ascii="Times New Roman" w:hAnsi="Times New Roman" w:cs="Times New Roman"/>
                <w:color w:val="auto"/>
                <w:kern w:val="0"/>
                <w:szCs w:val="21"/>
                <w:highlight w:val="none"/>
                <w:lang w:val="en-US" w:eastAsia="zh-CN"/>
              </w:rPr>
              <w:t>-</w:t>
            </w:r>
            <w:r>
              <w:rPr>
                <w:rFonts w:hint="eastAsia" w:cs="Times New Roman"/>
                <w:color w:val="auto"/>
                <w:kern w:val="0"/>
                <w:szCs w:val="21"/>
                <w:highlight w:val="none"/>
                <w:lang w:val="en-US" w:eastAsia="zh-CN"/>
              </w:rPr>
              <w:t>4</w:t>
            </w:r>
            <w:r>
              <w:rPr>
                <w:rFonts w:hint="default" w:ascii="Times New Roman" w:hAnsi="Times New Roman" w:cs="Times New Roman"/>
                <w:color w:val="auto"/>
                <w:kern w:val="0"/>
                <w:szCs w:val="21"/>
                <w:highlight w:val="none"/>
              </w:rPr>
              <w:t>。</w:t>
            </w:r>
          </w:p>
          <w:p w14:paraId="50CB913B">
            <w:pPr>
              <w:pStyle w:val="2"/>
              <w:ind w:firstLine="0" w:firstLineChars="0"/>
              <w:jc w:val="center"/>
              <w:rPr>
                <w:rFonts w:hint="default" w:ascii="Times New Roman" w:hAnsi="Times New Roman" w:cs="Times New Roman"/>
                <w:color w:val="auto"/>
                <w:kern w:val="0"/>
                <w:highlight w:val="yellow"/>
              </w:rPr>
            </w:pPr>
            <w:r>
              <w:rPr>
                <w:rFonts w:hint="default" w:ascii="Times New Roman" w:hAnsi="Times New Roman" w:cs="Times New Roman"/>
                <w:color w:val="auto"/>
                <w:kern w:val="0"/>
                <w:highlight w:val="none"/>
              </w:rPr>
              <mc:AlternateContent>
                <mc:Choice Requires="wps">
                  <w:drawing>
                    <wp:anchor distT="0" distB="0" distL="114300" distR="114300" simplePos="0" relativeHeight="251662336" behindDoc="0" locked="0" layoutInCell="1" allowOverlap="1">
                      <wp:simplePos x="0" y="0"/>
                      <wp:positionH relativeFrom="column">
                        <wp:posOffset>3119120</wp:posOffset>
                      </wp:positionH>
                      <wp:positionV relativeFrom="paragraph">
                        <wp:posOffset>1019810</wp:posOffset>
                      </wp:positionV>
                      <wp:extent cx="1107440" cy="273050"/>
                      <wp:effectExtent l="5080" t="5080" r="11430" b="1055370"/>
                      <wp:wrapNone/>
                      <wp:docPr id="26" name="圆角矩形标注 26"/>
                      <wp:cNvGraphicFramePr/>
                      <a:graphic xmlns:a="http://schemas.openxmlformats.org/drawingml/2006/main">
                        <a:graphicData uri="http://schemas.microsoft.com/office/word/2010/wordprocessingShape">
                          <wps:wsp>
                            <wps:cNvSpPr/>
                            <wps:spPr>
                              <a:xfrm>
                                <a:off x="0" y="0"/>
                                <a:ext cx="1107440" cy="273050"/>
                              </a:xfrm>
                              <a:prstGeom prst="wedgeRoundRectCallout">
                                <a:avLst>
                                  <a:gd name="adj1" fmla="val 2006"/>
                                  <a:gd name="adj2" fmla="val 423023"/>
                                  <a:gd name="adj3" fmla="val 16667"/>
                                </a:avLst>
                              </a:prstGeom>
                              <a:noFill/>
                              <a:ln w="9525" cap="flat" cmpd="sng">
                                <a:solidFill>
                                  <a:srgbClr val="000000"/>
                                </a:solidFill>
                                <a:prstDash val="solid"/>
                                <a:miter/>
                                <a:headEnd type="none" w="med" len="med"/>
                                <a:tailEnd type="none" w="med" len="med"/>
                              </a:ln>
                            </wps:spPr>
                            <wps:txbx>
                              <w:txbxContent>
                                <w:p w14:paraId="3EE449E4">
                                  <w:pPr>
                                    <w:spacing w:line="240" w:lineRule="auto"/>
                                    <w:ind w:firstLine="0" w:firstLineChars="0"/>
                                    <w:rPr>
                                      <w:szCs w:val="21"/>
                                    </w:rPr>
                                  </w:pPr>
                                  <w:r>
                                    <w:rPr>
                                      <w:rFonts w:hint="eastAsia"/>
                                      <w:szCs w:val="21"/>
                                    </w:rPr>
                                    <w:t>项目所在地</w:t>
                                  </w:r>
                                </w:p>
                              </w:txbxContent>
                            </wps:txbx>
                            <wps:bodyPr upright="1"/>
                          </wps:wsp>
                        </a:graphicData>
                      </a:graphic>
                    </wp:anchor>
                  </w:drawing>
                </mc:Choice>
                <mc:Fallback>
                  <w:pict>
                    <v:shape id="_x0000_s1026" o:spid="_x0000_s1026" o:spt="62" type="#_x0000_t62" style="position:absolute;left:0pt;margin-left:245.6pt;margin-top:80.3pt;height:21.5pt;width:87.2pt;z-index:251662336;mso-width-relative:page;mso-height-relative:page;" filled="f" stroked="t" coordsize="21600,21600" o:gfxdata="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BZPEwU2wAAAAsBAAAPAAAA&#10;AAAAAAEAIAAAACIAAABkcnMvZG93bnJldi54bWxQSwECFAAUAAAACACHTuJA3zFIxEsCAACUBAAA&#10;DgAAAAAAAAABACAAAAAqAQAAZHJzL2Uyb0RvYy54bWxQSwUGAAAAAAYABgBZAQAA5wUAAAAA&#10;" adj="11233,102173,14400">
                      <v:fill on="f" focussize="0,0"/>
                      <v:stroke color="#000000" joinstyle="miter"/>
                      <v:imagedata o:title=""/>
                      <o:lock v:ext="edit" aspectratio="f"/>
                      <v:textbox>
                        <w:txbxContent>
                          <w:p w14:paraId="3EE449E4">
                            <w:pPr>
                              <w:spacing w:line="240" w:lineRule="auto"/>
                              <w:ind w:firstLine="0" w:firstLineChars="0"/>
                              <w:rPr>
                                <w:szCs w:val="21"/>
                              </w:rPr>
                            </w:pPr>
                            <w:r>
                              <w:rPr>
                                <w:rFonts w:hint="eastAsia"/>
                                <w:szCs w:val="21"/>
                              </w:rPr>
                              <w:t>项目所在地</w:t>
                            </w:r>
                          </w:p>
                        </w:txbxContent>
                      </v:textbox>
                    </v:shape>
                  </w:pict>
                </mc:Fallback>
              </mc:AlternateContent>
            </w:r>
            <w:r>
              <w:rPr>
                <w:rFonts w:hint="default" w:ascii="Times New Roman" w:hAnsi="Times New Roman" w:cs="Times New Roman"/>
                <w:color w:val="auto"/>
                <w:kern w:val="0"/>
                <w:sz w:val="21"/>
                <w:szCs w:val="21"/>
                <w:highlight w:val="none"/>
              </w:rPr>
              <w:drawing>
                <wp:inline distT="0" distB="0" distL="114300" distR="114300">
                  <wp:extent cx="4326255" cy="6122670"/>
                  <wp:effectExtent l="0" t="0" r="17145" b="11430"/>
                  <wp:docPr id="2" name="图片 2" descr="2023年管控单元分布图_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023年管控单元分布图_01(1)"/>
                          <pic:cNvPicPr>
                            <a:picLocks noChangeAspect="1"/>
                          </pic:cNvPicPr>
                        </pic:nvPicPr>
                        <pic:blipFill>
                          <a:blip r:embed="rId17"/>
                          <a:stretch>
                            <a:fillRect/>
                          </a:stretch>
                        </pic:blipFill>
                        <pic:spPr>
                          <a:xfrm>
                            <a:off x="0" y="0"/>
                            <a:ext cx="4326255" cy="6122670"/>
                          </a:xfrm>
                          <a:prstGeom prst="rect">
                            <a:avLst/>
                          </a:prstGeom>
                        </pic:spPr>
                      </pic:pic>
                    </a:graphicData>
                  </a:graphic>
                </wp:inline>
              </w:drawing>
            </w:r>
          </w:p>
          <w:p w14:paraId="16DEEB8E">
            <w:pPr>
              <w:pStyle w:val="21"/>
              <w:rPr>
                <w:rFonts w:hint="default" w:ascii="Times New Roman" w:hAnsi="Times New Roman" w:cs="Times New Roman" w:eastAsiaTheme="minorEastAsia"/>
                <w:b/>
                <w:bCs/>
                <w:snapToGrid/>
                <w:color w:val="auto"/>
                <w:kern w:val="0"/>
                <w:sz w:val="21"/>
                <w:szCs w:val="21"/>
                <w:highlight w:val="none"/>
                <w:lang w:val="en-US" w:eastAsia="zh-CN" w:bidi="ar-SA"/>
              </w:rPr>
            </w:pPr>
            <w:bookmarkStart w:id="5" w:name="_Ref4336"/>
            <w:r>
              <w:rPr>
                <w:rFonts w:hint="default" w:ascii="Times New Roman" w:hAnsi="Times New Roman" w:cs="Times New Roman" w:eastAsiaTheme="minorEastAsia"/>
                <w:b/>
                <w:bCs/>
                <w:snapToGrid/>
                <w:color w:val="auto"/>
                <w:kern w:val="0"/>
                <w:sz w:val="21"/>
                <w:szCs w:val="21"/>
                <w:highlight w:val="none"/>
                <w:lang w:val="en-US" w:eastAsia="zh-CN" w:bidi="ar-SA"/>
              </w:rPr>
              <w:t>图</w:t>
            </w:r>
            <w:bookmarkEnd w:id="5"/>
            <w:r>
              <w:rPr>
                <w:rFonts w:hint="eastAsia" w:ascii="Times New Roman" w:hAnsi="Times New Roman" w:cs="Times New Roman" w:eastAsiaTheme="minorEastAsia"/>
                <w:b/>
                <w:bCs/>
                <w:snapToGrid/>
                <w:color w:val="auto"/>
                <w:kern w:val="0"/>
                <w:sz w:val="21"/>
                <w:szCs w:val="21"/>
                <w:highlight w:val="none"/>
                <w:lang w:val="en-US" w:eastAsia="zh-CN" w:bidi="ar-SA"/>
              </w:rPr>
              <w:t>1-</w:t>
            </w:r>
            <w:r>
              <w:rPr>
                <w:rFonts w:hint="eastAsia" w:cs="Times New Roman" w:eastAsiaTheme="minorEastAsia"/>
                <w:b/>
                <w:bCs/>
                <w:snapToGrid/>
                <w:color w:val="auto"/>
                <w:kern w:val="0"/>
                <w:sz w:val="21"/>
                <w:szCs w:val="21"/>
                <w:highlight w:val="none"/>
                <w:lang w:val="en-US" w:eastAsia="zh-CN" w:bidi="ar-SA"/>
              </w:rPr>
              <w:t>4</w:t>
            </w:r>
            <w:r>
              <w:rPr>
                <w:rFonts w:hint="default" w:ascii="Times New Roman" w:hAnsi="Times New Roman" w:cs="Times New Roman" w:eastAsiaTheme="minorEastAsia"/>
                <w:b/>
                <w:bCs/>
                <w:snapToGrid/>
                <w:color w:val="auto"/>
                <w:kern w:val="0"/>
                <w:sz w:val="21"/>
                <w:szCs w:val="21"/>
                <w:highlight w:val="none"/>
                <w:lang w:val="en-US" w:eastAsia="zh-CN" w:bidi="ar-SA"/>
              </w:rPr>
              <w:t xml:space="preserve">  </w:t>
            </w:r>
            <w:r>
              <w:rPr>
                <w:rFonts w:cs="Times New Roman" w:eastAsiaTheme="minorEastAsia"/>
                <w:bCs/>
                <w:snapToGrid/>
                <w:color w:val="auto"/>
              </w:rPr>
              <w:t>河北省</w:t>
            </w:r>
            <w:r>
              <w:rPr>
                <w:rFonts w:hint="eastAsia" w:cs="Times New Roman" w:eastAsiaTheme="minorEastAsia"/>
                <w:bCs/>
                <w:snapToGrid/>
                <w:color w:val="auto"/>
              </w:rPr>
              <w:t>生态</w:t>
            </w:r>
            <w:r>
              <w:rPr>
                <w:rFonts w:cs="Times New Roman" w:eastAsiaTheme="minorEastAsia"/>
                <w:bCs/>
                <w:snapToGrid/>
                <w:color w:val="auto"/>
              </w:rPr>
              <w:t>环境管控单元图</w:t>
            </w:r>
          </w:p>
          <w:p w14:paraId="0C436844">
            <w:pPr>
              <w:snapToGrid w:val="0"/>
              <w:ind w:firstLine="422"/>
              <w:jc w:val="both"/>
              <w:rPr>
                <w:rFonts w:hint="default" w:ascii="Times New Roman" w:hAnsi="Times New Roman" w:cs="Times New Roman"/>
                <w:b w:val="0"/>
                <w:bCs w:val="0"/>
                <w:color w:val="auto"/>
                <w:kern w:val="0"/>
                <w:sz w:val="21"/>
                <w:szCs w:val="21"/>
                <w:highlight w:val="none"/>
              </w:rPr>
            </w:pPr>
            <w:r>
              <w:rPr>
                <w:rFonts w:hint="default" w:ascii="Times New Roman" w:hAnsi="Times New Roman" w:cs="Times New Roman"/>
                <w:b/>
                <w:bCs/>
                <w:color w:val="auto"/>
                <w:kern w:val="0"/>
                <w:szCs w:val="21"/>
                <w:highlight w:val="none"/>
              </w:rPr>
              <w:t>②</w:t>
            </w:r>
            <w:r>
              <w:rPr>
                <w:rFonts w:hint="default" w:ascii="Times New Roman" w:hAnsi="Times New Roman" w:cs="Times New Roman"/>
                <w:b w:val="0"/>
                <w:bCs w:val="0"/>
                <w:color w:val="auto"/>
                <w:kern w:val="0"/>
                <w:sz w:val="21"/>
                <w:szCs w:val="21"/>
                <w:highlight w:val="none"/>
              </w:rPr>
              <w:t>与《唐山市人民政府关于实施“三线一单”生态环境分区管控的意见》(唐政字[2021]48号)及《唐山市生态环境准入清单》(2023年版，2024年4月)的符合性分析</w:t>
            </w:r>
          </w:p>
          <w:p w14:paraId="1103B3E6">
            <w:pPr>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根据《唐山市人民政府关于实施“三线一单”生态环境分区管控的意见》(唐政字[2021]48号)，主要目标为到2025年，建立健全以“三线一单”为核心的生态环境分区管控体系，主要污染物排放总量持续降低，资源高效利用，环境质量明显改善，人居环境安全得到有效保障，环境治理体系和治理能力现代化取得重大提升，打造山水林田湖草海一体化生态系统格局。</w:t>
            </w:r>
          </w:p>
          <w:p w14:paraId="56194510">
            <w:pPr>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生态保护红线。保证生态功能的系统性和完整性，做到应划尽划、应保尽保。重要生态功能区域生态功能不降低、面积不减少、性质不改变。</w:t>
            </w:r>
          </w:p>
          <w:p w14:paraId="227B4DBB">
            <w:pPr>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环境质量底线。到2025年，地表水国省考断面优良(Ⅲ类以上)比例、近岸海域优良海水比例稳定达标；PM</w:t>
            </w:r>
            <w:r>
              <w:rPr>
                <w:rFonts w:hint="default" w:ascii="Times New Roman" w:hAnsi="Times New Roman" w:cs="Times New Roman"/>
                <w:color w:val="auto"/>
                <w:sz w:val="21"/>
                <w:szCs w:val="21"/>
                <w:highlight w:val="none"/>
                <w:vertAlign w:val="subscript"/>
              </w:rPr>
              <w:t>2.5</w:t>
            </w:r>
            <w:r>
              <w:rPr>
                <w:rFonts w:hint="default" w:ascii="Times New Roman" w:hAnsi="Times New Roman" w:cs="Times New Roman"/>
                <w:color w:val="auto"/>
                <w:sz w:val="21"/>
                <w:szCs w:val="21"/>
                <w:highlight w:val="none"/>
              </w:rPr>
              <w:t>年均浓度持续降低、优良天数比例稳步提升；受污染耕地安全利用率、污染地块安全利用率进一步提升。</w:t>
            </w:r>
          </w:p>
          <w:p w14:paraId="6F61CD62">
            <w:pPr>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资源利用上线。以保障生态安全、改善环境质量为核心，合理确定全市资源利用上线目标，实现水资源与水环境、能源与大气环境、岸线与海洋环境的协同管控。到2035年，广泛形成绿色生产生活方式，生态环境根本好转，建成天蓝、水碧、土净的美丽唐山。</w:t>
            </w:r>
          </w:p>
          <w:p w14:paraId="16110943">
            <w:pPr>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环境管控单元包括优先保护、重点管控和一般管控单元三类：</w:t>
            </w:r>
          </w:p>
          <w:p w14:paraId="269D0F1B">
            <w:pPr>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优先保护单元：主要包括以生态环境保护为主的区域，主要包括陆域生态保护红线，自然保护区、森林公园等各级各类保护地和其他重要生态功能区等陆域一般生态空间。</w:t>
            </w:r>
          </w:p>
          <w:p w14:paraId="72594863">
            <w:pPr>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重点管控单元：指涉及水、大气、土壤、海洋、自然资源等资源环境要素重点管控的区域，主要包括城镇规划区和工业园区(工业集聚区)等开发强度高、污染物排放强度大以及环境问题相对集中的区域，近岸海域重点管控区，主要包括工业与城镇用海、港口及特殊利用区域。</w:t>
            </w:r>
          </w:p>
          <w:p w14:paraId="663AE60A">
            <w:pPr>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一般管控单元：除优先保护单元和重点管控单元之外的其他区域。</w:t>
            </w:r>
          </w:p>
          <w:p w14:paraId="73372E35">
            <w:pPr>
              <w:rPr>
                <w:rFonts w:hint="default" w:ascii="Times New Roman" w:hAnsi="Times New Roman" w:cs="Times New Roman"/>
                <w:color w:val="auto"/>
                <w:highlight w:val="none"/>
              </w:rPr>
            </w:pPr>
            <w:r>
              <w:rPr>
                <w:rFonts w:hint="default" w:ascii="Times New Roman" w:hAnsi="Times New Roman" w:cs="Times New Roman" w:eastAsiaTheme="minorEastAsia"/>
                <w:color w:val="auto"/>
                <w:kern w:val="0"/>
                <w:szCs w:val="21"/>
                <w:highlight w:val="none"/>
                <w:lang w:val="en-US" w:eastAsia="zh-CN"/>
              </w:rPr>
              <w:t>项目位于河北迁安经济开发区，公司现有厂区内</w:t>
            </w:r>
            <w:r>
              <w:rPr>
                <w:rFonts w:hint="default"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rPr>
              <w:t>根据《唐山市生态环境准入清单(2023年版)》，项目所在区域</w:t>
            </w:r>
            <w:r>
              <w:rPr>
                <w:rFonts w:hint="default" w:ascii="Times New Roman" w:hAnsi="Times New Roman" w:cs="Times New Roman"/>
                <w:color w:val="auto"/>
                <w:sz w:val="21"/>
                <w:szCs w:val="21"/>
                <w:highlight w:val="none"/>
                <w:lang w:val="en-US" w:eastAsia="zh-CN"/>
              </w:rPr>
              <w:t>ZH1302832000</w:t>
            </w:r>
            <w:r>
              <w:rPr>
                <w:rFonts w:hint="eastAsia" w:cs="Times New Roman"/>
                <w:color w:val="auto"/>
                <w:sz w:val="21"/>
                <w:szCs w:val="21"/>
                <w:highlight w:val="none"/>
                <w:lang w:val="en-US" w:eastAsia="zh-CN"/>
              </w:rPr>
              <w:t>9</w:t>
            </w:r>
            <w:r>
              <w:rPr>
                <w:rFonts w:hint="default" w:ascii="Times New Roman" w:hAnsi="Times New Roman" w:cs="Times New Roman"/>
                <w:color w:val="auto"/>
                <w:sz w:val="21"/>
                <w:szCs w:val="21"/>
                <w:highlight w:val="none"/>
                <w:lang w:val="en-US" w:eastAsia="zh-CN"/>
              </w:rPr>
              <w:t>为重点</w:t>
            </w:r>
            <w:r>
              <w:rPr>
                <w:rFonts w:hint="default" w:ascii="Times New Roman" w:hAnsi="Times New Roman" w:cs="Times New Roman"/>
                <w:color w:val="auto"/>
                <w:sz w:val="21"/>
                <w:szCs w:val="21"/>
                <w:highlight w:val="none"/>
              </w:rPr>
              <w:t>管控单元。</w:t>
            </w:r>
          </w:p>
          <w:p w14:paraId="25D102D9">
            <w:pPr>
              <w:pStyle w:val="182"/>
              <w:ind w:firstLine="0" w:firstLineChars="0"/>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color w:val="auto"/>
                <w:highlight w:val="none"/>
              </w:rPr>
              <mc:AlternateContent>
                <mc:Choice Requires="wps">
                  <w:drawing>
                    <wp:anchor distT="0" distB="0" distL="114300" distR="114300" simplePos="0" relativeHeight="251661312" behindDoc="0" locked="0" layoutInCell="1" allowOverlap="1">
                      <wp:simplePos x="0" y="0"/>
                      <wp:positionH relativeFrom="column">
                        <wp:posOffset>1560830</wp:posOffset>
                      </wp:positionH>
                      <wp:positionV relativeFrom="paragraph">
                        <wp:posOffset>660400</wp:posOffset>
                      </wp:positionV>
                      <wp:extent cx="975360" cy="333375"/>
                      <wp:effectExtent l="4445" t="4445" r="334645" b="538480"/>
                      <wp:wrapNone/>
                      <wp:docPr id="1" name="圆角矩形标注 7"/>
                      <wp:cNvGraphicFramePr/>
                      <a:graphic xmlns:a="http://schemas.openxmlformats.org/drawingml/2006/main">
                        <a:graphicData uri="http://schemas.microsoft.com/office/word/2010/wordprocessingShape">
                          <wps:wsp>
                            <wps:cNvSpPr/>
                            <wps:spPr>
                              <a:xfrm flipV="1">
                                <a:off x="0" y="0"/>
                                <a:ext cx="975360" cy="333375"/>
                              </a:xfrm>
                              <a:prstGeom prst="wedgeRoundRectCallout">
                                <a:avLst>
                                  <a:gd name="adj1" fmla="val 79492"/>
                                  <a:gd name="adj2" fmla="val -202380"/>
                                  <a:gd name="adj3" fmla="val 16667"/>
                                </a:avLst>
                              </a:prstGeom>
                              <a:solidFill>
                                <a:srgbClr val="FFFFFF"/>
                              </a:solidFill>
                              <a:ln w="9525" cap="flat" cmpd="sng">
                                <a:solidFill>
                                  <a:srgbClr val="000000"/>
                                </a:solidFill>
                                <a:prstDash val="solid"/>
                                <a:miter/>
                                <a:headEnd type="none" w="med" len="med"/>
                                <a:tailEnd type="none" w="med" len="med"/>
                              </a:ln>
                            </wps:spPr>
                            <wps:txbx>
                              <w:txbxContent>
                                <w:p w14:paraId="57DA11AA">
                                  <w:pPr>
                                    <w:pStyle w:val="135"/>
                                    <w:spacing w:before="24" w:after="24"/>
                                    <w:ind w:firstLine="0" w:firstLineChars="0"/>
                                    <w:rPr>
                                      <w:b/>
                                      <w:bCs/>
                                    </w:rPr>
                                  </w:pPr>
                                  <w:r>
                                    <w:rPr>
                                      <w:rFonts w:hint="eastAsia"/>
                                      <w:b/>
                                      <w:bCs/>
                                      <w:lang w:val="en-US" w:eastAsia="zh-CN"/>
                                    </w:rPr>
                                    <w:t>项目</w:t>
                                  </w:r>
                                  <w:r>
                                    <w:rPr>
                                      <w:b/>
                                      <w:bCs/>
                                    </w:rPr>
                                    <w:t>所在地</w:t>
                                  </w:r>
                                </w:p>
                              </w:txbxContent>
                            </wps:txbx>
                            <wps:bodyPr upright="1"/>
                          </wps:wsp>
                        </a:graphicData>
                      </a:graphic>
                    </wp:anchor>
                  </w:drawing>
                </mc:Choice>
                <mc:Fallback>
                  <w:pict>
                    <v:shape id="圆角矩形标注 7" o:spid="_x0000_s1026" o:spt="62" type="#_x0000_t62" style="position:absolute;left:0pt;flip:y;margin-left:122.9pt;margin-top:52pt;height:26.25pt;width:76.8pt;z-index:251661312;mso-width-relative:page;mso-height-relative:page;" fillcolor="#FFFFFF" filled="t" stroked="t" coordsize="21600,21600" o:gfxdata="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CXpRZi&#10;2gAAAAsBAAAPAAAAAAAAAAEAIAAAACIAAABkcnMvZG93bnJldi54bWxQSwECFAAUAAAACACHTuJA&#10;kHR/h1gCAADGBAAADgAAAAAAAAABACAAAAApAQAAZHJzL2Uyb0RvYy54bWxQSwUGAAAAAAYABgBZ&#10;AQAA8wUAAAAA&#10;" adj="27970,-32914,14400">
                      <v:fill on="t" focussize="0,0"/>
                      <v:stroke color="#000000" joinstyle="miter"/>
                      <v:imagedata o:title=""/>
                      <o:lock v:ext="edit" aspectratio="f"/>
                      <v:textbox>
                        <w:txbxContent>
                          <w:p w14:paraId="57DA11AA">
                            <w:pPr>
                              <w:pStyle w:val="135"/>
                              <w:spacing w:before="24" w:after="24"/>
                              <w:ind w:firstLine="0" w:firstLineChars="0"/>
                              <w:rPr>
                                <w:b/>
                                <w:bCs/>
                              </w:rPr>
                            </w:pPr>
                            <w:r>
                              <w:rPr>
                                <w:rFonts w:hint="eastAsia"/>
                                <w:b/>
                                <w:bCs/>
                                <w:lang w:val="en-US" w:eastAsia="zh-CN"/>
                              </w:rPr>
                              <w:t>项目</w:t>
                            </w:r>
                            <w:r>
                              <w:rPr>
                                <w:b/>
                                <w:bCs/>
                              </w:rPr>
                              <w:t>所在地</w:t>
                            </w:r>
                          </w:p>
                        </w:txbxContent>
                      </v:textbox>
                    </v:shape>
                  </w:pict>
                </mc:Fallback>
              </mc:AlternateContent>
            </w:r>
            <w:r>
              <w:rPr>
                <w:rFonts w:hint="default" w:ascii="Times New Roman" w:hAnsi="Times New Roman" w:cs="Times New Roman" w:eastAsiaTheme="minorEastAsia"/>
                <w:color w:val="auto"/>
                <w:kern w:val="0"/>
                <w:szCs w:val="21"/>
                <w:highlight w:val="none"/>
              </w:rPr>
              <w:object>
                <v:shape id="_x0000_i1028" o:spt="75" type="#_x0000_t75" style="height:248.9pt;width:356.7pt;" o:ole="t" filled="f" o:preferrelative="t" stroked="f" coordsize="21600,21600">
                  <v:path/>
                  <v:fill on="f" focussize="0,0"/>
                  <v:stroke on="f"/>
                  <v:imagedata r:id="rId19" o:title=""/>
                  <o:lock v:ext="edit" aspectratio="f"/>
                  <w10:wrap type="none"/>
                  <w10:anchorlock/>
                </v:shape>
                <o:OLEObject Type="Embed" ProgID="Visio.Drawing.11" ShapeID="_x0000_i1028" DrawAspect="Content" ObjectID="_1468075727" r:id="rId18">
                  <o:LockedField>false</o:LockedField>
                </o:OLEObject>
              </w:object>
            </w:r>
          </w:p>
          <w:p w14:paraId="04B99CBF">
            <w:pPr>
              <w:pStyle w:val="21"/>
              <w:rPr>
                <w:rFonts w:hint="default" w:ascii="Times New Roman" w:hAnsi="Times New Roman" w:cs="Times New Roman"/>
                <w:color w:val="auto"/>
                <w:szCs w:val="21"/>
                <w:highlight w:val="none"/>
              </w:rPr>
            </w:pPr>
            <w:bookmarkStart w:id="6" w:name="_Ref4525"/>
            <w:r>
              <w:rPr>
                <w:rFonts w:hint="default" w:ascii="Times New Roman" w:hAnsi="Times New Roman" w:cs="Times New Roman"/>
                <w:color w:val="auto"/>
                <w:highlight w:val="none"/>
              </w:rPr>
              <w:t>图</w:t>
            </w:r>
            <w:bookmarkEnd w:id="6"/>
            <w:r>
              <w:rPr>
                <w:rFonts w:hint="eastAsia" w:ascii="Times New Roman" w:hAnsi="Times New Roman" w:cs="Times New Roman"/>
                <w:color w:val="auto"/>
                <w:highlight w:val="none"/>
                <w:lang w:val="en-US" w:eastAsia="zh-CN"/>
              </w:rPr>
              <w:t>1-</w:t>
            </w:r>
            <w:r>
              <w:rPr>
                <w:rFonts w:hint="eastAsia" w:cs="Times New Roman"/>
                <w:color w:val="auto"/>
                <w:highlight w:val="none"/>
                <w:lang w:val="en-US" w:eastAsia="zh-CN"/>
              </w:rPr>
              <w:t>5</w:t>
            </w:r>
            <w:r>
              <w:rPr>
                <w:rFonts w:hint="default" w:ascii="Times New Roman" w:hAnsi="Times New Roman" w:cs="Times New Roman"/>
                <w:color w:val="auto"/>
                <w:highlight w:val="none"/>
              </w:rPr>
              <w:t xml:space="preserve">  唐山市环境管控单元分布图</w:t>
            </w:r>
          </w:p>
          <w:p w14:paraId="54B1D536">
            <w:pPr>
              <w:rPr>
                <w:rFonts w:hint="default" w:ascii="Times New Roman" w:hAnsi="Times New Roman" w:cs="Times New Roman"/>
                <w:color w:val="auto"/>
                <w:highlight w:val="none"/>
              </w:rPr>
            </w:pPr>
            <w:r>
              <w:rPr>
                <w:rFonts w:hint="default" w:ascii="Times New Roman" w:hAnsi="Times New Roman" w:cs="Times New Roman"/>
                <w:color w:val="auto"/>
                <w:szCs w:val="21"/>
                <w:highlight w:val="none"/>
              </w:rPr>
              <w:t>(2)生态准入清单</w:t>
            </w:r>
          </w:p>
          <w:p w14:paraId="5BF5B79C">
            <w:pPr>
              <w:keepNext w:val="0"/>
              <w:keepLines w:val="0"/>
              <w:pageBreakBefore w:val="0"/>
              <w:widowControl/>
              <w:kinsoku/>
              <w:wordWrap/>
              <w:overflowPunct/>
              <w:topLinePunct w:val="0"/>
              <w:autoSpaceDE w:val="0"/>
              <w:autoSpaceDN w:val="0"/>
              <w:bidi w:val="0"/>
              <w:adjustRightInd w:val="0"/>
              <w:snapToGrid w:val="0"/>
              <w:ind w:firstLine="420" w:firstLineChars="200"/>
              <w:jc w:val="both"/>
              <w:textAlignment w:val="auto"/>
              <w:rPr>
                <w:rFonts w:hint="eastAsia" w:ascii="Times New Roman" w:hAnsi="Times New Roman" w:eastAsia="宋体" w:cs="Times New Roman"/>
                <w:b/>
                <w:bCs/>
                <w:color w:val="auto"/>
                <w:kern w:val="0"/>
                <w:sz w:val="21"/>
                <w:szCs w:val="21"/>
                <w:highlight w:val="none"/>
                <w:lang w:eastAsia="zh-CN"/>
              </w:rPr>
            </w:pPr>
            <w:r>
              <w:rPr>
                <w:rFonts w:hint="default" w:ascii="Times New Roman" w:hAnsi="Times New Roman" w:cs="Times New Roman"/>
                <w:color w:val="auto"/>
                <w:sz w:val="21"/>
                <w:szCs w:val="21"/>
                <w:highlight w:val="none"/>
              </w:rPr>
              <w:t>项目与唐山市生态环境准入清单综合总体要求以及所在单元管控要求符合性见下表</w:t>
            </w:r>
            <w:r>
              <w:rPr>
                <w:rFonts w:hint="eastAsia" w:cs="Times New Roman"/>
                <w:color w:val="auto"/>
                <w:sz w:val="21"/>
                <w:szCs w:val="21"/>
                <w:highlight w:val="none"/>
                <w:lang w:eastAsia="zh-CN"/>
              </w:rPr>
              <w:t>。</w:t>
            </w:r>
          </w:p>
          <w:p w14:paraId="35A0530A">
            <w:pPr>
              <w:pStyle w:val="21"/>
              <w:rPr>
                <w:rFonts w:hint="default" w:ascii="Times New Roman" w:hAnsi="Times New Roman" w:cs="Times New Roman"/>
                <w:color w:val="auto"/>
                <w:highlight w:val="none"/>
              </w:rPr>
            </w:pPr>
            <w:r>
              <w:rPr>
                <w:rFonts w:hint="default" w:ascii="Times New Roman" w:hAnsi="Times New Roman" w:cs="Times New Roman"/>
                <w:color w:val="auto"/>
                <w:highlight w:val="none"/>
              </w:rPr>
              <w:t>表1-</w:t>
            </w:r>
            <w:r>
              <w:rPr>
                <w:rFonts w:hint="eastAsia" w:cs="Times New Roman"/>
                <w:color w:val="auto"/>
                <w:highlight w:val="none"/>
                <w:lang w:val="en-US" w:eastAsia="zh-CN"/>
              </w:rPr>
              <w:t>7</w:t>
            </w:r>
            <w:r>
              <w:rPr>
                <w:rFonts w:hint="default" w:ascii="Times New Roman" w:hAnsi="Times New Roman" w:cs="Times New Roman"/>
                <w:color w:val="auto"/>
                <w:highlight w:val="none"/>
              </w:rPr>
              <w:t xml:space="preserve">    项目与唐山市生态环境准入清单(总体要求)符合性分析</w:t>
            </w:r>
          </w:p>
          <w:tbl>
            <w:tblPr>
              <w:tblStyle w:val="8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7"/>
              <w:gridCol w:w="377"/>
              <w:gridCol w:w="384"/>
              <w:gridCol w:w="4737"/>
              <w:gridCol w:w="1231"/>
              <w:gridCol w:w="457"/>
            </w:tblGrid>
            <w:tr w14:paraId="3E663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736" w:type="pct"/>
                  <w:gridSpan w:val="3"/>
                  <w:tcBorders>
                    <w:top w:val="single" w:color="auto" w:sz="4" w:space="0"/>
                    <w:left w:val="single" w:color="auto" w:sz="4" w:space="0"/>
                    <w:bottom w:val="single" w:color="auto" w:sz="4" w:space="0"/>
                    <w:right w:val="single" w:color="auto" w:sz="4" w:space="0"/>
                  </w:tcBorders>
                  <w:vAlign w:val="center"/>
                </w:tcPr>
                <w:p w14:paraId="629E8843">
                  <w:pPr>
                    <w:pStyle w:val="1748"/>
                    <w:spacing w:before="24" w:after="24" w:line="280" w:lineRule="atLeas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管控单元</w:t>
                  </w:r>
                </w:p>
              </w:tc>
              <w:tc>
                <w:tcPr>
                  <w:tcW w:w="3143" w:type="pct"/>
                  <w:tcBorders>
                    <w:top w:val="single" w:color="auto" w:sz="4" w:space="0"/>
                    <w:left w:val="single" w:color="auto" w:sz="4" w:space="0"/>
                    <w:bottom w:val="single" w:color="auto" w:sz="4" w:space="0"/>
                    <w:right w:val="single" w:color="auto" w:sz="4" w:space="0"/>
                  </w:tcBorders>
                  <w:vAlign w:val="center"/>
                </w:tcPr>
                <w:p w14:paraId="76DE662D">
                  <w:pPr>
                    <w:pStyle w:val="1748"/>
                    <w:spacing w:before="24" w:after="24" w:line="280" w:lineRule="atLeas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要求</w:t>
                  </w:r>
                </w:p>
              </w:tc>
              <w:tc>
                <w:tcPr>
                  <w:tcW w:w="817" w:type="pct"/>
                  <w:tcBorders>
                    <w:top w:val="single" w:color="auto" w:sz="4" w:space="0"/>
                    <w:left w:val="single" w:color="auto" w:sz="4" w:space="0"/>
                    <w:bottom w:val="single" w:color="auto" w:sz="4" w:space="0"/>
                    <w:right w:val="single" w:color="auto" w:sz="4" w:space="0"/>
                  </w:tcBorders>
                  <w:vAlign w:val="center"/>
                </w:tcPr>
                <w:p w14:paraId="4D02C582">
                  <w:pPr>
                    <w:pStyle w:val="1748"/>
                    <w:spacing w:before="24" w:after="24" w:line="280" w:lineRule="atLeas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项目情况</w:t>
                  </w:r>
                </w:p>
              </w:tc>
              <w:tc>
                <w:tcPr>
                  <w:tcW w:w="303" w:type="pct"/>
                  <w:tcBorders>
                    <w:top w:val="single" w:color="auto" w:sz="4" w:space="0"/>
                    <w:left w:val="single" w:color="auto" w:sz="4" w:space="0"/>
                    <w:bottom w:val="single" w:color="auto" w:sz="4" w:space="0"/>
                    <w:right w:val="single" w:color="auto" w:sz="4" w:space="0"/>
                  </w:tcBorders>
                  <w:vAlign w:val="center"/>
                </w:tcPr>
                <w:p w14:paraId="7E5FDB1F">
                  <w:pPr>
                    <w:pStyle w:val="1748"/>
                    <w:spacing w:before="24" w:after="24" w:line="280" w:lineRule="atLeas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62354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31" w:type="pct"/>
                  <w:vMerge w:val="restart"/>
                  <w:tcBorders>
                    <w:top w:val="nil"/>
                    <w:left w:val="single" w:color="auto" w:sz="4" w:space="0"/>
                    <w:bottom w:val="single" w:color="auto" w:sz="4" w:space="0"/>
                    <w:right w:val="single" w:color="auto" w:sz="4" w:space="0"/>
                  </w:tcBorders>
                  <w:vAlign w:val="center"/>
                </w:tcPr>
                <w:p w14:paraId="7381592F">
                  <w:pPr>
                    <w:pStyle w:val="1748"/>
                    <w:spacing w:before="24" w:after="24" w:line="280" w:lineRule="atLeas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生态保护红线区</w:t>
                  </w:r>
                </w:p>
              </w:tc>
              <w:tc>
                <w:tcPr>
                  <w:tcW w:w="250" w:type="pct"/>
                  <w:vMerge w:val="restart"/>
                  <w:tcBorders>
                    <w:top w:val="nil"/>
                    <w:left w:val="single" w:color="auto" w:sz="4" w:space="0"/>
                    <w:bottom w:val="single" w:color="auto" w:sz="4" w:space="0"/>
                    <w:right w:val="single" w:color="auto" w:sz="4" w:space="0"/>
                  </w:tcBorders>
                  <w:vAlign w:val="center"/>
                </w:tcPr>
                <w:p w14:paraId="44474454">
                  <w:pPr>
                    <w:pStyle w:val="1748"/>
                    <w:spacing w:before="24" w:after="24" w:line="280" w:lineRule="atLeas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254" w:type="pct"/>
                  <w:tcBorders>
                    <w:top w:val="single" w:color="auto" w:sz="4" w:space="0"/>
                    <w:left w:val="single" w:color="auto" w:sz="4" w:space="0"/>
                    <w:bottom w:val="single" w:color="auto" w:sz="4" w:space="0"/>
                    <w:right w:val="single" w:color="auto" w:sz="4" w:space="0"/>
                  </w:tcBorders>
                  <w:vAlign w:val="center"/>
                </w:tcPr>
                <w:p w14:paraId="7D1525DA">
                  <w:pPr>
                    <w:pStyle w:val="1748"/>
                    <w:spacing w:before="24" w:after="24" w:line="280" w:lineRule="atLeas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禁止类管控要求</w:t>
                  </w:r>
                </w:p>
              </w:tc>
              <w:tc>
                <w:tcPr>
                  <w:tcW w:w="3143" w:type="pct"/>
                  <w:tcBorders>
                    <w:top w:val="single" w:color="auto" w:sz="4" w:space="0"/>
                    <w:left w:val="single" w:color="auto" w:sz="4" w:space="0"/>
                    <w:bottom w:val="single" w:color="auto" w:sz="4" w:space="0"/>
                    <w:right w:val="single" w:color="auto" w:sz="4" w:space="0"/>
                  </w:tcBorders>
                  <w:vAlign w:val="center"/>
                </w:tcPr>
                <w:p w14:paraId="2F5A0625">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态保护红线原则上按禁止开发区域的要求进行管理。严禁不符合主体功能定位的各类开发活动，严禁任意改变用途。生态保护红线划定后，只能增加、不能减少。因国家重大基础设施、重大民生保障项目建设等需要调整的，由省级人民政府组织论证，提出调整方案，经生态环境部、国家发展改革委会同有关部门提出审核意见后，报经国务院批准。因国家重大战略资源勘查需要，在不影响主体功能定位的前提下，经依法批准后予以安排勘查项目。</w:t>
                  </w:r>
                </w:p>
              </w:tc>
              <w:tc>
                <w:tcPr>
                  <w:tcW w:w="817" w:type="pct"/>
                  <w:vMerge w:val="restart"/>
                  <w:tcBorders>
                    <w:top w:val="single" w:color="auto" w:sz="4" w:space="0"/>
                    <w:left w:val="single" w:color="auto" w:sz="4" w:space="0"/>
                    <w:bottom w:val="single" w:color="auto" w:sz="4" w:space="0"/>
                    <w:right w:val="single" w:color="auto" w:sz="4" w:space="0"/>
                  </w:tcBorders>
                  <w:vAlign w:val="center"/>
                </w:tcPr>
                <w:p w14:paraId="2BAA8D4A">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根据《迁安市国土空间总体规划》</w:t>
                  </w:r>
                  <w:r>
                    <w:rPr>
                      <w:rFonts w:hint="default" w:ascii="Times New Roman" w:hAnsi="Times New Roman" w:cs="Times New Roman"/>
                      <w:color w:val="auto"/>
                      <w:sz w:val="21"/>
                      <w:szCs w:val="21"/>
                      <w:highlight w:val="none"/>
                      <w:lang w:val="en-US" w:eastAsia="zh-CN"/>
                    </w:rPr>
                    <w:t>(2021-2035年)</w:t>
                  </w:r>
                  <w:r>
                    <w:rPr>
                      <w:rFonts w:hint="default" w:ascii="Times New Roman" w:hAnsi="Times New Roman" w:cs="Times New Roman"/>
                      <w:color w:val="auto"/>
                      <w:sz w:val="21"/>
                      <w:szCs w:val="21"/>
                      <w:highlight w:val="none"/>
                    </w:rPr>
                    <w:t>，本项目不在生态保护红线区内，</w:t>
                  </w:r>
                  <w:r>
                    <w:rPr>
                      <w:rFonts w:hint="default" w:ascii="Times New Roman" w:hAnsi="Times New Roman" w:cs="Times New Roman"/>
                      <w:color w:val="auto"/>
                      <w:sz w:val="21"/>
                      <w:szCs w:val="21"/>
                      <w:highlight w:val="none"/>
                      <w:lang w:val="en-US" w:eastAsia="zh-CN"/>
                    </w:rPr>
                    <w:t>距离最近的生态保护红线为</w:t>
                  </w:r>
                  <w:r>
                    <w:rPr>
                      <w:rFonts w:hint="eastAsia" w:ascii="Times New Roman" w:cs="Times New Roman"/>
                      <w:color w:val="auto"/>
                      <w:sz w:val="21"/>
                      <w:szCs w:val="21"/>
                      <w:highlight w:val="none"/>
                      <w:lang w:val="en-US" w:eastAsia="zh-CN"/>
                    </w:rPr>
                    <w:t>西</w:t>
                  </w:r>
                  <w:r>
                    <w:rPr>
                      <w:rFonts w:hint="default" w:ascii="Times New Roman" w:hAnsi="Times New Roman" w:cs="Times New Roman"/>
                      <w:color w:val="auto"/>
                      <w:sz w:val="21"/>
                      <w:szCs w:val="21"/>
                      <w:highlight w:val="none"/>
                      <w:lang w:val="en-US" w:eastAsia="zh-CN"/>
                    </w:rPr>
                    <w:t>南侧2.85km的</w:t>
                  </w:r>
                  <w:r>
                    <w:rPr>
                      <w:rFonts w:hint="default" w:ascii="Times New Roman" w:hAnsi="Times New Roman" w:cs="Times New Roman"/>
                      <w:color w:val="auto"/>
                      <w:sz w:val="21"/>
                      <w:szCs w:val="21"/>
                      <w:highlight w:val="none"/>
                    </w:rPr>
                    <w:t>燕山水源涵养-生物多样性维护生态保护红线。</w:t>
                  </w:r>
                </w:p>
              </w:tc>
              <w:tc>
                <w:tcPr>
                  <w:tcW w:w="303" w:type="pct"/>
                  <w:vMerge w:val="restart"/>
                  <w:tcBorders>
                    <w:top w:val="single" w:color="auto" w:sz="4" w:space="0"/>
                    <w:left w:val="single" w:color="auto" w:sz="4" w:space="0"/>
                    <w:bottom w:val="single" w:color="auto" w:sz="4" w:space="0"/>
                    <w:right w:val="single" w:color="auto" w:sz="4" w:space="0"/>
                  </w:tcBorders>
                  <w:vAlign w:val="center"/>
                </w:tcPr>
                <w:p w14:paraId="48FB0D2D">
                  <w:pPr>
                    <w:pStyle w:val="1748"/>
                    <w:spacing w:before="24" w:after="24" w:line="280" w:lineRule="atLeas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26CEF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31" w:type="pct"/>
                  <w:vMerge w:val="continue"/>
                  <w:tcBorders>
                    <w:top w:val="nil"/>
                    <w:left w:val="single" w:color="auto" w:sz="4" w:space="0"/>
                    <w:bottom w:val="single" w:color="auto" w:sz="4" w:space="0"/>
                    <w:right w:val="single" w:color="auto" w:sz="4" w:space="0"/>
                  </w:tcBorders>
                  <w:vAlign w:val="center"/>
                </w:tcPr>
                <w:p w14:paraId="30114BC9">
                  <w:pPr>
                    <w:widowControl/>
                    <w:spacing w:line="280" w:lineRule="atLeast"/>
                    <w:ind w:firstLine="0" w:firstLineChars="0"/>
                    <w:rPr>
                      <w:rFonts w:hint="default" w:ascii="Times New Roman" w:hAnsi="Times New Roman" w:cs="Times New Roman"/>
                      <w:color w:val="auto"/>
                      <w:sz w:val="21"/>
                      <w:szCs w:val="21"/>
                      <w:highlight w:val="none"/>
                    </w:rPr>
                  </w:pPr>
                </w:p>
              </w:tc>
              <w:tc>
                <w:tcPr>
                  <w:tcW w:w="250" w:type="pct"/>
                  <w:vMerge w:val="continue"/>
                  <w:tcBorders>
                    <w:top w:val="nil"/>
                    <w:left w:val="single" w:color="auto" w:sz="4" w:space="0"/>
                    <w:bottom w:val="single" w:color="auto" w:sz="4" w:space="0"/>
                    <w:right w:val="single" w:color="auto" w:sz="4" w:space="0"/>
                  </w:tcBorders>
                  <w:vAlign w:val="center"/>
                </w:tcPr>
                <w:p w14:paraId="229536F6">
                  <w:pPr>
                    <w:widowControl/>
                    <w:spacing w:line="280" w:lineRule="atLeast"/>
                    <w:ind w:firstLine="0" w:firstLineChars="0"/>
                    <w:rPr>
                      <w:rFonts w:hint="default" w:ascii="Times New Roman" w:hAnsi="Times New Roman" w:cs="Times New Roman"/>
                      <w:color w:val="auto"/>
                      <w:sz w:val="21"/>
                      <w:szCs w:val="21"/>
                      <w:highlight w:val="none"/>
                    </w:rPr>
                  </w:pPr>
                </w:p>
              </w:tc>
              <w:tc>
                <w:tcPr>
                  <w:tcW w:w="254" w:type="pct"/>
                  <w:tcBorders>
                    <w:top w:val="single" w:color="auto" w:sz="4" w:space="0"/>
                    <w:left w:val="single" w:color="auto" w:sz="4" w:space="0"/>
                    <w:bottom w:val="single" w:color="auto" w:sz="4" w:space="0"/>
                    <w:right w:val="single" w:color="auto" w:sz="4" w:space="0"/>
                  </w:tcBorders>
                  <w:vAlign w:val="center"/>
                </w:tcPr>
                <w:p w14:paraId="516A4625">
                  <w:pPr>
                    <w:pStyle w:val="1748"/>
                    <w:spacing w:before="24" w:after="24" w:line="280" w:lineRule="atLeas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限制类管控要求</w:t>
                  </w:r>
                </w:p>
              </w:tc>
              <w:tc>
                <w:tcPr>
                  <w:tcW w:w="3143" w:type="pct"/>
                  <w:tcBorders>
                    <w:top w:val="single" w:color="auto" w:sz="4" w:space="0"/>
                    <w:left w:val="single" w:color="auto" w:sz="4" w:space="0"/>
                    <w:bottom w:val="single" w:color="auto" w:sz="4" w:space="0"/>
                    <w:right w:val="single" w:color="auto" w:sz="4" w:space="0"/>
                  </w:tcBorders>
                  <w:vAlign w:val="center"/>
                </w:tcPr>
                <w:p w14:paraId="7511DDEB">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态保护红线内自然保护地核心保护区外，禁止开发性、生产性建设活动，在符合法律法规的前提下，仅允许以下10类对生态功能不造成破坏的有限人为活动。生态保护红线内自然保护区、风景名胜区、饮用水水源保护区等区域，依照法律法规执行。</w:t>
                  </w:r>
                </w:p>
                <w:p w14:paraId="497B7077">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(1)管护巡护、保护执法、科学研究、调查监测、测绘导航、防灾减灾救灾、军事国防、疫情防控等活动及相关的必要设施修筑。</w:t>
                  </w:r>
                </w:p>
                <w:p w14:paraId="1F9654E2">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原住居民和其他合法权益主体，允许在不扩大现有建设用地、用海用岛、耕地、水产养殖规模和放牧强度(符合草畜平衡管理规定)的前提下，开展种植、放牧、捕捞、养殖(不包括投礁型海洋牧场、围海养殖)等活动，修筑生产生活设施。</w:t>
                  </w:r>
                </w:p>
                <w:p w14:paraId="654318CC">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(3)经依法批准的考古调查发掘、古生物化石调查发掘、标本采集和文物保护活动。</w:t>
                  </w:r>
                </w:p>
                <w:p w14:paraId="5A1B3AE0">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(4)按规定对人工商品林进行抚育采伐，或以提升森林质量、优化栖息地、建设生物防火隔离带等为目的的树种更新，依法开展的竹林采伐经营。</w:t>
                  </w:r>
                </w:p>
                <w:p w14:paraId="61AE8B60">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(5)不破坏生态功能的适度参观旅游、科普宣教及符合相关规划的配套性服务设施和相关的必要公共设施建设及维护。</w:t>
                  </w:r>
                </w:p>
                <w:p w14:paraId="0025C037">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(6)必须且无法避让、符合县级以上国土空间规划的线性基础设施、通讯和防洪、供水设施建设和船舶航行、航道疏浚清淤等活动；已有的合法水利、交通运输等设施运行维护改造。 </w:t>
                  </w:r>
                </w:p>
                <w:p w14:paraId="434BA565">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(7)地质调查与矿产资源勘查开采。[具体开采活动，详见《关于加强生态保护红线管理的 通知(试行)》(自然资发[2022]142号)。上述勘查开采活动，应落实减缓生态环境影响措施，严格执行绿色勘查、开采及矿山环境生态修复相关要求。</w:t>
                  </w:r>
                </w:p>
                <w:p w14:paraId="4814DC00">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(8)依据县级以上国土空间规划和生态保护修复专项规划开展的生态修复。</w:t>
                  </w:r>
                </w:p>
                <w:p w14:paraId="6348B8BA">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(9)根据我国相关法律法规和与邻国签署的国界管理制度协定(条约)开展的边界边境通道清理以及界务工程的修建、维护和拆除工作。</w:t>
                  </w:r>
                </w:p>
                <w:p w14:paraId="77E39168">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(10)法律法规规定允许的其他人为活动。 开展上述活动时禁止新增填海造地和新增围海。</w:t>
                  </w:r>
                </w:p>
                <w:p w14:paraId="704E3AD0">
                  <w:pPr>
                    <w:pStyle w:val="1748"/>
                    <w:spacing w:before="24" w:after="24" w:line="280" w:lineRule="atLeast"/>
                    <w:ind w:firstLine="0" w:firstLineChars="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上述活动涉及利用无居民海岛的，原则上仅允许按照相关规定对海岛自然岸线、表面积、岛体、植被改变轻微的低影响利用方式。上述允许的有限人为活动之外，确需占用生态保护红线的国家重大项目，按照相关规定办理用地用海用岛审批。</w:t>
                  </w:r>
                </w:p>
              </w:tc>
              <w:tc>
                <w:tcPr>
                  <w:tcW w:w="817" w:type="pct"/>
                  <w:vMerge w:val="continue"/>
                  <w:tcBorders>
                    <w:top w:val="single" w:color="auto" w:sz="4" w:space="0"/>
                    <w:left w:val="single" w:color="auto" w:sz="4" w:space="0"/>
                    <w:bottom w:val="single" w:color="auto" w:sz="4" w:space="0"/>
                    <w:right w:val="single" w:color="auto" w:sz="4" w:space="0"/>
                  </w:tcBorders>
                  <w:vAlign w:val="center"/>
                </w:tcPr>
                <w:p w14:paraId="04333D78">
                  <w:pPr>
                    <w:widowControl/>
                    <w:spacing w:line="280" w:lineRule="atLeast"/>
                    <w:ind w:firstLine="0" w:firstLineChars="0"/>
                    <w:rPr>
                      <w:rFonts w:hint="default" w:ascii="Times New Roman" w:hAnsi="Times New Roman" w:cs="Times New Roman"/>
                      <w:color w:val="auto"/>
                      <w:sz w:val="21"/>
                      <w:szCs w:val="21"/>
                      <w:highlight w:val="none"/>
                    </w:rPr>
                  </w:pPr>
                </w:p>
              </w:tc>
              <w:tc>
                <w:tcPr>
                  <w:tcW w:w="303" w:type="pct"/>
                  <w:vMerge w:val="continue"/>
                  <w:tcBorders>
                    <w:top w:val="single" w:color="auto" w:sz="4" w:space="0"/>
                    <w:left w:val="single" w:color="auto" w:sz="4" w:space="0"/>
                    <w:bottom w:val="single" w:color="auto" w:sz="4" w:space="0"/>
                    <w:right w:val="single" w:color="auto" w:sz="4" w:space="0"/>
                  </w:tcBorders>
                  <w:vAlign w:val="center"/>
                </w:tcPr>
                <w:p w14:paraId="3CC9DA78">
                  <w:pPr>
                    <w:widowControl/>
                    <w:spacing w:line="280" w:lineRule="atLeast"/>
                    <w:ind w:firstLine="0" w:firstLineChars="0"/>
                    <w:rPr>
                      <w:rFonts w:hint="default" w:ascii="Times New Roman" w:hAnsi="Times New Roman" w:cs="Times New Roman"/>
                      <w:color w:val="auto"/>
                      <w:sz w:val="21"/>
                      <w:szCs w:val="21"/>
                      <w:highlight w:val="none"/>
                    </w:rPr>
                  </w:pPr>
                </w:p>
              </w:tc>
            </w:tr>
          </w:tbl>
          <w:p w14:paraId="6D0FB981">
            <w:pPr>
              <w:autoSpaceDE w:val="0"/>
              <w:autoSpaceDN w:val="0"/>
              <w:adjustRightInd w:val="0"/>
              <w:ind w:firstLine="422"/>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表1-</w:t>
            </w:r>
            <w:r>
              <w:rPr>
                <w:rFonts w:hint="eastAsia" w:cs="Times New Roman"/>
                <w:b/>
                <w:color w:val="auto"/>
                <w:sz w:val="21"/>
                <w:szCs w:val="21"/>
                <w:highlight w:val="none"/>
                <w:lang w:val="en-US" w:eastAsia="zh-CN"/>
              </w:rPr>
              <w:t>8</w:t>
            </w:r>
            <w:r>
              <w:rPr>
                <w:rFonts w:hint="default" w:ascii="Times New Roman" w:hAnsi="Times New Roman" w:cs="Times New Roman"/>
                <w:b/>
                <w:color w:val="auto"/>
                <w:sz w:val="21"/>
                <w:szCs w:val="21"/>
                <w:highlight w:val="none"/>
              </w:rPr>
              <w:t xml:space="preserve">   项目与全市一般生态空间总体管控要求符合性分析</w:t>
            </w:r>
          </w:p>
          <w:tbl>
            <w:tblPr>
              <w:tblStyle w:val="8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6"/>
              <w:gridCol w:w="286"/>
              <w:gridCol w:w="449"/>
              <w:gridCol w:w="4034"/>
              <w:gridCol w:w="2044"/>
              <w:gridCol w:w="381"/>
            </w:tblGrid>
            <w:tr w14:paraId="4F299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223" w:type="pct"/>
                  <w:vAlign w:val="center"/>
                </w:tcPr>
                <w:p w14:paraId="0F4C8A7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管控属性</w:t>
                  </w:r>
                </w:p>
              </w:tc>
              <w:tc>
                <w:tcPr>
                  <w:tcW w:w="488" w:type="pct"/>
                  <w:gridSpan w:val="2"/>
                  <w:vAlign w:val="center"/>
                </w:tcPr>
                <w:p w14:paraId="0667DF34">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管控类别</w:t>
                  </w:r>
                </w:p>
              </w:tc>
              <w:tc>
                <w:tcPr>
                  <w:tcW w:w="2678" w:type="pct"/>
                  <w:vAlign w:val="center"/>
                </w:tcPr>
                <w:p w14:paraId="59EA92A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管控要求</w:t>
                  </w:r>
                </w:p>
              </w:tc>
              <w:tc>
                <w:tcPr>
                  <w:tcW w:w="1357" w:type="pct"/>
                  <w:vAlign w:val="center"/>
                </w:tcPr>
                <w:p w14:paraId="1709C6F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项目情况</w:t>
                  </w:r>
                </w:p>
              </w:tc>
              <w:tc>
                <w:tcPr>
                  <w:tcW w:w="252" w:type="pct"/>
                  <w:vAlign w:val="center"/>
                </w:tcPr>
                <w:p w14:paraId="6D22126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3624F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restart"/>
                  <w:vAlign w:val="center"/>
                </w:tcPr>
                <w:p w14:paraId="08B714C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一般生态空间</w:t>
                  </w:r>
                </w:p>
              </w:tc>
              <w:tc>
                <w:tcPr>
                  <w:tcW w:w="189" w:type="pct"/>
                  <w:vMerge w:val="restart"/>
                  <w:vAlign w:val="center"/>
                </w:tcPr>
                <w:p w14:paraId="72A4004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总体要求</w:t>
                  </w:r>
                </w:p>
              </w:tc>
              <w:tc>
                <w:tcPr>
                  <w:tcW w:w="298" w:type="pct"/>
                  <w:vMerge w:val="restart"/>
                  <w:vAlign w:val="center"/>
                </w:tcPr>
                <w:p w14:paraId="18ABD80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2678" w:type="pct"/>
                  <w:vAlign w:val="center"/>
                </w:tcPr>
                <w:p w14:paraId="138A25A2">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根据生态功能保护区的资源禀赋、环境容量，合理确定区域产业发展方向，限制高污染、高能耗、高物耗产业的发展。要依法淘汰严重污染环境、严重破坏区域生态、严重浪费资源能源的产业，要依法关闭破坏资源、污染环境和损害生态系统功能的企业。</w:t>
                  </w:r>
                </w:p>
              </w:tc>
              <w:tc>
                <w:tcPr>
                  <w:tcW w:w="1357" w:type="pct"/>
                  <w:vAlign w:val="center"/>
                </w:tcPr>
                <w:p w14:paraId="35D28315">
                  <w:pPr>
                    <w:spacing w:line="280" w:lineRule="exact"/>
                    <w:ind w:firstLine="0" w:firstLineChars="0"/>
                    <w:jc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sz w:val="21"/>
                      <w:szCs w:val="21"/>
                      <w:highlight w:val="none"/>
                    </w:rPr>
                    <w:t>项目不属于高污染、高能耗、高物耗产业。</w:t>
                  </w:r>
                </w:p>
              </w:tc>
              <w:tc>
                <w:tcPr>
                  <w:tcW w:w="252" w:type="pct"/>
                  <w:vMerge w:val="restart"/>
                  <w:vAlign w:val="center"/>
                </w:tcPr>
                <w:p w14:paraId="67FB7E3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1C61A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42DE4485">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189" w:type="pct"/>
                  <w:vMerge w:val="continue"/>
                  <w:vAlign w:val="center"/>
                </w:tcPr>
                <w:p w14:paraId="63F76A3F">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98" w:type="pct"/>
                  <w:vMerge w:val="continue"/>
                  <w:vAlign w:val="center"/>
                </w:tcPr>
                <w:p w14:paraId="25B3DB1D">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678" w:type="pct"/>
                  <w:vAlign w:val="center"/>
                </w:tcPr>
                <w:p w14:paraId="7FE9B468">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应当按照限制性开发区域管理，限制进行大规模高强度工业化城镇化开发，以保持并提高生态产品供给能力。形成点状开发、面上保护的空间结构。开发强度得到有效控制，保有大片开敞生态空间，水面、湿地、林地、草地等绿色生态空间扩大，人类活动水平的空间控制在目前水平。</w:t>
                  </w:r>
                </w:p>
              </w:tc>
              <w:tc>
                <w:tcPr>
                  <w:tcW w:w="1357" w:type="pct"/>
                  <w:vMerge w:val="restart"/>
                  <w:vAlign w:val="center"/>
                </w:tcPr>
                <w:p w14:paraId="35711750">
                  <w:pPr>
                    <w:keepNext w:val="0"/>
                    <w:keepLines w:val="0"/>
                    <w:pageBreakBefore w:val="0"/>
                    <w:widowControl/>
                    <w:kinsoku/>
                    <w:wordWrap/>
                    <w:overflowPunct/>
                    <w:topLinePunct w:val="0"/>
                    <w:autoSpaceDE w:val="0"/>
                    <w:autoSpaceDN w:val="0"/>
                    <w:bidi w:val="0"/>
                    <w:adjustRightInd w:val="0"/>
                    <w:snapToGrid w:val="0"/>
                    <w:spacing w:line="280" w:lineRule="exact"/>
                    <w:ind w:left="0" w:leftChars="0" w:firstLine="0" w:firstLineChars="0"/>
                    <w:textAlignment w:val="auto"/>
                    <w:rPr>
                      <w:rFonts w:hint="default" w:ascii="Times New Roman" w:hAnsi="Times New Roman" w:cs="Times New Roman"/>
                      <w:color w:val="auto"/>
                      <w:sz w:val="21"/>
                      <w:szCs w:val="21"/>
                      <w:highlight w:val="none"/>
                    </w:rPr>
                  </w:pPr>
                  <w:r>
                    <w:rPr>
                      <w:rFonts w:hint="eastAsia" w:asciiTheme="minorEastAsia" w:hAnsiTheme="minorEastAsia" w:eastAsiaTheme="minorEastAsia" w:cstheme="minorEastAsia"/>
                      <w:color w:val="auto"/>
                      <w:kern w:val="0"/>
                      <w:sz w:val="21"/>
                      <w:szCs w:val="21"/>
                      <w:highlight w:val="none"/>
                    </w:rPr>
                    <w:t>项目位于河北迁安经济开发区，公司现有厂区内，根据开发区用地规划图，项目占地类型为三类工业用地，符合用地规划要求。</w:t>
                  </w:r>
                </w:p>
              </w:tc>
              <w:tc>
                <w:tcPr>
                  <w:tcW w:w="252" w:type="pct"/>
                  <w:vMerge w:val="continue"/>
                  <w:vAlign w:val="center"/>
                </w:tcPr>
                <w:p w14:paraId="792BB23C">
                  <w:pPr>
                    <w:widowControl/>
                    <w:spacing w:line="280" w:lineRule="exact"/>
                    <w:ind w:firstLine="0" w:firstLineChars="0"/>
                    <w:jc w:val="center"/>
                    <w:rPr>
                      <w:rFonts w:hint="default" w:ascii="Times New Roman" w:hAnsi="Times New Roman" w:cs="Times New Roman"/>
                      <w:color w:val="auto"/>
                      <w:sz w:val="21"/>
                      <w:szCs w:val="21"/>
                      <w:highlight w:val="none"/>
                    </w:rPr>
                  </w:pPr>
                </w:p>
              </w:tc>
            </w:tr>
            <w:tr w14:paraId="41BB7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6A8DAD20">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189" w:type="pct"/>
                  <w:vMerge w:val="continue"/>
                  <w:vAlign w:val="center"/>
                </w:tcPr>
                <w:p w14:paraId="58379444">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98" w:type="pct"/>
                  <w:vMerge w:val="continue"/>
                  <w:vAlign w:val="center"/>
                </w:tcPr>
                <w:p w14:paraId="673FE744">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678" w:type="pct"/>
                  <w:vAlign w:val="center"/>
                </w:tcPr>
                <w:p w14:paraId="1998117E">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3、区域内要严格开发区管理，原则上不再新建各类开发区和扩大现有工业开发区的面积，已有的工业开发区要逐步改造成低消耗、可循环、少排放、“零污染”的生态型工业区。</w:t>
                  </w:r>
                </w:p>
              </w:tc>
              <w:tc>
                <w:tcPr>
                  <w:tcW w:w="1357" w:type="pct"/>
                  <w:vMerge w:val="continue"/>
                  <w:vAlign w:val="center"/>
                </w:tcPr>
                <w:p w14:paraId="79E3D6ED">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52" w:type="pct"/>
                  <w:vMerge w:val="continue"/>
                  <w:vAlign w:val="center"/>
                </w:tcPr>
                <w:p w14:paraId="34B93F3B">
                  <w:pPr>
                    <w:widowControl/>
                    <w:spacing w:line="280" w:lineRule="exact"/>
                    <w:ind w:firstLine="0" w:firstLineChars="0"/>
                    <w:jc w:val="center"/>
                    <w:rPr>
                      <w:rFonts w:hint="default" w:ascii="Times New Roman" w:hAnsi="Times New Roman" w:cs="Times New Roman"/>
                      <w:color w:val="auto"/>
                      <w:sz w:val="21"/>
                      <w:szCs w:val="21"/>
                      <w:highlight w:val="none"/>
                    </w:rPr>
                  </w:pPr>
                </w:p>
              </w:tc>
            </w:tr>
            <w:tr w14:paraId="7581F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506E3E8E">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189" w:type="pct"/>
                  <w:vMerge w:val="continue"/>
                  <w:vAlign w:val="center"/>
                </w:tcPr>
                <w:p w14:paraId="3062AA93">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98" w:type="pct"/>
                  <w:vMerge w:val="continue"/>
                  <w:vAlign w:val="center"/>
                </w:tcPr>
                <w:p w14:paraId="54368CD6">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678" w:type="pct"/>
                  <w:vAlign w:val="center"/>
                </w:tcPr>
                <w:p w14:paraId="4BC5D9DD">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严格控制矿产资源开发。禁止在生态保护红线内、永久基本农田、城镇开发边界内、自然保护区、风景名胜区、饮用水水源保护区、地质遗迹保护区、文物保护单位的保护范围内和铁路高速公路国道两侧各1000米范围内新批固体矿产资源开发项目，严格控制新批液体、气体矿产资源开发项目。</w:t>
                  </w:r>
                </w:p>
              </w:tc>
              <w:tc>
                <w:tcPr>
                  <w:tcW w:w="1357" w:type="pct"/>
                  <w:vAlign w:val="center"/>
                </w:tcPr>
                <w:p w14:paraId="0043D140">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eastAsiaTheme="minorEastAsia"/>
                      <w:color w:val="auto"/>
                      <w:kern w:val="0"/>
                      <w:szCs w:val="21"/>
                      <w:highlight w:val="none"/>
                    </w:rPr>
                    <w:t>本项目为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eastAsiaTheme="minorEastAsia"/>
                      <w:color w:val="auto"/>
                      <w:szCs w:val="21"/>
                      <w:highlight w:val="none"/>
                      <w:lang w:eastAsia="zh-CN"/>
                    </w:rPr>
                    <w:t>，</w:t>
                  </w:r>
                  <w:r>
                    <w:rPr>
                      <w:rFonts w:hint="default" w:ascii="Times New Roman" w:hAnsi="Times New Roman" w:cs="Times New Roman" w:eastAsiaTheme="minorEastAsia"/>
                      <w:color w:val="auto"/>
                      <w:szCs w:val="21"/>
                      <w:highlight w:val="none"/>
                      <w:lang w:val="en-US" w:eastAsia="zh-CN"/>
                    </w:rPr>
                    <w:t>不属于矿产资源开发</w:t>
                  </w:r>
                  <w:r>
                    <w:rPr>
                      <w:rFonts w:hint="default" w:ascii="Times New Roman" w:hAnsi="Times New Roman" w:cs="Times New Roman"/>
                      <w:color w:val="auto"/>
                      <w:sz w:val="21"/>
                      <w:szCs w:val="21"/>
                      <w:highlight w:val="none"/>
                    </w:rPr>
                    <w:t>。</w:t>
                  </w:r>
                </w:p>
              </w:tc>
              <w:tc>
                <w:tcPr>
                  <w:tcW w:w="252" w:type="pct"/>
                  <w:vMerge w:val="continue"/>
                  <w:vAlign w:val="center"/>
                </w:tcPr>
                <w:p w14:paraId="44BF2F2F">
                  <w:pPr>
                    <w:widowControl/>
                    <w:spacing w:line="280" w:lineRule="exact"/>
                    <w:ind w:firstLine="0" w:firstLineChars="0"/>
                    <w:jc w:val="center"/>
                    <w:rPr>
                      <w:rFonts w:hint="default" w:ascii="Times New Roman" w:hAnsi="Times New Roman" w:cs="Times New Roman"/>
                      <w:color w:val="auto"/>
                      <w:sz w:val="21"/>
                      <w:szCs w:val="21"/>
                      <w:highlight w:val="none"/>
                    </w:rPr>
                  </w:pPr>
                </w:p>
              </w:tc>
            </w:tr>
            <w:tr w14:paraId="2593C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168686C4">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189" w:type="pct"/>
                  <w:vMerge w:val="continue"/>
                  <w:vAlign w:val="center"/>
                </w:tcPr>
                <w:p w14:paraId="41ECD25D">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98" w:type="pct"/>
                  <w:vMerge w:val="continue"/>
                  <w:vAlign w:val="center"/>
                </w:tcPr>
                <w:p w14:paraId="354F065D">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678" w:type="pct"/>
                  <w:vAlign w:val="center"/>
                </w:tcPr>
                <w:p w14:paraId="33B3E9B0">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5、新建非煤矿山，应当按照绿色矿山建设规范建设。已有非煤矿山，应当按照绿色矿山建设规范升级改造，逐步达到绿色矿山建设标准。</w:t>
                  </w:r>
                </w:p>
              </w:tc>
              <w:tc>
                <w:tcPr>
                  <w:tcW w:w="1357" w:type="pct"/>
                  <w:vAlign w:val="center"/>
                </w:tcPr>
                <w:p w14:paraId="1818DEDB">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eastAsiaTheme="minorEastAsia"/>
                      <w:color w:val="auto"/>
                      <w:kern w:val="0"/>
                      <w:szCs w:val="21"/>
                      <w:highlight w:val="none"/>
                    </w:rPr>
                    <w:t>本项目为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color w:val="auto"/>
                      <w:sz w:val="21"/>
                      <w:szCs w:val="21"/>
                      <w:highlight w:val="none"/>
                    </w:rPr>
                    <w:t>。</w:t>
                  </w:r>
                </w:p>
              </w:tc>
              <w:tc>
                <w:tcPr>
                  <w:tcW w:w="252" w:type="pct"/>
                  <w:vMerge w:val="continue"/>
                  <w:vAlign w:val="center"/>
                </w:tcPr>
                <w:p w14:paraId="0D2A29D7">
                  <w:pPr>
                    <w:widowControl/>
                    <w:spacing w:line="280" w:lineRule="exact"/>
                    <w:ind w:firstLine="0" w:firstLineChars="0"/>
                    <w:jc w:val="center"/>
                    <w:rPr>
                      <w:rFonts w:hint="default" w:ascii="Times New Roman" w:hAnsi="Times New Roman" w:cs="Times New Roman"/>
                      <w:color w:val="auto"/>
                      <w:sz w:val="21"/>
                      <w:szCs w:val="21"/>
                      <w:highlight w:val="none"/>
                    </w:rPr>
                  </w:pPr>
                </w:p>
              </w:tc>
            </w:tr>
            <w:tr w14:paraId="51321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32065DB1">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189" w:type="pct"/>
                  <w:vMerge w:val="continue"/>
                  <w:vAlign w:val="center"/>
                </w:tcPr>
                <w:p w14:paraId="39451788">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98" w:type="pct"/>
                  <w:vMerge w:val="continue"/>
                  <w:vAlign w:val="center"/>
                </w:tcPr>
                <w:p w14:paraId="2AA49A25">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678" w:type="pct"/>
                  <w:vAlign w:val="center"/>
                </w:tcPr>
                <w:p w14:paraId="07BA39D6">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6、严格控制新增建设占用生态保护红线外的生态空间。符合区域准入条件的建设项目，涉及占用生态空间中的林地、草原等，按有关法律法规规定办理；涉及占用生态空间中其他未作明确规定的用地，应当加强论证和管理。</w:t>
                  </w:r>
                </w:p>
              </w:tc>
              <w:tc>
                <w:tcPr>
                  <w:tcW w:w="1357" w:type="pct"/>
                  <w:vAlign w:val="center"/>
                </w:tcPr>
                <w:p w14:paraId="0E4989A8">
                  <w:pPr>
                    <w:widowControl/>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项目不涉及占用生态保护红线外的生态空间</w:t>
                  </w:r>
                </w:p>
              </w:tc>
              <w:tc>
                <w:tcPr>
                  <w:tcW w:w="252" w:type="pct"/>
                  <w:vMerge w:val="continue"/>
                  <w:vAlign w:val="center"/>
                </w:tcPr>
                <w:p w14:paraId="3632AD60">
                  <w:pPr>
                    <w:widowControl/>
                    <w:spacing w:line="280" w:lineRule="exact"/>
                    <w:ind w:firstLine="0" w:firstLineChars="0"/>
                    <w:jc w:val="center"/>
                    <w:rPr>
                      <w:rFonts w:hint="default" w:ascii="Times New Roman" w:hAnsi="Times New Roman" w:cs="Times New Roman"/>
                      <w:color w:val="auto"/>
                      <w:sz w:val="21"/>
                      <w:szCs w:val="21"/>
                      <w:highlight w:val="none"/>
                    </w:rPr>
                  </w:pPr>
                </w:p>
              </w:tc>
            </w:tr>
            <w:tr w14:paraId="05DC8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08A8E878">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189" w:type="pct"/>
                  <w:vMerge w:val="continue"/>
                  <w:vAlign w:val="center"/>
                </w:tcPr>
                <w:p w14:paraId="52EAEC6E">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98" w:type="pct"/>
                  <w:vMerge w:val="continue"/>
                  <w:vAlign w:val="center"/>
                </w:tcPr>
                <w:p w14:paraId="197D1194">
                  <w:pPr>
                    <w:widowControl/>
                    <w:spacing w:line="280" w:lineRule="exact"/>
                    <w:ind w:firstLine="0" w:firstLineChars="0"/>
                    <w:jc w:val="center"/>
                    <w:rPr>
                      <w:rFonts w:hint="default" w:ascii="Times New Roman" w:hAnsi="Times New Roman" w:cs="Times New Roman"/>
                      <w:color w:val="auto"/>
                      <w:sz w:val="21"/>
                      <w:szCs w:val="21"/>
                      <w:highlight w:val="none"/>
                    </w:rPr>
                  </w:pPr>
                </w:p>
              </w:tc>
              <w:tc>
                <w:tcPr>
                  <w:tcW w:w="2678" w:type="pct"/>
                  <w:vAlign w:val="center"/>
                </w:tcPr>
                <w:p w14:paraId="6E181788">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7、严格限制农业开发占用生态保护红线外的生态空间，符合条件的农业开发项目，须依法由市县级及以上地方人民政府统筹安排。生态保护红线外的耕地，除符合国家生态退耕条件，并纳入国家生态退耕总体安排，或因国家重大生态工程建设需要外，不得随意转用。</w:t>
                  </w:r>
                </w:p>
              </w:tc>
              <w:tc>
                <w:tcPr>
                  <w:tcW w:w="1357" w:type="pct"/>
                  <w:vAlign w:val="center"/>
                </w:tcPr>
                <w:p w14:paraId="2D4BA229">
                  <w:pPr>
                    <w:widowControl/>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color w:val="auto"/>
                      <w:sz w:val="21"/>
                      <w:szCs w:val="21"/>
                      <w:highlight w:val="none"/>
                    </w:rPr>
                    <w:t>，不占用生态保护红线外的生态空间</w:t>
                  </w:r>
                </w:p>
              </w:tc>
              <w:tc>
                <w:tcPr>
                  <w:tcW w:w="252" w:type="pct"/>
                  <w:vMerge w:val="continue"/>
                  <w:vAlign w:val="center"/>
                </w:tcPr>
                <w:p w14:paraId="4998CC25">
                  <w:pPr>
                    <w:widowControl/>
                    <w:spacing w:line="280" w:lineRule="exact"/>
                    <w:ind w:firstLine="0" w:firstLineChars="0"/>
                    <w:jc w:val="center"/>
                    <w:rPr>
                      <w:rFonts w:hint="default" w:ascii="Times New Roman" w:hAnsi="Times New Roman" w:cs="Times New Roman"/>
                      <w:color w:val="auto"/>
                      <w:sz w:val="21"/>
                      <w:szCs w:val="21"/>
                      <w:highlight w:val="none"/>
                    </w:rPr>
                  </w:pPr>
                </w:p>
              </w:tc>
            </w:tr>
            <w:tr w14:paraId="59E80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78E806D9">
                  <w:pPr>
                    <w:spacing w:line="280" w:lineRule="exact"/>
                    <w:ind w:firstLine="0" w:firstLineChars="0"/>
                    <w:jc w:val="center"/>
                    <w:rPr>
                      <w:rFonts w:hint="default" w:ascii="Times New Roman" w:hAnsi="Times New Roman" w:cs="Times New Roman"/>
                      <w:color w:val="auto"/>
                      <w:sz w:val="21"/>
                      <w:szCs w:val="21"/>
                      <w:highlight w:val="none"/>
                      <w:lang w:bidi="ar"/>
                    </w:rPr>
                  </w:pPr>
                </w:p>
              </w:tc>
              <w:tc>
                <w:tcPr>
                  <w:tcW w:w="189" w:type="pct"/>
                  <w:vAlign w:val="center"/>
                </w:tcPr>
                <w:p w14:paraId="785BB534">
                  <w:pPr>
                    <w:spacing w:line="280" w:lineRule="exact"/>
                    <w:ind w:firstLine="0" w:firstLineChars="0"/>
                    <w:jc w:val="center"/>
                    <w:rPr>
                      <w:rFonts w:hint="default" w:ascii="Times New Roman" w:hAnsi="Times New Roman" w:cs="Times New Roman"/>
                      <w:color w:val="auto"/>
                      <w:sz w:val="21"/>
                      <w:szCs w:val="21"/>
                      <w:highlight w:val="none"/>
                      <w:lang w:bidi="ar"/>
                    </w:rPr>
                  </w:pPr>
                  <w:r>
                    <w:rPr>
                      <w:rFonts w:hint="default" w:ascii="Times New Roman" w:hAnsi="Times New Roman" w:cs="Times New Roman"/>
                      <w:color w:val="auto"/>
                      <w:sz w:val="21"/>
                      <w:szCs w:val="21"/>
                      <w:highlight w:val="none"/>
                      <w:lang w:bidi="ar"/>
                    </w:rPr>
                    <w:t>水源涵养</w:t>
                  </w:r>
                </w:p>
              </w:tc>
              <w:tc>
                <w:tcPr>
                  <w:tcW w:w="298" w:type="pct"/>
                  <w:vAlign w:val="center"/>
                </w:tcPr>
                <w:p w14:paraId="71438E30">
                  <w:pPr>
                    <w:spacing w:line="280" w:lineRule="exact"/>
                    <w:ind w:firstLine="0" w:firstLineChars="0"/>
                    <w:jc w:val="center"/>
                    <w:rPr>
                      <w:rFonts w:hint="default" w:ascii="Times New Roman" w:hAnsi="Times New Roman" w:cs="Times New Roman"/>
                      <w:color w:val="auto"/>
                      <w:sz w:val="21"/>
                      <w:szCs w:val="21"/>
                      <w:highlight w:val="none"/>
                      <w:lang w:bidi="ar"/>
                    </w:rPr>
                  </w:pPr>
                  <w:r>
                    <w:rPr>
                      <w:rFonts w:hint="default" w:ascii="Times New Roman" w:hAnsi="Times New Roman" w:cs="Times New Roman"/>
                      <w:color w:val="auto"/>
                      <w:sz w:val="21"/>
                      <w:szCs w:val="21"/>
                      <w:highlight w:val="none"/>
                      <w:lang w:bidi="ar"/>
                    </w:rPr>
                    <w:t>空间布局约束</w:t>
                  </w:r>
                </w:p>
              </w:tc>
              <w:tc>
                <w:tcPr>
                  <w:tcW w:w="2678" w:type="pct"/>
                  <w:vAlign w:val="center"/>
                </w:tcPr>
                <w:p w14:paraId="47B2C2D8">
                  <w:pPr>
                    <w:pStyle w:val="1737"/>
                    <w:widowControl w:val="0"/>
                    <w:numPr>
                      <w:ilvl w:val="0"/>
                      <w:numId w:val="3"/>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禁止各种损害生态系统水源涵养功能的经济社会活动和生产方式，如无序采矿、毁林开荒、湿地和草地开垦、过度放牧、道路建设等。</w:t>
                  </w:r>
                </w:p>
                <w:p w14:paraId="2FE9B89A">
                  <w:pPr>
                    <w:pStyle w:val="1737"/>
                    <w:widowControl w:val="0"/>
                    <w:numPr>
                      <w:ilvl w:val="0"/>
                      <w:numId w:val="3"/>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禁止导致水体污染的产业发展，开展生态清洁小流域的建设。</w:t>
                  </w:r>
                </w:p>
                <w:p w14:paraId="345BC782">
                  <w:pPr>
                    <w:pStyle w:val="1737"/>
                    <w:widowControl w:val="0"/>
                    <w:numPr>
                      <w:ilvl w:val="0"/>
                      <w:numId w:val="3"/>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坚持自然恢复为主，严格限制在水源涵养区大规模人工造林。</w:t>
                  </w:r>
                </w:p>
                <w:p w14:paraId="40019EB8">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4、禁止高水资源消耗产业在水源涵养生态功能区布局。</w:t>
                  </w:r>
                </w:p>
              </w:tc>
              <w:tc>
                <w:tcPr>
                  <w:tcW w:w="1357" w:type="pct"/>
                  <w:vAlign w:val="center"/>
                </w:tcPr>
                <w:p w14:paraId="1932C02E">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cs="Times New Roman"/>
                      <w:color w:val="auto"/>
                      <w:sz w:val="21"/>
                      <w:szCs w:val="21"/>
                      <w:highlight w:val="none"/>
                      <w:lang w:bidi="ar"/>
                    </w:rPr>
                    <w:t>1、</w:t>
                  </w:r>
                  <w:r>
                    <w:rPr>
                      <w:rFonts w:hint="default" w:ascii="Times New Roman" w:hAnsi="Times New Roman" w:cs="Times New Roman"/>
                      <w:color w:val="auto"/>
                      <w:sz w:val="21"/>
                      <w:szCs w:val="21"/>
                      <w:highlight w:val="none"/>
                    </w:rPr>
                    <w:t>本项目为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bidi="ar"/>
                    </w:rPr>
                    <w:t>不会损害生态系统水源涵养功能</w:t>
                  </w:r>
                  <w:r>
                    <w:rPr>
                      <w:rFonts w:hint="default" w:ascii="Times New Roman" w:hAnsi="Times New Roman" w:cs="Times New Roman"/>
                      <w:color w:val="auto"/>
                      <w:sz w:val="21"/>
                      <w:szCs w:val="21"/>
                      <w:highlight w:val="none"/>
                    </w:rPr>
                    <w:t>；2、</w:t>
                  </w:r>
                  <w:r>
                    <w:rPr>
                      <w:rFonts w:hint="eastAsia"/>
                      <w:color w:val="auto"/>
                      <w:sz w:val="21"/>
                      <w:szCs w:val="21"/>
                      <w:highlight w:val="none"/>
                      <w:lang w:val="en-US" w:eastAsia="zh-CN"/>
                    </w:rPr>
                    <w:t>洗车废水沉淀后循环使用，不外排，</w:t>
                  </w:r>
                  <w:r>
                    <w:rPr>
                      <w:rFonts w:hint="default" w:ascii="Times New Roman" w:hAnsi="Times New Roman" w:cs="Times New Roman"/>
                      <w:color w:val="auto"/>
                      <w:sz w:val="21"/>
                      <w:szCs w:val="21"/>
                      <w:highlight w:val="none"/>
                    </w:rPr>
                    <w:t>本项目无新增生活污水</w:t>
                  </w:r>
                  <w:r>
                    <w:rPr>
                      <w:rFonts w:hint="default" w:ascii="Times New Roman" w:hAnsi="Times New Roman" w:cs="Times New Roman"/>
                      <w:color w:val="auto"/>
                      <w:szCs w:val="21"/>
                      <w:highlight w:val="none"/>
                      <w:lang w:val="en-US" w:eastAsia="zh-CN"/>
                    </w:rPr>
                    <w:t>，</w:t>
                  </w:r>
                  <w:r>
                    <w:rPr>
                      <w:rFonts w:hint="default" w:ascii="Times New Roman" w:hAnsi="Times New Roman" w:cs="Times New Roman"/>
                      <w:color w:val="auto"/>
                      <w:sz w:val="21"/>
                      <w:szCs w:val="21"/>
                      <w:highlight w:val="none"/>
                    </w:rPr>
                    <w:t>不属于导致水体污染的产业；3、</w:t>
                  </w:r>
                  <w:r>
                    <w:rPr>
                      <w:rFonts w:hint="default" w:ascii="Times New Roman" w:hAnsi="Times New Roman" w:cs="Times New Roman"/>
                      <w:color w:val="auto"/>
                      <w:sz w:val="21"/>
                      <w:szCs w:val="21"/>
                      <w:highlight w:val="none"/>
                      <w:lang w:val="en-US" w:eastAsia="zh-CN"/>
                    </w:rPr>
                    <w:t>项目</w:t>
                  </w:r>
                  <w:r>
                    <w:rPr>
                      <w:rFonts w:hint="default" w:ascii="Times New Roman" w:hAnsi="Times New Roman" w:cs="Times New Roman"/>
                      <w:color w:val="auto"/>
                      <w:sz w:val="21"/>
                      <w:szCs w:val="21"/>
                      <w:highlight w:val="none"/>
                    </w:rPr>
                    <w:t>不属于人工造林；4、本项目为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不属于高水</w:t>
                  </w:r>
                  <w:r>
                    <w:rPr>
                      <w:rFonts w:hint="default" w:ascii="Times New Roman" w:hAnsi="Times New Roman" w:cs="Times New Roman"/>
                      <w:color w:val="auto"/>
                      <w:sz w:val="21"/>
                      <w:szCs w:val="21"/>
                      <w:highlight w:val="none"/>
                      <w:lang w:eastAsia="zh-CN"/>
                    </w:rPr>
                    <w:t>资源消耗产业</w:t>
                  </w:r>
                </w:p>
              </w:tc>
              <w:tc>
                <w:tcPr>
                  <w:tcW w:w="252" w:type="pct"/>
                  <w:vAlign w:val="center"/>
                </w:tcPr>
                <w:p w14:paraId="4B035530">
                  <w:pPr>
                    <w:spacing w:line="280" w:lineRule="exact"/>
                    <w:ind w:firstLine="0" w:firstLineChars="0"/>
                    <w:jc w:val="center"/>
                    <w:rPr>
                      <w:rFonts w:hint="default" w:ascii="Times New Roman" w:hAnsi="Times New Roman" w:cs="Times New Roman"/>
                      <w:color w:val="auto"/>
                      <w:sz w:val="21"/>
                      <w:szCs w:val="21"/>
                      <w:highlight w:val="none"/>
                      <w:lang w:bidi="ar"/>
                    </w:rPr>
                  </w:pPr>
                  <w:r>
                    <w:rPr>
                      <w:rFonts w:hint="default" w:ascii="Times New Roman" w:hAnsi="Times New Roman" w:cs="Times New Roman"/>
                      <w:color w:val="auto"/>
                      <w:sz w:val="21"/>
                      <w:szCs w:val="21"/>
                      <w:highlight w:val="none"/>
                    </w:rPr>
                    <w:t>符合</w:t>
                  </w:r>
                </w:p>
              </w:tc>
            </w:tr>
            <w:tr w14:paraId="24395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345FAEF0">
                  <w:pPr>
                    <w:spacing w:line="280" w:lineRule="exact"/>
                    <w:ind w:firstLine="0" w:firstLineChars="0"/>
                    <w:jc w:val="center"/>
                    <w:rPr>
                      <w:rFonts w:hint="default" w:ascii="Times New Roman" w:hAnsi="Times New Roman" w:cs="Times New Roman"/>
                      <w:color w:val="auto"/>
                      <w:sz w:val="21"/>
                      <w:szCs w:val="21"/>
                      <w:highlight w:val="none"/>
                      <w:lang w:bidi="ar"/>
                    </w:rPr>
                  </w:pPr>
                </w:p>
              </w:tc>
              <w:tc>
                <w:tcPr>
                  <w:tcW w:w="189" w:type="pct"/>
                  <w:vAlign w:val="center"/>
                </w:tcPr>
                <w:p w14:paraId="55C6EC6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水土保持</w:t>
                  </w:r>
                </w:p>
              </w:tc>
              <w:tc>
                <w:tcPr>
                  <w:tcW w:w="298" w:type="pct"/>
                  <w:vAlign w:val="center"/>
                </w:tcPr>
                <w:p w14:paraId="4B68F72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2678" w:type="pct"/>
                  <w:vAlign w:val="center"/>
                </w:tcPr>
                <w:p w14:paraId="14DD6530">
                  <w:pPr>
                    <w:pStyle w:val="1737"/>
                    <w:widowControl w:val="0"/>
                    <w:numPr>
                      <w:ilvl w:val="0"/>
                      <w:numId w:val="4"/>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严禁陡坡垦殖和过度放牧。</w:t>
                  </w:r>
                </w:p>
                <w:p w14:paraId="0C7F9EC2">
                  <w:pPr>
                    <w:pStyle w:val="1737"/>
                    <w:widowControl w:val="0"/>
                    <w:numPr>
                      <w:ilvl w:val="0"/>
                      <w:numId w:val="4"/>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在水土保持生态功能保护区内，禁止毁林开荒、烧山开荒和陡坡地开垦，合理开发自然资源，保护和恢复自然生态系统，增强区域水土保持能力。</w:t>
                  </w:r>
                </w:p>
                <w:p w14:paraId="16FA346C">
                  <w:pPr>
                    <w:pStyle w:val="1737"/>
                    <w:widowControl w:val="0"/>
                    <w:numPr>
                      <w:ilvl w:val="0"/>
                      <w:numId w:val="4"/>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限制土地资源高消耗产业在水土保持生态功能区发展。</w:t>
                  </w:r>
                </w:p>
                <w:p w14:paraId="17B9D2B4">
                  <w:pPr>
                    <w:pStyle w:val="1737"/>
                    <w:widowControl w:val="0"/>
                    <w:numPr>
                      <w:ilvl w:val="0"/>
                      <w:numId w:val="4"/>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禁止开垦、开发植物保护带。禁止在二十五度以上的陡坡地和大中型水库周边汇水区域二十度以上的陡坡地开垦种植农作物。禁止毁林、毁草开垦和采集发菜。禁止在水土流失重点预防区和重点治理区铲草皮、挖树兜或者滥挖虫草、甘草、麻黄等。</w:t>
                  </w:r>
                </w:p>
                <w:p w14:paraId="4ED4F119">
                  <w:pPr>
                    <w:pStyle w:val="1737"/>
                    <w:widowControl w:val="0"/>
                    <w:numPr>
                      <w:ilvl w:val="0"/>
                      <w:numId w:val="4"/>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对水源涵养林、水土保持林、防风固沙林等防护林只能进行抚育和更新性质的采伐；对采伐区和集材道应当采取防止水土流失的措施，并在采伐后及时更新造林。</w:t>
                  </w:r>
                </w:p>
              </w:tc>
              <w:tc>
                <w:tcPr>
                  <w:tcW w:w="1357" w:type="pct"/>
                  <w:vAlign w:val="center"/>
                </w:tcPr>
                <w:p w14:paraId="5A321E47">
                  <w:pPr>
                    <w:spacing w:line="280" w:lineRule="exact"/>
                    <w:ind w:firstLine="0" w:firstLineChars="0"/>
                    <w:jc w:val="center"/>
                    <w:rPr>
                      <w:rFonts w:hint="default" w:ascii="Times New Roman" w:hAnsi="Times New Roman" w:cs="Times New Roman"/>
                      <w:color w:val="auto"/>
                      <w:kern w:val="24"/>
                      <w:sz w:val="21"/>
                      <w:szCs w:val="21"/>
                      <w:highlight w:val="none"/>
                    </w:rPr>
                  </w:pPr>
                  <w:r>
                    <w:rPr>
                      <w:rFonts w:hint="default" w:ascii="Times New Roman" w:hAnsi="Times New Roman" w:cs="Times New Roman"/>
                      <w:color w:val="auto"/>
                      <w:kern w:val="24"/>
                      <w:sz w:val="21"/>
                      <w:szCs w:val="21"/>
                      <w:highlight w:val="none"/>
                    </w:rPr>
                    <w:t>1、项目不涉及；2、项目不涉及；3、</w:t>
                  </w:r>
                  <w:r>
                    <w:rPr>
                      <w:rFonts w:hint="eastAsia" w:asciiTheme="minorEastAsia" w:hAnsiTheme="minorEastAsia" w:eastAsiaTheme="minorEastAsia" w:cstheme="minorEastAsia"/>
                      <w:color w:val="auto"/>
                      <w:kern w:val="0"/>
                      <w:sz w:val="21"/>
                      <w:szCs w:val="21"/>
                      <w:highlight w:val="none"/>
                    </w:rPr>
                    <w:t>项目位于河北迁安经济开发区，公司现有厂区内，项目占地类型为三类工业用地，符合用地规划要求</w:t>
                  </w:r>
                  <w:r>
                    <w:rPr>
                      <w:rFonts w:hint="default" w:ascii="Times New Roman" w:hAnsi="Times New Roman" w:cs="Times New Roman"/>
                      <w:color w:val="auto"/>
                      <w:kern w:val="24"/>
                      <w:sz w:val="21"/>
                      <w:szCs w:val="21"/>
                      <w:highlight w:val="none"/>
                    </w:rPr>
                    <w:t>；4、项目不涉及；5、项目不涉及</w:t>
                  </w:r>
                </w:p>
              </w:tc>
              <w:tc>
                <w:tcPr>
                  <w:tcW w:w="252" w:type="pct"/>
                  <w:vAlign w:val="center"/>
                </w:tcPr>
                <w:p w14:paraId="4FC06D9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1928A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47E46487">
                  <w:pPr>
                    <w:spacing w:line="280" w:lineRule="exact"/>
                    <w:ind w:firstLine="0" w:firstLineChars="0"/>
                    <w:jc w:val="center"/>
                    <w:rPr>
                      <w:rFonts w:hint="default" w:ascii="Times New Roman" w:hAnsi="Times New Roman" w:cs="Times New Roman"/>
                      <w:color w:val="auto"/>
                      <w:sz w:val="21"/>
                      <w:szCs w:val="21"/>
                      <w:highlight w:val="none"/>
                      <w:lang w:bidi="ar"/>
                    </w:rPr>
                  </w:pPr>
                </w:p>
              </w:tc>
              <w:tc>
                <w:tcPr>
                  <w:tcW w:w="189" w:type="pct"/>
                  <w:vAlign w:val="center"/>
                </w:tcPr>
                <w:p w14:paraId="1FF168B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生物多样性保护</w:t>
                  </w:r>
                </w:p>
              </w:tc>
              <w:tc>
                <w:tcPr>
                  <w:tcW w:w="298" w:type="pct"/>
                  <w:vAlign w:val="center"/>
                </w:tcPr>
                <w:p w14:paraId="0B4BB80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2678" w:type="pct"/>
                  <w:vAlign w:val="center"/>
                </w:tcPr>
                <w:p w14:paraId="72DFEC89">
                  <w:pPr>
                    <w:pStyle w:val="1737"/>
                    <w:widowControl w:val="0"/>
                    <w:numPr>
                      <w:ilvl w:val="0"/>
                      <w:numId w:val="5"/>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保护自然生态系统与重要物种栖息地，防止生态建设导致栖息环境的改变。</w:t>
                  </w:r>
                </w:p>
                <w:p w14:paraId="1382379D">
                  <w:pPr>
                    <w:pStyle w:val="1737"/>
                    <w:widowControl w:val="0"/>
                    <w:numPr>
                      <w:ilvl w:val="0"/>
                      <w:numId w:val="5"/>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禁止对野生动植物进行滥捕、滥采，保持并恢复野生动植物物种和种群的平衡，实现野生动植物资源的良性循环和永续利用。</w:t>
                  </w:r>
                </w:p>
                <w:p w14:paraId="059C2E9F">
                  <w:pPr>
                    <w:pStyle w:val="1737"/>
                    <w:widowControl w:val="0"/>
                    <w:numPr>
                      <w:ilvl w:val="0"/>
                      <w:numId w:val="5"/>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禁止生物多样性维护生态功能区的大规模水电开发和林纸一体化产业发展。</w:t>
                  </w:r>
                </w:p>
                <w:p w14:paraId="53B54029">
                  <w:pPr>
                    <w:pStyle w:val="1737"/>
                    <w:widowControl w:val="0"/>
                    <w:numPr>
                      <w:ilvl w:val="0"/>
                      <w:numId w:val="5"/>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保护自然生态系统与重要物种栖息地，限制或禁止各种损害栖息地的经济社会活动和生产方式，如无序采矿、毁林开荒、湿地和草地开垦等，防止生态建设导致栖息环境的改变。</w:t>
                  </w:r>
                </w:p>
                <w:p w14:paraId="6B6B39C9">
                  <w:pPr>
                    <w:pStyle w:val="1737"/>
                    <w:widowControl w:val="0"/>
                    <w:numPr>
                      <w:ilvl w:val="0"/>
                      <w:numId w:val="5"/>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加强对外来物种入侵的控制，禁止在生物多样性保护功能区引进外来物种。</w:t>
                  </w:r>
                </w:p>
                <w:p w14:paraId="0B94CC82">
                  <w:pPr>
                    <w:pStyle w:val="1737"/>
                    <w:widowControl w:val="0"/>
                    <w:numPr>
                      <w:ilvl w:val="0"/>
                      <w:numId w:val="5"/>
                    </w:numPr>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生物多样性保护优先区域内要优化城镇开发建设活动的规模、结构和布局，严格控制高耗能、高排放行业发展，新引入的行业、企业不得对优先区域生物多样性造成影响。</w:t>
                  </w:r>
                </w:p>
              </w:tc>
              <w:tc>
                <w:tcPr>
                  <w:tcW w:w="1357" w:type="pct"/>
                  <w:vAlign w:val="center"/>
                </w:tcPr>
                <w:p w14:paraId="66764DB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项目不涉及自然生态系统与重要物种栖息地；2、项目不涉及；3、项目不涉及；4、项目不属于大规模水电开发，不属于林纸一体化产业发展；5、项目不涉及；6、项目不属于高耗能、高排放行业，不会对优先区域生物多样性造成影响。</w:t>
                  </w:r>
                </w:p>
              </w:tc>
              <w:tc>
                <w:tcPr>
                  <w:tcW w:w="252" w:type="pct"/>
                  <w:vAlign w:val="center"/>
                </w:tcPr>
                <w:p w14:paraId="638FA7E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1C133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4721D93A">
                  <w:pPr>
                    <w:spacing w:line="280" w:lineRule="exact"/>
                    <w:ind w:firstLine="0" w:firstLineChars="0"/>
                    <w:jc w:val="center"/>
                    <w:rPr>
                      <w:rFonts w:hint="default" w:ascii="Times New Roman" w:hAnsi="Times New Roman" w:cs="Times New Roman"/>
                      <w:color w:val="auto"/>
                      <w:sz w:val="21"/>
                      <w:szCs w:val="21"/>
                      <w:highlight w:val="none"/>
                      <w:lang w:bidi="ar"/>
                    </w:rPr>
                  </w:pPr>
                </w:p>
              </w:tc>
              <w:tc>
                <w:tcPr>
                  <w:tcW w:w="189" w:type="pct"/>
                  <w:vAlign w:val="center"/>
                </w:tcPr>
                <w:p w14:paraId="78975E6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水土流失</w:t>
                  </w:r>
                </w:p>
              </w:tc>
              <w:tc>
                <w:tcPr>
                  <w:tcW w:w="298" w:type="pct"/>
                  <w:vAlign w:val="center"/>
                </w:tcPr>
                <w:p w14:paraId="620DC1E7">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2678" w:type="pct"/>
                  <w:vAlign w:val="center"/>
                </w:tcPr>
                <w:p w14:paraId="44D49A27">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1、禁止在崩塌、滑坡危险区和泥石流易发区从事取土、挖砂、采石等可能造成水土流失的活动。</w:t>
                  </w:r>
                </w:p>
                <w:p w14:paraId="2B2A9ED7">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在水土流失严重、生态脆弱的地区，应当限制或者禁止可能造成水土流失的生产建设活动，严格保护植物、沙壳、结皮、地衣等。在侵蚀沟的沟坡和沟岸、河流的两岸以及湖泊和水库的周边，应当营造植物保护带。禁止开垦、开发植物保护带。</w:t>
                  </w:r>
                </w:p>
                <w:p w14:paraId="1D1C5B53">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3、禁止在水土流失重点预防区和重点治理区铲草皮、挖树兜或者滥挖虫草、甘草、麻黄等。</w:t>
                  </w:r>
                </w:p>
                <w:p w14:paraId="63E841FD">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4、禁止在二十五度以上陡坡地开垦种植农作物。已在禁止开垦的陡坡地上开垦种植农作物的，应当按照国家有关规定退耕，植树种草；耕地短缺、退耕确有困难的，应当修建梯田或者采取其他水土保持措施。</w:t>
                  </w:r>
                </w:p>
              </w:tc>
              <w:tc>
                <w:tcPr>
                  <w:tcW w:w="1357" w:type="pct"/>
                  <w:vAlign w:val="center"/>
                </w:tcPr>
                <w:p w14:paraId="603861A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1、项目不涉及；2、项目不在水土流失严重、生态脆弱的地区；3、项目</w:t>
                  </w:r>
                  <w:r>
                    <w:rPr>
                      <w:rFonts w:hint="default" w:ascii="Times New Roman" w:hAnsi="Times New Roman" w:cs="Times New Roman"/>
                      <w:color w:val="auto"/>
                      <w:sz w:val="21"/>
                      <w:szCs w:val="21"/>
                      <w:highlight w:val="none"/>
                      <w:lang w:val="en-US" w:eastAsia="zh-CN"/>
                    </w:rPr>
                    <w:t>不涉及</w:t>
                  </w:r>
                  <w:r>
                    <w:rPr>
                      <w:rFonts w:hint="default" w:ascii="Times New Roman" w:hAnsi="Times New Roman" w:cs="Times New Roman"/>
                      <w:color w:val="auto"/>
                      <w:sz w:val="21"/>
                      <w:szCs w:val="21"/>
                      <w:highlight w:val="none"/>
                    </w:rPr>
                    <w:t>；4、项目不涉及。</w:t>
                  </w:r>
                </w:p>
              </w:tc>
              <w:tc>
                <w:tcPr>
                  <w:tcW w:w="252" w:type="pct"/>
                  <w:vAlign w:val="center"/>
                </w:tcPr>
                <w:p w14:paraId="6E06F5DE">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10E1F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28B0E1DC">
                  <w:pPr>
                    <w:spacing w:line="280" w:lineRule="exact"/>
                    <w:ind w:firstLine="0" w:firstLineChars="0"/>
                    <w:jc w:val="center"/>
                    <w:rPr>
                      <w:rFonts w:hint="default" w:ascii="Times New Roman" w:hAnsi="Times New Roman" w:cs="Times New Roman"/>
                      <w:color w:val="auto"/>
                      <w:sz w:val="21"/>
                      <w:szCs w:val="21"/>
                      <w:highlight w:val="none"/>
                      <w:lang w:bidi="ar"/>
                    </w:rPr>
                  </w:pPr>
                </w:p>
              </w:tc>
              <w:tc>
                <w:tcPr>
                  <w:tcW w:w="189" w:type="pct"/>
                  <w:vAlign w:val="center"/>
                </w:tcPr>
                <w:p w14:paraId="24D583C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河湖滨岸带</w:t>
                  </w:r>
                </w:p>
              </w:tc>
              <w:tc>
                <w:tcPr>
                  <w:tcW w:w="298" w:type="pct"/>
                  <w:vAlign w:val="center"/>
                </w:tcPr>
                <w:p w14:paraId="2E2C138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2678" w:type="pct"/>
                  <w:vAlign w:val="center"/>
                </w:tcPr>
                <w:p w14:paraId="6BF5CD0D">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禁止向河道、渠道、水库及其他水域排放超标准污水或者弃置固体废物。在河道管理范围内，禁止堆放、倾倒、掩埋、排放污染水体的物体；禁止修建围堤、阻水渠道、阻水道路；禁止种植高杆农作物、芦苇、杞柳、荻柴和树木(堤防防护林除外)；禁止设置拦河渔具；禁止弃置矿渣、石渣、煤灰、泥土、垃圾等。在堤防和护堤地，禁止建房、放牧、开渠、打井、挖窖、葬坟、晒粮、存放物料、开采地下资源、进行考古发掘以及开展集市贸易活动。</w:t>
                  </w:r>
                </w:p>
                <w:p w14:paraId="4FC84F9A">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在河道管理范围内进行下列活动，必须报经河道主管机关批准；涉及其他部门的，由河道主管机关会同有关部门批准：(一)采砂、取土、淘金、弃置砂石或者淤泥；(二)爆破、钻探、挖筑鱼塘；(三)在河道滩地存放物料、修建厂房或者其他建筑设施；(四)在河道滩地开采地下资源及进行考古发掘。</w:t>
                  </w:r>
                </w:p>
                <w:p w14:paraId="52A2A5BB">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3、在堤防安全保护区内，禁止进行打井、钻探、爆破、挖筑鱼塘、采石、取土等危害堤防安全的活动。</w:t>
                  </w:r>
                </w:p>
                <w:p w14:paraId="44BCC828">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4、严格控制新增建设占用生态保护红线外的生态空间。</w:t>
                  </w:r>
                </w:p>
              </w:tc>
              <w:tc>
                <w:tcPr>
                  <w:tcW w:w="1357" w:type="pct"/>
                  <w:vAlign w:val="center"/>
                </w:tcPr>
                <w:p w14:paraId="19577C7A">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eastAsia" w:asciiTheme="minorEastAsia" w:hAnsiTheme="minorEastAsia" w:eastAsiaTheme="minorEastAsia" w:cstheme="minorEastAsia"/>
                      <w:color w:val="auto"/>
                      <w:kern w:val="0"/>
                      <w:sz w:val="21"/>
                      <w:szCs w:val="21"/>
                      <w:highlight w:val="none"/>
                    </w:rPr>
                    <w:t>项目</w:t>
                  </w:r>
                  <w:r>
                    <w:rPr>
                      <w:rFonts w:hint="eastAsia"/>
                      <w:color w:val="auto"/>
                      <w:sz w:val="21"/>
                      <w:szCs w:val="21"/>
                      <w:highlight w:val="none"/>
                      <w:lang w:val="en-US" w:eastAsia="zh-CN"/>
                    </w:rPr>
                    <w:t>洗车废水沉淀后循环使用，不外排，</w:t>
                  </w:r>
                  <w:r>
                    <w:rPr>
                      <w:rFonts w:hint="default" w:ascii="Times New Roman" w:hAnsi="Times New Roman" w:cs="Times New Roman"/>
                      <w:color w:val="auto"/>
                      <w:sz w:val="21"/>
                      <w:szCs w:val="21"/>
                      <w:highlight w:val="none"/>
                    </w:rPr>
                    <w:t>本项目无新增生活污水</w:t>
                  </w:r>
                  <w:r>
                    <w:rPr>
                      <w:rFonts w:hint="default" w:ascii="Times New Roman" w:hAnsi="Times New Roman"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项目产生的固体废物均得到合理处置；</w:t>
                  </w:r>
                  <w:r>
                    <w:rPr>
                      <w:rFonts w:hint="default" w:ascii="Times New Roman" w:hAnsi="Times New Roman" w:cs="Times New Roman"/>
                      <w:color w:val="auto"/>
                      <w:sz w:val="21"/>
                      <w:szCs w:val="21"/>
                      <w:highlight w:val="none"/>
                    </w:rPr>
                    <w:t>2、项目不涉及；3、项目不涉及；4、项目不占用生态空间</w:t>
                  </w:r>
                </w:p>
              </w:tc>
              <w:tc>
                <w:tcPr>
                  <w:tcW w:w="252" w:type="pct"/>
                  <w:vAlign w:val="center"/>
                </w:tcPr>
                <w:p w14:paraId="4C4F14E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6EADF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47F9AAE9">
                  <w:pPr>
                    <w:spacing w:line="280" w:lineRule="exact"/>
                    <w:ind w:firstLine="0" w:firstLineChars="0"/>
                    <w:jc w:val="center"/>
                    <w:rPr>
                      <w:rFonts w:hint="default" w:ascii="Times New Roman" w:hAnsi="Times New Roman" w:cs="Times New Roman"/>
                      <w:color w:val="auto"/>
                      <w:sz w:val="21"/>
                      <w:szCs w:val="21"/>
                      <w:highlight w:val="none"/>
                      <w:lang w:bidi="ar"/>
                    </w:rPr>
                  </w:pPr>
                </w:p>
              </w:tc>
              <w:tc>
                <w:tcPr>
                  <w:tcW w:w="189" w:type="pct"/>
                  <w:vAlign w:val="center"/>
                </w:tcPr>
                <w:p w14:paraId="501E961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基本农田</w:t>
                  </w:r>
                </w:p>
              </w:tc>
              <w:tc>
                <w:tcPr>
                  <w:tcW w:w="298" w:type="pct"/>
                  <w:vAlign w:val="center"/>
                </w:tcPr>
                <w:p w14:paraId="406FF9D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2678" w:type="pct"/>
                  <w:vAlign w:val="center"/>
                </w:tcPr>
                <w:p w14:paraId="22CFB97E">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1、禁止任何单位和个人在基本农田保护区内建窑、建房、建坟、挖砂、采石、采矿、取土、堆放固体废弃物或者进行其他破坏基本农田的活动；禁止任何单位和个人占用基本农田发展林果业和挖塘养鱼。</w:t>
                  </w:r>
                </w:p>
                <w:p w14:paraId="160BE633">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2、禁止任何单位和个人闲置、荒芜基本农田。</w:t>
                  </w:r>
                </w:p>
                <w:p w14:paraId="618AFAAE">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3、在永久基本农田集中区域，不得新建可能造成土壤污染的建设项目；已经建成的，应当限期关闭拆除。</w:t>
                  </w:r>
                </w:p>
              </w:tc>
              <w:tc>
                <w:tcPr>
                  <w:tcW w:w="1357" w:type="pct"/>
                  <w:vAlign w:val="center"/>
                </w:tcPr>
                <w:p w14:paraId="2BBFE25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eastAsia" w:asciiTheme="minorEastAsia" w:hAnsiTheme="minorEastAsia" w:eastAsiaTheme="minorEastAsia" w:cstheme="minorEastAsia"/>
                      <w:color w:val="auto"/>
                      <w:kern w:val="0"/>
                      <w:sz w:val="21"/>
                      <w:szCs w:val="21"/>
                      <w:highlight w:val="none"/>
                    </w:rPr>
                    <w:t>项目位于河北迁安经济开发区，公司现有厂区内，根据开发区用地规划图，项目占地类型为三类工业用地，</w:t>
                  </w:r>
                  <w:r>
                    <w:rPr>
                      <w:rFonts w:hint="default" w:ascii="Times New Roman" w:hAnsi="Times New Roman" w:cs="Times New Roman"/>
                      <w:color w:val="auto"/>
                      <w:sz w:val="21"/>
                      <w:szCs w:val="21"/>
                      <w:highlight w:val="none"/>
                    </w:rPr>
                    <w:t>占地范围均不在生态保护红线、永久基本农田保护红线内。</w:t>
                  </w:r>
                </w:p>
              </w:tc>
              <w:tc>
                <w:tcPr>
                  <w:tcW w:w="252" w:type="pct"/>
                  <w:vAlign w:val="center"/>
                </w:tcPr>
                <w:p w14:paraId="7B5B0A7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bl>
          <w:p w14:paraId="234CAE5C">
            <w:pPr>
              <w:autoSpaceDE w:val="0"/>
              <w:autoSpaceDN w:val="0"/>
              <w:adjustRightInd w:val="0"/>
              <w:ind w:firstLine="422"/>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表1-</w:t>
            </w:r>
            <w:r>
              <w:rPr>
                <w:rFonts w:hint="eastAsia" w:cs="Times New Roman"/>
                <w:b/>
                <w:color w:val="auto"/>
                <w:sz w:val="21"/>
                <w:szCs w:val="21"/>
                <w:highlight w:val="none"/>
                <w:lang w:val="en-US" w:eastAsia="zh-CN"/>
              </w:rPr>
              <w:t>9</w:t>
            </w:r>
            <w:r>
              <w:rPr>
                <w:rFonts w:hint="default" w:ascii="Times New Roman" w:hAnsi="Times New Roman" w:cs="Times New Roman"/>
                <w:b/>
                <w:color w:val="auto"/>
                <w:sz w:val="21"/>
                <w:szCs w:val="21"/>
                <w:highlight w:val="none"/>
              </w:rPr>
              <w:t xml:space="preserve">    项目与全市大气环境总体管控要求符合性分析</w:t>
            </w:r>
          </w:p>
          <w:tbl>
            <w:tblPr>
              <w:tblStyle w:val="84"/>
              <w:tblW w:w="74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
              <w:gridCol w:w="688"/>
              <w:gridCol w:w="4136"/>
              <w:gridCol w:w="1905"/>
              <w:gridCol w:w="378"/>
            </w:tblGrid>
            <w:tr w14:paraId="0A48C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223" w:type="pct"/>
                  <w:vAlign w:val="center"/>
                </w:tcPr>
                <w:p w14:paraId="4FC9C22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要素属性</w:t>
                  </w:r>
                </w:p>
              </w:tc>
              <w:tc>
                <w:tcPr>
                  <w:tcW w:w="462" w:type="pct"/>
                  <w:vAlign w:val="center"/>
                </w:tcPr>
                <w:p w14:paraId="0A2B58D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管控类别</w:t>
                  </w:r>
                </w:p>
              </w:tc>
              <w:tc>
                <w:tcPr>
                  <w:tcW w:w="2779" w:type="pct"/>
                  <w:vAlign w:val="center"/>
                </w:tcPr>
                <w:p w14:paraId="3BFC332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管控要求</w:t>
                  </w:r>
                </w:p>
              </w:tc>
              <w:tc>
                <w:tcPr>
                  <w:tcW w:w="1280" w:type="pct"/>
                  <w:vAlign w:val="center"/>
                </w:tcPr>
                <w:p w14:paraId="5543537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本项目情况</w:t>
                  </w:r>
                </w:p>
              </w:tc>
              <w:tc>
                <w:tcPr>
                  <w:tcW w:w="254" w:type="pct"/>
                  <w:vAlign w:val="center"/>
                </w:tcPr>
                <w:p w14:paraId="12E585C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6D362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restart"/>
                  <w:vAlign w:val="center"/>
                </w:tcPr>
                <w:p w14:paraId="25E7803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大气环境</w:t>
                  </w:r>
                </w:p>
              </w:tc>
              <w:tc>
                <w:tcPr>
                  <w:tcW w:w="462" w:type="pct"/>
                  <w:vAlign w:val="center"/>
                </w:tcPr>
                <w:p w14:paraId="3D2EA09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污染防控目标</w:t>
                  </w:r>
                </w:p>
              </w:tc>
              <w:tc>
                <w:tcPr>
                  <w:tcW w:w="2779" w:type="pct"/>
                  <w:vAlign w:val="center"/>
                </w:tcPr>
                <w:p w14:paraId="40D375D4">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2025年，全市细颗粒物(PM</w:t>
                  </w:r>
                  <w:r>
                    <w:rPr>
                      <w:rFonts w:hint="default" w:ascii="Times New Roman" w:hAnsi="Times New Roman" w:cs="Times New Roman"/>
                      <w:color w:val="auto"/>
                      <w:sz w:val="21"/>
                      <w:szCs w:val="21"/>
                      <w:highlight w:val="none"/>
                      <w:vertAlign w:val="subscript"/>
                      <w:lang w:eastAsia="zh-CN"/>
                    </w:rPr>
                    <w:t>2.5</w:t>
                  </w:r>
                  <w:r>
                    <w:rPr>
                      <w:rFonts w:hint="default" w:ascii="Times New Roman" w:hAnsi="Times New Roman" w:cs="Times New Roman"/>
                      <w:color w:val="auto"/>
                      <w:sz w:val="21"/>
                      <w:szCs w:val="21"/>
                      <w:highlight w:val="none"/>
                      <w:lang w:eastAsia="zh-CN"/>
                    </w:rPr>
                    <w:t>)平均浓度达到40微克/立方米左右，空气质量优良天数比率达到70%以上，单位地区生产总值二氧化碳排放下降比例达河北省要求。</w:t>
                  </w:r>
                </w:p>
              </w:tc>
              <w:tc>
                <w:tcPr>
                  <w:tcW w:w="1280" w:type="pct"/>
                  <w:vAlign w:val="center"/>
                </w:tcPr>
                <w:p w14:paraId="0B5C2FF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eastAsiaTheme="minorEastAsia"/>
                      <w:color w:val="auto"/>
                      <w:spacing w:val="10"/>
                      <w:sz w:val="21"/>
                      <w:szCs w:val="21"/>
                      <w:highlight w:val="none"/>
                      <w:lang w:val="en-US" w:eastAsia="zh-CN"/>
                    </w:rPr>
                    <w:t>项目排放废气满足</w:t>
                  </w:r>
                  <w:r>
                    <w:rPr>
                      <w:rFonts w:hint="default" w:ascii="Times New Roman" w:hAnsi="Times New Roman" w:cs="Times New Roman" w:eastAsiaTheme="minorEastAsia"/>
                      <w:snapToGrid w:val="0"/>
                      <w:color w:val="auto"/>
                      <w:sz w:val="21"/>
                      <w:szCs w:val="21"/>
                      <w:highlight w:val="none"/>
                    </w:rPr>
                    <w:t>《钢铁工业大气污染物超低排放标准》(DB13/2169-2018)</w:t>
                  </w:r>
                </w:p>
              </w:tc>
              <w:tc>
                <w:tcPr>
                  <w:tcW w:w="254" w:type="pct"/>
                  <w:vAlign w:val="center"/>
                </w:tcPr>
                <w:p w14:paraId="6AA8EA6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41F1B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52754E7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Align w:val="center"/>
                </w:tcPr>
                <w:p w14:paraId="79504DE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2779" w:type="pct"/>
                  <w:vAlign w:val="center"/>
                </w:tcPr>
                <w:p w14:paraId="18C95782">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1、全面推进沿海、迁安、滦州、迁西(遵化)4大片区规划建设，加快推进钢铁企业整合搬迁项目建设，推进“公转铁”、“公转水”和物料集中输送管廊项目建设，形成“沿海临港、铁路沿线”产业新布局。</w:t>
                  </w:r>
                </w:p>
                <w:p w14:paraId="7F2EDFE1">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2、严禁违规新增钢铁、焦化、水泥、平板玻璃等产能，依法推动独立焦化、独立石灰、独立球团逐步退出。</w:t>
                  </w:r>
                </w:p>
                <w:p w14:paraId="444FA9C8">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3、新(改、扩)建项目严格执行产能置换、煤炭替代和污染物倍量削减替代制度，当地有相关园区规划的，原则上要进入园区并配套建设高效环保治理设施，符合园区规划环评、建设项目环评要求。</w:t>
                  </w:r>
                </w:p>
                <w:p w14:paraId="3F313EFD">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4、基本取缔燃煤热风炉和钢铁行业燃煤供热锅炉，基本淘汰热电联产供热管网覆盖范围内的燃煤加热、烘干炉(窑)。</w:t>
                  </w:r>
                </w:p>
                <w:p w14:paraId="5F4A47E0">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5、企业事业单位和其他生产经营者应当在规定期限内，淘汰列入河北省淘汰落后生产工艺、设备和产品名录的生产工艺、设备和产品。</w:t>
                  </w:r>
                </w:p>
                <w:p w14:paraId="3FB43FA8">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6、全面取缔35蒸吨及以下燃煤锅炉，发现一台，拆除一台，确保实现动态“清零”；严禁新增35蒸吨及以下燃煤锅炉。路南区、路北区、高新区、开平区、古冶区、丰润区、丰南区、曹妃甸区全面取缔燃生物质燃料、燃油(醇基燃料)锅炉，建成区范围内改为电锅炉，其他区域改为燃气锅炉或电锅炉。其他县(市)、开发区(管理区)全面取缔燃用生物质燃料非专用锅炉，改为燃气锅炉或电锅炉。</w:t>
                  </w:r>
                </w:p>
              </w:tc>
              <w:tc>
                <w:tcPr>
                  <w:tcW w:w="1280" w:type="pct"/>
                  <w:vAlign w:val="center"/>
                </w:tcPr>
                <w:p w14:paraId="5EDA1E4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1、项目不涉及；2、项目</w:t>
                  </w:r>
                  <w:r>
                    <w:rPr>
                      <w:rFonts w:hint="eastAsia" w:ascii="Times New Roman" w:cs="Times New Roman"/>
                      <w:color w:val="auto"/>
                      <w:sz w:val="21"/>
                      <w:szCs w:val="21"/>
                      <w:highlight w:val="none"/>
                      <w:lang w:val="en-US" w:eastAsia="zh-CN"/>
                    </w:rPr>
                    <w:t>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eastAsia" w:asciiTheme="minorEastAsia" w:hAnsiTheme="minorEastAsia" w:eastAsiaTheme="minorEastAsia" w:cstheme="minorEastAsia"/>
                      <w:color w:val="auto"/>
                      <w:kern w:val="0"/>
                      <w:sz w:val="21"/>
                      <w:szCs w:val="21"/>
                      <w:highlight w:val="none"/>
                    </w:rPr>
                    <w:t>，</w:t>
                  </w:r>
                  <w:r>
                    <w:rPr>
                      <w:rFonts w:hint="eastAsia" w:asciiTheme="minorEastAsia" w:hAnsiTheme="minorEastAsia" w:eastAsiaTheme="minorEastAsia" w:cstheme="minorEastAsia"/>
                      <w:color w:val="auto"/>
                      <w:kern w:val="0"/>
                      <w:sz w:val="21"/>
                      <w:szCs w:val="21"/>
                      <w:highlight w:val="none"/>
                      <w:lang w:val="en-US" w:eastAsia="zh-CN"/>
                    </w:rPr>
                    <w:t>对钢铁企业的废弃资源进行综合利用，不属于</w:t>
                  </w:r>
                  <w:r>
                    <w:rPr>
                      <w:rFonts w:hint="default" w:ascii="Times New Roman" w:hAnsi="Times New Roman" w:cs="Times New Roman"/>
                      <w:color w:val="auto"/>
                      <w:sz w:val="21"/>
                      <w:szCs w:val="21"/>
                      <w:highlight w:val="none"/>
                      <w:lang w:eastAsia="zh-CN"/>
                    </w:rPr>
                    <w:t>新增钢铁、焦化、水泥、平板玻璃等产能</w:t>
                  </w:r>
                  <w:r>
                    <w:rPr>
                      <w:rFonts w:hint="default" w:ascii="Times New Roman" w:hAnsi="Times New Roman" w:cs="Times New Roman"/>
                      <w:color w:val="auto"/>
                      <w:sz w:val="21"/>
                      <w:szCs w:val="21"/>
                      <w:highlight w:val="none"/>
                    </w:rPr>
                    <w:t>；3、</w:t>
                  </w:r>
                  <w:r>
                    <w:rPr>
                      <w:rFonts w:hint="default" w:ascii="Times New Roman" w:hAnsi="Times New Roman" w:cs="Times New Roman"/>
                      <w:color w:val="auto"/>
                      <w:sz w:val="21"/>
                      <w:szCs w:val="21"/>
                      <w:highlight w:val="none"/>
                      <w:lang w:val="en-US" w:eastAsia="zh-CN"/>
                    </w:rPr>
                    <w:t>本项</w:t>
                  </w:r>
                </w:p>
                <w:p w14:paraId="00FADD5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目符合园区规划环评要求</w:t>
                  </w:r>
                  <w:r>
                    <w:rPr>
                      <w:rFonts w:hint="default" w:ascii="Times New Roman" w:hAnsi="Times New Roman" w:cs="Times New Roman"/>
                      <w:color w:val="auto"/>
                      <w:sz w:val="21"/>
                      <w:szCs w:val="21"/>
                      <w:highlight w:val="none"/>
                    </w:rPr>
                    <w:t>；4、项目不涉及；5、项目不使用河北省淘汰落后生产工艺、设备和产品；6、项目不建设锅炉</w:t>
                  </w:r>
                </w:p>
              </w:tc>
              <w:tc>
                <w:tcPr>
                  <w:tcW w:w="254" w:type="pct"/>
                  <w:vAlign w:val="center"/>
                </w:tcPr>
                <w:p w14:paraId="330AD74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18BAB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71CEBE9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restart"/>
                  <w:vAlign w:val="center"/>
                </w:tcPr>
                <w:p w14:paraId="2372B45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污染物排放管控</w:t>
                  </w:r>
                </w:p>
              </w:tc>
              <w:tc>
                <w:tcPr>
                  <w:tcW w:w="2779" w:type="pct"/>
                  <w:vAlign w:val="center"/>
                </w:tcPr>
                <w:p w14:paraId="027C853C">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1、细颗粒物(PM</w:t>
                  </w:r>
                  <w:r>
                    <w:rPr>
                      <w:rFonts w:hint="default" w:ascii="Times New Roman" w:hAnsi="Times New Roman" w:cs="Times New Roman"/>
                      <w:color w:val="auto"/>
                      <w:sz w:val="21"/>
                      <w:szCs w:val="21"/>
                      <w:highlight w:val="none"/>
                      <w:vertAlign w:val="subscript"/>
                      <w:lang w:eastAsia="zh-CN"/>
                    </w:rPr>
                    <w:t>2.5</w:t>
                  </w:r>
                  <w:r>
                    <w:rPr>
                      <w:rFonts w:hint="default" w:ascii="Times New Roman" w:hAnsi="Times New Roman" w:cs="Times New Roman"/>
                      <w:color w:val="auto"/>
                      <w:sz w:val="21"/>
                      <w:szCs w:val="21"/>
                      <w:highlight w:val="none"/>
                      <w:lang w:eastAsia="zh-CN"/>
                    </w:rPr>
                    <w:t>)年平均浓度不达标的城市，二氧化硫、氮氧化物、烟粉尘、挥发性有机物四项污染物均需进行2倍削减替代(燃煤发电机组大气污染物排放浓度基本达到燃气轮机组排放限值的除外)。</w:t>
                  </w:r>
                </w:p>
              </w:tc>
              <w:tc>
                <w:tcPr>
                  <w:tcW w:w="1280" w:type="pct"/>
                  <w:vMerge w:val="restart"/>
                  <w:vAlign w:val="center"/>
                </w:tcPr>
                <w:p w14:paraId="7E10014C">
                  <w:pPr>
                    <w:pStyle w:val="1720"/>
                    <w:adjustRightInd/>
                    <w:snapToGrid/>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rPr>
                    <w:t>1、项目评价区为环境质量不达标区；2、项目不使用锅炉；3、项目不涉及；4、项目不涉及；5、</w:t>
                  </w:r>
                  <w:r>
                    <w:rPr>
                      <w:rFonts w:hint="default" w:ascii="Times New Roman" w:hAnsi="Times New Roman" w:cs="Times New Roman"/>
                      <w:color w:val="auto"/>
                      <w:sz w:val="21"/>
                      <w:szCs w:val="21"/>
                      <w:highlight w:val="none"/>
                      <w:lang w:val="en-US" w:eastAsia="zh-CN"/>
                    </w:rPr>
                    <w:t>项目不涉及</w:t>
                  </w:r>
                  <w:r>
                    <w:rPr>
                      <w:rFonts w:hint="default" w:ascii="Times New Roman" w:hAnsi="Times New Roman" w:cs="Times New Roman"/>
                      <w:color w:val="auto"/>
                      <w:kern w:val="0"/>
                      <w:sz w:val="21"/>
                      <w:szCs w:val="21"/>
                      <w:highlight w:val="none"/>
                    </w:rPr>
                    <w:t>；6、项目不涉及；7、项目不涉及；8、项目</w:t>
                  </w:r>
                  <w:r>
                    <w:rPr>
                      <w:rFonts w:hint="default" w:ascii="Times New Roman" w:hAnsi="Times New Roman" w:cs="Times New Roman"/>
                      <w:color w:val="auto"/>
                      <w:kern w:val="0"/>
                      <w:sz w:val="21"/>
                      <w:szCs w:val="21"/>
                      <w:highlight w:val="none"/>
                      <w:lang w:val="en-US" w:eastAsia="zh-CN"/>
                    </w:rPr>
                    <w:t>施工期</w:t>
                  </w:r>
                  <w:r>
                    <w:rPr>
                      <w:rFonts w:hint="eastAsia" w:ascii="Times New Roman" w:hAnsi="Times New Roman" w:cs="Times New Roman"/>
                      <w:color w:val="auto"/>
                      <w:kern w:val="0"/>
                      <w:sz w:val="21"/>
                      <w:szCs w:val="21"/>
                      <w:highlight w:val="none"/>
                      <w:lang w:val="en-US" w:eastAsia="zh-CN"/>
                    </w:rPr>
                    <w:t>仅为设备安装等活动</w:t>
                  </w:r>
                  <w:r>
                    <w:rPr>
                      <w:rFonts w:hint="default" w:ascii="Times New Roman" w:hAnsi="Times New Roman" w:cs="Times New Roman"/>
                      <w:color w:val="auto"/>
                      <w:kern w:val="0"/>
                      <w:sz w:val="21"/>
                      <w:szCs w:val="21"/>
                      <w:highlight w:val="none"/>
                    </w:rPr>
                    <w:t>；9、项目不涉及；10、项目不属于高排放行业；11、项目不涉及；12、项目不涉及；13、项目不涉及；14、项目不涉及；15、项目不涉及。</w:t>
                  </w:r>
                </w:p>
              </w:tc>
              <w:tc>
                <w:tcPr>
                  <w:tcW w:w="254" w:type="pct"/>
                  <w:vMerge w:val="restart"/>
                  <w:vAlign w:val="center"/>
                </w:tcPr>
                <w:p w14:paraId="470EAAC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598AE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4E885CA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6056607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6CC04046">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35蒸吨以上燃煤锅炉、燃油(醇基燃料)锅炉、燃用生物质专用锅炉各污染物排放浓度达到《河北省锅炉大气污染物排放标准(DB13/5161)》要求；燃煤气、天然气锅炉各污染物排放浓度达到《唐山市锅炉治理专项实施方案》(唐气领办[2019]10号)要求。</w:t>
                  </w:r>
                </w:p>
              </w:tc>
              <w:tc>
                <w:tcPr>
                  <w:tcW w:w="1280" w:type="pct"/>
                  <w:vMerge w:val="continue"/>
                  <w:vAlign w:val="center"/>
                </w:tcPr>
                <w:p w14:paraId="266EA55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7DCA6B7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1B4C1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40B4681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640ACA5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0D017973">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加强农村燃煤污染治理：(一)推广使用民用清洁燃烧炉具，加快淘汰低效直燃式高污染炉具，严禁生产、销售、使用不符合环保要求的炉具；(二)加强洁净型煤、优质煤炭的推广使用，实现农村地区洁净型煤配送网点建设全覆盖，严禁使用高硫分和劣质煤炭；(三)推广太阳能、电能、燃气、沼气、地热等使用，加强农作物秸秆能源化，推进农村清洁能源的替代和开发利用。</w:t>
                  </w:r>
                </w:p>
              </w:tc>
              <w:tc>
                <w:tcPr>
                  <w:tcW w:w="1280" w:type="pct"/>
                  <w:vMerge w:val="continue"/>
                  <w:vAlign w:val="center"/>
                </w:tcPr>
                <w:p w14:paraId="0C9CDE5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790A4D8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0307C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5096B90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4144185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6C672F5A">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对保留的工业炉窑开展环保提标改造，配套建设高效脱硫脱硝除尘设施，确保稳定达标排放。加快推进钢铁行业超低排放改造，积极推进平板玻璃行业和水泥行业污染治理升级改造。鼓励具备条件的陶瓷企业陶瓷窑、喷雾干燥塔开展超低排放改造。平板玻璃、建筑陶瓷企业逐步取消脱硫脱硝烟气旁路或设置备用脱硫脱硝等设施，鼓励水泥企业实施全流程污染深度治理。推进具备条件的焦化企业实施干熄焦改造。在保证生产安全前提下，钢铁烧结(球团)、高炉、转炉、轧钢工序实施车间封闭生产。对标行业先进，持续推动污染物排放总量降低。</w:t>
                  </w:r>
                </w:p>
              </w:tc>
              <w:tc>
                <w:tcPr>
                  <w:tcW w:w="1280" w:type="pct"/>
                  <w:vMerge w:val="continue"/>
                  <w:vAlign w:val="center"/>
                </w:tcPr>
                <w:p w14:paraId="4D9076C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3A2A478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7FD59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5C20C72A">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70857ED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4C609E47">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5、推广新能源机动车，建设相应的充电站(桩)、加气站等基础设施，新建居民住宅小区停车位应当建设相应的充电设施；鼓励和支持公共交通、出租车、环境卫生、邮政、快递等行业用车和公务用车率先使用新能源机动车。加强城市步行和自行车交通系统建设，引导公众绿色、低碳出行。船舶靠港后应当优先使用岸电。新建码头应当规划、设计和建设岸基供电设施；已建成的码头应当逐步实施岸基供电设施改造。</w:t>
                  </w:r>
                </w:p>
              </w:tc>
              <w:tc>
                <w:tcPr>
                  <w:tcW w:w="1280" w:type="pct"/>
                  <w:vMerge w:val="continue"/>
                  <w:vAlign w:val="center"/>
                </w:tcPr>
                <w:p w14:paraId="31A4FA6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2127683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7671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41617B6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53C8142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3DB91D8A">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6、加快油品质量升级。停止销售低于国Ⅵ标准的汽柴油，实现车用柴油、普通柴油、部分船舶用油“三油并轨”。</w:t>
                  </w:r>
                </w:p>
              </w:tc>
              <w:tc>
                <w:tcPr>
                  <w:tcW w:w="1280" w:type="pct"/>
                  <w:vMerge w:val="continue"/>
                  <w:vAlign w:val="center"/>
                </w:tcPr>
                <w:p w14:paraId="01AF120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3453305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72AB7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7B42924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43F3988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732F0C97">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7、推进矿山综合整治。按照“能关则关、应合尽合、能转则转”的原则，对违反法律法规、列入关闭计划、整改不达标、乱采滥挖的矿山，依法依规坚决关闭取缔。</w:t>
                  </w:r>
                </w:p>
              </w:tc>
              <w:tc>
                <w:tcPr>
                  <w:tcW w:w="1280" w:type="pct"/>
                  <w:vMerge w:val="continue"/>
                  <w:vAlign w:val="center"/>
                </w:tcPr>
                <w:p w14:paraId="6F02FAB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6059DE2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24BE2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38120E7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27C2468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631935BC">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8、强化建筑施工扬尘污染防治，严格落实《河北省扬尘污染防治办法》，对城市建成区、县城建筑施工工地实施全面监管。强化道路扬尘综合治理，按照《河北省城市精细化管理标准》有关要求，全面巩固洁净城市创建成果。</w:t>
                  </w:r>
                </w:p>
              </w:tc>
              <w:tc>
                <w:tcPr>
                  <w:tcW w:w="1280" w:type="pct"/>
                  <w:vMerge w:val="continue"/>
                  <w:vAlign w:val="center"/>
                </w:tcPr>
                <w:p w14:paraId="592F551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07DF835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1478D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2EF83D0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0448F1E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7D752100">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9、深化重点行业深度治理。巩固钢铁、焦化、煤电、水泥、平板玻璃等重点行业超低排放改造成效，实施工艺全流程深度治理，推进全过程无组织排放管控。</w:t>
                  </w:r>
                </w:p>
              </w:tc>
              <w:tc>
                <w:tcPr>
                  <w:tcW w:w="1280" w:type="pct"/>
                  <w:vMerge w:val="continue"/>
                  <w:vAlign w:val="center"/>
                </w:tcPr>
                <w:p w14:paraId="1180076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77A8740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140FC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7C2AD33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11F66C4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35A4C4B9">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10、加强重污染天气应急联动。加强污染气象条件和空气污染监测、预报预警和评估能力建设，建成全市区域传输监控预警系统，提高重污染天气预报预警的准确度。加大秋冬季工业企业生产调控力度，按照基本抵消新增污染物排放量的原则，对钢铁、建材、焦化、铸造、化工等高排放行业实行强化管控</w:t>
                  </w:r>
                </w:p>
              </w:tc>
              <w:tc>
                <w:tcPr>
                  <w:tcW w:w="1280" w:type="pct"/>
                  <w:vMerge w:val="continue"/>
                  <w:vAlign w:val="center"/>
                </w:tcPr>
                <w:p w14:paraId="0D1BBA6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7BCA1EE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2E4D5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3CBC8C9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2869762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70E5DFEC">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11、强化柴油货车污染防治。加快柴油货车治理，推动货运经营整合升级、提质增效，加快规模化发展、连锁化经营。实施清洁柴油车、清洁运输和清洁油品行动，降低污染排放总量。</w:t>
                  </w:r>
                </w:p>
              </w:tc>
              <w:tc>
                <w:tcPr>
                  <w:tcW w:w="1280" w:type="pct"/>
                  <w:vMerge w:val="continue"/>
                  <w:vAlign w:val="center"/>
                </w:tcPr>
                <w:p w14:paraId="3DCC5E5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644B0D6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1A613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6947A93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7D3290B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17E6CD78">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12、禁止露天焚烧秸秆、落叶、枯草等产生烟尘污染的物质，以及电子废弃物、油毡、橡胶、塑料、皮革、沥青、垃圾等产生有毒有害、恶臭或者强烈异味气体的物质。</w:t>
                  </w:r>
                </w:p>
              </w:tc>
              <w:tc>
                <w:tcPr>
                  <w:tcW w:w="1280" w:type="pct"/>
                  <w:vMerge w:val="continue"/>
                  <w:vAlign w:val="center"/>
                </w:tcPr>
                <w:p w14:paraId="0C653A5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227C6CA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44D4E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1F07856E">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7E96896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70230AD6">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13、以化工、工业涂装、包装印刷、油品储运销等行业领域为重点，安全高效推进挥发性有机物综合治理，无组织排放和末端深度治理等提升改造工程。</w:t>
                  </w:r>
                </w:p>
              </w:tc>
              <w:tc>
                <w:tcPr>
                  <w:tcW w:w="1280" w:type="pct"/>
                  <w:vMerge w:val="continue"/>
                  <w:vAlign w:val="center"/>
                </w:tcPr>
                <w:p w14:paraId="0B63B7D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0B9095F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52A37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35F183C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0D58A4A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1CB1B28D">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14、推动大气氨排放控制。加强烟气脱硝和氨法脱硫氨逃逸控制。推进种植业、养殖业大气氨减排，加强源头防控，优化肥料、饲料结构。</w:t>
                  </w:r>
                </w:p>
              </w:tc>
              <w:tc>
                <w:tcPr>
                  <w:tcW w:w="1280" w:type="pct"/>
                  <w:vMerge w:val="continue"/>
                  <w:vAlign w:val="center"/>
                </w:tcPr>
                <w:p w14:paraId="681B85D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02E97E6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50D30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648D505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Merge w:val="continue"/>
                  <w:vAlign w:val="center"/>
                </w:tcPr>
                <w:p w14:paraId="1C50C6E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779" w:type="pct"/>
                  <w:vAlign w:val="center"/>
                </w:tcPr>
                <w:p w14:paraId="61EB0120">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15、严格控制二氧化碳排放强度。加强甲烷等非二氧化碳温室气体管控。</w:t>
                  </w:r>
                </w:p>
              </w:tc>
              <w:tc>
                <w:tcPr>
                  <w:tcW w:w="1280" w:type="pct"/>
                  <w:vMerge w:val="continue"/>
                  <w:vAlign w:val="center"/>
                </w:tcPr>
                <w:p w14:paraId="0F9722D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4" w:type="pct"/>
                  <w:vMerge w:val="continue"/>
                  <w:vAlign w:val="center"/>
                </w:tcPr>
                <w:p w14:paraId="3420290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63C75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4AE9978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Align w:val="center"/>
                </w:tcPr>
                <w:p w14:paraId="7E66A24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环境风险防控</w:t>
                  </w:r>
                </w:p>
              </w:tc>
              <w:tc>
                <w:tcPr>
                  <w:tcW w:w="2779" w:type="pct"/>
                  <w:vAlign w:val="center"/>
                </w:tcPr>
                <w:p w14:paraId="426B88C1">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完善市、县、乡、村网格化环境监管体系，建立信息全面、要素齐全、处置高效、决策科学的市级大气环境监管大数据平台，实现对各级网格和各类污染源的集中在线监测、全程监控和监管指挥。</w:t>
                  </w:r>
                </w:p>
              </w:tc>
              <w:tc>
                <w:tcPr>
                  <w:tcW w:w="1280" w:type="pct"/>
                  <w:vAlign w:val="center"/>
                </w:tcPr>
                <w:p w14:paraId="326A38BE">
                  <w:pPr>
                    <w:pStyle w:val="1720"/>
                    <w:spacing w:line="280" w:lineRule="exact"/>
                    <w:ind w:firstLine="0" w:firstLineChars="0"/>
                    <w:jc w:val="center"/>
                    <w:rPr>
                      <w:rFonts w:hint="default" w:ascii="Times New Roman" w:hAnsi="Times New Roman" w:cs="Times New Roman"/>
                      <w:color w:val="auto"/>
                      <w:sz w:val="21"/>
                      <w:szCs w:val="21"/>
                      <w:highlight w:val="none"/>
                    </w:rPr>
                  </w:pPr>
                  <w:r>
                    <w:rPr>
                      <w:rFonts w:hint="eastAsia" w:asciiTheme="minorEastAsia" w:hAnsiTheme="minorEastAsia" w:eastAsiaTheme="minorEastAsia" w:cstheme="minorEastAsia"/>
                      <w:color w:val="auto"/>
                      <w:spacing w:val="10"/>
                      <w:sz w:val="21"/>
                      <w:szCs w:val="21"/>
                      <w:highlight w:val="none"/>
                      <w:lang w:val="en-US" w:eastAsia="zh-CN"/>
                    </w:rPr>
                    <w:t>项目排放废气满足</w:t>
                  </w:r>
                  <w:r>
                    <w:rPr>
                      <w:rFonts w:hint="eastAsia" w:asciiTheme="minorEastAsia" w:hAnsiTheme="minorEastAsia" w:eastAsiaTheme="minorEastAsia" w:cstheme="minorEastAsia"/>
                      <w:snapToGrid w:val="0"/>
                      <w:color w:val="auto"/>
                      <w:sz w:val="21"/>
                      <w:szCs w:val="21"/>
                      <w:highlight w:val="none"/>
                    </w:rPr>
                    <w:t>《钢铁工业大气污染物超低排放标准》(DB13/2169-2018)</w:t>
                  </w:r>
                </w:p>
              </w:tc>
              <w:tc>
                <w:tcPr>
                  <w:tcW w:w="254" w:type="pct"/>
                  <w:vAlign w:val="center"/>
                </w:tcPr>
                <w:p w14:paraId="300FA8B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64957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3" w:type="pct"/>
                  <w:vMerge w:val="continue"/>
                  <w:vAlign w:val="center"/>
                </w:tcPr>
                <w:p w14:paraId="712FDE9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62" w:type="pct"/>
                  <w:vAlign w:val="center"/>
                </w:tcPr>
                <w:p w14:paraId="547A240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资源开发利用</w:t>
                  </w:r>
                </w:p>
              </w:tc>
              <w:tc>
                <w:tcPr>
                  <w:tcW w:w="2779" w:type="pct"/>
                  <w:vAlign w:val="center"/>
                </w:tcPr>
                <w:p w14:paraId="6CC5527F">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1、国家大气污染防治重点区域内新建、改建、扩建用煤项目的，应当实行煤炭的等量或者减量替代。</w:t>
                  </w:r>
                </w:p>
                <w:p w14:paraId="68FABB2F">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2、实施能源消耗总量和强度双控行动。健全节能标准体系，大力开发、推广节能高效技术和产品，实现重点用能行业、设备节能标准全覆盖。</w:t>
                  </w:r>
                </w:p>
                <w:p w14:paraId="75EBED63">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新(改、扩)建项目能耗达到《河北省主要产品能耗限额和设备能效限定值》准入值要求，鼓励达到先进值。对能效不达标的企业限期进行节能提升改造，现有企业单位产品能耗达到《河北省主要产品能耗限额和设备能效限定值》限定值要求，鼓励已达标企业通过节能改造达到先进值。国家或省对重点行业单位产品能源消耗限额进行修订的，行业限定值、准入值、先进值按新标准执行。</w:t>
                  </w:r>
                </w:p>
              </w:tc>
              <w:tc>
                <w:tcPr>
                  <w:tcW w:w="1280" w:type="pct"/>
                  <w:vAlign w:val="center"/>
                </w:tcPr>
                <w:p w14:paraId="76FEDDB5">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snapToGrid w:val="0"/>
                      <w:color w:val="auto"/>
                      <w:kern w:val="0"/>
                      <w:sz w:val="21"/>
                      <w:szCs w:val="21"/>
                      <w:highlight w:val="none"/>
                    </w:rPr>
                    <w:t>1、项目不使用煤；2、</w:t>
                  </w:r>
                  <w:r>
                    <w:rPr>
                      <w:rFonts w:hint="eastAsia" w:ascii="宋体" w:hAnsi="宋体" w:eastAsia="宋体" w:cs="宋体"/>
                      <w:color w:val="auto"/>
                      <w:kern w:val="0"/>
                      <w:sz w:val="20"/>
                      <w:szCs w:val="20"/>
                      <w:highlight w:val="none"/>
                      <w:lang w:val="en-US" w:eastAsia="zh-CN" w:bidi="ar"/>
                    </w:rPr>
                    <w:t>项目采用先进的生产技术和节能技术</w:t>
                  </w:r>
                  <w:r>
                    <w:rPr>
                      <w:rFonts w:hint="default" w:ascii="Times New Roman" w:hAnsi="Times New Roman" w:cs="Times New Roman"/>
                      <w:snapToGrid w:val="0"/>
                      <w:color w:val="auto"/>
                      <w:kern w:val="0"/>
                      <w:sz w:val="21"/>
                      <w:szCs w:val="21"/>
                      <w:highlight w:val="none"/>
                    </w:rPr>
                    <w:t>；3、项目能耗达到《河北省主要产品能耗限额和设备能效限定值》准入值要求</w:t>
                  </w:r>
                </w:p>
              </w:tc>
              <w:tc>
                <w:tcPr>
                  <w:tcW w:w="254" w:type="pct"/>
                  <w:vAlign w:val="center"/>
                </w:tcPr>
                <w:p w14:paraId="2A8C5494">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bl>
          <w:p w14:paraId="548D33D9">
            <w:pPr>
              <w:autoSpaceDE w:val="0"/>
              <w:autoSpaceDN w:val="0"/>
              <w:adjustRightInd w:val="0"/>
              <w:ind w:firstLine="422"/>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表1-</w:t>
            </w:r>
            <w:r>
              <w:rPr>
                <w:rFonts w:hint="eastAsia" w:cs="Times New Roman"/>
                <w:b/>
                <w:color w:val="auto"/>
                <w:sz w:val="21"/>
                <w:szCs w:val="21"/>
                <w:highlight w:val="none"/>
                <w:lang w:val="en-US" w:eastAsia="zh-CN"/>
              </w:rPr>
              <w:t>10</w:t>
            </w:r>
            <w:r>
              <w:rPr>
                <w:rFonts w:hint="default" w:ascii="Times New Roman" w:hAnsi="Times New Roman" w:cs="Times New Roman"/>
                <w:b/>
                <w:color w:val="auto"/>
                <w:sz w:val="21"/>
                <w:szCs w:val="21"/>
                <w:highlight w:val="none"/>
              </w:rPr>
              <w:t xml:space="preserve">    项目与全市地表水环境总体管控要求符合性分析</w:t>
            </w:r>
          </w:p>
          <w:tbl>
            <w:tblPr>
              <w:tblStyle w:val="84"/>
              <w:tblW w:w="76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5"/>
              <w:gridCol w:w="664"/>
              <w:gridCol w:w="4660"/>
              <w:gridCol w:w="1469"/>
              <w:gridCol w:w="426"/>
            </w:tblGrid>
            <w:tr w14:paraId="39700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blHeader/>
                <w:jc w:val="center"/>
              </w:trPr>
              <w:tc>
                <w:tcPr>
                  <w:tcW w:w="278" w:type="pct"/>
                  <w:vAlign w:val="center"/>
                </w:tcPr>
                <w:p w14:paraId="480AE320">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要素属性</w:t>
                  </w:r>
                </w:p>
              </w:tc>
              <w:tc>
                <w:tcPr>
                  <w:tcW w:w="434" w:type="pct"/>
                  <w:vAlign w:val="center"/>
                </w:tcPr>
                <w:p w14:paraId="64B80D8D">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管控类别</w:t>
                  </w:r>
                </w:p>
              </w:tc>
              <w:tc>
                <w:tcPr>
                  <w:tcW w:w="3046" w:type="pct"/>
                  <w:vAlign w:val="center"/>
                </w:tcPr>
                <w:p w14:paraId="03ECCCA4">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管控要求</w:t>
                  </w:r>
                </w:p>
              </w:tc>
              <w:tc>
                <w:tcPr>
                  <w:tcW w:w="960" w:type="pct"/>
                  <w:vAlign w:val="center"/>
                </w:tcPr>
                <w:p w14:paraId="2E737111">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项目情况</w:t>
                  </w:r>
                </w:p>
              </w:tc>
              <w:tc>
                <w:tcPr>
                  <w:tcW w:w="278" w:type="pct"/>
                  <w:vAlign w:val="center"/>
                </w:tcPr>
                <w:p w14:paraId="1DC56994">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6DE9B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78" w:type="pct"/>
                  <w:vMerge w:val="restart"/>
                  <w:vAlign w:val="center"/>
                </w:tcPr>
                <w:p w14:paraId="1919B0CB">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地表水环境</w:t>
                  </w:r>
                </w:p>
              </w:tc>
              <w:tc>
                <w:tcPr>
                  <w:tcW w:w="434" w:type="pct"/>
                  <w:vAlign w:val="center"/>
                </w:tcPr>
                <w:p w14:paraId="09A02122">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污染防控目标</w:t>
                  </w:r>
                </w:p>
              </w:tc>
              <w:tc>
                <w:tcPr>
                  <w:tcW w:w="3046" w:type="pct"/>
                </w:tcPr>
                <w:p w14:paraId="5F23D078">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到2025年全市水生态环境质量持续改善，地表水国家和河北省考核断面，达到或优于Ⅲ类水体断面比例达到85.71%，劣Ⅴ类水体比例全部消除；城市集中式饮用水水源水质达到或优于Ⅲ类比例为100%。</w:t>
                  </w:r>
                </w:p>
              </w:tc>
              <w:tc>
                <w:tcPr>
                  <w:tcW w:w="960" w:type="pct"/>
                  <w:vAlign w:val="center"/>
                </w:tcPr>
                <w:p w14:paraId="7C01717E">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项目洗车废水沉淀后循环使用，不外排，</w:t>
                  </w:r>
                  <w:r>
                    <w:rPr>
                      <w:rFonts w:hint="default" w:ascii="Times New Roman" w:hAnsi="Times New Roman" w:cs="Times New Roman"/>
                      <w:color w:val="auto"/>
                      <w:sz w:val="21"/>
                      <w:szCs w:val="21"/>
                      <w:highlight w:val="none"/>
                    </w:rPr>
                    <w:t>本项目无新增生活污水</w:t>
                  </w:r>
                  <w:r>
                    <w:rPr>
                      <w:rFonts w:hint="eastAsia"/>
                      <w:color w:val="auto"/>
                      <w:sz w:val="21"/>
                      <w:szCs w:val="21"/>
                      <w:highlight w:val="none"/>
                    </w:rPr>
                    <w:t>。</w:t>
                  </w:r>
                </w:p>
              </w:tc>
              <w:tc>
                <w:tcPr>
                  <w:tcW w:w="278" w:type="pct"/>
                  <w:vAlign w:val="center"/>
                </w:tcPr>
                <w:p w14:paraId="5E6BF02C">
                  <w:pPr>
                    <w:pStyle w:val="135"/>
                    <w:tabs>
                      <w:tab w:val="center" w:pos="4153"/>
                      <w:tab w:val="right" w:pos="8306"/>
                    </w:tabs>
                    <w:spacing w:beforeLines="0" w:afterLines="0" w:line="280" w:lineRule="exact"/>
                    <w:ind w:firstLine="0" w:firstLineChars="0"/>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符合</w:t>
                  </w:r>
                </w:p>
              </w:tc>
            </w:tr>
            <w:tr w14:paraId="57C7D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5" w:hRule="atLeast"/>
                <w:jc w:val="center"/>
              </w:trPr>
              <w:tc>
                <w:tcPr>
                  <w:tcW w:w="278" w:type="pct"/>
                  <w:vMerge w:val="continue"/>
                  <w:vAlign w:val="center"/>
                </w:tcPr>
                <w:p w14:paraId="3AF13F49">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p>
              </w:tc>
              <w:tc>
                <w:tcPr>
                  <w:tcW w:w="434" w:type="pct"/>
                  <w:vAlign w:val="center"/>
                </w:tcPr>
                <w:p w14:paraId="5415A3C4">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3046" w:type="pct"/>
                  <w:vAlign w:val="center"/>
                </w:tcPr>
                <w:p w14:paraId="5D3884A5">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1、涉地表水自然保护区、湿地公园、饮用水水源保护区管控参照生态环境空间总体管控要求中各类保护地总体管控要求。</w:t>
                  </w:r>
                </w:p>
                <w:p w14:paraId="5C45A41A">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2、鼓励发展节水高效现代农业、低耗水高新技术产业以及生态保护型旅游业，严格控制缺水地区、水污染严重地区和敏感区域高耗水、高污染行业发展。</w:t>
                  </w:r>
                </w:p>
                <w:p w14:paraId="76B56471">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全市重点河流沿岸、重要饮用水水源地补给区，严格控制化学原料和化学制品制造、医药制造、制革、造纸、焦化、化学纤维制造、石油加工、纺织印染等项目环境风险，合理布局生产装置及危险化学品仓储等设施。重大项目原则上布局在优化开发区和重点开发区，并符合城乡规划和土地利用总体规划。</w:t>
                  </w:r>
                </w:p>
                <w:p w14:paraId="27DB2B94">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未按照规定完成污水集中处理设施以及管网建设的工业园区(工业集聚区)，暂停审批和核准其增加水污染物排放的建设项目。向污水集中处理设施排放工业废水的，应当按照国家有关规定进行预处理，达到集中处理设施处理工艺要求后方可排放。</w:t>
                  </w:r>
                </w:p>
                <w:p w14:paraId="1E238F3B">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推进现有企业向依法合规设立、环保设施齐全、符合规划环评要求、满足水法律法规规定的工业集聚区集中，明确涉水工业企业入园时间表；确因不具备入园条件需原地保留的涉水工业企业，明确保留条件，其中直排环境企业应达到排入水体功能区标准。</w:t>
                  </w:r>
                </w:p>
              </w:tc>
              <w:tc>
                <w:tcPr>
                  <w:tcW w:w="960" w:type="pct"/>
                  <w:vAlign w:val="center"/>
                </w:tcPr>
                <w:p w14:paraId="553A8254">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pacing w:val="10"/>
                      <w:sz w:val="21"/>
                      <w:szCs w:val="21"/>
                      <w:highlight w:val="none"/>
                    </w:rPr>
                    <w:t>1</w:t>
                  </w:r>
                  <w:r>
                    <w:rPr>
                      <w:rFonts w:hint="default" w:ascii="Times New Roman" w:hAnsi="Times New Roman" w:cs="Times New Roman"/>
                      <w:color w:val="auto"/>
                      <w:sz w:val="21"/>
                      <w:szCs w:val="21"/>
                      <w:highlight w:val="none"/>
                    </w:rPr>
                    <w:t>、项目不在自然保护区及饮用水源保护区；2、本项目为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本项目为</w:t>
                  </w:r>
                  <w:r>
                    <w:rPr>
                      <w:rFonts w:hint="eastAsia"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color w:val="auto"/>
                      <w:sz w:val="21"/>
                      <w:szCs w:val="21"/>
                      <w:highlight w:val="none"/>
                    </w:rPr>
                    <w:t>；4</w:t>
                  </w:r>
                  <w:r>
                    <w:rPr>
                      <w:rFonts w:hint="default" w:ascii="Times New Roman" w:hAnsi="Times New Roman" w:cs="Times New Roman"/>
                      <w:color w:val="auto"/>
                      <w:sz w:val="21"/>
                      <w:szCs w:val="21"/>
                      <w:highlight w:val="red"/>
                    </w:rPr>
                    <w:t>、</w:t>
                  </w:r>
                  <w:r>
                    <w:rPr>
                      <w:rFonts w:hint="default" w:ascii="Times New Roman" w:hAnsi="Times New Roman" w:cs="Times New Roman"/>
                      <w:color w:val="auto"/>
                      <w:sz w:val="21"/>
                      <w:szCs w:val="21"/>
                      <w:highlight w:val="none"/>
                      <w:lang w:val="en-US" w:eastAsia="zh-CN"/>
                    </w:rPr>
                    <w:t>项目洗车废水沉淀后循环使用，不外排，</w:t>
                  </w:r>
                  <w:r>
                    <w:rPr>
                      <w:rFonts w:hint="default" w:ascii="Times New Roman" w:hAnsi="Times New Roman" w:cs="Times New Roman"/>
                      <w:color w:val="auto"/>
                      <w:sz w:val="21"/>
                      <w:szCs w:val="21"/>
                      <w:highlight w:val="none"/>
                    </w:rPr>
                    <w:t>本项目无新增生活污水；5、</w:t>
                  </w:r>
                  <w:r>
                    <w:rPr>
                      <w:rFonts w:hint="eastAsia"/>
                      <w:color w:val="auto"/>
                      <w:sz w:val="21"/>
                      <w:szCs w:val="21"/>
                      <w:highlight w:val="none"/>
                      <w:lang w:val="en-US" w:eastAsia="zh-CN"/>
                    </w:rPr>
                    <w:t>项目洗车废水沉淀后循环使用，不外排，</w:t>
                  </w:r>
                  <w:r>
                    <w:rPr>
                      <w:rFonts w:hint="default" w:ascii="Times New Roman" w:hAnsi="Times New Roman" w:cs="Times New Roman"/>
                      <w:color w:val="auto"/>
                      <w:sz w:val="21"/>
                      <w:szCs w:val="21"/>
                      <w:highlight w:val="none"/>
                    </w:rPr>
                    <w:t>本项目无新增生活污水</w:t>
                  </w:r>
                  <w:r>
                    <w:rPr>
                      <w:rFonts w:hint="eastAsia"/>
                      <w:color w:val="auto"/>
                      <w:sz w:val="21"/>
                      <w:szCs w:val="21"/>
                      <w:highlight w:val="none"/>
                    </w:rPr>
                    <w:t>。</w:t>
                  </w:r>
                </w:p>
              </w:tc>
              <w:tc>
                <w:tcPr>
                  <w:tcW w:w="278" w:type="pct"/>
                  <w:vAlign w:val="center"/>
                </w:tcPr>
                <w:p w14:paraId="40A6BDB0">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663E3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78" w:type="pct"/>
                  <w:vMerge w:val="continue"/>
                  <w:vAlign w:val="center"/>
                </w:tcPr>
                <w:p w14:paraId="2851351E">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p>
              </w:tc>
              <w:tc>
                <w:tcPr>
                  <w:tcW w:w="434" w:type="pct"/>
                  <w:vAlign w:val="center"/>
                </w:tcPr>
                <w:p w14:paraId="4E6F7BB1">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污染物排放管控</w:t>
                  </w:r>
                </w:p>
              </w:tc>
              <w:tc>
                <w:tcPr>
                  <w:tcW w:w="3046" w:type="pct"/>
                  <w:vAlign w:val="center"/>
                </w:tcPr>
                <w:p w14:paraId="25E90D32">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严格控制高污染、高耗水行业新增产能。产能过剩产业实行新增产能等量替代、涉水主要污染物排放同行业倍量替代。对造纸、焦化、氮肥、石油化工、印染、农副食品加工、原料药制造、制革、农药、电镀等“十大”重点行业，新建、改建、扩建项目实行新增主要污染物排放倍量替代。</w:t>
                  </w:r>
                </w:p>
                <w:p w14:paraId="78ABED1C">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全面加强城镇污水管网建设，提升污水收集能力。扩大城镇污水管网覆盖范围，推进新建城区、扩建新区以及城乡结合部等污水截留、收集纳管；进一步加强城区支管、毛细管等管网建设，提高污水收集率。推进城镇排水系统雨污分流建设，新建城区、扩建新区、新开发区建设排水管网一律实行雨污分流；强化各县(市、区)城区和重点城镇污水管网建设，新建污水处理设施应与配套管网同步设计、同步建设、同步投运。推进初期雨水收集、处理与资源化利用。</w:t>
                  </w:r>
                </w:p>
                <w:p w14:paraId="76B442FB">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强化工业污水限期达标整治。推进废水直排外环境的工业企业全面达标排放。强化入河排污口监督管理，推动入河排污口规范化建设，取缔非法入河排污口。加大超标排放整治力度，对超标和超总量的企业依法查处，对企业超标现象普遍、超标企业集中地区政府采取挂牌督办、公开约谈等措施。对整治仍不能达到要求且情节严重的企业，由所在地政府依法责令限期关闭。</w:t>
                  </w:r>
                </w:p>
                <w:p w14:paraId="7C7A821A">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4、推进农业面源污染治理。减少化肥农药使用量，严格控制高毒高风险农药使用，推进有机肥替代化肥、病虫害绿色防控替代化学防治，积极推进废旧农膜回收，完善废旧地膜和包装废弃物等回收处理制度。</w:t>
                  </w:r>
                </w:p>
                <w:p w14:paraId="02DE2772">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5、推进养殖废弃物资源化利用。坚持种植和养殖相结合，就地就近消纳利用畜禽养殖废弃物。合理布局水产养殖空间，深入推进生态健康养殖，开展重点河流湖库及近岸海域破坏生态环境的养殖方式综合整治。</w:t>
                  </w:r>
                </w:p>
                <w:p w14:paraId="1F9BE79B">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6、实施总氮排放总量控制，新建、改建、扩建涉及总氮排放的建设项目，实施总氮排放总量指标减量替代，并在相关单位排污许可证中予以明确、严格落实，严控新增总氮排放量。</w:t>
                  </w:r>
                </w:p>
              </w:tc>
              <w:tc>
                <w:tcPr>
                  <w:tcW w:w="960" w:type="pct"/>
                  <w:vAlign w:val="center"/>
                </w:tcPr>
                <w:p w14:paraId="3B10D8B6">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red"/>
                    </w:rPr>
                    <w:t>1、本项目不属于</w:t>
                  </w:r>
                  <w:r>
                    <w:rPr>
                      <w:rFonts w:hint="eastAsia" w:ascii="Times New Roman" w:cs="Times New Roman"/>
                      <w:color w:val="auto"/>
                      <w:sz w:val="21"/>
                      <w:szCs w:val="21"/>
                      <w:highlight w:val="red"/>
                      <w:lang w:eastAsia="zh-CN"/>
                    </w:rPr>
                    <w:t>“</w:t>
                  </w:r>
                  <w:r>
                    <w:rPr>
                      <w:rFonts w:hint="eastAsia" w:ascii="Times New Roman" w:cs="Times New Roman"/>
                      <w:color w:val="auto"/>
                      <w:sz w:val="21"/>
                      <w:szCs w:val="21"/>
                      <w:highlight w:val="red"/>
                      <w:lang w:val="en-US" w:eastAsia="zh-CN"/>
                    </w:rPr>
                    <w:t>两高</w:t>
                  </w:r>
                  <w:r>
                    <w:rPr>
                      <w:rFonts w:hint="eastAsia" w:ascii="Times New Roman" w:cs="Times New Roman"/>
                      <w:color w:val="auto"/>
                      <w:sz w:val="21"/>
                      <w:szCs w:val="21"/>
                      <w:highlight w:val="red"/>
                      <w:lang w:eastAsia="zh-CN"/>
                    </w:rPr>
                    <w:t>”</w:t>
                  </w:r>
                  <w:r>
                    <w:rPr>
                      <w:rFonts w:hint="default" w:ascii="Times New Roman" w:hAnsi="Times New Roman" w:cs="Times New Roman"/>
                      <w:color w:val="auto"/>
                      <w:sz w:val="21"/>
                      <w:szCs w:val="21"/>
                      <w:highlight w:val="red"/>
                    </w:rPr>
                    <w:t>行业；</w:t>
                  </w:r>
                  <w:r>
                    <w:rPr>
                      <w:rFonts w:hint="default" w:ascii="Times New Roman" w:hAnsi="Times New Roman" w:cs="Times New Roman"/>
                      <w:color w:val="auto"/>
                      <w:sz w:val="21"/>
                      <w:szCs w:val="21"/>
                      <w:highlight w:val="none"/>
                    </w:rPr>
                    <w:t>2、项目不涉及；3、</w:t>
                  </w:r>
                  <w:r>
                    <w:rPr>
                      <w:rFonts w:hint="eastAsia"/>
                      <w:color w:val="auto"/>
                      <w:sz w:val="21"/>
                      <w:szCs w:val="21"/>
                      <w:highlight w:val="none"/>
                      <w:lang w:val="en-US" w:eastAsia="zh-CN"/>
                    </w:rPr>
                    <w:t>项目洗车废水沉淀后循环使用，不外排，</w:t>
                  </w:r>
                  <w:r>
                    <w:rPr>
                      <w:rFonts w:hint="default" w:ascii="Times New Roman" w:hAnsi="Times New Roman" w:cs="Times New Roman"/>
                      <w:color w:val="auto"/>
                      <w:sz w:val="21"/>
                      <w:szCs w:val="21"/>
                      <w:highlight w:val="none"/>
                    </w:rPr>
                    <w:t>本项目无新增生活污水；4、项目不涉及；5、项目不涉及；6、项目不涉及。</w:t>
                  </w:r>
                </w:p>
              </w:tc>
              <w:tc>
                <w:tcPr>
                  <w:tcW w:w="278" w:type="pct"/>
                  <w:vAlign w:val="center"/>
                </w:tcPr>
                <w:p w14:paraId="10569FD4">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6E297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278" w:type="pct"/>
                  <w:vMerge w:val="continue"/>
                  <w:vAlign w:val="center"/>
                </w:tcPr>
                <w:p w14:paraId="7BAE2BC1">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p>
              </w:tc>
              <w:tc>
                <w:tcPr>
                  <w:tcW w:w="434" w:type="pct"/>
                  <w:vAlign w:val="center"/>
                </w:tcPr>
                <w:p w14:paraId="63D180AD">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环境风险防控</w:t>
                  </w:r>
                </w:p>
              </w:tc>
              <w:tc>
                <w:tcPr>
                  <w:tcW w:w="3046" w:type="pct"/>
                  <w:vAlign w:val="center"/>
                </w:tcPr>
                <w:p w14:paraId="77424689">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有效防控水源地环境风险。每年对集中式饮用水水源保护区开展基础调查与评估，将可能影响水源水质安全的风险源全部列入档案，加强风险应急防控，建立联防联控应急机制。推广供水水厂应急净化技术，储备应急供水专项物资，配置移动式应急净水设备，加强应急抢险专业队伍建设，及时有效处置饮用水水源突发环境事件。</w:t>
                  </w:r>
                </w:p>
              </w:tc>
              <w:tc>
                <w:tcPr>
                  <w:tcW w:w="960" w:type="pct"/>
                  <w:shd w:val="clear" w:color="auto" w:fill="auto"/>
                  <w:vAlign w:val="center"/>
                </w:tcPr>
                <w:p w14:paraId="4498DFDE">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snapToGrid/>
                      <w:color w:val="auto"/>
                      <w:sz w:val="21"/>
                      <w:szCs w:val="21"/>
                      <w:highlight w:val="none"/>
                      <w:lang w:eastAsia="zh-CN"/>
                    </w:rPr>
                  </w:pPr>
                  <w:r>
                    <w:rPr>
                      <w:rFonts w:hint="default" w:ascii="Times New Roman" w:hAnsi="Times New Roman" w:cs="Times New Roman"/>
                      <w:snapToGrid/>
                      <w:color w:val="auto"/>
                      <w:sz w:val="21"/>
                      <w:szCs w:val="21"/>
                      <w:highlight w:val="none"/>
                      <w:lang w:eastAsia="zh-CN"/>
                    </w:rPr>
                    <w:t>项目不涉及</w:t>
                  </w:r>
                </w:p>
              </w:tc>
              <w:tc>
                <w:tcPr>
                  <w:tcW w:w="278" w:type="pct"/>
                  <w:vAlign w:val="center"/>
                </w:tcPr>
                <w:p w14:paraId="37D12948">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7270A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3" w:hRule="atLeast"/>
                <w:jc w:val="center"/>
              </w:trPr>
              <w:tc>
                <w:tcPr>
                  <w:tcW w:w="278" w:type="pct"/>
                  <w:vMerge w:val="continue"/>
                  <w:vAlign w:val="center"/>
                </w:tcPr>
                <w:p w14:paraId="489F25A6">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p>
              </w:tc>
              <w:tc>
                <w:tcPr>
                  <w:tcW w:w="434" w:type="pct"/>
                  <w:vAlign w:val="center"/>
                </w:tcPr>
                <w:p w14:paraId="1C742035">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资源开发利用</w:t>
                  </w:r>
                </w:p>
              </w:tc>
              <w:tc>
                <w:tcPr>
                  <w:tcW w:w="3046" w:type="pct"/>
                  <w:vAlign w:val="center"/>
                </w:tcPr>
                <w:p w14:paraId="2E044EFF">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1、开展用水效率评估，建立万元工业增加值水耗指标等用水效率评估体系，把节水目标任务完成情况纳入地方政府政绩考核。将再生水、雨水和微咸水等非常规水源纳入水资源统一配置。</w:t>
                  </w:r>
                </w:p>
                <w:p w14:paraId="765759E3">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发展农业节水。调整农业种植结构，发展旱作节水农业，推进田间节水设施建设，大力推广耐旱节水品种、耕作保墒、地膜覆盖、秸秆还田、水肥一体化等农业综合节水技术。推广渠道防渗、管道输水、喷灌、微灌、农作物节水抗旱等技术，完善灌溉用水计量设施，推进规模化高效节水灌溉。加快高效节水灌溉示范项目建设，粮食主产区大力推广以高标准管灌为主的节水灌溉工程，蔬菜、果品和经济种植区大力推广微滴灌技术，规模化农场、承包大户积极推广喷灌技术。地上水灌区实施续建配套与节水改造。</w:t>
                  </w:r>
                </w:p>
              </w:tc>
              <w:tc>
                <w:tcPr>
                  <w:tcW w:w="960" w:type="pct"/>
                  <w:shd w:val="clear" w:color="auto" w:fill="auto"/>
                  <w:vAlign w:val="center"/>
                </w:tcPr>
                <w:p w14:paraId="10203DB9">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snapToGrid/>
                      <w:color w:val="auto"/>
                      <w:sz w:val="21"/>
                      <w:szCs w:val="21"/>
                      <w:highlight w:val="none"/>
                      <w:lang w:eastAsia="zh-CN"/>
                    </w:rPr>
                  </w:pPr>
                  <w:r>
                    <w:rPr>
                      <w:rFonts w:hint="default" w:ascii="Times New Roman" w:hAnsi="Times New Roman" w:cs="Times New Roman"/>
                      <w:snapToGrid/>
                      <w:color w:val="auto"/>
                      <w:sz w:val="21"/>
                      <w:szCs w:val="21"/>
                      <w:highlight w:val="none"/>
                      <w:lang w:eastAsia="zh-CN"/>
                    </w:rPr>
                    <w:t>项目不涉及</w:t>
                  </w:r>
                </w:p>
              </w:tc>
              <w:tc>
                <w:tcPr>
                  <w:tcW w:w="278" w:type="pct"/>
                  <w:vAlign w:val="center"/>
                </w:tcPr>
                <w:p w14:paraId="3FEC972F">
                  <w:pPr>
                    <w:pStyle w:val="135"/>
                    <w:tabs>
                      <w:tab w:val="center" w:pos="4153"/>
                      <w:tab w:val="right" w:pos="8306"/>
                    </w:tabs>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bl>
          <w:p w14:paraId="67298C16">
            <w:pPr>
              <w:autoSpaceDE w:val="0"/>
              <w:autoSpaceDN w:val="0"/>
              <w:adjustRightInd w:val="0"/>
              <w:ind w:firstLine="422"/>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表1-</w:t>
            </w:r>
            <w:r>
              <w:rPr>
                <w:rFonts w:hint="eastAsia" w:cs="Times New Roman"/>
                <w:b/>
                <w:color w:val="auto"/>
                <w:sz w:val="21"/>
                <w:szCs w:val="21"/>
                <w:highlight w:val="none"/>
                <w:lang w:val="en-US" w:eastAsia="zh-CN"/>
              </w:rPr>
              <w:t>11</w:t>
            </w:r>
            <w:r>
              <w:rPr>
                <w:rFonts w:hint="default" w:ascii="Times New Roman" w:hAnsi="Times New Roman" w:cs="Times New Roman"/>
                <w:b/>
                <w:color w:val="auto"/>
                <w:sz w:val="21"/>
                <w:szCs w:val="21"/>
                <w:highlight w:val="none"/>
              </w:rPr>
              <w:t xml:space="preserve">    项目与全市土壤及地下水环境总体管控要求符合性分析</w:t>
            </w:r>
          </w:p>
          <w:tbl>
            <w:tblPr>
              <w:tblStyle w:val="84"/>
              <w:tblW w:w="500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5"/>
              <w:gridCol w:w="599"/>
              <w:gridCol w:w="5049"/>
              <w:gridCol w:w="1170"/>
              <w:gridCol w:w="382"/>
            </w:tblGrid>
            <w:tr w14:paraId="18E63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23" w:type="pct"/>
                  <w:vAlign w:val="center"/>
                </w:tcPr>
                <w:p w14:paraId="3FF0242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要素属性</w:t>
                  </w:r>
                </w:p>
              </w:tc>
              <w:tc>
                <w:tcPr>
                  <w:tcW w:w="397" w:type="pct"/>
                  <w:vAlign w:val="center"/>
                </w:tcPr>
                <w:p w14:paraId="7AA79ED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管控类别</w:t>
                  </w:r>
                </w:p>
              </w:tc>
              <w:tc>
                <w:tcPr>
                  <w:tcW w:w="3348" w:type="pct"/>
                  <w:vAlign w:val="center"/>
                </w:tcPr>
                <w:p w14:paraId="0B84B00A">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管控要求</w:t>
                  </w:r>
                </w:p>
              </w:tc>
              <w:tc>
                <w:tcPr>
                  <w:tcW w:w="776" w:type="pct"/>
                  <w:vAlign w:val="center"/>
                </w:tcPr>
                <w:p w14:paraId="7C6229B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项目情况</w:t>
                  </w:r>
                </w:p>
              </w:tc>
              <w:tc>
                <w:tcPr>
                  <w:tcW w:w="253" w:type="pct"/>
                  <w:vAlign w:val="center"/>
                </w:tcPr>
                <w:p w14:paraId="5CE6AF7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6439D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restart"/>
                  <w:vAlign w:val="center"/>
                </w:tcPr>
                <w:p w14:paraId="51DB1CB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土壤及地下水环境</w:t>
                  </w:r>
                </w:p>
              </w:tc>
              <w:tc>
                <w:tcPr>
                  <w:tcW w:w="397" w:type="pct"/>
                  <w:vAlign w:val="center"/>
                </w:tcPr>
                <w:p w14:paraId="5DEA18C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污染防控目标</w:t>
                  </w:r>
                </w:p>
              </w:tc>
              <w:tc>
                <w:tcPr>
                  <w:tcW w:w="3348" w:type="pct"/>
                  <w:vAlign w:val="center"/>
                </w:tcPr>
                <w:p w14:paraId="78C6A618">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2025年底前，受污染耕地安全利用率完成河北省下达任务，受污染耕地管控措施覆盖率100%；重点建设用地安全利用得到有效保障，拟开发利用污染地块治理修复或风险管控目标达标率100%，暂不开发利用污染地块管控措施覆盖率100%；国家地下水环境质量区域考核点位Ⅴ类水比例控制在20%以下，“双源”考核点位水质总体保持稳定。</w:t>
                  </w:r>
                </w:p>
              </w:tc>
              <w:tc>
                <w:tcPr>
                  <w:tcW w:w="776" w:type="pct"/>
                  <w:vAlign w:val="center"/>
                </w:tcPr>
                <w:p w14:paraId="77DEF24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项目不涉及</w:t>
                  </w:r>
                </w:p>
              </w:tc>
              <w:tc>
                <w:tcPr>
                  <w:tcW w:w="253" w:type="pct"/>
                  <w:vAlign w:val="center"/>
                </w:tcPr>
                <w:p w14:paraId="3F02A9D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6E4C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1A0D06C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Align w:val="center"/>
                </w:tcPr>
                <w:p w14:paraId="00CA638E">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3348" w:type="pct"/>
                  <w:vAlign w:val="center"/>
                </w:tcPr>
                <w:p w14:paraId="6F59EED6">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严格执行相关行业企业布局选址要求，禁止在居民区和学校、医院、疗养院、养老院等单位周边新建、改建、扩建可能造成土壤污染的建设项目。</w:t>
                  </w:r>
                </w:p>
                <w:p w14:paraId="682C870B">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禁止在集中式地下水饮用水水源地建设需要取水的地热能开发利用项目。禁止抽取难以更新的地下水用于需要取水的地热能开发利用项目。</w:t>
                  </w:r>
                </w:p>
                <w:p w14:paraId="0F45ADC1">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地下水饮用水水源地优先保护区管控参照生态环境空间总体管控要求中地下水饮用水水源地保护区总体管控要求。</w:t>
                  </w:r>
                </w:p>
              </w:tc>
              <w:tc>
                <w:tcPr>
                  <w:tcW w:w="776" w:type="pct"/>
                  <w:vAlign w:val="center"/>
                </w:tcPr>
                <w:p w14:paraId="7F27892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项目采取分区防渗等措施，对土壤污染较小</w:t>
                  </w:r>
                </w:p>
              </w:tc>
              <w:tc>
                <w:tcPr>
                  <w:tcW w:w="253" w:type="pct"/>
                  <w:vAlign w:val="center"/>
                </w:tcPr>
                <w:p w14:paraId="2AC54DF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4F274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7981AB3A">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Align w:val="center"/>
                </w:tcPr>
                <w:p w14:paraId="7E92D98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污染排放管控</w:t>
                  </w:r>
                </w:p>
              </w:tc>
              <w:tc>
                <w:tcPr>
                  <w:tcW w:w="3348" w:type="pct"/>
                  <w:vAlign w:val="center"/>
                </w:tcPr>
                <w:p w14:paraId="62B14F23">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1、严禁将污泥直接用作肥料，禁止不达标污泥就地堆放，结合污泥处理设施升级改造，逐步取消原生污泥简易填埋等不符合环保要求的处置方式。鼓励利用水泥厂等工业窑炉，开展污泥协同焚烧处置。</w:t>
                  </w:r>
                </w:p>
                <w:p w14:paraId="4735EC39">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严格落实总量控制制度，减少重金属污染物排放。新、改、扩建涉重金属重点行业建设项目，污染物排放实施等量或倍量替换，对重金属排放量继续上升的地区，暂停审批新增重金属污染物排放的建设项目。加大减排项目督导力度，确保项目按期实施。</w:t>
                  </w:r>
                </w:p>
                <w:p w14:paraId="7AB41FDE">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严格危险废物经营许可审批，加强危险废物处置单位规范化管理核查。统筹推进危险废物利用处置能力建设，加快补齐利用处置设施短板。积极推进重点监管源智能监控体系建设，加大危险废物产生、贮存、转运、利用、处置全流程监管力度。规范和完善医疗废物分类收集处置体系。</w:t>
                  </w:r>
                </w:p>
                <w:p w14:paraId="6B378DB1">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建设和运行固体废物处置设施，应当采取防扬散、防流失、防渗漏等措施，依法贮存、利用、处置固体废物。处置生活垃圾，应当优先采用焚烧处理技术，有计划地实现垃圾零填埋，已有的垃圾填埋处置设施应当建设渗滤液收集和处理、处置设施，并采取相应措施防止土壤污染。</w:t>
                  </w:r>
                </w:p>
                <w:p w14:paraId="4D43BDDB">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5、严格危险废物源头管控，优化利用处置结构布局，提高应急保障能力。发展生态循环农业，提升农业废弃物综合利用率。健全完善制度、技术、市场、监管四大政策体系，实现固体废物和危险废物全链条监管。</w:t>
                  </w:r>
                </w:p>
              </w:tc>
              <w:tc>
                <w:tcPr>
                  <w:tcW w:w="776" w:type="pct"/>
                  <w:vAlign w:val="center"/>
                </w:tcPr>
                <w:p w14:paraId="3AD74C75">
                  <w:pPr>
                    <w:pStyle w:val="135"/>
                    <w:tabs>
                      <w:tab w:val="center" w:pos="4153"/>
                      <w:tab w:val="right" w:pos="8306"/>
                    </w:tabs>
                    <w:spacing w:before="24" w:after="24" w:line="280" w:lineRule="exact"/>
                    <w:ind w:firstLine="0" w:firstLineChars="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1、项目不涉及；2、项目不涉及重金属排放；3、</w:t>
                  </w:r>
                  <w:r>
                    <w:rPr>
                      <w:rFonts w:hint="eastAsia" w:ascii="Times New Roman" w:cs="Times New Roman"/>
                      <w:color w:val="auto"/>
                      <w:sz w:val="21"/>
                      <w:szCs w:val="21"/>
                      <w:highlight w:val="none"/>
                      <w:lang w:val="en-US" w:eastAsia="zh-CN"/>
                    </w:rPr>
                    <w:t>项目危险废物依托现有危废间</w:t>
                  </w:r>
                  <w:r>
                    <w:rPr>
                      <w:rFonts w:hint="eastAsia"/>
                      <w:color w:val="auto"/>
                      <w:sz w:val="21"/>
                      <w:szCs w:val="21"/>
                      <w:highlight w:val="none"/>
                    </w:rPr>
                    <w:t>暂存后</w:t>
                  </w:r>
                  <w:r>
                    <w:rPr>
                      <w:color w:val="auto"/>
                      <w:sz w:val="21"/>
                      <w:szCs w:val="21"/>
                      <w:highlight w:val="none"/>
                    </w:rPr>
                    <w:t>，定期</w:t>
                  </w:r>
                  <w:r>
                    <w:rPr>
                      <w:rFonts w:hint="eastAsia"/>
                      <w:color w:val="auto"/>
                      <w:sz w:val="21"/>
                      <w:szCs w:val="21"/>
                      <w:highlight w:val="none"/>
                      <w:lang w:eastAsia="zh-CN"/>
                    </w:rPr>
                    <w:t>交</w:t>
                  </w:r>
                  <w:r>
                    <w:rPr>
                      <w:color w:val="auto"/>
                      <w:sz w:val="21"/>
                      <w:szCs w:val="21"/>
                      <w:highlight w:val="none"/>
                    </w:rPr>
                    <w:t>有资质的单位处置</w:t>
                  </w:r>
                  <w:r>
                    <w:rPr>
                      <w:rFonts w:hint="default" w:ascii="Times New Roman" w:hAnsi="Times New Roman" w:cs="Times New Roman"/>
                      <w:color w:val="auto"/>
                      <w:sz w:val="21"/>
                      <w:szCs w:val="21"/>
                      <w:highlight w:val="none"/>
                    </w:rPr>
                    <w:t>；4、项目采取分区防渗</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各固体废物均得到合理处理处置；5、</w:t>
                  </w:r>
                  <w:r>
                    <w:rPr>
                      <w:rFonts w:hint="eastAsia" w:ascii="Times New Roman" w:cs="Times New Roman"/>
                      <w:color w:val="auto"/>
                      <w:sz w:val="21"/>
                      <w:szCs w:val="21"/>
                      <w:highlight w:val="none"/>
                      <w:lang w:val="en-US" w:eastAsia="zh-CN"/>
                    </w:rPr>
                    <w:t>项目危险废物依托现有危废间</w:t>
                  </w:r>
                  <w:r>
                    <w:rPr>
                      <w:rFonts w:hint="eastAsia"/>
                      <w:color w:val="auto"/>
                      <w:sz w:val="21"/>
                      <w:szCs w:val="21"/>
                      <w:highlight w:val="none"/>
                    </w:rPr>
                    <w:t>暂存后</w:t>
                  </w:r>
                  <w:r>
                    <w:rPr>
                      <w:color w:val="auto"/>
                      <w:sz w:val="21"/>
                      <w:szCs w:val="21"/>
                      <w:highlight w:val="none"/>
                    </w:rPr>
                    <w:t>，定期</w:t>
                  </w:r>
                  <w:r>
                    <w:rPr>
                      <w:rFonts w:hint="eastAsia"/>
                      <w:color w:val="auto"/>
                      <w:sz w:val="21"/>
                      <w:szCs w:val="21"/>
                      <w:highlight w:val="none"/>
                      <w:lang w:eastAsia="zh-CN"/>
                    </w:rPr>
                    <w:t>交</w:t>
                  </w:r>
                  <w:r>
                    <w:rPr>
                      <w:color w:val="auto"/>
                      <w:sz w:val="21"/>
                      <w:szCs w:val="21"/>
                      <w:highlight w:val="none"/>
                    </w:rPr>
                    <w:t>有资质的单位处置</w:t>
                  </w:r>
                  <w:r>
                    <w:rPr>
                      <w:rFonts w:hint="default" w:ascii="Times New Roman" w:hAnsi="Times New Roman" w:cs="Times New Roman"/>
                      <w:color w:val="auto"/>
                      <w:sz w:val="21"/>
                      <w:szCs w:val="21"/>
                      <w:highlight w:val="none"/>
                    </w:rPr>
                    <w:t>；</w:t>
                  </w:r>
                </w:p>
              </w:tc>
              <w:tc>
                <w:tcPr>
                  <w:tcW w:w="253" w:type="pct"/>
                  <w:vAlign w:val="center"/>
                </w:tcPr>
                <w:p w14:paraId="709CEC6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02120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30CA5C2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restart"/>
                  <w:vAlign w:val="center"/>
                </w:tcPr>
                <w:p w14:paraId="5E3EF2BA">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环境风险防控</w:t>
                  </w:r>
                </w:p>
              </w:tc>
              <w:tc>
                <w:tcPr>
                  <w:tcW w:w="3348" w:type="pct"/>
                  <w:vAlign w:val="center"/>
                </w:tcPr>
                <w:p w14:paraId="2FF2B53E">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1、每年对集中式饮用水水源保护区开展基础调查与评估，将可能影响水源水质安全的风险源全部列入档案，实行“一源一案”，对每个风险源开展隐患排查、整改，编制风险应急方案，建立联防联控应急机制。</w:t>
                  </w:r>
                </w:p>
              </w:tc>
              <w:tc>
                <w:tcPr>
                  <w:tcW w:w="776" w:type="pct"/>
                  <w:vMerge w:val="restart"/>
                  <w:vAlign w:val="center"/>
                </w:tcPr>
                <w:p w14:paraId="0D1FE60A">
                  <w:pPr>
                    <w:pStyle w:val="135"/>
                    <w:tabs>
                      <w:tab w:val="center" w:pos="4153"/>
                      <w:tab w:val="right" w:pos="8306"/>
                    </w:tabs>
                    <w:spacing w:before="24" w:after="24" w:line="280" w:lineRule="exact"/>
                    <w:ind w:firstLine="0" w:firstLineChars="0"/>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1、项目</w:t>
                  </w:r>
                  <w:r>
                    <w:rPr>
                      <w:rFonts w:hint="eastAsia" w:ascii="Times New Roman" w:cs="Times New Roman"/>
                      <w:color w:val="auto"/>
                      <w:sz w:val="21"/>
                      <w:szCs w:val="21"/>
                      <w:highlight w:val="none"/>
                      <w:lang w:val="en-US" w:eastAsia="zh-CN"/>
                    </w:rPr>
                    <w:t>不涉及</w:t>
                  </w:r>
                  <w:r>
                    <w:rPr>
                      <w:rFonts w:hint="default" w:ascii="Times New Roman" w:hAnsi="Times New Roman" w:cs="Times New Roman"/>
                      <w:color w:val="auto"/>
                      <w:sz w:val="21"/>
                      <w:szCs w:val="21"/>
                      <w:highlight w:val="none"/>
                    </w:rPr>
                    <w:t>；2、项目不涉及；3、</w:t>
                  </w:r>
                  <w:r>
                    <w:rPr>
                      <w:rFonts w:hint="eastAsia" w:ascii="Times New Roman" w:cs="Times New Roman"/>
                      <w:color w:val="auto"/>
                      <w:sz w:val="21"/>
                      <w:szCs w:val="21"/>
                      <w:highlight w:val="none"/>
                      <w:lang w:val="en-US" w:eastAsia="zh-CN"/>
                    </w:rPr>
                    <w:t>项目危险废物依托现有危废间</w:t>
                  </w:r>
                  <w:r>
                    <w:rPr>
                      <w:rFonts w:hint="eastAsia"/>
                      <w:color w:val="auto"/>
                      <w:sz w:val="21"/>
                      <w:szCs w:val="21"/>
                      <w:highlight w:val="none"/>
                    </w:rPr>
                    <w:t>暂存后</w:t>
                  </w:r>
                  <w:r>
                    <w:rPr>
                      <w:color w:val="auto"/>
                      <w:sz w:val="21"/>
                      <w:szCs w:val="21"/>
                      <w:highlight w:val="none"/>
                    </w:rPr>
                    <w:t>，定期</w:t>
                  </w:r>
                  <w:r>
                    <w:rPr>
                      <w:rFonts w:hint="eastAsia"/>
                      <w:color w:val="auto"/>
                      <w:sz w:val="21"/>
                      <w:szCs w:val="21"/>
                      <w:highlight w:val="none"/>
                      <w:lang w:eastAsia="zh-CN"/>
                    </w:rPr>
                    <w:t>交</w:t>
                  </w:r>
                  <w:r>
                    <w:rPr>
                      <w:color w:val="auto"/>
                      <w:sz w:val="21"/>
                      <w:szCs w:val="21"/>
                      <w:highlight w:val="none"/>
                    </w:rPr>
                    <w:t>有资质的单位处置</w:t>
                  </w:r>
                  <w:r>
                    <w:rPr>
                      <w:rFonts w:hint="eastAsia"/>
                      <w:color w:val="auto"/>
                      <w:sz w:val="21"/>
                      <w:szCs w:val="21"/>
                      <w:highlight w:val="none"/>
                      <w:lang w:eastAsia="zh-CN"/>
                    </w:rPr>
                    <w:t>，</w:t>
                  </w:r>
                  <w:r>
                    <w:rPr>
                      <w:rFonts w:hint="eastAsia" w:ascii="Times New Roman" w:cs="Times New Roman"/>
                      <w:color w:val="auto"/>
                      <w:sz w:val="21"/>
                      <w:szCs w:val="21"/>
                      <w:lang w:val="en-US" w:eastAsia="zh-CN"/>
                    </w:rPr>
                    <w:t>公司的突发环境事件应急预案于2026年3月13日在唐山市生态环境局迁安市分局备案(编号为130283-2026-036-H)</w:t>
                  </w:r>
                  <w:r>
                    <w:rPr>
                      <w:rFonts w:hint="eastAsia"/>
                      <w:color w:val="auto"/>
                      <w:lang w:val="en-US" w:eastAsia="zh-CN"/>
                    </w:rPr>
                    <w:t>。</w:t>
                  </w:r>
                  <w:r>
                    <w:rPr>
                      <w:rFonts w:hint="default" w:ascii="Times New Roman" w:hAnsi="Times New Roman" w:cs="Times New Roman"/>
                      <w:color w:val="auto"/>
                      <w:sz w:val="21"/>
                      <w:szCs w:val="21"/>
                      <w:highlight w:val="none"/>
                    </w:rPr>
                    <w:t>4、项目不涉及；5、项目采取分区防渗等措施，对土壤污染较小；6、</w:t>
                  </w:r>
                  <w:r>
                    <w:rPr>
                      <w:rFonts w:hint="eastAsia" w:asciiTheme="minorEastAsia" w:hAnsiTheme="minorEastAsia" w:eastAsiaTheme="minorEastAsia" w:cstheme="minorEastAsia"/>
                      <w:color w:val="auto"/>
                      <w:kern w:val="0"/>
                      <w:sz w:val="21"/>
                      <w:szCs w:val="21"/>
                      <w:highlight w:val="none"/>
                    </w:rPr>
                    <w:t>项目位于河北迁安经济开发区，公司现有厂区内，根据开发区用地规划图，项目占地类型为三类工业用地</w:t>
                  </w:r>
                  <w:r>
                    <w:rPr>
                      <w:rFonts w:hint="default" w:ascii="Times New Roman" w:hAnsi="Times New Roman" w:cs="Times New Roman"/>
                      <w:color w:val="auto"/>
                      <w:sz w:val="21"/>
                      <w:szCs w:val="21"/>
                      <w:highlight w:val="none"/>
                    </w:rPr>
                    <w:t>；7、项目不涉及；8、项目不涉及；9、项目不涉及；10、项目不涉及</w:t>
                  </w:r>
                </w:p>
              </w:tc>
              <w:tc>
                <w:tcPr>
                  <w:tcW w:w="253" w:type="pct"/>
                  <w:vMerge w:val="restart"/>
                  <w:vAlign w:val="center"/>
                </w:tcPr>
                <w:p w14:paraId="1BC8D14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4B898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0853303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continue"/>
                  <w:vAlign w:val="center"/>
                </w:tcPr>
                <w:p w14:paraId="7A6E8CF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348" w:type="pct"/>
                  <w:vAlign w:val="center"/>
                </w:tcPr>
                <w:p w14:paraId="7E220940">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2、尾矿库运营、管理单位应当按照规定加强尾矿库的安全管理，采取措施防止土壤污染。危库、险库、病库以及其他需要重点监管的尾矿库运营、管理单位应当按照规定进行土壤污染状况监测和定期评估。</w:t>
                  </w:r>
                </w:p>
              </w:tc>
              <w:tc>
                <w:tcPr>
                  <w:tcW w:w="776" w:type="pct"/>
                  <w:vMerge w:val="continue"/>
                  <w:vAlign w:val="center"/>
                </w:tcPr>
                <w:p w14:paraId="7AC9DC2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3" w:type="pct"/>
                  <w:vMerge w:val="continue"/>
                  <w:vAlign w:val="center"/>
                </w:tcPr>
                <w:p w14:paraId="2D0FA06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11516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750D32D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continue"/>
                  <w:vAlign w:val="center"/>
                </w:tcPr>
                <w:p w14:paraId="1663520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348" w:type="pct"/>
                  <w:vAlign w:val="center"/>
                </w:tcPr>
                <w:p w14:paraId="7B4E586A">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3、产生、收集、贮存、运输、利用、处置危险废物的单位，应当依法制定意外事故的防范措施和应急预案，并向所在地生态环境主管部门和其他负有固体废物污染环境防治监督管理职责的部门备案。</w:t>
                  </w:r>
                </w:p>
              </w:tc>
              <w:tc>
                <w:tcPr>
                  <w:tcW w:w="776" w:type="pct"/>
                  <w:vMerge w:val="continue"/>
                  <w:vAlign w:val="center"/>
                </w:tcPr>
                <w:p w14:paraId="07A2C91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3" w:type="pct"/>
                  <w:vMerge w:val="continue"/>
                  <w:vAlign w:val="center"/>
                </w:tcPr>
                <w:p w14:paraId="0B09C82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5A04A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7C2E118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continue"/>
                  <w:vAlign w:val="center"/>
                </w:tcPr>
                <w:p w14:paraId="0E62639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348" w:type="pct"/>
                  <w:vAlign w:val="center"/>
                </w:tcPr>
                <w:p w14:paraId="6F92AC7B">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严格落实耕地风险防范措施。对安全利用类耕地，应结合当地主要作物品种和种植习惯，采取农艺调控、低积累品种替代、轮作间作等措施，降低农产品超标风险；对严格管控类耕地，依法划定特定农产品禁止生产区域，鼓励采取调整种植结构、退耕还林还草、退耕还湿、轮作休耕等风险管控措施。</w:t>
                  </w:r>
                </w:p>
              </w:tc>
              <w:tc>
                <w:tcPr>
                  <w:tcW w:w="776" w:type="pct"/>
                  <w:vMerge w:val="continue"/>
                  <w:vAlign w:val="center"/>
                </w:tcPr>
                <w:p w14:paraId="68EFDFB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3" w:type="pct"/>
                  <w:vMerge w:val="continue"/>
                  <w:vAlign w:val="center"/>
                </w:tcPr>
                <w:p w14:paraId="55668B8E">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084CA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00994F9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continue"/>
                  <w:vAlign w:val="center"/>
                </w:tcPr>
                <w:p w14:paraId="148FAD7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348" w:type="pct"/>
                  <w:vAlign w:val="center"/>
                </w:tcPr>
                <w:p w14:paraId="66FDDAD6">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5、强化污染地块土壤环境联动监管。抓好退城搬迁工业企业工矿用地土壤环境监督管理，土壤污染重点监管单位拆除设施、设备或者建筑物、构筑物，要制定土壤污染防治工作方案并按要求备案，防范拆除活动造成土壤和地下水污染，切实保障生态环境安全。</w:t>
                  </w:r>
                </w:p>
              </w:tc>
              <w:tc>
                <w:tcPr>
                  <w:tcW w:w="776" w:type="pct"/>
                  <w:vMerge w:val="continue"/>
                  <w:vAlign w:val="center"/>
                </w:tcPr>
                <w:p w14:paraId="33C122B7">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3" w:type="pct"/>
                  <w:vMerge w:val="continue"/>
                  <w:vAlign w:val="center"/>
                </w:tcPr>
                <w:p w14:paraId="135D95E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7DCEA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00A6787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continue"/>
                  <w:vAlign w:val="center"/>
                </w:tcPr>
                <w:p w14:paraId="0D67E10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348" w:type="pct"/>
                  <w:vAlign w:val="center"/>
                </w:tcPr>
                <w:p w14:paraId="65303F5A">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6、严格建设用地准入管理。加强对土地征收、收回、收购的监督管理，对应当开展土壤污染状况调查而未进行调查的地块，以及列入疑似污染地块名单、污染地块名录、建设用地土壤污染风险管控和修复名录且未达到规划用途土壤环境质量要求的地块，不得进入供地程序进行再开发利用，未达到土壤污染风险管控、修复目标的地块，禁止开工建设任何与风险管控、修复无关的项目，不得批准环境影响评价技术文件、建设工程规划许可证等事项。涉及成片污染地块分期分批开发或周边土地开发的，要科学设定开发时序，防止受污染土壤及其后续风险管控和修复措施对周边人群产生影响。</w:t>
                  </w:r>
                </w:p>
              </w:tc>
              <w:tc>
                <w:tcPr>
                  <w:tcW w:w="776" w:type="pct"/>
                  <w:vMerge w:val="continue"/>
                  <w:vAlign w:val="center"/>
                </w:tcPr>
                <w:p w14:paraId="06FB506E">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3" w:type="pct"/>
                  <w:vMerge w:val="continue"/>
                  <w:vAlign w:val="center"/>
                </w:tcPr>
                <w:p w14:paraId="724936F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2CEE0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7CA84E3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continue"/>
                  <w:vAlign w:val="center"/>
                </w:tcPr>
                <w:p w14:paraId="5FCE71D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348" w:type="pct"/>
                  <w:vAlign w:val="center"/>
                </w:tcPr>
                <w:p w14:paraId="0DF16247">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7、加强污染地块风险管控及修复。对暂不开发利用的污染地块，实施以防止污染扩散为目的的风险管控，设立标识、发布公告，并组织开展土壤、地表水、地下水、空气环境监测。对需要实施治理与修复的污染地块，应结合土地利用总体规划和城乡规划编制修复方案并组织实施。加强治理与修复施工的环境监理，并严防治理与修复过程中产生废水、废气和固体废物二次污染。</w:t>
                  </w:r>
                </w:p>
              </w:tc>
              <w:tc>
                <w:tcPr>
                  <w:tcW w:w="776" w:type="pct"/>
                  <w:vMerge w:val="continue"/>
                  <w:vAlign w:val="center"/>
                </w:tcPr>
                <w:p w14:paraId="0054013C">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3" w:type="pct"/>
                  <w:vMerge w:val="continue"/>
                  <w:vAlign w:val="center"/>
                </w:tcPr>
                <w:p w14:paraId="31BFFA3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32A88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42ACA38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continue"/>
                  <w:vAlign w:val="center"/>
                </w:tcPr>
                <w:p w14:paraId="740A23C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348" w:type="pct"/>
                  <w:vAlign w:val="center"/>
                </w:tcPr>
                <w:p w14:paraId="440C13F6">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8、县级以上地方人民政府应当根据地下水水源条件和需要，建设应急备用饮用水水源，制定应急预案，确保需要时正常使用。应急备用地下水水源结束应急使用后，应当立即停止取水。</w:t>
                  </w:r>
                </w:p>
              </w:tc>
              <w:tc>
                <w:tcPr>
                  <w:tcW w:w="776" w:type="pct"/>
                  <w:vMerge w:val="continue"/>
                  <w:vAlign w:val="center"/>
                </w:tcPr>
                <w:p w14:paraId="1E66AFE4">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3" w:type="pct"/>
                  <w:vMerge w:val="continue"/>
                  <w:vAlign w:val="center"/>
                </w:tcPr>
                <w:p w14:paraId="64768A67">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0321D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05D0AA7E">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continue"/>
                  <w:vAlign w:val="center"/>
                </w:tcPr>
                <w:p w14:paraId="3129560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348" w:type="pct"/>
                  <w:vAlign w:val="center"/>
                </w:tcPr>
                <w:p w14:paraId="19D705FE">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9、针对存在地下水污染的化工园区、危险废物处置场和生活垃圾填埋场等，实施地下水污染风险管控，因地制宜选择阻隔、制度控制、渗透反应格栅等技术，阻止污染扩散，加强风险管控后期地下水环境监管。</w:t>
                  </w:r>
                </w:p>
              </w:tc>
              <w:tc>
                <w:tcPr>
                  <w:tcW w:w="776" w:type="pct"/>
                  <w:vMerge w:val="continue"/>
                  <w:vAlign w:val="center"/>
                </w:tcPr>
                <w:p w14:paraId="690DAFD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3" w:type="pct"/>
                  <w:vMerge w:val="continue"/>
                  <w:vAlign w:val="center"/>
                </w:tcPr>
                <w:p w14:paraId="4D20EC9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r w14:paraId="53B87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 w:type="pct"/>
                  <w:vMerge w:val="continue"/>
                  <w:vAlign w:val="center"/>
                </w:tcPr>
                <w:p w14:paraId="43D08CC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97" w:type="pct"/>
                  <w:vMerge w:val="continue"/>
                  <w:vAlign w:val="center"/>
                </w:tcPr>
                <w:p w14:paraId="32B48B07">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3348" w:type="pct"/>
                  <w:vAlign w:val="center"/>
                </w:tcPr>
                <w:p w14:paraId="53465DE3">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10、地下水污染风险重点管控区执行《唐山市地下水污染防治重点区划定方案(试行)》中管控类区域管理要求。</w:t>
                  </w:r>
                </w:p>
              </w:tc>
              <w:tc>
                <w:tcPr>
                  <w:tcW w:w="776" w:type="pct"/>
                  <w:vMerge w:val="continue"/>
                  <w:vAlign w:val="center"/>
                </w:tcPr>
                <w:p w14:paraId="4D8CBF3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253" w:type="pct"/>
                  <w:vMerge w:val="continue"/>
                  <w:vAlign w:val="center"/>
                </w:tcPr>
                <w:p w14:paraId="2B9023C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r>
          </w:tbl>
          <w:p w14:paraId="660360CE">
            <w:pPr>
              <w:ind w:firstLine="422"/>
              <w:jc w:val="center"/>
              <w:rPr>
                <w:rFonts w:hint="default" w:ascii="Times New Roman" w:hAnsi="Times New Roman" w:cs="Times New Roman"/>
                <w:color w:val="auto"/>
                <w:sz w:val="21"/>
                <w:szCs w:val="21"/>
                <w:highlight w:val="none"/>
              </w:rPr>
            </w:pPr>
            <w:r>
              <w:rPr>
                <w:rFonts w:hint="default" w:ascii="Times New Roman" w:hAnsi="Times New Roman" w:cs="Times New Roman"/>
                <w:b/>
                <w:color w:val="auto"/>
                <w:sz w:val="21"/>
                <w:szCs w:val="21"/>
                <w:highlight w:val="none"/>
              </w:rPr>
              <w:t>表1-</w:t>
            </w:r>
            <w:r>
              <w:rPr>
                <w:rFonts w:hint="eastAsia" w:cs="Times New Roman"/>
                <w:b/>
                <w:color w:val="auto"/>
                <w:sz w:val="21"/>
                <w:szCs w:val="21"/>
                <w:highlight w:val="none"/>
                <w:lang w:val="en-US" w:eastAsia="zh-CN"/>
              </w:rPr>
              <w:t>12</w:t>
            </w:r>
            <w:r>
              <w:rPr>
                <w:rFonts w:hint="default" w:ascii="Times New Roman" w:hAnsi="Times New Roman" w:cs="Times New Roman"/>
                <w:b/>
                <w:color w:val="auto"/>
                <w:sz w:val="21"/>
                <w:szCs w:val="21"/>
                <w:highlight w:val="none"/>
              </w:rPr>
              <w:t xml:space="preserve">  </w:t>
            </w:r>
            <w:r>
              <w:rPr>
                <w:rFonts w:hint="eastAsia" w:cs="Times New Roman"/>
                <w:b/>
                <w:color w:val="auto"/>
                <w:sz w:val="21"/>
                <w:szCs w:val="21"/>
                <w:highlight w:val="none"/>
                <w:lang w:val="en-US" w:eastAsia="zh-CN"/>
              </w:rPr>
              <w:t xml:space="preserve">  </w:t>
            </w:r>
            <w:r>
              <w:rPr>
                <w:rFonts w:hint="default" w:ascii="Times New Roman" w:hAnsi="Times New Roman" w:cs="Times New Roman"/>
                <w:b/>
                <w:color w:val="auto"/>
                <w:sz w:val="21"/>
                <w:szCs w:val="21"/>
                <w:highlight w:val="none"/>
              </w:rPr>
              <w:t>项目全市资源利用总体管控要求符合性分析</w:t>
            </w:r>
          </w:p>
          <w:tbl>
            <w:tblPr>
              <w:tblStyle w:val="84"/>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4"/>
              <w:gridCol w:w="655"/>
              <w:gridCol w:w="629"/>
              <w:gridCol w:w="3963"/>
              <w:gridCol w:w="1448"/>
              <w:gridCol w:w="416"/>
            </w:tblGrid>
            <w:tr w14:paraId="46E30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75" w:type="pct"/>
                  <w:vAlign w:val="center"/>
                </w:tcPr>
                <w:p w14:paraId="2AA5A617">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要素属性</w:t>
                  </w:r>
                </w:p>
              </w:tc>
              <w:tc>
                <w:tcPr>
                  <w:tcW w:w="853" w:type="pct"/>
                  <w:gridSpan w:val="2"/>
                  <w:vAlign w:val="center"/>
                </w:tcPr>
                <w:p w14:paraId="2FE17F5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管控类别</w:t>
                  </w:r>
                </w:p>
              </w:tc>
              <w:tc>
                <w:tcPr>
                  <w:tcW w:w="2632" w:type="pct"/>
                  <w:vAlign w:val="center"/>
                </w:tcPr>
                <w:p w14:paraId="78E0302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管控要求</w:t>
                  </w:r>
                </w:p>
              </w:tc>
              <w:tc>
                <w:tcPr>
                  <w:tcW w:w="962" w:type="pct"/>
                  <w:vAlign w:val="center"/>
                </w:tcPr>
                <w:p w14:paraId="4BA3734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项目情况</w:t>
                  </w:r>
                </w:p>
              </w:tc>
              <w:tc>
                <w:tcPr>
                  <w:tcW w:w="276" w:type="pct"/>
                  <w:vAlign w:val="center"/>
                </w:tcPr>
                <w:p w14:paraId="588A260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7078B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Merge w:val="restart"/>
                  <w:vAlign w:val="center"/>
                </w:tcPr>
                <w:p w14:paraId="0DB546A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资源</w:t>
                  </w:r>
                </w:p>
              </w:tc>
              <w:tc>
                <w:tcPr>
                  <w:tcW w:w="435" w:type="pct"/>
                  <w:vMerge w:val="restart"/>
                  <w:vAlign w:val="center"/>
                </w:tcPr>
                <w:p w14:paraId="7E65500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水资源</w:t>
                  </w:r>
                </w:p>
              </w:tc>
              <w:tc>
                <w:tcPr>
                  <w:tcW w:w="418" w:type="pct"/>
                  <w:vAlign w:val="center"/>
                </w:tcPr>
                <w:p w14:paraId="0FBC466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总量和强度要求</w:t>
                  </w:r>
                </w:p>
              </w:tc>
              <w:tc>
                <w:tcPr>
                  <w:tcW w:w="2632" w:type="pct"/>
                  <w:vAlign w:val="center"/>
                </w:tcPr>
                <w:p w14:paraId="44E5D53A">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到2025年，全市用水总量控制在28.48亿立方米以内；万元GDP用水量规划目标值30.0m</w:t>
                  </w:r>
                  <w:r>
                    <w:rPr>
                      <w:rFonts w:hint="default" w:ascii="Times New Roman" w:hAnsi="Times New Roman" w:cs="Times New Roman"/>
                      <w:color w:val="auto"/>
                      <w:sz w:val="21"/>
                      <w:szCs w:val="21"/>
                      <w:highlight w:val="none"/>
                      <w:vertAlign w:val="superscript"/>
                      <w:lang w:eastAsia="zh-CN"/>
                    </w:rPr>
                    <w:t>3</w:t>
                  </w:r>
                  <w:r>
                    <w:rPr>
                      <w:rFonts w:hint="default" w:ascii="Times New Roman" w:hAnsi="Times New Roman" w:cs="Times New Roman"/>
                      <w:color w:val="auto"/>
                      <w:sz w:val="21"/>
                      <w:szCs w:val="21"/>
                      <w:highlight w:val="none"/>
                      <w:lang w:eastAsia="zh-CN"/>
                    </w:rPr>
                    <w:t>，较2020年下降率为7.4%；万元工业增加值用水量较2020年下降14.4%；农田灌溉水有效利用系数提高到0.6766以上；城市公共供水管网漏损率控制在10%以内。</w:t>
                  </w:r>
                </w:p>
              </w:tc>
              <w:tc>
                <w:tcPr>
                  <w:tcW w:w="962" w:type="pct"/>
                  <w:vAlign w:val="center"/>
                </w:tcPr>
                <w:p w14:paraId="4031FCE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eastAsiaTheme="minorEastAsia"/>
                      <w:color w:val="auto"/>
                      <w:kern w:val="0"/>
                      <w:sz w:val="21"/>
                      <w:szCs w:val="21"/>
                      <w:highlight w:val="none"/>
                      <w:lang w:val="en-US" w:eastAsia="zh-CN"/>
                    </w:rPr>
                    <w:t>项目</w:t>
                  </w:r>
                  <w:r>
                    <w:rPr>
                      <w:rFonts w:hint="eastAsia"/>
                      <w:color w:val="auto"/>
                      <w:sz w:val="21"/>
                      <w:szCs w:val="21"/>
                      <w:highlight w:val="none"/>
                      <w:lang w:val="en-US" w:eastAsia="zh-CN"/>
                    </w:rPr>
                    <w:t>用水由现有供水管网提供。</w:t>
                  </w:r>
                </w:p>
              </w:tc>
              <w:tc>
                <w:tcPr>
                  <w:tcW w:w="276" w:type="pct"/>
                  <w:vAlign w:val="center"/>
                </w:tcPr>
                <w:p w14:paraId="58C09DF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p>
              </w:tc>
            </w:tr>
            <w:tr w14:paraId="5DFF2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Merge w:val="continue"/>
                  <w:vAlign w:val="center"/>
                </w:tcPr>
                <w:p w14:paraId="612AFD2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35" w:type="pct"/>
                  <w:vMerge w:val="continue"/>
                  <w:vAlign w:val="center"/>
                </w:tcPr>
                <w:p w14:paraId="493F9FC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18" w:type="pct"/>
                  <w:vAlign w:val="center"/>
                </w:tcPr>
                <w:p w14:paraId="28E0AB5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bookmarkStart w:id="7" w:name="_Toc30963"/>
                  <w:bookmarkStart w:id="8" w:name="_Toc18129"/>
                  <w:bookmarkStart w:id="9" w:name="_Toc22883"/>
                  <w:r>
                    <w:rPr>
                      <w:rFonts w:hint="default" w:ascii="Times New Roman" w:hAnsi="Times New Roman" w:cs="Times New Roman"/>
                      <w:color w:val="auto"/>
                      <w:sz w:val="21"/>
                      <w:szCs w:val="21"/>
                      <w:highlight w:val="none"/>
                    </w:rPr>
                    <w:t>资源利用</w:t>
                  </w:r>
                  <w:bookmarkEnd w:id="7"/>
                  <w:bookmarkEnd w:id="8"/>
                  <w:bookmarkEnd w:id="9"/>
                  <w:r>
                    <w:rPr>
                      <w:rFonts w:hint="default" w:ascii="Times New Roman" w:hAnsi="Times New Roman" w:cs="Times New Roman"/>
                      <w:color w:val="auto"/>
                      <w:sz w:val="21"/>
                      <w:szCs w:val="21"/>
                      <w:highlight w:val="none"/>
                    </w:rPr>
                    <w:t>效率要求</w:t>
                  </w:r>
                </w:p>
              </w:tc>
              <w:tc>
                <w:tcPr>
                  <w:tcW w:w="2632" w:type="pct"/>
                  <w:vAlign w:val="center"/>
                </w:tcPr>
                <w:p w14:paraId="4E1A2EF4">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严格地下水管理。在地下水禁采区内，除为保障地下工程施工安全和生产安全必须进行临时应急取(排)水、为消除对公共安全或者公共利益的危害临时应急取水，以及为开展地下水监测、勘探、试验少量取水外，禁止取用地下水。在地下水限采区内，对当地社会发展和群众生活有重大影响的重点建设项目确需取用地下水的，应按照用1减2的比例以及先减后加的原则，同步削减其他取水单位的地下水开采量，且不得深层、浅层地下水相互替代。地下水开发利用应当以浅层地下水为主。深层地下水作为战略储备水源、应急供水水源、无替代水源地区的居民生活水源，应当严格限制开采。</w:t>
                  </w:r>
                </w:p>
                <w:p w14:paraId="5D881444">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在地下水严重超采地区，实施轮作休耕、旱作雨养，适度退减灌溉面积。严格限制开采深层地下水用于农业灌溉。科学利用水库调蓄功能，用足用好外调水，合理利用当地地表水，鼓励利用非常规水，严格控制开采地下水，确需开采地下水的，由县级人民政府逐级报省人民政府批准。县级以上人民政府水行政主管部门应当加强大中型灌区续建配套和现代化改造，改善灌溉条件，提高灌溉用水效率，建设节水型灌区。</w:t>
                  </w:r>
                </w:p>
                <w:p w14:paraId="487E556F">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3、把节水作为水资源开发、利用、保护、配置、调度的前提，加强水资源调度管理。开展城镇后备水源建设，大力开发利用非常规水源，提高水资源的利用效率和效益。</w:t>
                  </w:r>
                </w:p>
              </w:tc>
              <w:tc>
                <w:tcPr>
                  <w:tcW w:w="962" w:type="pct"/>
                  <w:vAlign w:val="center"/>
                </w:tcPr>
                <w:p w14:paraId="31A07045">
                  <w:pPr>
                    <w:pStyle w:val="1720"/>
                    <w:spacing w:line="280" w:lineRule="exact"/>
                    <w:ind w:firstLine="0" w:firstLineChars="0"/>
                    <w:jc w:val="center"/>
                    <w:rPr>
                      <w:rFonts w:hint="default" w:ascii="Times New Roman" w:hAnsi="Times New Roman" w:cs="Times New Roman"/>
                      <w:bCs/>
                      <w:snapToGrid/>
                      <w:color w:val="auto"/>
                      <w:sz w:val="21"/>
                      <w:szCs w:val="21"/>
                      <w:highlight w:val="none"/>
                    </w:rPr>
                  </w:pPr>
                  <w:r>
                    <w:rPr>
                      <w:rFonts w:hint="default" w:ascii="Times New Roman" w:hAnsi="Times New Roman" w:cs="Times New Roman"/>
                      <w:bCs/>
                      <w:snapToGrid/>
                      <w:color w:val="auto"/>
                      <w:sz w:val="21"/>
                      <w:szCs w:val="21"/>
                      <w:highlight w:val="none"/>
                    </w:rPr>
                    <w:t>1、项目不在地下水禁止开采区、地下水限制开采区；2、</w:t>
                  </w:r>
                  <w:r>
                    <w:rPr>
                      <w:rFonts w:hint="eastAsia" w:ascii="Times New Roman" w:hAnsi="Times New Roman" w:cs="Times New Roman"/>
                      <w:bCs/>
                      <w:snapToGrid/>
                      <w:color w:val="auto"/>
                      <w:sz w:val="21"/>
                      <w:szCs w:val="21"/>
                      <w:highlight w:val="none"/>
                      <w:lang w:val="en-US" w:eastAsia="zh-CN"/>
                    </w:rPr>
                    <w:t>项目不涉及3、</w:t>
                  </w:r>
                  <w:r>
                    <w:rPr>
                      <w:rFonts w:hint="default" w:ascii="Times New Roman" w:hAnsi="Times New Roman" w:cs="Times New Roman"/>
                      <w:bCs/>
                      <w:snapToGrid/>
                      <w:color w:val="auto"/>
                      <w:sz w:val="21"/>
                      <w:szCs w:val="21"/>
                      <w:highlight w:val="none"/>
                    </w:rPr>
                    <w:t>项目不在地下水严重超采地区，</w:t>
                  </w:r>
                  <w:r>
                    <w:rPr>
                      <w:rFonts w:hint="eastAsia"/>
                      <w:color w:val="auto"/>
                      <w:sz w:val="21"/>
                      <w:szCs w:val="21"/>
                      <w:highlight w:val="none"/>
                      <w:lang w:val="en-US" w:eastAsia="zh-CN"/>
                    </w:rPr>
                    <w:t>用水由现有供水管网提供，用水量较小</w:t>
                  </w:r>
                </w:p>
              </w:tc>
              <w:tc>
                <w:tcPr>
                  <w:tcW w:w="276" w:type="pct"/>
                  <w:vAlign w:val="center"/>
                </w:tcPr>
                <w:p w14:paraId="72FFE4F3">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1647B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Merge w:val="continue"/>
                  <w:vAlign w:val="center"/>
                </w:tcPr>
                <w:p w14:paraId="21B9C12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35" w:type="pct"/>
                  <w:vMerge w:val="restart"/>
                  <w:vAlign w:val="center"/>
                </w:tcPr>
                <w:p w14:paraId="6E32CB14">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能源</w:t>
                  </w:r>
                </w:p>
              </w:tc>
              <w:tc>
                <w:tcPr>
                  <w:tcW w:w="418" w:type="pct"/>
                  <w:vAlign w:val="center"/>
                </w:tcPr>
                <w:p w14:paraId="2DA5B20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总量和强度要求</w:t>
                  </w:r>
                </w:p>
              </w:tc>
              <w:tc>
                <w:tcPr>
                  <w:tcW w:w="2632" w:type="pct"/>
                  <w:vAlign w:val="center"/>
                </w:tcPr>
                <w:p w14:paraId="48ABA8CF">
                  <w:pPr>
                    <w:pStyle w:val="1737"/>
                    <w:widowControl w:val="0"/>
                    <w:kinsoku/>
                    <w:autoSpaceDE/>
                    <w:autoSpaceDN/>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到2025年，全市单位地区生产总值能耗、煤炭消费量比2020年分别下降19%和10%；非化石能源占能源消费总量比重达到1.3％左右。</w:t>
                  </w:r>
                </w:p>
              </w:tc>
              <w:tc>
                <w:tcPr>
                  <w:tcW w:w="962" w:type="pct"/>
                  <w:vAlign w:val="center"/>
                </w:tcPr>
                <w:p w14:paraId="7C77E71C">
                  <w:pPr>
                    <w:pStyle w:val="1720"/>
                    <w:spacing w:line="280" w:lineRule="exact"/>
                    <w:ind w:firstLine="0" w:firstLineChars="0"/>
                    <w:jc w:val="center"/>
                    <w:rPr>
                      <w:rFonts w:hint="default" w:ascii="Times New Roman" w:hAnsi="Times New Roman" w:cs="Times New Roman"/>
                      <w:bCs/>
                      <w:snapToGrid/>
                      <w:color w:val="auto"/>
                      <w:sz w:val="21"/>
                      <w:szCs w:val="21"/>
                      <w:highlight w:val="none"/>
                    </w:rPr>
                  </w:pPr>
                  <w:r>
                    <w:rPr>
                      <w:rFonts w:hint="default" w:ascii="Times New Roman" w:hAnsi="Times New Roman" w:cs="Times New Roman"/>
                      <w:color w:val="auto"/>
                      <w:sz w:val="21"/>
                      <w:szCs w:val="21"/>
                      <w:highlight w:val="none"/>
                    </w:rPr>
                    <w:t>不涉及</w:t>
                  </w:r>
                </w:p>
              </w:tc>
              <w:tc>
                <w:tcPr>
                  <w:tcW w:w="276" w:type="pct"/>
                  <w:vAlign w:val="center"/>
                </w:tcPr>
                <w:p w14:paraId="1EEA1C2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p>
              </w:tc>
            </w:tr>
            <w:tr w14:paraId="5498A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Merge w:val="continue"/>
                  <w:vAlign w:val="center"/>
                </w:tcPr>
                <w:p w14:paraId="5991BEDE">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35" w:type="pct"/>
                  <w:vMerge w:val="continue"/>
                  <w:vAlign w:val="center"/>
                </w:tcPr>
                <w:p w14:paraId="4754351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18" w:type="pct"/>
                  <w:vAlign w:val="center"/>
                </w:tcPr>
                <w:p w14:paraId="0486C460">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bookmarkStart w:id="10" w:name="_Toc31915"/>
                  <w:bookmarkStart w:id="11" w:name="_Toc26862"/>
                  <w:bookmarkStart w:id="12" w:name="_Toc15180"/>
                  <w:r>
                    <w:rPr>
                      <w:rFonts w:hint="default" w:ascii="Times New Roman" w:hAnsi="Times New Roman" w:cs="Times New Roman"/>
                      <w:color w:val="auto"/>
                      <w:sz w:val="21"/>
                      <w:szCs w:val="21"/>
                      <w:highlight w:val="none"/>
                    </w:rPr>
                    <w:t>资源利用</w:t>
                  </w:r>
                  <w:bookmarkEnd w:id="10"/>
                  <w:bookmarkEnd w:id="11"/>
                  <w:bookmarkEnd w:id="12"/>
                  <w:r>
                    <w:rPr>
                      <w:rFonts w:hint="default" w:ascii="Times New Roman" w:hAnsi="Times New Roman" w:cs="Times New Roman"/>
                      <w:color w:val="auto"/>
                      <w:sz w:val="21"/>
                      <w:szCs w:val="21"/>
                      <w:highlight w:val="none"/>
                    </w:rPr>
                    <w:t>效率要求</w:t>
                  </w:r>
                </w:p>
              </w:tc>
              <w:tc>
                <w:tcPr>
                  <w:tcW w:w="2632" w:type="pct"/>
                  <w:vAlign w:val="center"/>
                </w:tcPr>
                <w:p w14:paraId="41284FBF">
                  <w:pPr>
                    <w:pStyle w:val="1737"/>
                    <w:widowControl w:val="0"/>
                    <w:kinsoku/>
                    <w:autoSpaceDE/>
                    <w:autoSpaceDN/>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禁燃区内不得新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禁燃区内禁止原煤散烧。</w:t>
                  </w:r>
                </w:p>
                <w:p w14:paraId="4288270E">
                  <w:pPr>
                    <w:pStyle w:val="1737"/>
                    <w:widowControl w:val="0"/>
                    <w:kinsoku/>
                    <w:autoSpaceDE/>
                    <w:autoSpaceDN/>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禁燃区内禁止销售高污染燃料；禁止燃用煤炭及其制品(原料煤和发电、集中供热等具备高效污染治理设施企业用煤除外)；石油焦、油页岩、原油、重油、渣油、煤焦油；非专用锅炉或未配置高效除尘设施的专用锅炉燃用的生物质成型燃料等高污染燃料。</w:t>
                  </w:r>
                </w:p>
                <w:p w14:paraId="7C4F27AA">
                  <w:pPr>
                    <w:pStyle w:val="1737"/>
                    <w:widowControl w:val="0"/>
                    <w:kinsoku/>
                    <w:autoSpaceDE/>
                    <w:autoSpaceDN/>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3、新建项目禁止配套建设自备燃煤电站。除热电联产外，禁止审批新建燃煤发电项目，现有多台燃煤机组装机容量合计达到国家规定要求的，可以按照煤炭等量替代的原则建设为大容量燃煤机组。</w:t>
                  </w:r>
                </w:p>
                <w:p w14:paraId="03B18DF6">
                  <w:pPr>
                    <w:pStyle w:val="1737"/>
                    <w:widowControl w:val="0"/>
                    <w:kinsoku/>
                    <w:autoSpaceDE/>
                    <w:autoSpaceDN/>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4、对以煤、石油焦、渣油、重油等为燃料的工业炉窑，加快使用清洁低碳能源以及利用工厂余热、电厂热力等进行替代，全市禁止掺烧高硫石油焦(硫含量大于3%)。玻璃行业全面禁止掺烧高硫石油焦。</w:t>
                  </w:r>
                </w:p>
                <w:p w14:paraId="4D9FCABE">
                  <w:pPr>
                    <w:pStyle w:val="1737"/>
                    <w:widowControl w:val="0"/>
                    <w:kinsoku/>
                    <w:autoSpaceDE/>
                    <w:autoSpaceDN/>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5、钢铁行业按期完成1000立方米以下高炉、100吨以下转炉升级改造，大力推广高炉富氧喷煤、大球团比等先进冶炼工艺技术，探索推进气基竖炉直接还原炼铁、熔融还原炼铁、富氢燃气炼铁积极推进全废钢电炉工艺，有序实施短流程炼钢改造。焦化行业加快高效精馏系统、高温高压干熄焦等节能技术推广应用。推动工业窑炉、油机、压缩机等重点用能设备进行系统节能改造。</w:t>
                  </w:r>
                </w:p>
              </w:tc>
              <w:tc>
                <w:tcPr>
                  <w:tcW w:w="962" w:type="pct"/>
                  <w:vAlign w:val="center"/>
                </w:tcPr>
                <w:p w14:paraId="0631B398">
                  <w:pPr>
                    <w:pStyle w:val="1720"/>
                    <w:spacing w:line="280" w:lineRule="exact"/>
                    <w:ind w:firstLine="0" w:firstLineChars="0"/>
                    <w:jc w:val="center"/>
                    <w:rPr>
                      <w:rFonts w:hint="default" w:ascii="Times New Roman" w:hAnsi="Times New Roman" w:cs="Times New Roman"/>
                      <w:bCs/>
                      <w:snapToGrid/>
                      <w:color w:val="auto"/>
                      <w:sz w:val="21"/>
                      <w:szCs w:val="21"/>
                      <w:highlight w:val="none"/>
                    </w:rPr>
                  </w:pPr>
                  <w:r>
                    <w:rPr>
                      <w:rFonts w:hint="default" w:ascii="Times New Roman" w:hAnsi="Times New Roman" w:cs="Times New Roman"/>
                      <w:bCs/>
                      <w:snapToGrid/>
                      <w:color w:val="auto"/>
                      <w:sz w:val="21"/>
                      <w:szCs w:val="21"/>
                      <w:highlight w:val="none"/>
                    </w:rPr>
                    <w:t>1、项目不涉及；2、项目不涉及；3、项目不涉及；4、项目不涉及；5、项目不涉及</w:t>
                  </w:r>
                </w:p>
              </w:tc>
              <w:tc>
                <w:tcPr>
                  <w:tcW w:w="276" w:type="pct"/>
                  <w:vAlign w:val="center"/>
                </w:tcPr>
                <w:p w14:paraId="3BC3762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076C4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Merge w:val="continue"/>
                  <w:vAlign w:val="center"/>
                </w:tcPr>
                <w:p w14:paraId="00881879">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35" w:type="pct"/>
                  <w:vAlign w:val="center"/>
                </w:tcPr>
                <w:p w14:paraId="001F94D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岸线资源</w:t>
                  </w:r>
                </w:p>
              </w:tc>
              <w:tc>
                <w:tcPr>
                  <w:tcW w:w="418" w:type="pct"/>
                  <w:vAlign w:val="center"/>
                </w:tcPr>
                <w:p w14:paraId="569E403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bookmarkStart w:id="13" w:name="_Toc5525"/>
                  <w:bookmarkStart w:id="14" w:name="_Toc6333"/>
                  <w:bookmarkStart w:id="15" w:name="_Toc10715"/>
                  <w:r>
                    <w:rPr>
                      <w:rFonts w:hint="default" w:ascii="Times New Roman" w:hAnsi="Times New Roman" w:cs="Times New Roman"/>
                      <w:color w:val="auto"/>
                      <w:sz w:val="21"/>
                      <w:szCs w:val="21"/>
                      <w:highlight w:val="none"/>
                    </w:rPr>
                    <w:t>资源利用</w:t>
                  </w:r>
                  <w:bookmarkEnd w:id="13"/>
                  <w:bookmarkEnd w:id="14"/>
                  <w:bookmarkEnd w:id="15"/>
                  <w:r>
                    <w:rPr>
                      <w:rFonts w:hint="default" w:ascii="Times New Roman" w:hAnsi="Times New Roman" w:cs="Times New Roman"/>
                      <w:color w:val="auto"/>
                      <w:sz w:val="21"/>
                      <w:szCs w:val="21"/>
                      <w:highlight w:val="none"/>
                    </w:rPr>
                    <w:t>效率要求</w:t>
                  </w:r>
                </w:p>
              </w:tc>
              <w:tc>
                <w:tcPr>
                  <w:tcW w:w="2632" w:type="pct"/>
                  <w:vAlign w:val="center"/>
                </w:tcPr>
                <w:p w14:paraId="10118AB4">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1、除国防安全需要外，禁止在严格保护岸线的保护范围内构建永久性建筑物、围填海、开采海砂、设置排污口等损害海岸地形地貌和生态环境的活动。</w:t>
                  </w:r>
                </w:p>
                <w:p w14:paraId="0C02E2E0">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2、限制开发岸线严格控制改变海岸自然形态和影响海岸生态功能的开发利用活动，预留未来发展空间，严格海域使用审批。</w:t>
                  </w:r>
                </w:p>
                <w:p w14:paraId="65C669CA">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3、优化利用岸线应集中布局确需占用海岸线的建设项目，严格控制占用岸线长度，提高投资强度和利用效率，优化海岸线开发利用格局。</w:t>
                  </w:r>
                </w:p>
                <w:p w14:paraId="07D54FFD">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严格限制建设项目占用自然岸线，确需占用自然岸线的建设项目应严格进行论证和审批。海域使用论证报告应明确提出占用自然岸线的必要性与合理性结论。不能满足自然岸线保有率管控目标和要求的建设项目用海不予批准。</w:t>
                  </w:r>
                </w:p>
              </w:tc>
              <w:tc>
                <w:tcPr>
                  <w:tcW w:w="962" w:type="pct"/>
                  <w:vAlign w:val="center"/>
                </w:tcPr>
                <w:p w14:paraId="1D6A5C14">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项目不涉及岸线资源</w:t>
                  </w:r>
                </w:p>
              </w:tc>
              <w:tc>
                <w:tcPr>
                  <w:tcW w:w="276" w:type="pct"/>
                  <w:vAlign w:val="center"/>
                </w:tcPr>
                <w:p w14:paraId="145B2377">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47E02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Merge w:val="continue"/>
                  <w:vAlign w:val="center"/>
                </w:tcPr>
                <w:p w14:paraId="6028052A">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p>
              </w:tc>
              <w:tc>
                <w:tcPr>
                  <w:tcW w:w="435" w:type="pct"/>
                  <w:vAlign w:val="center"/>
                </w:tcPr>
                <w:p w14:paraId="7A5B0215">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土地资源</w:t>
                  </w:r>
                </w:p>
              </w:tc>
              <w:tc>
                <w:tcPr>
                  <w:tcW w:w="418" w:type="pct"/>
                  <w:vAlign w:val="center"/>
                </w:tcPr>
                <w:p w14:paraId="106BDA11">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资源利用效率要求</w:t>
                  </w:r>
                </w:p>
              </w:tc>
              <w:tc>
                <w:tcPr>
                  <w:tcW w:w="2632" w:type="pct"/>
                  <w:vAlign w:val="center"/>
                </w:tcPr>
                <w:p w14:paraId="14996A29">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1、不得擅自突破城镇建设用地规模和城镇开发边界扩展倍数，严禁违反法律和规划开展用地用海审批。</w:t>
                  </w:r>
                </w:p>
                <w:p w14:paraId="5C8A7245">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2、城镇开发边界外不得进行城镇集中建设，不得规划建设各类开发区和产业园区，不得规划城镇居住用地。</w:t>
                  </w:r>
                </w:p>
              </w:tc>
              <w:tc>
                <w:tcPr>
                  <w:tcW w:w="962" w:type="pct"/>
                  <w:vAlign w:val="center"/>
                </w:tcPr>
                <w:p w14:paraId="464EB6EE">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eastAsia" w:asciiTheme="minorEastAsia" w:hAnsiTheme="minorEastAsia" w:eastAsiaTheme="minorEastAsia" w:cstheme="minorEastAsia"/>
                      <w:color w:val="auto"/>
                      <w:kern w:val="0"/>
                      <w:sz w:val="21"/>
                      <w:szCs w:val="21"/>
                      <w:highlight w:val="none"/>
                    </w:rPr>
                    <w:t>项目位于河北迁安经济开发区，公司现有厂区内，根据开发区用地规划图，项目占地类型为三类工业用地，符合用地规划要求</w:t>
                  </w:r>
                  <w:r>
                    <w:rPr>
                      <w:rFonts w:hint="default"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eastAsia="zh-CN"/>
                    </w:rPr>
                    <w:t>不突破城镇建设用地规模和城镇开发边界</w:t>
                  </w:r>
                </w:p>
              </w:tc>
              <w:tc>
                <w:tcPr>
                  <w:tcW w:w="276" w:type="pct"/>
                  <w:vAlign w:val="center"/>
                </w:tcPr>
                <w:p w14:paraId="54CC9796">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bl>
          <w:p w14:paraId="7D70ADF6">
            <w:pPr>
              <w:ind w:firstLine="422"/>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表1-</w:t>
            </w:r>
            <w:r>
              <w:rPr>
                <w:rFonts w:hint="eastAsia" w:cs="Times New Roman"/>
                <w:b/>
                <w:color w:val="auto"/>
                <w:sz w:val="21"/>
                <w:szCs w:val="21"/>
                <w:highlight w:val="none"/>
                <w:lang w:val="en-US" w:eastAsia="zh-CN"/>
              </w:rPr>
              <w:t>13</w:t>
            </w:r>
            <w:r>
              <w:rPr>
                <w:rFonts w:hint="default" w:ascii="Times New Roman" w:hAnsi="Times New Roman" w:cs="Times New Roman"/>
                <w:b/>
                <w:color w:val="auto"/>
                <w:sz w:val="21"/>
                <w:szCs w:val="21"/>
                <w:highlight w:val="none"/>
              </w:rPr>
              <w:t xml:space="preserve">  </w:t>
            </w:r>
            <w:r>
              <w:rPr>
                <w:rFonts w:hint="eastAsia" w:cs="Times New Roman"/>
                <w:b/>
                <w:color w:val="auto"/>
                <w:sz w:val="21"/>
                <w:szCs w:val="21"/>
                <w:highlight w:val="none"/>
                <w:lang w:val="en-US" w:eastAsia="zh-CN"/>
              </w:rPr>
              <w:t xml:space="preserve"> </w:t>
            </w:r>
            <w:r>
              <w:rPr>
                <w:rFonts w:hint="default" w:ascii="Times New Roman" w:hAnsi="Times New Roman" w:cs="Times New Roman"/>
                <w:b/>
                <w:color w:val="auto"/>
                <w:sz w:val="21"/>
                <w:szCs w:val="21"/>
                <w:highlight w:val="none"/>
              </w:rPr>
              <w:t xml:space="preserve"> 项目与全市产业总体管控要求符合性分析</w:t>
            </w:r>
          </w:p>
          <w:tbl>
            <w:tblPr>
              <w:tblStyle w:val="8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6"/>
              <w:gridCol w:w="613"/>
              <w:gridCol w:w="4951"/>
              <w:gridCol w:w="1168"/>
              <w:gridCol w:w="382"/>
            </w:tblGrid>
            <w:tr w14:paraId="162F4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276" w:type="pct"/>
                  <w:vAlign w:val="center"/>
                </w:tcPr>
                <w:p w14:paraId="66CEC21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要素属性</w:t>
                  </w:r>
                </w:p>
              </w:tc>
              <w:tc>
                <w:tcPr>
                  <w:tcW w:w="407" w:type="pct"/>
                  <w:vAlign w:val="center"/>
                </w:tcPr>
                <w:p w14:paraId="24F97CDF">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管控类别</w:t>
                  </w:r>
                </w:p>
              </w:tc>
              <w:tc>
                <w:tcPr>
                  <w:tcW w:w="3285" w:type="pct"/>
                  <w:vAlign w:val="center"/>
                </w:tcPr>
                <w:p w14:paraId="1238428B">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管控要求</w:t>
                  </w:r>
                </w:p>
              </w:tc>
              <w:tc>
                <w:tcPr>
                  <w:tcW w:w="775" w:type="pct"/>
                  <w:vAlign w:val="center"/>
                </w:tcPr>
                <w:p w14:paraId="135D8592">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lang w:val="zh-TW"/>
                    </w:rPr>
                  </w:pPr>
                  <w:r>
                    <w:rPr>
                      <w:rFonts w:hint="default" w:ascii="Times New Roman" w:hAnsi="Times New Roman" w:cs="Times New Roman"/>
                      <w:color w:val="auto"/>
                      <w:sz w:val="21"/>
                      <w:szCs w:val="21"/>
                      <w:highlight w:val="none"/>
                    </w:rPr>
                    <w:t>项目情况</w:t>
                  </w:r>
                </w:p>
              </w:tc>
              <w:tc>
                <w:tcPr>
                  <w:tcW w:w="253" w:type="pct"/>
                  <w:vAlign w:val="center"/>
                </w:tcPr>
                <w:p w14:paraId="05D9F8ED">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4BDE7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6" w:type="pct"/>
                  <w:vAlign w:val="center"/>
                </w:tcPr>
                <w:p w14:paraId="2F155733">
                  <w:pPr>
                    <w:pStyle w:val="135"/>
                    <w:tabs>
                      <w:tab w:val="center" w:pos="4153"/>
                      <w:tab w:val="right" w:pos="8306"/>
                    </w:tabs>
                    <w:adjustRightInd/>
                    <w:snapToGrid/>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产业总体布局要求</w:t>
                  </w:r>
                </w:p>
              </w:tc>
              <w:tc>
                <w:tcPr>
                  <w:tcW w:w="407" w:type="pct"/>
                  <w:vAlign w:val="center"/>
                </w:tcPr>
                <w:p w14:paraId="60BEFBB1">
                  <w:pPr>
                    <w:pStyle w:val="135"/>
                    <w:tabs>
                      <w:tab w:val="center" w:pos="4153"/>
                      <w:tab w:val="right" w:pos="8306"/>
                    </w:tabs>
                    <w:adjustRightInd/>
                    <w:snapToGrid/>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空间布局约束</w:t>
                  </w:r>
                </w:p>
              </w:tc>
              <w:tc>
                <w:tcPr>
                  <w:tcW w:w="3285" w:type="pct"/>
                  <w:vAlign w:val="center"/>
                </w:tcPr>
                <w:p w14:paraId="19CAB009">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1、严格执行《产业结构调整指导目录》《市场准入负面清单》《河北省禁止投资的产业目录》相关要求。</w:t>
                  </w:r>
                </w:p>
                <w:p w14:paraId="0FD010FB">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2、严格执行国家产业政策和准入标准，实行生态环境准入清单制度，禁止新建、扩建高污染项目，严格控制高耗能、高排放项目准入。新建、改建和扩建项目按照相关规定实行减量置换或者等量置换。</w:t>
                  </w:r>
                </w:p>
                <w:p w14:paraId="3C281A24">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3、禁止投资钢铁冶炼、水泥、电解铝、平板玻璃等产能严重过剩行业和炼焦、有色、电石、铁合金等新增产能项目。</w:t>
                  </w:r>
                </w:p>
                <w:p w14:paraId="697FB051">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4、上一年度环境空气质量年平均浓度不达标的城市、水环境质量未达到要求的市县，相关污染物应按照建设项目所需替代的主要污染物排放总量指标的2倍进行削减替代(燃煤发电机组大气污染物排放浓度基本达到燃气轮机组排放限值的除外)。</w:t>
                  </w:r>
                </w:p>
                <w:p w14:paraId="629BFA13">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5、以水泥、平板玻璃、焦化、化工、制药等行业为重点，加快城市建成区重污染企业搬迁改造或关闭退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p w14:paraId="14D5A543">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6、在优先保护类耕地集中区域严格控制新建有色金属冶炼、石油加工、化工、焦化、电镀、制革、铅蓄电池等行业企业，防止对耕地造成污染。</w:t>
                  </w:r>
                </w:p>
                <w:p w14:paraId="6331C691">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7、新建、改建、扩建“两高”项目须符合生态环境保护法律法规和相关法定规划，满足重点污染物排放总量控制、碳排放达峰目标、生态环境准入清单、相关规划环评和相应行业建设项目环境准入条件、环评文件审批原则要求。</w:t>
                  </w:r>
                </w:p>
                <w:p w14:paraId="079B909B">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8、鼓励钢铁冶炼项目建设依托具备条件的现有钢铁冶炼生产厂区集聚发展，在现有厂区建设钢铁冶炼项目没有粗钢产能建设规模限制要求。对确有必要新选址(指不能与现有生产厂区共用公辅设施，下同)建设的钢铁冶炼项目粗钢产能规模要求如下：沿海地区(指拥有海岸线的设区市)不低于2000万吨/年(允许分两期建设，5年内全部建成，一期不低于1000万吨/年)。</w:t>
                  </w:r>
                </w:p>
                <w:p w14:paraId="76073B4F">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9、严格规范危化品管理，逐步退出人口聚集区内危化品的生产、储存、加工机构，加快实施重污染企业搬迁；加强居住区生态环境防护，建设封闭式石化园区，严格控制危化品仓储基地、运输路径等，减少对居民生活影响。</w:t>
                  </w:r>
                </w:p>
                <w:p w14:paraId="0E7B3DF6">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10、严格控制尿素、磷铵、电石、烧碱、聚氯乙烯、纯碱、黄磷等过剩行业新增产能，相关部门和机构不得违规办理土地(海域)供应、能评、环评和新增授信等业务，对符合政策要求的先进工艺改造提升项目应实行等量或减量置换。有序推进曹妃甸石化产业基地建设。未纳入《石化产业规划布局方案》的新建炼化项目一律不得建设。强化安全卫生防护距离和规划环评约束，不符合要求的化工园区、化工品储存项目要关闭退出，危险化学品生产企业搬迁改造及新建化工项目必须进入规范化工园区。</w:t>
                  </w:r>
                </w:p>
                <w:p w14:paraId="2904CE60">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11、逐步淘汰180平方米以下烧结机，逐步淘汰平面步进式烧结机，按照有关规定改造升级为大型带式烧结机；禁止新建球团竖炉，现有球团竖炉炉役到期不得大修，加快推动以链篦机-回转窑或带式焙烧机工艺取代球团竖炉工艺，鼓励企业之间通过合资合作方式建设大型链篦机-回转窑、带式焙烧机；加快推动以密闭皮带机取代汽车转运厂内大宗物料。</w:t>
                  </w:r>
                </w:p>
                <w:p w14:paraId="386E01B5">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12、技术装备全面升级，高炉逐步达到1000立方米及以上、转炉逐步达到100吨及以上、烧结机逐步达到180平方米烧结机及以上。严格按照国家规定的产能减量置换政策实施改造升级，坚决杜绝借改造升级之机变相扩大生产能力；推广“一罐到底”工艺或采用鱼雷罐车运输铁水。</w:t>
                  </w:r>
                </w:p>
                <w:p w14:paraId="6F444582">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13、尚未配备脱硫装置的球团竖炉，立即停产淘汰，不再予以改造；烧结厂房实现全封闭。</w:t>
                  </w:r>
                </w:p>
                <w:p w14:paraId="292B7461">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14、严禁备案和新建扩大产能的水泥熟料、平板玻璃项目。确有必要新建的，必须制定产能置换方案，实施产能置换。用于产能置换的生产线，必须在建设项目投产前关停并完成拆除退出。</w:t>
                  </w:r>
                </w:p>
                <w:p w14:paraId="031C734D">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15、引导和支持优势水泥熟料企业开展对单独粉磨企业的整合。</w:t>
                  </w:r>
                </w:p>
                <w:p w14:paraId="757FFE14">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16、平板玻璃行业生产布局应满足《平板玻璃行业规范条件》要求。</w:t>
                  </w:r>
                </w:p>
                <w:p w14:paraId="4A432C72">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17、严格控制矿产资源开采总量，重点压减与煤炭、水泥、玻璃等过剩产能行业配套的矿产资源开采总量。停止新批石膏矿项目、平原区煤炭开发项目。暂停新增生产能力的产能过剩矿产开发项目审批，已有矿山暂停扩大矿区范围审批。暂停新上露天矿产开发项目审批，已有</w:t>
                  </w:r>
                  <w:bookmarkStart w:id="16" w:name="OLE_LINK5"/>
                  <w:r>
                    <w:rPr>
                      <w:rFonts w:hint="default" w:ascii="Times New Roman" w:hAnsi="Times New Roman" w:cs="Times New Roman"/>
                      <w:color w:val="auto"/>
                      <w:sz w:val="21"/>
                      <w:szCs w:val="21"/>
                      <w:highlight w:val="none"/>
                      <w:lang w:eastAsia="zh-CN"/>
                    </w:rPr>
                    <w:t>露天矿山暂停扩大矿区范围审</w:t>
                  </w:r>
                  <w:bookmarkEnd w:id="16"/>
                  <w:r>
                    <w:rPr>
                      <w:rFonts w:hint="default" w:ascii="Times New Roman" w:hAnsi="Times New Roman" w:cs="Times New Roman"/>
                      <w:color w:val="auto"/>
                      <w:sz w:val="21"/>
                      <w:szCs w:val="21"/>
                      <w:highlight w:val="none"/>
                      <w:lang w:eastAsia="zh-CN"/>
                    </w:rPr>
                    <w:t>批。暂停新上达不到工业品位的铁矿开发项目审批。做好矿区开发生态环境影响评估论证，论证不通过，一律禁止开发。</w:t>
                  </w:r>
                </w:p>
                <w:p w14:paraId="0E0CE077">
                  <w:pPr>
                    <w:pStyle w:val="1737"/>
                    <w:widowControl w:val="0"/>
                    <w:kinsoku/>
                    <w:autoSpaceDE/>
                    <w:autoSpaceDN/>
                    <w:adjustRightInd/>
                    <w:snapToGrid/>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18、实施矿山关闭和停批。依法关闭严重破坏生态环境和严重浪费水资源的矿山；依法关闭列入煤炭去产能计划的煤矿；依法关闭限期整改仍达不到生态环境保护要求和环保、安全标准的矿山；依法关闭现有石膏矿和严重污染环境的石灰窑、小建材加工点。</w:t>
                  </w:r>
                </w:p>
              </w:tc>
              <w:tc>
                <w:tcPr>
                  <w:tcW w:w="775" w:type="pct"/>
                  <w:vAlign w:val="center"/>
                </w:tcPr>
                <w:p w14:paraId="1F0C00E9">
                  <w:pPr>
                    <w:pStyle w:val="1720"/>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eastAsia" w:asciiTheme="minorEastAsia" w:hAnsiTheme="minorEastAsia" w:eastAsiaTheme="minorEastAsia" w:cstheme="minorEastAsia"/>
                      <w:color w:val="auto"/>
                      <w:kern w:val="0"/>
                      <w:sz w:val="21"/>
                      <w:szCs w:val="21"/>
                      <w:highlight w:val="none"/>
                    </w:rPr>
                    <w:t>对照《产业结构调整指导目录(2024年本)》，项目属于</w:t>
                  </w:r>
                  <w:r>
                    <w:rPr>
                      <w:rFonts w:hint="eastAsia" w:asciiTheme="minorEastAsia" w:hAnsiTheme="minorEastAsia" w:eastAsiaTheme="minorEastAsia" w:cstheme="minorEastAsia"/>
                      <w:color w:val="auto"/>
                      <w:kern w:val="0"/>
                      <w:sz w:val="21"/>
                      <w:szCs w:val="21"/>
                      <w:highlight w:val="none"/>
                      <w:lang w:val="en-US" w:eastAsia="zh-CN"/>
                    </w:rPr>
                    <w:t>鼓励类</w:t>
                  </w:r>
                  <w:r>
                    <w:rPr>
                      <w:rFonts w:hint="default" w:ascii="Times New Roman" w:hAnsi="Times New Roman" w:cs="Times New Roman"/>
                      <w:color w:val="auto"/>
                      <w:sz w:val="21"/>
                      <w:szCs w:val="21"/>
                      <w:highlight w:val="none"/>
                    </w:rPr>
                    <w:t>；2、项目严格执行国家产业政策和准入标准，实行生态环境准入清单制度，项目不属于高污染、高耗能、高排放项目；3、项目不涉及；4、本项目不属于重点行业；5、项目不涉及；6、项目不在优先保护类耕地集中区域；7、项目不属于“两高”项目；8、项目不涉及；9、项目不涉及；10、项目不涉及；11、项目不涉及；12、项目不涉及；13、项目不涉及；14、项目不涉及；15、项目不涉及；16、项目不涉及；17、项目不涉及；18、项目不涉及。</w:t>
                  </w:r>
                </w:p>
              </w:tc>
              <w:tc>
                <w:tcPr>
                  <w:tcW w:w="253" w:type="pct"/>
                  <w:vAlign w:val="center"/>
                </w:tcPr>
                <w:p w14:paraId="2A8BAFA8">
                  <w:pPr>
                    <w:pStyle w:val="135"/>
                    <w:tabs>
                      <w:tab w:val="center" w:pos="4153"/>
                      <w:tab w:val="right" w:pos="8306"/>
                    </w:tabs>
                    <w:spacing w:before="24" w:after="24"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bl>
          <w:p w14:paraId="31AE60A1">
            <w:pPr>
              <w:ind w:firstLine="0" w:firstLineChars="0"/>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表1-</w:t>
            </w:r>
            <w:r>
              <w:rPr>
                <w:rFonts w:hint="eastAsia" w:cs="Times New Roman"/>
                <w:b/>
                <w:color w:val="auto"/>
                <w:sz w:val="21"/>
                <w:szCs w:val="21"/>
                <w:highlight w:val="none"/>
                <w:lang w:val="en-US" w:eastAsia="zh-CN"/>
              </w:rPr>
              <w:t>14</w:t>
            </w:r>
            <w:r>
              <w:rPr>
                <w:rFonts w:hint="default" w:ascii="Times New Roman" w:hAnsi="Times New Roman" w:cs="Times New Roman"/>
                <w:b/>
                <w:color w:val="auto"/>
                <w:sz w:val="21"/>
                <w:szCs w:val="21"/>
                <w:highlight w:val="none"/>
              </w:rPr>
              <w:t xml:space="preserve">    唐山市生态环境准入清单—陆域环境管控单元生态环境准入清单-迁安市</w:t>
            </w:r>
          </w:p>
          <w:tbl>
            <w:tblPr>
              <w:tblStyle w:val="84"/>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4"/>
              <w:gridCol w:w="384"/>
              <w:gridCol w:w="833"/>
              <w:gridCol w:w="538"/>
              <w:gridCol w:w="833"/>
              <w:gridCol w:w="582"/>
              <w:gridCol w:w="1975"/>
              <w:gridCol w:w="1400"/>
              <w:gridCol w:w="426"/>
            </w:tblGrid>
            <w:tr w14:paraId="3B559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 w:type="pct"/>
                  <w:tcMar>
                    <w:left w:w="28" w:type="dxa"/>
                    <w:right w:w="28" w:type="dxa"/>
                  </w:tcMar>
                  <w:vAlign w:val="center"/>
                </w:tcPr>
                <w:p w14:paraId="09BDD9A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kern w:val="0"/>
                      <w:sz w:val="18"/>
                      <w:szCs w:val="18"/>
                      <w:highlight w:val="none"/>
                    </w:rPr>
                    <w:t>编号</w:t>
                  </w:r>
                </w:p>
              </w:tc>
              <w:tc>
                <w:tcPr>
                  <w:tcW w:w="255" w:type="pct"/>
                  <w:tcMar>
                    <w:left w:w="28" w:type="dxa"/>
                    <w:right w:w="28" w:type="dxa"/>
                  </w:tcMar>
                  <w:vAlign w:val="center"/>
                </w:tcPr>
                <w:p w14:paraId="5353BB5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kern w:val="0"/>
                      <w:sz w:val="18"/>
                      <w:szCs w:val="18"/>
                      <w:highlight w:val="none"/>
                    </w:rPr>
                    <w:t>区县</w:t>
                  </w:r>
                </w:p>
              </w:tc>
              <w:tc>
                <w:tcPr>
                  <w:tcW w:w="553" w:type="pct"/>
                  <w:tcMar>
                    <w:left w:w="28" w:type="dxa"/>
                    <w:right w:w="28" w:type="dxa"/>
                  </w:tcMar>
                  <w:vAlign w:val="center"/>
                </w:tcPr>
                <w:p w14:paraId="4E4743C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kern w:val="0"/>
                      <w:sz w:val="18"/>
                      <w:szCs w:val="18"/>
                      <w:highlight w:val="none"/>
                    </w:rPr>
                    <w:t>乡镇</w:t>
                  </w:r>
                </w:p>
              </w:tc>
              <w:tc>
                <w:tcPr>
                  <w:tcW w:w="357" w:type="pct"/>
                  <w:tcMar>
                    <w:left w:w="28" w:type="dxa"/>
                    <w:right w:w="28" w:type="dxa"/>
                  </w:tcMar>
                  <w:vAlign w:val="center"/>
                </w:tcPr>
                <w:p w14:paraId="1F014D6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kern w:val="0"/>
                      <w:sz w:val="18"/>
                      <w:szCs w:val="18"/>
                      <w:highlight w:val="none"/>
                    </w:rPr>
                    <w:t>单元类别</w:t>
                  </w:r>
                </w:p>
              </w:tc>
              <w:tc>
                <w:tcPr>
                  <w:tcW w:w="553" w:type="pct"/>
                  <w:tcMar>
                    <w:left w:w="28" w:type="dxa"/>
                    <w:right w:w="28" w:type="dxa"/>
                  </w:tcMar>
                  <w:vAlign w:val="center"/>
                </w:tcPr>
                <w:p w14:paraId="1003C6F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kern w:val="0"/>
                      <w:sz w:val="18"/>
                      <w:szCs w:val="18"/>
                      <w:highlight w:val="none"/>
                    </w:rPr>
                    <w:t>环境要素类别</w:t>
                  </w:r>
                </w:p>
              </w:tc>
              <w:tc>
                <w:tcPr>
                  <w:tcW w:w="386" w:type="pct"/>
                  <w:tcMar>
                    <w:left w:w="28" w:type="dxa"/>
                    <w:right w:w="28" w:type="dxa"/>
                  </w:tcMar>
                  <w:vAlign w:val="center"/>
                </w:tcPr>
                <w:p w14:paraId="7BF46A9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kern w:val="0"/>
                      <w:sz w:val="18"/>
                      <w:szCs w:val="18"/>
                      <w:highlight w:val="none"/>
                    </w:rPr>
                    <w:t>维度</w:t>
                  </w:r>
                </w:p>
              </w:tc>
              <w:tc>
                <w:tcPr>
                  <w:tcW w:w="1311" w:type="pct"/>
                  <w:tcMar>
                    <w:left w:w="28" w:type="dxa"/>
                    <w:right w:w="28" w:type="dxa"/>
                  </w:tcMar>
                  <w:vAlign w:val="center"/>
                </w:tcPr>
                <w:p w14:paraId="6AAAD90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kern w:val="0"/>
                      <w:sz w:val="18"/>
                      <w:szCs w:val="18"/>
                      <w:highlight w:val="none"/>
                    </w:rPr>
                    <w:t>管控措施</w:t>
                  </w:r>
                </w:p>
              </w:tc>
              <w:tc>
                <w:tcPr>
                  <w:tcW w:w="929" w:type="pct"/>
                  <w:vAlign w:val="center"/>
                </w:tcPr>
                <w:p w14:paraId="3755EDFD">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jc w:val="both"/>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项目情况</w:t>
                  </w:r>
                </w:p>
              </w:tc>
              <w:tc>
                <w:tcPr>
                  <w:tcW w:w="283" w:type="pct"/>
                  <w:vAlign w:val="center"/>
                </w:tcPr>
                <w:p w14:paraId="7697DF1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jc w:val="both"/>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符合性</w:t>
                  </w:r>
                </w:p>
              </w:tc>
            </w:tr>
            <w:tr w14:paraId="36AFD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368" w:type="pct"/>
                  <w:vMerge w:val="restart"/>
                  <w:tcMar>
                    <w:left w:w="28" w:type="dxa"/>
                    <w:right w:w="28" w:type="dxa"/>
                  </w:tcMar>
                  <w:vAlign w:val="center"/>
                </w:tcPr>
                <w:p w14:paraId="5ED1724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eastAsia="宋体" w:cs="Times New Roman"/>
                      <w:snapToGrid w:val="0"/>
                      <w:color w:val="auto"/>
                      <w:kern w:val="0"/>
                      <w:sz w:val="18"/>
                      <w:szCs w:val="18"/>
                      <w:highlight w:val="none"/>
                      <w:lang w:val="en-US"/>
                    </w:rPr>
                  </w:pPr>
                  <w:r>
                    <w:rPr>
                      <w:rFonts w:hint="default" w:ascii="Times New Roman" w:hAnsi="Times New Roman" w:eastAsia="宋体" w:cs="Times New Roman"/>
                      <w:snapToGrid w:val="0"/>
                      <w:color w:val="auto"/>
                      <w:kern w:val="0"/>
                      <w:sz w:val="18"/>
                      <w:szCs w:val="18"/>
                      <w:highlight w:val="none"/>
                      <w:lang w:val="en-US" w:eastAsia="zh-CN"/>
                    </w:rPr>
                    <w:t>ZH130283200</w:t>
                  </w:r>
                  <w:r>
                    <w:rPr>
                      <w:rFonts w:hint="eastAsia" w:cs="Times New Roman"/>
                      <w:snapToGrid w:val="0"/>
                      <w:color w:val="auto"/>
                      <w:kern w:val="0"/>
                      <w:sz w:val="18"/>
                      <w:szCs w:val="18"/>
                      <w:highlight w:val="none"/>
                      <w:lang w:val="en-US" w:eastAsia="zh-CN"/>
                    </w:rPr>
                    <w:t>09</w:t>
                  </w:r>
                </w:p>
              </w:tc>
              <w:tc>
                <w:tcPr>
                  <w:tcW w:w="255" w:type="pct"/>
                  <w:vMerge w:val="restart"/>
                  <w:tcMar>
                    <w:left w:w="28" w:type="dxa"/>
                    <w:right w:w="28" w:type="dxa"/>
                  </w:tcMar>
                  <w:vAlign w:val="center"/>
                </w:tcPr>
                <w:p w14:paraId="241B218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eastAsia="宋体" w:cs="Times New Roman"/>
                      <w:snapToGrid w:val="0"/>
                      <w:color w:val="auto"/>
                      <w:kern w:val="0"/>
                      <w:sz w:val="18"/>
                      <w:szCs w:val="18"/>
                      <w:highlight w:val="none"/>
                    </w:rPr>
                  </w:pPr>
                  <w:r>
                    <w:rPr>
                      <w:rFonts w:hint="default" w:ascii="Times New Roman" w:hAnsi="Times New Roman" w:eastAsia="宋体" w:cs="Times New Roman"/>
                      <w:snapToGrid w:val="0"/>
                      <w:color w:val="auto"/>
                      <w:kern w:val="0"/>
                      <w:sz w:val="18"/>
                      <w:szCs w:val="18"/>
                      <w:highlight w:val="none"/>
                    </w:rPr>
                    <w:t>迁安市</w:t>
                  </w:r>
                </w:p>
              </w:tc>
              <w:tc>
                <w:tcPr>
                  <w:tcW w:w="553" w:type="pct"/>
                  <w:vMerge w:val="restart"/>
                  <w:tcMar>
                    <w:left w:w="28" w:type="dxa"/>
                    <w:right w:w="28" w:type="dxa"/>
                  </w:tcMar>
                  <w:vAlign w:val="center"/>
                </w:tcPr>
                <w:p w14:paraId="3FE145C7">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default" w:ascii="Times New Roman" w:hAnsi="Times New Roman" w:eastAsia="宋体" w:cs="Times New Roman"/>
                      <w:snapToGrid w:val="0"/>
                      <w:color w:val="auto"/>
                      <w:kern w:val="0"/>
                      <w:sz w:val="18"/>
                      <w:szCs w:val="18"/>
                      <w:highlight w:val="none"/>
                    </w:rPr>
                  </w:pPr>
                  <w:r>
                    <w:rPr>
                      <w:rFonts w:hint="eastAsia" w:ascii="宋体" w:hAnsi="宋体" w:eastAsia="宋体" w:cs="宋体"/>
                      <w:color w:val="auto"/>
                      <w:kern w:val="0"/>
                      <w:sz w:val="18"/>
                      <w:szCs w:val="18"/>
                      <w:highlight w:val="none"/>
                      <w:lang w:val="en-US" w:eastAsia="zh-CN" w:bidi="ar"/>
                    </w:rPr>
                    <w:t>滨河街道、木厂口镇、杨店子街道、赵店子镇</w:t>
                  </w:r>
                </w:p>
              </w:tc>
              <w:tc>
                <w:tcPr>
                  <w:tcW w:w="357" w:type="pct"/>
                  <w:vMerge w:val="restart"/>
                  <w:tcMar>
                    <w:left w:w="28" w:type="dxa"/>
                    <w:right w:w="28" w:type="dxa"/>
                  </w:tcMar>
                  <w:vAlign w:val="center"/>
                </w:tcPr>
                <w:p w14:paraId="403EBD0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eastAsia="宋体" w:cs="Times New Roman"/>
                      <w:snapToGrid w:val="0"/>
                      <w:color w:val="auto"/>
                      <w:kern w:val="0"/>
                      <w:sz w:val="18"/>
                      <w:szCs w:val="18"/>
                      <w:highlight w:val="none"/>
                    </w:rPr>
                  </w:pPr>
                  <w:r>
                    <w:rPr>
                      <w:rFonts w:hint="default" w:ascii="Times New Roman" w:hAnsi="Times New Roman" w:eastAsia="宋体" w:cs="Times New Roman"/>
                      <w:snapToGrid w:val="0"/>
                      <w:color w:val="auto"/>
                      <w:kern w:val="0"/>
                      <w:sz w:val="18"/>
                      <w:szCs w:val="18"/>
                      <w:highlight w:val="none"/>
                      <w:lang w:val="en-US" w:eastAsia="zh-CN"/>
                    </w:rPr>
                    <w:t>重点</w:t>
                  </w:r>
                  <w:r>
                    <w:rPr>
                      <w:rFonts w:hint="default" w:ascii="Times New Roman" w:hAnsi="Times New Roman" w:eastAsia="宋体" w:cs="Times New Roman"/>
                      <w:snapToGrid w:val="0"/>
                      <w:color w:val="auto"/>
                      <w:kern w:val="0"/>
                      <w:sz w:val="18"/>
                      <w:szCs w:val="18"/>
                      <w:highlight w:val="none"/>
                    </w:rPr>
                    <w:t>管控单元</w:t>
                  </w:r>
                </w:p>
              </w:tc>
              <w:tc>
                <w:tcPr>
                  <w:tcW w:w="553" w:type="pct"/>
                  <w:vMerge w:val="restart"/>
                  <w:tcMar>
                    <w:left w:w="28" w:type="dxa"/>
                    <w:right w:w="28" w:type="dxa"/>
                  </w:tcMar>
                  <w:vAlign w:val="center"/>
                </w:tcPr>
                <w:p w14:paraId="62DC2C34">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color w:val="auto"/>
                      <w:sz w:val="18"/>
                      <w:szCs w:val="18"/>
                      <w:highlight w:val="none"/>
                    </w:rPr>
                  </w:pPr>
                  <w:r>
                    <w:rPr>
                      <w:rFonts w:hint="default" w:ascii="Times New Roman" w:hAnsi="Times New Roman" w:eastAsia="宋体" w:cs="Times New Roman"/>
                      <w:color w:val="auto"/>
                      <w:kern w:val="0"/>
                      <w:sz w:val="18"/>
                      <w:szCs w:val="18"/>
                      <w:highlight w:val="none"/>
                      <w:lang w:val="en-US" w:eastAsia="zh-CN" w:bidi="ar"/>
                    </w:rPr>
                    <w:t>1</w:t>
                  </w:r>
                  <w:r>
                    <w:rPr>
                      <w:rFonts w:hint="eastAsia" w:ascii="宋体" w:hAnsi="宋体" w:eastAsia="宋体" w:cs="宋体"/>
                      <w:color w:val="auto"/>
                      <w:kern w:val="0"/>
                      <w:sz w:val="18"/>
                      <w:szCs w:val="18"/>
                      <w:highlight w:val="none"/>
                      <w:lang w:val="en-US" w:eastAsia="zh-CN" w:bidi="ar"/>
                    </w:rPr>
                    <w:t>、河北迁安经济开发区智能创新产业园</w:t>
                  </w:r>
                  <w:r>
                    <w:rPr>
                      <w:rFonts w:hint="default" w:ascii="Times New Roman" w:hAnsi="Times New Roman" w:eastAsia="宋体" w:cs="Times New Roman"/>
                      <w:color w:val="auto"/>
                      <w:kern w:val="0"/>
                      <w:sz w:val="18"/>
                      <w:szCs w:val="18"/>
                      <w:highlight w:val="none"/>
                      <w:lang w:val="en-US" w:eastAsia="zh-CN" w:bidi="ar"/>
                    </w:rPr>
                    <w:t>2</w:t>
                  </w:r>
                  <w:r>
                    <w:rPr>
                      <w:rFonts w:hint="eastAsia" w:ascii="宋体" w:hAnsi="宋体" w:eastAsia="宋体" w:cs="宋体"/>
                      <w:color w:val="auto"/>
                      <w:kern w:val="0"/>
                      <w:sz w:val="18"/>
                      <w:szCs w:val="18"/>
                      <w:highlight w:val="none"/>
                      <w:lang w:val="en-US" w:eastAsia="zh-CN" w:bidi="ar"/>
                    </w:rPr>
                    <w:t>、中心城区</w:t>
                  </w:r>
                  <w:r>
                    <w:rPr>
                      <w:rFonts w:hint="default" w:ascii="Times New Roman" w:hAnsi="Times New Roman" w:eastAsia="宋体" w:cs="Times New Roman"/>
                      <w:color w:val="auto"/>
                      <w:kern w:val="0"/>
                      <w:sz w:val="18"/>
                      <w:szCs w:val="18"/>
                      <w:highlight w:val="none"/>
                      <w:lang w:val="en-US" w:eastAsia="zh-CN" w:bidi="ar"/>
                    </w:rPr>
                    <w:t>3</w:t>
                  </w:r>
                  <w:r>
                    <w:rPr>
                      <w:rFonts w:hint="eastAsia" w:ascii="宋体" w:hAnsi="宋体" w:eastAsia="宋体" w:cs="宋体"/>
                      <w:color w:val="auto"/>
                      <w:kern w:val="0"/>
                      <w:sz w:val="18"/>
                      <w:szCs w:val="18"/>
                      <w:highlight w:val="none"/>
                      <w:lang w:val="en-US" w:eastAsia="zh-CN" w:bidi="ar"/>
                    </w:rPr>
                    <w:t>、大气环境高排放重点管控区</w:t>
                  </w:r>
                  <w:r>
                    <w:rPr>
                      <w:rFonts w:hint="default" w:ascii="Times New Roman" w:hAnsi="Times New Roman" w:eastAsia="宋体" w:cs="Times New Roman"/>
                      <w:color w:val="auto"/>
                      <w:kern w:val="0"/>
                      <w:sz w:val="18"/>
                      <w:szCs w:val="18"/>
                      <w:highlight w:val="none"/>
                      <w:lang w:val="en-US" w:eastAsia="zh-CN" w:bidi="ar"/>
                    </w:rPr>
                    <w:t>4</w:t>
                  </w:r>
                  <w:r>
                    <w:rPr>
                      <w:rFonts w:hint="eastAsia" w:ascii="宋体" w:hAnsi="宋体" w:eastAsia="宋体" w:cs="宋体"/>
                      <w:color w:val="auto"/>
                      <w:kern w:val="0"/>
                      <w:sz w:val="18"/>
                      <w:szCs w:val="18"/>
                      <w:highlight w:val="none"/>
                      <w:lang w:val="en-US" w:eastAsia="zh-CN" w:bidi="ar"/>
                    </w:rPr>
                    <w:t>、水环境工业污染重点管控区</w:t>
                  </w:r>
                  <w:r>
                    <w:rPr>
                      <w:rFonts w:hint="default" w:ascii="Times New Roman" w:hAnsi="Times New Roman" w:eastAsia="宋体" w:cs="Times New Roman"/>
                      <w:color w:val="auto"/>
                      <w:kern w:val="0"/>
                      <w:sz w:val="18"/>
                      <w:szCs w:val="18"/>
                      <w:highlight w:val="none"/>
                      <w:lang w:val="en-US" w:eastAsia="zh-CN" w:bidi="ar"/>
                    </w:rPr>
                    <w:t>5</w:t>
                  </w:r>
                  <w:r>
                    <w:rPr>
                      <w:rFonts w:hint="eastAsia" w:ascii="宋体" w:hAnsi="宋体" w:eastAsia="宋体" w:cs="宋体"/>
                      <w:color w:val="auto"/>
                      <w:kern w:val="0"/>
                      <w:sz w:val="18"/>
                      <w:szCs w:val="18"/>
                      <w:highlight w:val="none"/>
                      <w:lang w:val="en-US" w:eastAsia="zh-CN" w:bidi="ar"/>
                    </w:rPr>
                    <w:t>、土壤建设用地污染风险重点管控区</w:t>
                  </w:r>
                  <w:r>
                    <w:rPr>
                      <w:rFonts w:hint="default" w:ascii="Times New Roman" w:hAnsi="Times New Roman" w:eastAsia="宋体" w:cs="Times New Roman"/>
                      <w:color w:val="auto"/>
                      <w:kern w:val="0"/>
                      <w:sz w:val="18"/>
                      <w:szCs w:val="18"/>
                      <w:highlight w:val="none"/>
                      <w:lang w:val="en-US" w:eastAsia="zh-CN" w:bidi="ar"/>
                    </w:rPr>
                    <w:t>6</w:t>
                  </w:r>
                  <w:r>
                    <w:rPr>
                      <w:rFonts w:hint="eastAsia" w:ascii="宋体" w:hAnsi="宋体" w:eastAsia="宋体" w:cs="宋体"/>
                      <w:color w:val="auto"/>
                      <w:kern w:val="0"/>
                      <w:sz w:val="18"/>
                      <w:szCs w:val="18"/>
                      <w:highlight w:val="none"/>
                      <w:lang w:val="en-US" w:eastAsia="zh-CN" w:bidi="ar"/>
                    </w:rPr>
                    <w:t>、地下水污染风险重点管控</w:t>
                  </w:r>
                </w:p>
                <w:p w14:paraId="41E7B327">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eastAsia="宋体" w:cs="Times New Roman"/>
                      <w:snapToGrid w:val="0"/>
                      <w:color w:val="auto"/>
                      <w:kern w:val="0"/>
                      <w:sz w:val="18"/>
                      <w:szCs w:val="18"/>
                      <w:highlight w:val="none"/>
                    </w:rPr>
                  </w:pPr>
                  <w:r>
                    <w:rPr>
                      <w:rFonts w:hint="eastAsia" w:ascii="宋体" w:hAnsi="宋体" w:eastAsia="宋体" w:cs="宋体"/>
                      <w:color w:val="auto"/>
                      <w:kern w:val="0"/>
                      <w:sz w:val="18"/>
                      <w:szCs w:val="18"/>
                      <w:highlight w:val="none"/>
                      <w:lang w:val="en-US" w:eastAsia="zh-CN" w:bidi="ar"/>
                    </w:rPr>
                    <w:t>区</w:t>
                  </w:r>
                  <w:r>
                    <w:rPr>
                      <w:rFonts w:hint="default" w:ascii="Times New Roman" w:hAnsi="Times New Roman" w:eastAsia="宋体" w:cs="Times New Roman"/>
                      <w:color w:val="auto"/>
                      <w:kern w:val="0"/>
                      <w:sz w:val="18"/>
                      <w:szCs w:val="18"/>
                      <w:highlight w:val="none"/>
                      <w:lang w:val="en-US" w:eastAsia="zh-CN" w:bidi="ar"/>
                    </w:rPr>
                    <w:t>7</w:t>
                  </w:r>
                  <w:r>
                    <w:rPr>
                      <w:rFonts w:hint="eastAsia" w:ascii="宋体" w:hAnsi="宋体" w:eastAsia="宋体" w:cs="宋体"/>
                      <w:color w:val="auto"/>
                      <w:kern w:val="0"/>
                      <w:sz w:val="18"/>
                      <w:szCs w:val="18"/>
                      <w:highlight w:val="none"/>
                      <w:lang w:val="en-US" w:eastAsia="zh-CN" w:bidi="ar"/>
                    </w:rPr>
                    <w:t>、土地资源重点管控区</w:t>
                  </w:r>
                </w:p>
              </w:tc>
              <w:tc>
                <w:tcPr>
                  <w:tcW w:w="386" w:type="pct"/>
                  <w:tcMar>
                    <w:left w:w="28" w:type="dxa"/>
                    <w:right w:w="28" w:type="dxa"/>
                  </w:tcMar>
                  <w:vAlign w:val="center"/>
                </w:tcPr>
                <w:p w14:paraId="70D0BCA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eastAsia="宋体" w:cs="Times New Roman"/>
                      <w:snapToGrid w:val="0"/>
                      <w:color w:val="auto"/>
                      <w:kern w:val="0"/>
                      <w:sz w:val="18"/>
                      <w:szCs w:val="18"/>
                      <w:highlight w:val="none"/>
                    </w:rPr>
                  </w:pPr>
                  <w:r>
                    <w:rPr>
                      <w:rFonts w:hint="default" w:ascii="Times New Roman" w:hAnsi="Times New Roman" w:eastAsia="宋体" w:cs="Times New Roman"/>
                      <w:snapToGrid w:val="0"/>
                      <w:color w:val="auto"/>
                      <w:kern w:val="0"/>
                      <w:sz w:val="18"/>
                      <w:szCs w:val="18"/>
                      <w:highlight w:val="none"/>
                    </w:rPr>
                    <w:t>空间布局约束</w:t>
                  </w:r>
                </w:p>
              </w:tc>
              <w:tc>
                <w:tcPr>
                  <w:tcW w:w="1311" w:type="pct"/>
                  <w:tcMar>
                    <w:left w:w="28" w:type="dxa"/>
                    <w:right w:w="28" w:type="dxa"/>
                  </w:tcMar>
                  <w:vAlign w:val="center"/>
                </w:tcPr>
                <w:p w14:paraId="2A825A61">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eastAsia" w:ascii="宋体" w:hAnsi="宋体" w:eastAsia="宋体" w:cs="宋体"/>
                      <w:color w:val="auto"/>
                      <w:kern w:val="0"/>
                      <w:sz w:val="18"/>
                      <w:szCs w:val="18"/>
                      <w:highlight w:val="none"/>
                      <w:lang w:val="en-US" w:eastAsia="zh-CN" w:bidi="ar"/>
                    </w:rPr>
                  </w:pPr>
                  <w:r>
                    <w:rPr>
                      <w:rFonts w:hint="default" w:ascii="宋体" w:hAnsi="宋体" w:eastAsia="宋体" w:cs="宋体"/>
                      <w:color w:val="auto"/>
                      <w:kern w:val="0"/>
                      <w:sz w:val="18"/>
                      <w:szCs w:val="18"/>
                      <w:highlight w:val="none"/>
                      <w:lang w:val="en-US" w:eastAsia="zh-CN" w:bidi="ar"/>
                    </w:rPr>
                    <w:t>1</w:t>
                  </w:r>
                  <w:r>
                    <w:rPr>
                      <w:rFonts w:hint="eastAsia" w:ascii="宋体" w:hAnsi="宋体" w:eastAsia="宋体" w:cs="宋体"/>
                      <w:color w:val="auto"/>
                      <w:kern w:val="0"/>
                      <w:sz w:val="18"/>
                      <w:szCs w:val="18"/>
                      <w:highlight w:val="none"/>
                      <w:lang w:val="en-US" w:eastAsia="zh-CN" w:bidi="ar"/>
                    </w:rPr>
                    <w:t>、钢铁企业执行全市产业总体布局中钢铁行业相关管控要求。</w:t>
                  </w:r>
                </w:p>
                <w:p w14:paraId="6EA50085">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eastAsia" w:ascii="宋体" w:hAnsi="宋体" w:eastAsia="宋体" w:cs="宋体"/>
                      <w:color w:val="auto"/>
                      <w:kern w:val="0"/>
                      <w:sz w:val="18"/>
                      <w:szCs w:val="18"/>
                      <w:highlight w:val="none"/>
                      <w:lang w:val="en-US" w:eastAsia="zh-CN" w:bidi="ar"/>
                    </w:rPr>
                  </w:pPr>
                  <w:r>
                    <w:rPr>
                      <w:rFonts w:hint="default" w:ascii="宋体" w:hAnsi="宋体" w:eastAsia="宋体" w:cs="宋体"/>
                      <w:color w:val="auto"/>
                      <w:kern w:val="0"/>
                      <w:sz w:val="18"/>
                      <w:szCs w:val="18"/>
                      <w:highlight w:val="none"/>
                      <w:lang w:val="en-US" w:eastAsia="zh-CN" w:bidi="ar"/>
                    </w:rPr>
                    <w:t>2</w:t>
                  </w:r>
                  <w:r>
                    <w:rPr>
                      <w:rFonts w:hint="eastAsia" w:ascii="宋体" w:hAnsi="宋体" w:eastAsia="宋体" w:cs="宋体"/>
                      <w:color w:val="auto"/>
                      <w:kern w:val="0"/>
                      <w:sz w:val="18"/>
                      <w:szCs w:val="18"/>
                      <w:highlight w:val="none"/>
                      <w:lang w:val="en-US" w:eastAsia="zh-CN" w:bidi="ar"/>
                    </w:rPr>
                    <w:t>、焦化企业执行全市产业总体布局中焦化行业相关管控要求。</w:t>
                  </w:r>
                </w:p>
                <w:p w14:paraId="489EE0C7">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eastAsia" w:ascii="宋体" w:hAnsi="宋体" w:eastAsia="宋体" w:cs="宋体"/>
                      <w:color w:val="auto"/>
                      <w:kern w:val="0"/>
                      <w:sz w:val="18"/>
                      <w:szCs w:val="18"/>
                      <w:highlight w:val="none"/>
                      <w:lang w:val="en-US" w:eastAsia="zh-CN" w:bidi="ar"/>
                    </w:rPr>
                  </w:pPr>
                  <w:r>
                    <w:rPr>
                      <w:rFonts w:hint="default" w:ascii="宋体" w:hAnsi="宋体" w:eastAsia="宋体" w:cs="宋体"/>
                      <w:color w:val="auto"/>
                      <w:kern w:val="0"/>
                      <w:sz w:val="18"/>
                      <w:szCs w:val="18"/>
                      <w:highlight w:val="none"/>
                      <w:lang w:val="en-US" w:eastAsia="zh-CN" w:bidi="ar"/>
                    </w:rPr>
                    <w:t>3</w:t>
                  </w:r>
                  <w:r>
                    <w:rPr>
                      <w:rFonts w:hint="eastAsia" w:ascii="宋体" w:hAnsi="宋体" w:eastAsia="宋体" w:cs="宋体"/>
                      <w:color w:val="auto"/>
                      <w:kern w:val="0"/>
                      <w:sz w:val="18"/>
                      <w:szCs w:val="18"/>
                      <w:highlight w:val="none"/>
                      <w:lang w:val="en-US" w:eastAsia="zh-CN" w:bidi="ar"/>
                    </w:rPr>
                    <w:t>、石化化工企业执行全市产业总体布局中石化化工行业相关管控要求。</w:t>
                  </w:r>
                </w:p>
                <w:p w14:paraId="30448E2A">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default" w:ascii="Times New Roman" w:hAnsi="Times New Roman" w:eastAsia="宋体" w:cs="Times New Roman"/>
                      <w:snapToGrid w:val="0"/>
                      <w:color w:val="auto"/>
                      <w:kern w:val="0"/>
                      <w:sz w:val="18"/>
                      <w:szCs w:val="18"/>
                      <w:highlight w:val="none"/>
                      <w:lang w:val="en-US" w:eastAsia="zh-CN"/>
                    </w:rPr>
                  </w:pPr>
                  <w:r>
                    <w:rPr>
                      <w:rFonts w:hint="default" w:ascii="宋体" w:hAnsi="宋体" w:eastAsia="宋体" w:cs="宋体"/>
                      <w:color w:val="auto"/>
                      <w:kern w:val="0"/>
                      <w:sz w:val="18"/>
                      <w:szCs w:val="18"/>
                      <w:highlight w:val="none"/>
                      <w:lang w:val="en-US" w:eastAsia="zh-CN" w:bidi="ar"/>
                    </w:rPr>
                    <w:t>4</w:t>
                  </w:r>
                  <w:r>
                    <w:rPr>
                      <w:rFonts w:hint="eastAsia" w:ascii="宋体" w:hAnsi="宋体" w:eastAsia="宋体" w:cs="宋体"/>
                      <w:color w:val="auto"/>
                      <w:kern w:val="0"/>
                      <w:sz w:val="18"/>
                      <w:szCs w:val="18"/>
                      <w:highlight w:val="none"/>
                      <w:lang w:val="en-US" w:eastAsia="zh-CN" w:bidi="ar"/>
                    </w:rPr>
                    <w:t>、园区规划范围内基本农田执行全市总体准入要求中一般生态空间的基本农田管控要求。</w:t>
                  </w:r>
                </w:p>
              </w:tc>
              <w:tc>
                <w:tcPr>
                  <w:tcW w:w="929" w:type="pct"/>
                  <w:vAlign w:val="center"/>
                </w:tcPr>
                <w:p w14:paraId="510EA27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eastAsia="宋体" w:cs="Times New Roman"/>
                      <w:snapToGrid w:val="0"/>
                      <w:color w:val="auto"/>
                      <w:kern w:val="0"/>
                      <w:sz w:val="18"/>
                      <w:szCs w:val="18"/>
                      <w:highlight w:val="none"/>
                      <w:lang w:val="en-US" w:eastAsia="zh-CN"/>
                    </w:rPr>
                  </w:pPr>
                  <w:r>
                    <w:rPr>
                      <w:rFonts w:hint="eastAsia" w:cs="Times New Roman"/>
                      <w:snapToGrid w:val="0"/>
                      <w:color w:val="auto"/>
                      <w:kern w:val="0"/>
                      <w:sz w:val="18"/>
                      <w:szCs w:val="18"/>
                      <w:highlight w:val="none"/>
                      <w:lang w:val="en-US" w:eastAsia="zh-CN"/>
                    </w:rPr>
                    <w:t>项目为</w:t>
                  </w:r>
                  <w:r>
                    <w:rPr>
                      <w:rFonts w:hint="eastAsia" w:ascii="Times New Roman" w:hAnsi="Times New Roman" w:cs="Times New Roman" w:eastAsiaTheme="minorEastAsia"/>
                      <w:snapToGrid/>
                      <w:color w:val="auto"/>
                      <w:kern w:val="0"/>
                      <w:sz w:val="18"/>
                      <w:szCs w:val="18"/>
                      <w:highlight w:val="none"/>
                      <w:lang w:val="en-US" w:eastAsia="zh-CN" w:bidi="ar-SA"/>
                    </w:rPr>
                    <w:t>废弃资源综合利用项目</w:t>
                  </w:r>
                  <w:r>
                    <w:rPr>
                      <w:rFonts w:hint="eastAsia" w:cs="Times New Roman" w:eastAsiaTheme="minorEastAsia"/>
                      <w:snapToGrid/>
                      <w:color w:val="auto"/>
                      <w:kern w:val="0"/>
                      <w:sz w:val="18"/>
                      <w:szCs w:val="18"/>
                      <w:highlight w:val="none"/>
                      <w:lang w:val="en-US" w:eastAsia="zh-CN" w:bidi="ar-SA"/>
                    </w:rPr>
                    <w:t>，</w:t>
                  </w:r>
                  <w:r>
                    <w:rPr>
                      <w:rFonts w:hint="eastAsia" w:asciiTheme="minorEastAsia" w:hAnsiTheme="minorEastAsia" w:eastAsiaTheme="minorEastAsia" w:cstheme="minorEastAsia"/>
                      <w:color w:val="auto"/>
                      <w:kern w:val="0"/>
                      <w:sz w:val="18"/>
                      <w:szCs w:val="18"/>
                      <w:highlight w:val="none"/>
                    </w:rPr>
                    <w:t>位于河北迁安经济开发区，公司现有厂区内，根据开发区用地规划图，项目占地类型为三类工业用地，不新增占地，不涉及基本农田</w:t>
                  </w:r>
                  <w:r>
                    <w:rPr>
                      <w:rFonts w:hint="default" w:ascii="Times New Roman" w:hAnsi="Times New Roman" w:eastAsia="宋体" w:cs="Times New Roman"/>
                      <w:snapToGrid w:val="0"/>
                      <w:color w:val="auto"/>
                      <w:kern w:val="0"/>
                      <w:sz w:val="18"/>
                      <w:szCs w:val="18"/>
                      <w:highlight w:val="none"/>
                      <w:lang w:val="en-US" w:eastAsia="zh-CN"/>
                    </w:rPr>
                    <w:t>。</w:t>
                  </w:r>
                </w:p>
              </w:tc>
              <w:tc>
                <w:tcPr>
                  <w:tcW w:w="283" w:type="pct"/>
                  <w:vAlign w:val="center"/>
                </w:tcPr>
                <w:p w14:paraId="397ACA4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spacing w:val="-6"/>
                      <w:kern w:val="0"/>
                      <w:sz w:val="18"/>
                      <w:szCs w:val="18"/>
                      <w:highlight w:val="none"/>
                    </w:rPr>
                    <w:t>符合</w:t>
                  </w:r>
                </w:p>
              </w:tc>
            </w:tr>
            <w:tr w14:paraId="283C2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2" w:hRule="atLeast"/>
              </w:trPr>
              <w:tc>
                <w:tcPr>
                  <w:tcW w:w="368" w:type="pct"/>
                  <w:vMerge w:val="continue"/>
                  <w:tcMar>
                    <w:left w:w="28" w:type="dxa"/>
                    <w:right w:w="28" w:type="dxa"/>
                  </w:tcMar>
                  <w:vAlign w:val="center"/>
                </w:tcPr>
                <w:p w14:paraId="122A586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255" w:type="pct"/>
                  <w:vMerge w:val="continue"/>
                  <w:tcMar>
                    <w:left w:w="28" w:type="dxa"/>
                    <w:right w:w="28" w:type="dxa"/>
                  </w:tcMar>
                  <w:vAlign w:val="center"/>
                </w:tcPr>
                <w:p w14:paraId="7D8D54B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553" w:type="pct"/>
                  <w:vMerge w:val="continue"/>
                  <w:tcMar>
                    <w:left w:w="28" w:type="dxa"/>
                    <w:right w:w="28" w:type="dxa"/>
                  </w:tcMar>
                  <w:vAlign w:val="center"/>
                </w:tcPr>
                <w:p w14:paraId="31F78AE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357" w:type="pct"/>
                  <w:vMerge w:val="continue"/>
                  <w:tcMar>
                    <w:left w:w="28" w:type="dxa"/>
                    <w:right w:w="28" w:type="dxa"/>
                  </w:tcMar>
                  <w:vAlign w:val="center"/>
                </w:tcPr>
                <w:p w14:paraId="0099AAF3">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553" w:type="pct"/>
                  <w:vMerge w:val="continue"/>
                  <w:tcMar>
                    <w:left w:w="28" w:type="dxa"/>
                    <w:right w:w="28" w:type="dxa"/>
                  </w:tcMar>
                  <w:vAlign w:val="center"/>
                </w:tcPr>
                <w:p w14:paraId="223FE1A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386" w:type="pct"/>
                  <w:tcMar>
                    <w:left w:w="28" w:type="dxa"/>
                    <w:right w:w="28" w:type="dxa"/>
                  </w:tcMar>
                  <w:vAlign w:val="center"/>
                </w:tcPr>
                <w:p w14:paraId="5D0C1B2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spacing w:val="-6"/>
                      <w:kern w:val="0"/>
                      <w:sz w:val="18"/>
                      <w:szCs w:val="18"/>
                      <w:highlight w:val="none"/>
                    </w:rPr>
                  </w:pPr>
                  <w:r>
                    <w:rPr>
                      <w:rFonts w:hint="default" w:ascii="Times New Roman" w:hAnsi="Times New Roman" w:cs="Times New Roman"/>
                      <w:snapToGrid w:val="0"/>
                      <w:color w:val="auto"/>
                      <w:spacing w:val="-6"/>
                      <w:kern w:val="0"/>
                      <w:sz w:val="18"/>
                      <w:szCs w:val="18"/>
                      <w:highlight w:val="none"/>
                    </w:rPr>
                    <w:t>污染物排放管控</w:t>
                  </w:r>
                </w:p>
              </w:tc>
              <w:tc>
                <w:tcPr>
                  <w:tcW w:w="1311" w:type="pct"/>
                  <w:tcMar>
                    <w:left w:w="28" w:type="dxa"/>
                    <w:right w:w="28" w:type="dxa"/>
                  </w:tcMar>
                  <w:vAlign w:val="center"/>
                </w:tcPr>
                <w:p w14:paraId="7F0E28BD">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default" w:ascii="宋体" w:hAnsi="宋体" w:eastAsia="宋体" w:cs="宋体"/>
                      <w:color w:val="auto"/>
                      <w:kern w:val="0"/>
                      <w:sz w:val="18"/>
                      <w:szCs w:val="18"/>
                      <w:highlight w:val="none"/>
                      <w:lang w:val="en-US" w:eastAsia="zh-CN" w:bidi="ar"/>
                    </w:rPr>
                  </w:pPr>
                  <w:r>
                    <w:rPr>
                      <w:rFonts w:hint="eastAsia" w:ascii="宋体" w:hAnsi="宋体" w:eastAsia="宋体" w:cs="宋体"/>
                      <w:color w:val="auto"/>
                      <w:kern w:val="0"/>
                      <w:sz w:val="18"/>
                      <w:szCs w:val="18"/>
                      <w:highlight w:val="none"/>
                      <w:lang w:val="en-US" w:eastAsia="zh-CN" w:bidi="ar"/>
                    </w:rPr>
                    <w:t xml:space="preserve">加强涂料等行业 </w:t>
                  </w:r>
                  <w:r>
                    <w:rPr>
                      <w:rFonts w:hint="default" w:ascii="宋体" w:hAnsi="宋体" w:eastAsia="宋体" w:cs="宋体"/>
                      <w:color w:val="auto"/>
                      <w:kern w:val="0"/>
                      <w:sz w:val="18"/>
                      <w:szCs w:val="18"/>
                      <w:highlight w:val="none"/>
                      <w:lang w:val="en-US" w:eastAsia="zh-CN" w:bidi="ar"/>
                    </w:rPr>
                    <w:t xml:space="preserve">VOCs </w:t>
                  </w:r>
                  <w:r>
                    <w:rPr>
                      <w:rFonts w:hint="eastAsia" w:ascii="宋体" w:hAnsi="宋体" w:eastAsia="宋体" w:cs="宋体"/>
                      <w:color w:val="auto"/>
                      <w:kern w:val="0"/>
                      <w:sz w:val="18"/>
                      <w:szCs w:val="18"/>
                      <w:highlight w:val="none"/>
                      <w:lang w:val="en-US" w:eastAsia="zh-CN" w:bidi="ar"/>
                    </w:rPr>
                    <w:t xml:space="preserve">治理力度。重点提高涉 </w:t>
                  </w:r>
                  <w:r>
                    <w:rPr>
                      <w:rFonts w:hint="default" w:ascii="宋体" w:hAnsi="宋体" w:eastAsia="宋体" w:cs="宋体"/>
                      <w:color w:val="auto"/>
                      <w:kern w:val="0"/>
                      <w:sz w:val="18"/>
                      <w:szCs w:val="18"/>
                      <w:highlight w:val="none"/>
                      <w:lang w:val="en-US" w:eastAsia="zh-CN" w:bidi="ar"/>
                    </w:rPr>
                    <w:t xml:space="preserve">VOCs </w:t>
                  </w:r>
                  <w:r>
                    <w:rPr>
                      <w:rFonts w:hint="eastAsia" w:ascii="宋体" w:hAnsi="宋体" w:eastAsia="宋体" w:cs="宋体"/>
                      <w:color w:val="auto"/>
                      <w:kern w:val="0"/>
                      <w:sz w:val="18"/>
                      <w:szCs w:val="18"/>
                      <w:highlight w:val="none"/>
                      <w:lang w:val="en-US" w:eastAsia="zh-CN" w:bidi="ar"/>
                    </w:rPr>
                    <w:t>排放主要工序密闭化水平，加强无组织排放收集，加大含</w:t>
                  </w:r>
                  <w:r>
                    <w:rPr>
                      <w:rFonts w:hint="default" w:ascii="宋体" w:hAnsi="宋体" w:eastAsia="宋体" w:cs="宋体"/>
                      <w:color w:val="auto"/>
                      <w:kern w:val="0"/>
                      <w:sz w:val="18"/>
                      <w:szCs w:val="18"/>
                      <w:highlight w:val="none"/>
                      <w:lang w:val="en-US" w:eastAsia="zh-CN" w:bidi="ar"/>
                    </w:rPr>
                    <w:t>VOCs</w:t>
                  </w:r>
                  <w:r>
                    <w:rPr>
                      <w:rFonts w:hint="eastAsia" w:ascii="宋体" w:hAnsi="宋体" w:eastAsia="宋体" w:cs="宋体"/>
                      <w:color w:val="auto"/>
                      <w:kern w:val="0"/>
                      <w:sz w:val="18"/>
                      <w:szCs w:val="18"/>
                      <w:highlight w:val="none"/>
                      <w:lang w:val="en-US" w:eastAsia="zh-CN" w:bidi="ar"/>
                    </w:rPr>
                    <w:t>物料储存和装卸治理力度。</w:t>
                  </w:r>
                </w:p>
              </w:tc>
              <w:tc>
                <w:tcPr>
                  <w:tcW w:w="929" w:type="pct"/>
                  <w:vAlign w:val="center"/>
                </w:tcPr>
                <w:p w14:paraId="5D3DE66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eastAsia="宋体" w:cs="Times New Roman"/>
                      <w:snapToGrid w:val="0"/>
                      <w:color w:val="auto"/>
                      <w:kern w:val="0"/>
                      <w:sz w:val="18"/>
                      <w:szCs w:val="18"/>
                      <w:highlight w:val="none"/>
                      <w:lang w:val="en-US" w:eastAsia="zh-CN"/>
                    </w:rPr>
                  </w:pPr>
                  <w:r>
                    <w:rPr>
                      <w:rFonts w:hint="eastAsia" w:cs="Times New Roman"/>
                      <w:snapToGrid w:val="0"/>
                      <w:color w:val="auto"/>
                      <w:kern w:val="0"/>
                      <w:sz w:val="18"/>
                      <w:szCs w:val="18"/>
                      <w:highlight w:val="none"/>
                      <w:lang w:val="en-US" w:eastAsia="zh-CN"/>
                    </w:rPr>
                    <w:t>项目为废弃资源综合利用项目，不涉及排放VOCs气体</w:t>
                  </w:r>
                </w:p>
              </w:tc>
              <w:tc>
                <w:tcPr>
                  <w:tcW w:w="283" w:type="pct"/>
                  <w:vAlign w:val="center"/>
                </w:tcPr>
                <w:p w14:paraId="2ABCCE1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spacing w:val="-6"/>
                      <w:kern w:val="0"/>
                      <w:sz w:val="18"/>
                      <w:szCs w:val="18"/>
                      <w:highlight w:val="none"/>
                    </w:rPr>
                    <w:t>符合</w:t>
                  </w:r>
                </w:p>
              </w:tc>
            </w:tr>
            <w:tr w14:paraId="19987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368" w:type="pct"/>
                  <w:vMerge w:val="continue"/>
                  <w:tcMar>
                    <w:left w:w="28" w:type="dxa"/>
                    <w:right w:w="28" w:type="dxa"/>
                  </w:tcMar>
                  <w:vAlign w:val="center"/>
                </w:tcPr>
                <w:p w14:paraId="25B4D30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255" w:type="pct"/>
                  <w:vMerge w:val="continue"/>
                  <w:tcMar>
                    <w:left w:w="28" w:type="dxa"/>
                    <w:right w:w="28" w:type="dxa"/>
                  </w:tcMar>
                  <w:vAlign w:val="center"/>
                </w:tcPr>
                <w:p w14:paraId="2510C727">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553" w:type="pct"/>
                  <w:vMerge w:val="continue"/>
                  <w:tcMar>
                    <w:left w:w="28" w:type="dxa"/>
                    <w:right w:w="28" w:type="dxa"/>
                  </w:tcMar>
                  <w:vAlign w:val="center"/>
                </w:tcPr>
                <w:p w14:paraId="0FB4F69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357" w:type="pct"/>
                  <w:vMerge w:val="continue"/>
                  <w:tcMar>
                    <w:left w:w="28" w:type="dxa"/>
                    <w:right w:w="28" w:type="dxa"/>
                  </w:tcMar>
                  <w:vAlign w:val="center"/>
                </w:tcPr>
                <w:p w14:paraId="2C63D28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553" w:type="pct"/>
                  <w:vMerge w:val="continue"/>
                  <w:tcMar>
                    <w:left w:w="28" w:type="dxa"/>
                    <w:right w:w="28" w:type="dxa"/>
                  </w:tcMar>
                  <w:vAlign w:val="center"/>
                </w:tcPr>
                <w:p w14:paraId="0C901AD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386" w:type="pct"/>
                  <w:tcMar>
                    <w:left w:w="28" w:type="dxa"/>
                    <w:right w:w="28" w:type="dxa"/>
                  </w:tcMar>
                  <w:vAlign w:val="center"/>
                </w:tcPr>
                <w:p w14:paraId="0F62CB3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spacing w:val="-6"/>
                      <w:kern w:val="0"/>
                      <w:sz w:val="18"/>
                      <w:szCs w:val="18"/>
                      <w:highlight w:val="none"/>
                    </w:rPr>
                  </w:pPr>
                  <w:r>
                    <w:rPr>
                      <w:rFonts w:hint="default" w:ascii="Times New Roman" w:hAnsi="Times New Roman" w:cs="Times New Roman"/>
                      <w:snapToGrid w:val="0"/>
                      <w:color w:val="auto"/>
                      <w:spacing w:val="-6"/>
                      <w:kern w:val="0"/>
                      <w:sz w:val="18"/>
                      <w:szCs w:val="18"/>
                      <w:highlight w:val="none"/>
                    </w:rPr>
                    <w:t>环境风险防控</w:t>
                  </w:r>
                </w:p>
              </w:tc>
              <w:tc>
                <w:tcPr>
                  <w:tcW w:w="1311" w:type="pct"/>
                  <w:tcMar>
                    <w:left w:w="28" w:type="dxa"/>
                    <w:right w:w="28" w:type="dxa"/>
                  </w:tcMar>
                  <w:vAlign w:val="center"/>
                </w:tcPr>
                <w:p w14:paraId="6AD27C04">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eastAsia" w:ascii="宋体" w:hAnsi="宋体" w:eastAsia="宋体" w:cs="宋体"/>
                      <w:color w:val="auto"/>
                      <w:kern w:val="0"/>
                      <w:sz w:val="18"/>
                      <w:szCs w:val="18"/>
                      <w:highlight w:val="none"/>
                      <w:lang w:val="en-US" w:eastAsia="zh-CN" w:bidi="ar"/>
                    </w:rPr>
                  </w:pPr>
                  <w:r>
                    <w:rPr>
                      <w:rFonts w:hint="default" w:ascii="宋体" w:hAnsi="宋体" w:eastAsia="宋体" w:cs="宋体"/>
                      <w:color w:val="auto"/>
                      <w:kern w:val="0"/>
                      <w:sz w:val="18"/>
                      <w:szCs w:val="18"/>
                      <w:highlight w:val="none"/>
                      <w:lang w:val="en-US" w:eastAsia="zh-CN" w:bidi="ar"/>
                    </w:rPr>
                    <w:t>1</w:t>
                  </w:r>
                  <w:r>
                    <w:rPr>
                      <w:rFonts w:hint="eastAsia" w:ascii="宋体" w:hAnsi="宋体" w:eastAsia="宋体" w:cs="宋体"/>
                      <w:color w:val="auto"/>
                      <w:kern w:val="0"/>
                      <w:sz w:val="18"/>
                      <w:szCs w:val="18"/>
                      <w:highlight w:val="none"/>
                      <w:lang w:val="en-US" w:eastAsia="zh-CN" w:bidi="ar"/>
                    </w:rPr>
                    <w:t>、严格落实规划环评及其批复文件制定的环境风险防范措施。</w:t>
                  </w:r>
                </w:p>
                <w:p w14:paraId="76EB4919">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eastAsia" w:ascii="宋体" w:hAnsi="宋体" w:eastAsia="宋体" w:cs="宋体"/>
                      <w:color w:val="auto"/>
                      <w:kern w:val="0"/>
                      <w:sz w:val="18"/>
                      <w:szCs w:val="18"/>
                      <w:highlight w:val="none"/>
                      <w:lang w:val="en-US" w:eastAsia="zh-CN" w:bidi="ar"/>
                    </w:rPr>
                  </w:pPr>
                  <w:r>
                    <w:rPr>
                      <w:rFonts w:hint="default" w:ascii="宋体" w:hAnsi="宋体" w:eastAsia="宋体" w:cs="宋体"/>
                      <w:color w:val="auto"/>
                      <w:kern w:val="0"/>
                      <w:sz w:val="18"/>
                      <w:szCs w:val="18"/>
                      <w:highlight w:val="none"/>
                      <w:lang w:val="en-US" w:eastAsia="zh-CN" w:bidi="ar"/>
                    </w:rPr>
                    <w:t>2</w:t>
                  </w:r>
                  <w:r>
                    <w:rPr>
                      <w:rFonts w:hint="eastAsia" w:ascii="宋体" w:hAnsi="宋体" w:eastAsia="宋体" w:cs="宋体"/>
                      <w:color w:val="auto"/>
                      <w:kern w:val="0"/>
                      <w:sz w:val="18"/>
                      <w:szCs w:val="18"/>
                      <w:highlight w:val="none"/>
                      <w:lang w:val="en-US" w:eastAsia="zh-CN" w:bidi="ar"/>
                    </w:rPr>
                    <w:t>、开发区及入区企业应当依法制定并及时修订《突发环境事件应急预案》，成立应急组织机构，定期开展应急演练，提高区域环境风险防范能力。</w:t>
                  </w:r>
                </w:p>
                <w:p w14:paraId="7D1D9BE4">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eastAsia" w:ascii="宋体" w:hAnsi="宋体" w:eastAsia="宋体" w:cs="宋体"/>
                      <w:color w:val="auto"/>
                      <w:kern w:val="0"/>
                      <w:sz w:val="18"/>
                      <w:szCs w:val="18"/>
                      <w:highlight w:val="none"/>
                      <w:lang w:val="en-US" w:eastAsia="zh-CN" w:bidi="ar"/>
                    </w:rPr>
                  </w:pPr>
                  <w:r>
                    <w:rPr>
                      <w:rFonts w:hint="default" w:ascii="宋体" w:hAnsi="宋体" w:eastAsia="宋体" w:cs="宋体"/>
                      <w:color w:val="auto"/>
                      <w:kern w:val="0"/>
                      <w:sz w:val="18"/>
                      <w:szCs w:val="18"/>
                      <w:highlight w:val="none"/>
                      <w:lang w:val="en-US" w:eastAsia="zh-CN" w:bidi="ar"/>
                    </w:rPr>
                    <w:t>3</w:t>
                  </w:r>
                  <w:r>
                    <w:rPr>
                      <w:rFonts w:hint="eastAsia" w:ascii="宋体" w:hAnsi="宋体" w:eastAsia="宋体" w:cs="宋体"/>
                      <w:color w:val="auto"/>
                      <w:kern w:val="0"/>
                      <w:sz w:val="18"/>
                      <w:szCs w:val="18"/>
                      <w:highlight w:val="none"/>
                      <w:lang w:val="en-US" w:eastAsia="zh-CN" w:bidi="ar"/>
                    </w:rPr>
                    <w:t>、产生、收集、贮存、运输、利用、处置危险废物的单位，应当依法制定意外事故的防范措施和应急预案，并向所在地生态环境主管部门和其他负有固体废物污染环境防治监督管理职责的部门备案。</w:t>
                  </w:r>
                </w:p>
                <w:p w14:paraId="5C1A5198">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default" w:ascii="宋体" w:hAnsi="宋体" w:eastAsia="宋体" w:cs="宋体"/>
                      <w:color w:val="auto"/>
                      <w:kern w:val="0"/>
                      <w:sz w:val="18"/>
                      <w:szCs w:val="18"/>
                      <w:highlight w:val="none"/>
                      <w:lang w:val="en-US" w:eastAsia="zh-CN" w:bidi="ar"/>
                    </w:rPr>
                  </w:pPr>
                  <w:r>
                    <w:rPr>
                      <w:rFonts w:hint="default" w:ascii="宋体" w:hAnsi="宋体" w:eastAsia="宋体" w:cs="宋体"/>
                      <w:color w:val="auto"/>
                      <w:kern w:val="0"/>
                      <w:sz w:val="18"/>
                      <w:szCs w:val="18"/>
                      <w:highlight w:val="none"/>
                      <w:lang w:val="en-US" w:eastAsia="zh-CN" w:bidi="ar"/>
                    </w:rPr>
                    <w:t>4</w:t>
                  </w:r>
                  <w:r>
                    <w:rPr>
                      <w:rFonts w:hint="eastAsia" w:ascii="宋体" w:hAnsi="宋体" w:eastAsia="宋体" w:cs="宋体"/>
                      <w:color w:val="auto"/>
                      <w:kern w:val="0"/>
                      <w:sz w:val="18"/>
                      <w:szCs w:val="18"/>
                      <w:highlight w:val="none"/>
                      <w:lang w:val="en-US" w:eastAsia="zh-CN" w:bidi="ar"/>
                    </w:rPr>
                    <w:t>、土壤污染重点监管单位应严格控制有毒有害物质排放，并按年度向所在地生态环境主管部门报告排放情况；建立土壤污染隐患排查制度，及时开展隐患排查，发现土壤污染隐患并采取措施消除或者降低污染隐患，保证持续有效防止有毒有害物质渗漏、流失、扬散；制定、实施自行监测方案，按照相关技术规范要求开展土壤、地下水环境监测，并将监测数据报所在地生态环境主管部门。</w:t>
                  </w:r>
                </w:p>
              </w:tc>
              <w:tc>
                <w:tcPr>
                  <w:tcW w:w="929" w:type="pct"/>
                  <w:vAlign w:val="center"/>
                </w:tcPr>
                <w:p w14:paraId="78B92DE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eastAsia="宋体" w:cs="Times New Roman"/>
                      <w:snapToGrid w:val="0"/>
                      <w:color w:val="auto"/>
                      <w:kern w:val="0"/>
                      <w:sz w:val="18"/>
                      <w:szCs w:val="18"/>
                      <w:highlight w:val="none"/>
                      <w:lang w:val="en-US" w:eastAsia="zh-CN"/>
                    </w:rPr>
                  </w:pPr>
                  <w:r>
                    <w:rPr>
                      <w:rFonts w:hint="default" w:ascii="宋体" w:hAnsi="宋体" w:eastAsia="宋体" w:cs="宋体"/>
                      <w:color w:val="auto"/>
                      <w:kern w:val="0"/>
                      <w:sz w:val="18"/>
                      <w:szCs w:val="18"/>
                      <w:highlight w:val="none"/>
                      <w:lang w:val="en-US" w:eastAsia="zh-CN" w:bidi="ar"/>
                    </w:rPr>
                    <w:t>1、</w:t>
                  </w:r>
                  <w:r>
                    <w:rPr>
                      <w:rFonts w:hint="eastAsia" w:ascii="宋体" w:hAnsi="宋体" w:eastAsia="宋体" w:cs="宋体"/>
                      <w:color w:val="auto"/>
                      <w:kern w:val="0"/>
                      <w:sz w:val="18"/>
                      <w:szCs w:val="18"/>
                      <w:highlight w:val="none"/>
                      <w:lang w:val="en-US" w:eastAsia="zh-CN" w:bidi="ar"/>
                    </w:rPr>
                    <w:t>项目采取严格的环境风险防范措施，防止对区域周边环境敏感点和地表水环境造成影响</w:t>
                  </w:r>
                  <w:r>
                    <w:rPr>
                      <w:rFonts w:hint="default" w:ascii="宋体" w:hAnsi="宋体" w:eastAsia="宋体" w:cs="宋体"/>
                      <w:color w:val="auto"/>
                      <w:kern w:val="0"/>
                      <w:sz w:val="18"/>
                      <w:szCs w:val="18"/>
                      <w:highlight w:val="none"/>
                      <w:lang w:val="en-US" w:eastAsia="zh-CN" w:bidi="ar"/>
                    </w:rPr>
                    <w:t>；2、</w:t>
                  </w:r>
                  <w:r>
                    <w:rPr>
                      <w:rFonts w:hint="eastAsia" w:ascii="宋体" w:hAnsi="宋体" w:cs="宋体"/>
                      <w:color w:val="auto"/>
                      <w:kern w:val="0"/>
                      <w:sz w:val="18"/>
                      <w:szCs w:val="18"/>
                      <w:highlight w:val="none"/>
                      <w:lang w:val="en-US" w:eastAsia="zh-CN" w:bidi="ar"/>
                    </w:rPr>
                    <w:t>3、公司的突发环境事件应急预案于2026年3月13日在唐山市生态环境局迁安市分局备案(编号为130283-2026-036-H)。项目针对可能出现的突发环境事件制定了完善的风险防范措施，环境风险可防控。</w:t>
                  </w:r>
                  <w:r>
                    <w:rPr>
                      <w:rFonts w:hint="eastAsia" w:ascii="宋体" w:hAnsi="宋体" w:eastAsia="宋体" w:cs="宋体"/>
                      <w:color w:val="auto"/>
                      <w:kern w:val="0"/>
                      <w:sz w:val="18"/>
                      <w:szCs w:val="18"/>
                      <w:highlight w:val="none"/>
                      <w:lang w:val="en-US" w:eastAsia="zh-CN" w:bidi="ar"/>
                    </w:rPr>
                    <w:t>4、项目不属于土壤污染重点监管单位，</w:t>
                  </w:r>
                  <w:r>
                    <w:rPr>
                      <w:rFonts w:hint="default" w:ascii="宋体" w:hAnsi="宋体" w:eastAsia="宋体" w:cs="宋体"/>
                      <w:color w:val="auto"/>
                      <w:kern w:val="0"/>
                      <w:sz w:val="18"/>
                      <w:szCs w:val="18"/>
                      <w:highlight w:val="none"/>
                      <w:lang w:val="en-US" w:eastAsia="zh-CN" w:bidi="ar"/>
                    </w:rPr>
                    <w:t>项目采取分区防渗等措施，对土壤污染较小；</w:t>
                  </w:r>
                </w:p>
              </w:tc>
              <w:tc>
                <w:tcPr>
                  <w:tcW w:w="283" w:type="pct"/>
                  <w:vAlign w:val="center"/>
                </w:tcPr>
                <w:p w14:paraId="7322D02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spacing w:val="-6"/>
                      <w:kern w:val="0"/>
                      <w:sz w:val="18"/>
                      <w:szCs w:val="18"/>
                      <w:highlight w:val="none"/>
                    </w:rPr>
                    <w:t>符合</w:t>
                  </w:r>
                </w:p>
              </w:tc>
            </w:tr>
            <w:tr w14:paraId="699CB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trPr>
              <w:tc>
                <w:tcPr>
                  <w:tcW w:w="368" w:type="pct"/>
                  <w:vMerge w:val="continue"/>
                  <w:tcMar>
                    <w:left w:w="28" w:type="dxa"/>
                    <w:right w:w="28" w:type="dxa"/>
                  </w:tcMar>
                  <w:vAlign w:val="center"/>
                </w:tcPr>
                <w:p w14:paraId="08D7400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255" w:type="pct"/>
                  <w:vMerge w:val="continue"/>
                  <w:tcMar>
                    <w:left w:w="28" w:type="dxa"/>
                    <w:right w:w="28" w:type="dxa"/>
                  </w:tcMar>
                  <w:vAlign w:val="center"/>
                </w:tcPr>
                <w:p w14:paraId="44BFA787">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553" w:type="pct"/>
                  <w:vMerge w:val="continue"/>
                  <w:tcMar>
                    <w:left w:w="28" w:type="dxa"/>
                    <w:right w:w="28" w:type="dxa"/>
                  </w:tcMar>
                  <w:vAlign w:val="center"/>
                </w:tcPr>
                <w:p w14:paraId="078ACA3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357" w:type="pct"/>
                  <w:vMerge w:val="continue"/>
                  <w:tcMar>
                    <w:left w:w="28" w:type="dxa"/>
                    <w:right w:w="28" w:type="dxa"/>
                  </w:tcMar>
                  <w:vAlign w:val="center"/>
                </w:tcPr>
                <w:p w14:paraId="727CC0E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553" w:type="pct"/>
                  <w:vMerge w:val="continue"/>
                  <w:tcMar>
                    <w:left w:w="28" w:type="dxa"/>
                    <w:right w:w="28" w:type="dxa"/>
                  </w:tcMar>
                  <w:vAlign w:val="center"/>
                </w:tcPr>
                <w:p w14:paraId="3702243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p>
              </w:tc>
              <w:tc>
                <w:tcPr>
                  <w:tcW w:w="386" w:type="pct"/>
                  <w:tcMar>
                    <w:left w:w="28" w:type="dxa"/>
                    <w:right w:w="28" w:type="dxa"/>
                  </w:tcMar>
                  <w:vAlign w:val="center"/>
                </w:tcPr>
                <w:p w14:paraId="6834C71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spacing w:val="-6"/>
                      <w:kern w:val="0"/>
                      <w:sz w:val="18"/>
                      <w:szCs w:val="18"/>
                      <w:highlight w:val="none"/>
                    </w:rPr>
                  </w:pPr>
                  <w:r>
                    <w:rPr>
                      <w:rFonts w:hint="default" w:ascii="Times New Roman" w:hAnsi="Times New Roman" w:cs="Times New Roman"/>
                      <w:snapToGrid w:val="0"/>
                      <w:color w:val="auto"/>
                      <w:spacing w:val="-6"/>
                      <w:kern w:val="0"/>
                      <w:sz w:val="18"/>
                      <w:szCs w:val="18"/>
                      <w:highlight w:val="none"/>
                    </w:rPr>
                    <w:t>资源利用效率要求</w:t>
                  </w:r>
                </w:p>
              </w:tc>
              <w:tc>
                <w:tcPr>
                  <w:tcW w:w="1311" w:type="pct"/>
                  <w:tcMar>
                    <w:left w:w="28" w:type="dxa"/>
                    <w:right w:w="28" w:type="dxa"/>
                  </w:tcMar>
                  <w:vAlign w:val="center"/>
                </w:tcPr>
                <w:p w14:paraId="3F7D295C">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eastAsia" w:ascii="宋体" w:hAnsi="宋体" w:eastAsia="宋体" w:cs="宋体"/>
                      <w:color w:val="auto"/>
                      <w:kern w:val="0"/>
                      <w:sz w:val="18"/>
                      <w:szCs w:val="18"/>
                      <w:highlight w:val="none"/>
                      <w:lang w:val="en-US" w:eastAsia="zh-CN" w:bidi="ar"/>
                    </w:rPr>
                  </w:pPr>
                  <w:r>
                    <w:rPr>
                      <w:rFonts w:hint="default" w:ascii="宋体" w:hAnsi="宋体" w:eastAsia="宋体" w:cs="宋体"/>
                      <w:color w:val="auto"/>
                      <w:kern w:val="0"/>
                      <w:sz w:val="18"/>
                      <w:szCs w:val="18"/>
                      <w:highlight w:val="none"/>
                      <w:lang w:val="en-US" w:eastAsia="zh-CN" w:bidi="ar"/>
                    </w:rPr>
                    <w:t>1</w:t>
                  </w:r>
                  <w:r>
                    <w:rPr>
                      <w:rFonts w:hint="eastAsia" w:ascii="宋体" w:hAnsi="宋体" w:eastAsia="宋体" w:cs="宋体"/>
                      <w:color w:val="auto"/>
                      <w:kern w:val="0"/>
                      <w:sz w:val="18"/>
                      <w:szCs w:val="18"/>
                      <w:highlight w:val="none"/>
                      <w:lang w:val="en-US" w:eastAsia="zh-CN" w:bidi="ar"/>
                    </w:rPr>
                    <w:t>、提高水资源利用效率，减少新鲜水用量。</w:t>
                  </w:r>
                </w:p>
                <w:p w14:paraId="4BC5DCFF">
                  <w:pPr>
                    <w:keepNext w:val="0"/>
                    <w:keepLines w:val="0"/>
                    <w:pageBreakBefore w:val="0"/>
                    <w:widowControl/>
                    <w:suppressLineNumbers w:val="0"/>
                    <w:kinsoku/>
                    <w:wordWrap/>
                    <w:overflowPunct/>
                    <w:topLinePunct w:val="0"/>
                    <w:autoSpaceDE w:val="0"/>
                    <w:autoSpaceDN w:val="0"/>
                    <w:bidi w:val="0"/>
                    <w:adjustRightInd w:val="0"/>
                    <w:snapToGrid w:val="0"/>
                    <w:spacing w:line="280" w:lineRule="exact"/>
                    <w:ind w:left="0" w:leftChars="0" w:firstLine="0" w:firstLineChars="0"/>
                    <w:jc w:val="both"/>
                    <w:textAlignment w:val="auto"/>
                    <w:rPr>
                      <w:rFonts w:hint="default" w:ascii="宋体" w:hAnsi="宋体" w:eastAsia="宋体" w:cs="宋体"/>
                      <w:color w:val="auto"/>
                      <w:kern w:val="0"/>
                      <w:sz w:val="18"/>
                      <w:szCs w:val="18"/>
                      <w:highlight w:val="none"/>
                      <w:lang w:val="en-US" w:eastAsia="zh-CN" w:bidi="ar"/>
                    </w:rPr>
                  </w:pPr>
                  <w:r>
                    <w:rPr>
                      <w:rFonts w:hint="default" w:ascii="宋体" w:hAnsi="宋体" w:eastAsia="宋体" w:cs="宋体"/>
                      <w:color w:val="auto"/>
                      <w:kern w:val="0"/>
                      <w:sz w:val="18"/>
                      <w:szCs w:val="18"/>
                      <w:highlight w:val="none"/>
                      <w:lang w:val="en-US" w:eastAsia="zh-CN" w:bidi="ar"/>
                    </w:rPr>
                    <w:t>2</w:t>
                  </w:r>
                  <w:r>
                    <w:rPr>
                      <w:rFonts w:hint="eastAsia" w:ascii="宋体" w:hAnsi="宋体" w:eastAsia="宋体" w:cs="宋体"/>
                      <w:color w:val="auto"/>
                      <w:kern w:val="0"/>
                      <w:sz w:val="18"/>
                      <w:szCs w:val="18"/>
                      <w:highlight w:val="none"/>
                      <w:lang w:val="en-US" w:eastAsia="zh-CN" w:bidi="ar"/>
                    </w:rPr>
                    <w:t>、鼓励锅炉、工业炉窑进行余热利用。</w:t>
                  </w:r>
                </w:p>
              </w:tc>
              <w:tc>
                <w:tcPr>
                  <w:tcW w:w="929" w:type="pct"/>
                  <w:vAlign w:val="center"/>
                </w:tcPr>
                <w:p w14:paraId="00BC0C37">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eastAsia="宋体" w:cs="Times New Roman"/>
                      <w:snapToGrid w:val="0"/>
                      <w:color w:val="auto"/>
                      <w:kern w:val="0"/>
                      <w:sz w:val="18"/>
                      <w:szCs w:val="18"/>
                      <w:highlight w:val="none"/>
                      <w:lang w:val="en-US" w:eastAsia="zh-CN"/>
                    </w:rPr>
                  </w:pPr>
                  <w:r>
                    <w:rPr>
                      <w:rFonts w:hint="default" w:ascii="Times New Roman" w:hAnsi="Times New Roman" w:eastAsia="宋体" w:cs="Times New Roman"/>
                      <w:snapToGrid w:val="0"/>
                      <w:color w:val="auto"/>
                      <w:kern w:val="0"/>
                      <w:sz w:val="18"/>
                      <w:szCs w:val="18"/>
                      <w:highlight w:val="none"/>
                      <w:lang w:val="en-US" w:eastAsia="zh-CN"/>
                    </w:rPr>
                    <w:t>1、</w:t>
                  </w:r>
                  <w:r>
                    <w:rPr>
                      <w:rFonts w:hint="default" w:ascii="Times New Roman" w:hAnsi="Times New Roman" w:cs="Times New Roman" w:eastAsiaTheme="minorEastAsia"/>
                      <w:color w:val="auto"/>
                      <w:kern w:val="0"/>
                      <w:sz w:val="18"/>
                      <w:szCs w:val="18"/>
                      <w:highlight w:val="none"/>
                      <w:lang w:val="en-US" w:eastAsia="zh-CN"/>
                    </w:rPr>
                    <w:t>项目</w:t>
                  </w:r>
                  <w:r>
                    <w:rPr>
                      <w:rFonts w:hint="eastAsia"/>
                      <w:color w:val="auto"/>
                      <w:sz w:val="18"/>
                      <w:szCs w:val="18"/>
                      <w:highlight w:val="none"/>
                      <w:lang w:val="en-US" w:eastAsia="zh-CN"/>
                    </w:rPr>
                    <w:t>用水由现有供水管网提供，洗车废水沉淀后循环使用，不外排，</w:t>
                  </w:r>
                  <w:r>
                    <w:rPr>
                      <w:rFonts w:hint="default" w:ascii="Times New Roman" w:hAnsi="Times New Roman" w:cs="Times New Roman"/>
                      <w:color w:val="auto"/>
                      <w:sz w:val="18"/>
                      <w:szCs w:val="18"/>
                      <w:highlight w:val="none"/>
                    </w:rPr>
                    <w:t>本项目无新增生活污水</w:t>
                  </w:r>
                  <w:r>
                    <w:rPr>
                      <w:rFonts w:hint="default" w:ascii="Times New Roman" w:hAnsi="Times New Roman" w:eastAsia="宋体" w:cs="Times New Roman"/>
                      <w:snapToGrid w:val="0"/>
                      <w:color w:val="auto"/>
                      <w:kern w:val="0"/>
                      <w:sz w:val="18"/>
                      <w:szCs w:val="18"/>
                      <w:highlight w:val="none"/>
                      <w:lang w:val="en-US" w:eastAsia="zh-CN"/>
                    </w:rPr>
                    <w:t>；2、项目不涉及。</w:t>
                  </w:r>
                </w:p>
              </w:tc>
              <w:tc>
                <w:tcPr>
                  <w:tcW w:w="283" w:type="pct"/>
                  <w:vAlign w:val="center"/>
                </w:tcPr>
                <w:p w14:paraId="492D4AD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both"/>
                    <w:textAlignment w:val="auto"/>
                    <w:rPr>
                      <w:rFonts w:hint="default" w:ascii="Times New Roman" w:hAnsi="Times New Roman" w:cs="Times New Roman"/>
                      <w:snapToGrid w:val="0"/>
                      <w:color w:val="auto"/>
                      <w:kern w:val="0"/>
                      <w:sz w:val="18"/>
                      <w:szCs w:val="18"/>
                      <w:highlight w:val="none"/>
                    </w:rPr>
                  </w:pPr>
                  <w:r>
                    <w:rPr>
                      <w:rFonts w:hint="default" w:ascii="Times New Roman" w:hAnsi="Times New Roman" w:cs="Times New Roman"/>
                      <w:snapToGrid w:val="0"/>
                      <w:color w:val="auto"/>
                      <w:spacing w:val="-6"/>
                      <w:kern w:val="0"/>
                      <w:sz w:val="18"/>
                      <w:szCs w:val="18"/>
                      <w:highlight w:val="none"/>
                    </w:rPr>
                    <w:t>符合</w:t>
                  </w:r>
                </w:p>
              </w:tc>
            </w:tr>
          </w:tbl>
          <w:p w14:paraId="4156F53E">
            <w:pPr>
              <w:keepNext w:val="0"/>
              <w:keepLines w:val="0"/>
              <w:pageBreakBefore w:val="0"/>
              <w:widowControl/>
              <w:kinsoku/>
              <w:wordWrap/>
              <w:overflowPunct/>
              <w:topLinePunct w:val="0"/>
              <w:autoSpaceDE w:val="0"/>
              <w:autoSpaceDN w:val="0"/>
              <w:bidi w:val="0"/>
              <w:adjustRightInd w:val="0"/>
              <w:snapToGrid w:val="0"/>
              <w:ind w:firstLine="422"/>
              <w:textAlignment w:val="auto"/>
              <w:rPr>
                <w:rFonts w:hint="default" w:ascii="Times New Roman" w:hAnsi="Times New Roman" w:cs="Times New Roman"/>
                <w:b/>
                <w:bCs/>
                <w:color w:val="auto"/>
                <w:kern w:val="0"/>
                <w:sz w:val="21"/>
                <w:szCs w:val="21"/>
                <w:highlight w:val="none"/>
                <w:lang w:val="en-US" w:eastAsia="zh-CN"/>
              </w:rPr>
            </w:pPr>
            <w:r>
              <w:rPr>
                <w:rFonts w:hint="default" w:ascii="Times New Roman" w:hAnsi="Times New Roman" w:cs="Times New Roman"/>
                <w:b/>
                <w:bCs/>
                <w:color w:val="auto"/>
                <w:kern w:val="0"/>
                <w:sz w:val="21"/>
                <w:szCs w:val="21"/>
                <w:highlight w:val="none"/>
                <w:lang w:val="en-US" w:eastAsia="zh-CN"/>
              </w:rPr>
              <w:t>4、</w:t>
            </w:r>
            <w:r>
              <w:rPr>
                <w:rFonts w:hint="default" w:ascii="Times New Roman" w:hAnsi="Times New Roman" w:cs="Times New Roman"/>
                <w:b/>
                <w:bCs/>
                <w:color w:val="auto"/>
                <w:kern w:val="0"/>
                <w:sz w:val="21"/>
                <w:szCs w:val="21"/>
                <w:highlight w:val="none"/>
              </w:rPr>
              <w:t>与《</w:t>
            </w:r>
            <w:r>
              <w:rPr>
                <w:rFonts w:hint="default" w:ascii="Times New Roman" w:hAnsi="Times New Roman" w:cs="Times New Roman"/>
                <w:b/>
                <w:bCs/>
                <w:color w:val="auto"/>
                <w:kern w:val="0"/>
                <w:sz w:val="21"/>
                <w:szCs w:val="21"/>
                <w:highlight w:val="none"/>
                <w:lang w:eastAsia="zh-CN"/>
              </w:rPr>
              <w:t>迁安市国土空间总体规划</w:t>
            </w:r>
            <w:r>
              <w:rPr>
                <w:rFonts w:hint="default" w:ascii="Times New Roman" w:hAnsi="Times New Roman" w:cs="Times New Roman"/>
                <w:b/>
                <w:bCs/>
                <w:color w:val="auto"/>
                <w:kern w:val="0"/>
                <w:sz w:val="21"/>
                <w:szCs w:val="21"/>
                <w:highlight w:val="none"/>
                <w:lang w:val="en-US" w:eastAsia="zh-CN"/>
              </w:rPr>
              <w:t>(2021-2035)</w:t>
            </w:r>
            <w:r>
              <w:rPr>
                <w:rFonts w:hint="default" w:ascii="Times New Roman" w:hAnsi="Times New Roman" w:cs="Times New Roman"/>
                <w:b/>
                <w:bCs/>
                <w:color w:val="auto"/>
                <w:kern w:val="0"/>
                <w:sz w:val="21"/>
                <w:szCs w:val="21"/>
                <w:highlight w:val="none"/>
              </w:rPr>
              <w:t>》符合性</w:t>
            </w:r>
            <w:r>
              <w:rPr>
                <w:rFonts w:hint="default" w:ascii="Times New Roman" w:hAnsi="Times New Roman" w:cs="Times New Roman"/>
                <w:b/>
                <w:bCs/>
                <w:color w:val="auto"/>
                <w:kern w:val="0"/>
                <w:sz w:val="21"/>
                <w:szCs w:val="21"/>
                <w:highlight w:val="none"/>
                <w:lang w:val="en-US" w:eastAsia="zh-CN"/>
              </w:rPr>
              <w:t>分析</w:t>
            </w:r>
          </w:p>
          <w:p w14:paraId="304CEE44">
            <w:pPr>
              <w:keepNext w:val="0"/>
              <w:keepLines w:val="0"/>
              <w:pageBreakBefore w:val="0"/>
              <w:widowControl w:val="0"/>
              <w:kinsoku/>
              <w:wordWrap/>
              <w:overflowPunct/>
              <w:topLinePunct w:val="0"/>
              <w:autoSpaceDE w:val="0"/>
              <w:autoSpaceDN w:val="0"/>
              <w:bidi w:val="0"/>
              <w:adjustRightInd/>
              <w:snapToGrid/>
              <w:spacing w:line="360" w:lineRule="auto"/>
              <w:ind w:firstLine="420" w:firstLineChars="200"/>
              <w:contextualSpacing/>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根据《迁安市国土空间总体规划(202</w:t>
            </w:r>
            <w:r>
              <w:rPr>
                <w:rFonts w:hint="default" w:ascii="Times New Roman" w:hAnsi="Times New Roman" w:eastAsia="宋体"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-2035年)》中，</w:t>
            </w:r>
            <w:r>
              <w:rPr>
                <w:rFonts w:hint="default" w:ascii="Times New Roman" w:hAnsi="Times New Roman" w:cs="Times New Roman"/>
                <w:color w:val="auto"/>
                <w:kern w:val="0"/>
                <w:sz w:val="21"/>
                <w:szCs w:val="21"/>
                <w:highlight w:val="none"/>
                <w:lang w:bidi="ar"/>
              </w:rPr>
              <w:t>本项目位于</w:t>
            </w:r>
            <w:r>
              <w:rPr>
                <w:rFonts w:hint="default" w:ascii="Times New Roman" w:hAnsi="Times New Roman" w:cs="Times New Roman" w:eastAsiaTheme="minorEastAsia"/>
                <w:color w:val="auto"/>
                <w:kern w:val="0"/>
                <w:szCs w:val="21"/>
                <w:highlight w:val="none"/>
                <w:lang w:val="en-US" w:eastAsia="zh-CN"/>
              </w:rPr>
              <w:t>河北迁安经济开发区，公司现有厂区内</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位于城镇开发边界，不涉及基本农田和生态保护红线</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如</w:t>
            </w:r>
            <w:r>
              <w:rPr>
                <w:rFonts w:hint="default" w:ascii="Times New Roman" w:hAnsi="Times New Roman" w:eastAsia="宋体" w:cs="Times New Roman"/>
                <w:color w:val="auto"/>
                <w:sz w:val="21"/>
                <w:szCs w:val="21"/>
                <w:highlight w:val="none"/>
                <w:lang w:val="en-US" w:eastAsia="zh-CN"/>
              </w:rPr>
              <w:t>下</w:t>
            </w:r>
            <w:r>
              <w:rPr>
                <w:rFonts w:hint="default" w:ascii="Times New Roman" w:hAnsi="Times New Roman" w:eastAsia="宋体" w:cs="Times New Roman"/>
                <w:color w:val="auto"/>
                <w:sz w:val="21"/>
                <w:szCs w:val="21"/>
                <w:highlight w:val="none"/>
              </w:rPr>
              <w:t>图。</w:t>
            </w:r>
          </w:p>
          <w:p w14:paraId="46B59AE9">
            <w:pPr>
              <w:ind w:left="0" w:leftChars="0" w:firstLine="0" w:firstLineChars="0"/>
              <w:jc w:val="center"/>
              <w:rPr>
                <w:rFonts w:hint="default" w:ascii="Times New Roman" w:hAnsi="Times New Roman" w:eastAsia="宋体" w:cs="Times New Roman"/>
                <w:b/>
                <w:color w:val="auto"/>
                <w:kern w:val="2"/>
                <w:szCs w:val="21"/>
                <w:highlight w:val="none"/>
              </w:rPr>
            </w:pPr>
            <w:r>
              <w:rPr>
                <w:rFonts w:hint="default" w:ascii="Times New Roman" w:hAnsi="Times New Roman" w:eastAsia="宋体" w:cs="Times New Roman"/>
                <w:b/>
                <w:color w:val="auto"/>
                <w:kern w:val="2"/>
                <w:szCs w:val="21"/>
                <w:highlight w:val="none"/>
              </w:rPr>
              <w:object>
                <v:shape id="_x0000_i1029" o:spt="75" type="#_x0000_t75" style="height:531.65pt;width:376.8pt;" o:ole="t" filled="f" o:preferrelative="t" stroked="f" coordsize="21600,21600">
                  <v:path/>
                  <v:fill on="f" focussize="0,0"/>
                  <v:stroke on="f"/>
                  <v:imagedata r:id="rId21" o:title=""/>
                  <o:lock v:ext="edit" aspectratio="f"/>
                  <w10:wrap type="none"/>
                  <w10:anchorlock/>
                </v:shape>
                <o:OLEObject Type="Embed" ProgID="Visio.Drawing.11" ShapeID="_x0000_i1029" DrawAspect="Content" ObjectID="_1468075728" r:id="rId20">
                  <o:LockedField>false</o:LockedField>
                </o:OLEObject>
              </w:object>
            </w:r>
          </w:p>
          <w:p w14:paraId="5E9D9AFB">
            <w:pPr>
              <w:ind w:left="0" w:leftChars="0" w:firstLine="0" w:firstLineChars="0"/>
              <w:jc w:val="center"/>
              <w:rPr>
                <w:rFonts w:hint="default" w:ascii="Times New Roman" w:hAnsi="Times New Roman" w:cs="Times New Roman"/>
                <w:color w:val="auto"/>
                <w:highlight w:val="none"/>
              </w:rPr>
            </w:pPr>
            <w:r>
              <w:rPr>
                <w:rFonts w:hint="default" w:ascii="Times New Roman" w:hAnsi="Times New Roman" w:eastAsia="宋体" w:cs="Times New Roman"/>
                <w:b/>
                <w:color w:val="auto"/>
                <w:kern w:val="2"/>
                <w:szCs w:val="21"/>
                <w:highlight w:val="none"/>
              </w:rPr>
              <w:t>图</w:t>
            </w:r>
            <w:r>
              <w:rPr>
                <w:rFonts w:hint="eastAsia" w:ascii="Times New Roman" w:hAnsi="Times New Roman" w:cs="Times New Roman"/>
                <w:b/>
                <w:color w:val="auto"/>
                <w:kern w:val="2"/>
                <w:szCs w:val="21"/>
                <w:highlight w:val="none"/>
                <w:lang w:val="en-US" w:eastAsia="zh-CN"/>
              </w:rPr>
              <w:t>1</w:t>
            </w:r>
            <w:r>
              <w:rPr>
                <w:rFonts w:hint="default" w:ascii="Times New Roman" w:hAnsi="Times New Roman" w:eastAsia="宋体" w:cs="Times New Roman"/>
                <w:b/>
                <w:color w:val="auto"/>
                <w:kern w:val="2"/>
                <w:szCs w:val="21"/>
                <w:highlight w:val="none"/>
              </w:rPr>
              <w:t>-</w:t>
            </w:r>
            <w:r>
              <w:rPr>
                <w:rFonts w:hint="eastAsia" w:cs="Times New Roman"/>
                <w:b/>
                <w:color w:val="auto"/>
                <w:kern w:val="2"/>
                <w:szCs w:val="21"/>
                <w:highlight w:val="none"/>
                <w:lang w:val="en-US" w:eastAsia="zh-CN"/>
              </w:rPr>
              <w:t>6</w:t>
            </w:r>
            <w:r>
              <w:rPr>
                <w:rFonts w:hint="default" w:ascii="Times New Roman" w:hAnsi="Times New Roman" w:eastAsia="宋体" w:cs="Times New Roman"/>
                <w:b/>
                <w:color w:val="auto"/>
                <w:kern w:val="2"/>
                <w:szCs w:val="21"/>
                <w:highlight w:val="none"/>
                <w:lang w:val="en-US" w:eastAsia="zh-CN"/>
              </w:rPr>
              <w:t xml:space="preserve"> </w:t>
            </w:r>
            <w:r>
              <w:rPr>
                <w:rFonts w:hint="default" w:ascii="Times New Roman" w:hAnsi="Times New Roman" w:eastAsia="宋体" w:cs="Times New Roman"/>
                <w:b/>
                <w:color w:val="auto"/>
                <w:kern w:val="0"/>
                <w:highlight w:val="none"/>
                <w:lang w:val="en-US" w:eastAsia="zh-CN"/>
              </w:rPr>
              <w:t xml:space="preserve"> </w:t>
            </w:r>
            <w:r>
              <w:rPr>
                <w:rFonts w:hint="default" w:ascii="Times New Roman" w:hAnsi="Times New Roman" w:eastAsia="宋体" w:cs="Times New Roman"/>
                <w:b/>
                <w:color w:val="auto"/>
                <w:kern w:val="0"/>
                <w:highlight w:val="none"/>
                <w:lang w:eastAsia="zh-CN"/>
              </w:rPr>
              <w:t>迁安市国土空间总体规划</w:t>
            </w:r>
            <w:r>
              <w:rPr>
                <w:rFonts w:hint="default" w:ascii="Times New Roman" w:hAnsi="Times New Roman" w:eastAsia="宋体" w:cs="Times New Roman"/>
                <w:b/>
                <w:color w:val="auto"/>
                <w:kern w:val="0"/>
                <w:highlight w:val="none"/>
                <w:lang w:val="en-US" w:eastAsia="zh-CN"/>
              </w:rPr>
              <w:t>图</w:t>
            </w:r>
          </w:p>
          <w:p w14:paraId="26BEB712">
            <w:pPr>
              <w:ind w:firstLine="422"/>
              <w:contextualSpacing/>
              <w:rPr>
                <w:rFonts w:hint="default" w:ascii="Times New Roman" w:hAnsi="Times New Roman" w:cs="Times New Roman"/>
                <w:b/>
                <w:color w:val="auto"/>
                <w:szCs w:val="21"/>
                <w:highlight w:val="none"/>
              </w:rPr>
            </w:pPr>
            <w:r>
              <w:rPr>
                <w:rFonts w:hint="default" w:ascii="Times New Roman" w:hAnsi="Times New Roman" w:cs="Times New Roman"/>
                <w:b/>
                <w:color w:val="auto"/>
                <w:szCs w:val="21"/>
                <w:highlight w:val="none"/>
                <w:lang w:val="en-US" w:eastAsia="zh-CN"/>
              </w:rPr>
              <w:t>5</w:t>
            </w:r>
            <w:r>
              <w:rPr>
                <w:rFonts w:hint="default" w:ascii="Times New Roman" w:hAnsi="Times New Roman" w:cs="Times New Roman"/>
                <w:b/>
                <w:color w:val="auto"/>
                <w:szCs w:val="21"/>
                <w:highlight w:val="none"/>
              </w:rPr>
              <w:t>、与沙区关系</w:t>
            </w:r>
          </w:p>
          <w:p w14:paraId="24603925">
            <w:pPr>
              <w:contextualSpacing/>
              <w:jc w:val="both"/>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根据《全国防沙治沙规划(2021-2030年)》，</w:t>
            </w:r>
            <w:r>
              <w:rPr>
                <w:rFonts w:hint="default" w:ascii="Times New Roman" w:hAnsi="Times New Roman" w:cs="Times New Roman"/>
                <w:color w:val="auto"/>
                <w:kern w:val="0"/>
                <w:sz w:val="21"/>
                <w:szCs w:val="21"/>
                <w:highlight w:val="none"/>
                <w:lang w:bidi="ar"/>
              </w:rPr>
              <w:t>本项目位于</w:t>
            </w:r>
            <w:r>
              <w:rPr>
                <w:rFonts w:hint="default" w:ascii="Times New Roman" w:hAnsi="Times New Roman" w:cs="Times New Roman" w:eastAsiaTheme="minorEastAsia"/>
                <w:color w:val="auto"/>
                <w:kern w:val="0"/>
                <w:szCs w:val="21"/>
                <w:highlight w:val="none"/>
                <w:lang w:val="en-US" w:eastAsia="zh-CN"/>
              </w:rPr>
              <w:t>河北迁安经济开发区，公司现有厂区内</w:t>
            </w:r>
            <w:r>
              <w:rPr>
                <w:rFonts w:hint="default" w:ascii="Times New Roman" w:hAnsi="Times New Roman" w:cs="Times New Roman"/>
                <w:color w:val="auto"/>
                <w:szCs w:val="21"/>
                <w:highlight w:val="none"/>
              </w:rPr>
              <w:t>。根据沙区范围图</w:t>
            </w:r>
            <w:r>
              <w:rPr>
                <w:rFonts w:hint="default" w:ascii="Times New Roman" w:hAnsi="Times New Roman" w:cs="Times New Roman"/>
                <w:color w:val="auto"/>
                <w:szCs w:val="21"/>
                <w:highlight w:val="none"/>
                <w:lang w:eastAsia="zh-CN"/>
              </w:rPr>
              <w:t>，</w:t>
            </w:r>
            <w:r>
              <w:rPr>
                <w:rFonts w:hint="default" w:ascii="Times New Roman" w:hAnsi="Times New Roman" w:cs="Times New Roman"/>
                <w:color w:val="auto"/>
                <w:szCs w:val="21"/>
                <w:highlight w:val="none"/>
                <w:lang w:val="en-US" w:eastAsia="zh-CN"/>
              </w:rPr>
              <w:t>项目不占沙化土地</w:t>
            </w:r>
            <w:r>
              <w:rPr>
                <w:rFonts w:hint="default" w:ascii="Times New Roman" w:hAnsi="Times New Roman" w:cs="Times New Roman"/>
                <w:color w:val="auto"/>
                <w:szCs w:val="21"/>
                <w:highlight w:val="none"/>
              </w:rPr>
              <w:t>。本项目与沙</w:t>
            </w:r>
            <w:r>
              <w:rPr>
                <w:rFonts w:hint="default" w:ascii="Times New Roman" w:hAnsi="Times New Roman" w:cs="Times New Roman"/>
                <w:color w:val="auto"/>
                <w:szCs w:val="21"/>
                <w:highlight w:val="none"/>
                <w:lang w:val="en-US" w:eastAsia="zh-CN"/>
              </w:rPr>
              <w:t>化土地</w:t>
            </w:r>
            <w:r>
              <w:rPr>
                <w:rFonts w:hint="default" w:ascii="Times New Roman" w:hAnsi="Times New Roman" w:cs="Times New Roman"/>
                <w:color w:val="auto"/>
                <w:szCs w:val="21"/>
                <w:highlight w:val="none"/>
              </w:rPr>
              <w:t>关系见</w:t>
            </w:r>
            <w:r>
              <w:rPr>
                <w:rFonts w:hint="eastAsia" w:ascii="Times New Roman" w:hAnsi="Times New Roman" w:cs="Times New Roman"/>
                <w:color w:val="auto"/>
                <w:szCs w:val="21"/>
                <w:highlight w:val="none"/>
                <w:lang w:val="en-US" w:eastAsia="zh-CN"/>
              </w:rPr>
              <w:t>下图</w:t>
            </w:r>
            <w:r>
              <w:rPr>
                <w:rFonts w:hint="default" w:ascii="Times New Roman" w:hAnsi="Times New Roman" w:cs="Times New Roman"/>
                <w:color w:val="auto"/>
                <w:szCs w:val="21"/>
                <w:highlight w:val="none"/>
              </w:rPr>
              <w:t>。</w:t>
            </w:r>
          </w:p>
          <w:p w14:paraId="7C63F54F">
            <w:pPr>
              <w:ind w:firstLine="0" w:firstLineChars="0"/>
              <w:contextualSpacing/>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30" o:spt="75" type="#_x0000_t75" style="height:243.7pt;width:376.6pt;" o:ole="t" filled="f" o:preferrelative="t" stroked="f" coordsize="21600,21600">
                  <v:path/>
                  <v:fill on="f" focussize="0,0"/>
                  <v:stroke on="f"/>
                  <v:imagedata r:id="rId23" o:title=""/>
                  <o:lock v:ext="edit" aspectratio="f"/>
                  <w10:wrap type="none"/>
                  <w10:anchorlock/>
                </v:shape>
                <o:OLEObject Type="Embed" ProgID="Visio.Drawing.11" ShapeID="_x0000_i1030" DrawAspect="Content" ObjectID="_1468075729" r:id="rId22">
                  <o:LockedField>false</o:LockedField>
                </o:OLEObject>
              </w:object>
            </w:r>
          </w:p>
          <w:p w14:paraId="69CD5448">
            <w:pPr>
              <w:autoSpaceDE w:val="0"/>
              <w:autoSpaceDN w:val="0"/>
              <w:adjustRightInd w:val="0"/>
              <w:ind w:left="0" w:leftChars="0" w:firstLine="0" w:firstLineChars="0"/>
              <w:contextualSpacing/>
              <w:jc w:val="center"/>
              <w:rPr>
                <w:rFonts w:hint="default" w:ascii="Times New Roman" w:hAnsi="Times New Roman" w:cs="Times New Roman"/>
                <w:b/>
                <w:color w:val="auto"/>
                <w:szCs w:val="21"/>
                <w:highlight w:val="none"/>
                <w:lang w:val="en-US" w:eastAsia="zh-CN"/>
              </w:rPr>
            </w:pPr>
            <w:r>
              <w:rPr>
                <w:rFonts w:hint="default" w:ascii="Times New Roman" w:hAnsi="Times New Roman" w:eastAsia="宋体" w:cs="Times New Roman"/>
                <w:b/>
                <w:color w:val="auto"/>
                <w:kern w:val="2"/>
                <w:szCs w:val="21"/>
                <w:highlight w:val="none"/>
              </w:rPr>
              <w:t>图</w:t>
            </w:r>
            <w:r>
              <w:rPr>
                <w:rFonts w:hint="eastAsia" w:ascii="Times New Roman" w:hAnsi="Times New Roman" w:cs="Times New Roman"/>
                <w:b/>
                <w:color w:val="auto"/>
                <w:kern w:val="2"/>
                <w:szCs w:val="21"/>
                <w:highlight w:val="none"/>
                <w:lang w:val="en-US" w:eastAsia="zh-CN"/>
              </w:rPr>
              <w:t>1</w:t>
            </w:r>
            <w:r>
              <w:rPr>
                <w:rFonts w:hint="default" w:ascii="Times New Roman" w:hAnsi="Times New Roman" w:eastAsia="宋体" w:cs="Times New Roman"/>
                <w:b/>
                <w:color w:val="auto"/>
                <w:kern w:val="2"/>
                <w:szCs w:val="21"/>
                <w:highlight w:val="none"/>
              </w:rPr>
              <w:t>-</w:t>
            </w:r>
            <w:r>
              <w:rPr>
                <w:rFonts w:hint="eastAsia" w:cs="Times New Roman"/>
                <w:b/>
                <w:color w:val="auto"/>
                <w:kern w:val="2"/>
                <w:szCs w:val="21"/>
                <w:highlight w:val="none"/>
                <w:lang w:val="en-US" w:eastAsia="zh-CN"/>
              </w:rPr>
              <w:t>7</w:t>
            </w:r>
            <w:r>
              <w:rPr>
                <w:rFonts w:hint="default" w:ascii="Times New Roman" w:hAnsi="Times New Roman" w:eastAsia="宋体" w:cs="Times New Roman"/>
                <w:b/>
                <w:color w:val="auto"/>
                <w:kern w:val="2"/>
                <w:szCs w:val="21"/>
                <w:highlight w:val="none"/>
                <w:lang w:val="en-US" w:eastAsia="zh-CN"/>
              </w:rPr>
              <w:t xml:space="preserve"> </w:t>
            </w:r>
            <w:r>
              <w:rPr>
                <w:rFonts w:hint="default" w:ascii="Times New Roman" w:hAnsi="Times New Roman" w:eastAsia="宋体" w:cs="Times New Roman"/>
                <w:b/>
                <w:color w:val="auto"/>
                <w:kern w:val="0"/>
                <w:highlight w:val="none"/>
                <w:lang w:val="en-US" w:eastAsia="zh-CN"/>
              </w:rPr>
              <w:t xml:space="preserve"> </w:t>
            </w:r>
            <w:r>
              <w:rPr>
                <w:rFonts w:hint="eastAsia" w:cs="Times New Roman"/>
                <w:b/>
                <w:color w:val="auto"/>
                <w:kern w:val="0"/>
                <w:highlight w:val="none"/>
                <w:lang w:val="en-US" w:eastAsia="zh-CN"/>
              </w:rPr>
              <w:t>项目与沙化土地位置关系图</w:t>
            </w:r>
          </w:p>
          <w:p w14:paraId="4D30C3C2">
            <w:pPr>
              <w:autoSpaceDE w:val="0"/>
              <w:autoSpaceDN w:val="0"/>
              <w:adjustRightInd w:val="0"/>
              <w:ind w:firstLine="422"/>
              <w:contextualSpacing/>
              <w:rPr>
                <w:rFonts w:hint="default" w:ascii="Times New Roman" w:hAnsi="Times New Roman" w:cs="Times New Roman"/>
                <w:b/>
                <w:color w:val="auto"/>
                <w:sz w:val="21"/>
                <w:szCs w:val="21"/>
                <w:highlight w:val="none"/>
              </w:rPr>
            </w:pPr>
            <w:r>
              <w:rPr>
                <w:rFonts w:hint="default" w:ascii="Times New Roman" w:hAnsi="Times New Roman" w:cs="Times New Roman"/>
                <w:b/>
                <w:color w:val="auto"/>
                <w:szCs w:val="21"/>
                <w:highlight w:val="none"/>
                <w:lang w:val="en-US" w:eastAsia="zh-CN"/>
              </w:rPr>
              <w:t>6</w:t>
            </w:r>
            <w:r>
              <w:rPr>
                <w:rFonts w:hint="default" w:ascii="Times New Roman" w:hAnsi="Times New Roman" w:eastAsia="宋体" w:cs="Times New Roman"/>
                <w:b/>
                <w:color w:val="auto"/>
                <w:szCs w:val="21"/>
                <w:highlight w:val="none"/>
                <w:lang w:val="en-US" w:eastAsia="zh-CN"/>
              </w:rPr>
              <w:t>、</w:t>
            </w:r>
            <w:r>
              <w:rPr>
                <w:rFonts w:hint="default" w:ascii="Times New Roman" w:hAnsi="Times New Roman" w:cs="Times New Roman"/>
                <w:b/>
                <w:color w:val="auto"/>
                <w:sz w:val="21"/>
                <w:szCs w:val="21"/>
                <w:highlight w:val="none"/>
              </w:rPr>
              <w:t>与生态环境保护规划符合性分析</w:t>
            </w:r>
          </w:p>
          <w:p w14:paraId="4BF4CFB2">
            <w:pPr>
              <w:ind w:firstLine="422"/>
              <w:rPr>
                <w:rFonts w:hint="default" w:ascii="Times New Roman" w:hAnsi="Times New Roman" w:cs="Times New Roman"/>
                <w:b/>
                <w:color w:val="auto"/>
                <w:kern w:val="0"/>
                <w:sz w:val="21"/>
                <w:szCs w:val="21"/>
                <w:highlight w:val="none"/>
              </w:rPr>
            </w:pPr>
            <w:r>
              <w:rPr>
                <w:rFonts w:hint="default" w:ascii="Times New Roman" w:hAnsi="Times New Roman" w:cs="Times New Roman"/>
                <w:b/>
                <w:color w:val="auto"/>
                <w:sz w:val="21"/>
                <w:szCs w:val="21"/>
                <w:highlight w:val="none"/>
              </w:rPr>
              <w:t>(1)与河北省生态环境保护“十四五”</w:t>
            </w:r>
            <w:r>
              <w:commentReference w:id="0"/>
            </w:r>
            <w:r>
              <w:rPr>
                <w:rFonts w:hint="default" w:ascii="Times New Roman" w:hAnsi="Times New Roman" w:cs="Times New Roman"/>
                <w:b/>
                <w:color w:val="auto"/>
                <w:sz w:val="21"/>
                <w:szCs w:val="21"/>
                <w:highlight w:val="none"/>
              </w:rPr>
              <w:t>规划符合性</w:t>
            </w:r>
          </w:p>
          <w:p w14:paraId="1D7D783E">
            <w:pPr>
              <w:pStyle w:val="21"/>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rPr>
              <w:t xml:space="preserve">表 </w:t>
            </w:r>
            <w:r>
              <w:rPr>
                <w:rFonts w:hint="eastAsia" w:ascii="Times New Roman" w:hAnsi="Times New Roman" w:cs="Times New Roman"/>
                <w:color w:val="auto"/>
                <w:highlight w:val="none"/>
                <w:lang w:val="en-US" w:eastAsia="zh-CN"/>
              </w:rPr>
              <w:t>1-</w:t>
            </w:r>
            <w:r>
              <w:rPr>
                <w:rFonts w:hint="eastAsia" w:cs="Times New Roman"/>
                <w:color w:val="auto"/>
                <w:highlight w:val="none"/>
                <w:lang w:val="en-US" w:eastAsia="zh-CN"/>
              </w:rPr>
              <w:t>15</w:t>
            </w:r>
            <w:r>
              <w:rPr>
                <w:rFonts w:hint="default" w:ascii="Times New Roman" w:hAnsi="Times New Roman" w:cs="Times New Roman"/>
                <w:color w:val="auto"/>
                <w:highlight w:val="none"/>
                <w:lang w:eastAsia="zh-CN"/>
              </w:rPr>
              <w:t xml:space="preserve">    本项目与《河北省生态环境保护“十四五”规划》符合性分析</w:t>
            </w:r>
          </w:p>
          <w:tbl>
            <w:tblPr>
              <w:tblStyle w:val="84"/>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00"/>
              <w:gridCol w:w="1763"/>
              <w:gridCol w:w="661"/>
            </w:tblGrid>
            <w:tr w14:paraId="1A533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3389" w:type="pct"/>
                  <w:vAlign w:val="center"/>
                </w:tcPr>
                <w:p w14:paraId="4C29D0DF">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规划要求</w:t>
                  </w:r>
                </w:p>
              </w:tc>
              <w:tc>
                <w:tcPr>
                  <w:tcW w:w="1171" w:type="pct"/>
                  <w:vAlign w:val="center"/>
                </w:tcPr>
                <w:p w14:paraId="48575634">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项目情况</w:t>
                  </w:r>
                </w:p>
              </w:tc>
              <w:tc>
                <w:tcPr>
                  <w:tcW w:w="439" w:type="pct"/>
                  <w:vAlign w:val="center"/>
                </w:tcPr>
                <w:p w14:paraId="2DA7492A">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35725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3389" w:type="pct"/>
                  <w:vAlign w:val="center"/>
                </w:tcPr>
                <w:p w14:paraId="73E8C727">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基本原则：坚持绿色发展。统筹减污降碳协同增效，加快推动产业、能源、交通运输结构调整，强化国土空间规划和用途管控，全面提高资源利用效率，推动能源清洁低碳安全高效利用。</w:t>
                  </w:r>
                </w:p>
                <w:p w14:paraId="7616518C">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坚持人民至上。坚持生态为民、生态利民、生态惠民，集中攻克突出生态环境问题，不断增强人民群众对生态环境的获得感、幸福感、安全感，以生态环境保护实际成效取信于民。</w:t>
                  </w:r>
                </w:p>
                <w:p w14:paraId="4265EAFA">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坚持系统观念。推进山水林田湖草沙一体化保护和修复，强化多污染物协同控制和区域协同治理，注重综合治理、系统治理、源头治理，提升生态系统质量和稳定性。</w:t>
                  </w:r>
                </w:p>
                <w:p w14:paraId="63A18AA8">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坚持底线思维。严格落实“三线一单”生态环境分区管控，健全环境风险防控机制，有效应对各类突发环境事件，全力保障生态环境安全，当好首都政治“护城河”。</w:t>
                  </w:r>
                </w:p>
                <w:p w14:paraId="0EF50025">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坚持改革创新。深入推进生态文明体制改革，完善生态环境保护领导体制和工作机制，加大技术、政策、管理创新力度，加快构建现代环境治理体系。</w:t>
                  </w:r>
                </w:p>
              </w:tc>
              <w:tc>
                <w:tcPr>
                  <w:tcW w:w="1171" w:type="pct"/>
                  <w:vAlign w:val="center"/>
                </w:tcPr>
                <w:p w14:paraId="4A3B0B20">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本项目位于</w:t>
                  </w:r>
                  <w:r>
                    <w:rPr>
                      <w:rFonts w:hint="default" w:ascii="Times New Roman" w:hAnsi="Times New Roman" w:cs="Times New Roman" w:eastAsiaTheme="minorEastAsia"/>
                      <w:color w:val="auto"/>
                      <w:kern w:val="0"/>
                      <w:szCs w:val="21"/>
                      <w:highlight w:val="none"/>
                      <w:lang w:val="en-US" w:eastAsia="zh-CN"/>
                    </w:rPr>
                    <w:t>河北迁安经济开发区，公司现有厂区内</w:t>
                  </w:r>
                  <w:r>
                    <w:rPr>
                      <w:rFonts w:hint="default" w:ascii="Times New Roman" w:hAnsi="Times New Roman" w:cs="Times New Roman"/>
                      <w:color w:val="auto"/>
                      <w:szCs w:val="21"/>
                      <w:highlight w:val="none"/>
                    </w:rPr>
                    <w:t>。</w:t>
                  </w:r>
                  <w:r>
                    <w:rPr>
                      <w:rFonts w:hint="default" w:ascii="Times New Roman" w:hAnsi="Times New Roman" w:cs="Times New Roman" w:eastAsiaTheme="minorEastAsia"/>
                      <w:color w:val="auto"/>
                      <w:kern w:val="0"/>
                      <w:szCs w:val="21"/>
                      <w:highlight w:val="none"/>
                    </w:rPr>
                    <w:t>根据《</w:t>
                  </w:r>
                  <w:r>
                    <w:rPr>
                      <w:rFonts w:hint="default" w:ascii="Times New Roman" w:hAnsi="Times New Roman" w:cs="Times New Roman" w:eastAsiaTheme="minorEastAsia"/>
                      <w:color w:val="auto"/>
                      <w:kern w:val="0"/>
                      <w:szCs w:val="21"/>
                      <w:highlight w:val="none"/>
                      <w:lang w:eastAsia="zh-CN"/>
                    </w:rPr>
                    <w:t>迁安市国土空间总体规划</w:t>
                  </w:r>
                  <w:r>
                    <w:rPr>
                      <w:rFonts w:hint="default" w:ascii="Times New Roman" w:hAnsi="Times New Roman" w:cs="Times New Roman" w:eastAsiaTheme="minorEastAsia"/>
                      <w:color w:val="auto"/>
                      <w:kern w:val="0"/>
                      <w:szCs w:val="21"/>
                      <w:highlight w:val="none"/>
                    </w:rPr>
                    <w:t>》，本项目不在生态保护红线区内，</w:t>
                  </w:r>
                  <w:r>
                    <w:rPr>
                      <w:rFonts w:hint="default" w:ascii="Times New Roman" w:hAnsi="Times New Roman" w:cs="Times New Roman" w:eastAsiaTheme="minorEastAsia"/>
                      <w:color w:val="auto"/>
                      <w:kern w:val="0"/>
                      <w:szCs w:val="21"/>
                      <w:highlight w:val="none"/>
                      <w:lang w:val="en-US" w:eastAsia="zh-CN"/>
                    </w:rPr>
                    <w:t>距离最近的生态保护红线为</w:t>
                  </w:r>
                  <w:r>
                    <w:rPr>
                      <w:rFonts w:hint="eastAsia" w:cs="Times New Roman" w:eastAsiaTheme="minorEastAsia"/>
                      <w:color w:val="auto"/>
                      <w:kern w:val="0"/>
                      <w:szCs w:val="21"/>
                      <w:highlight w:val="none"/>
                      <w:lang w:val="en-US" w:eastAsia="zh-CN"/>
                    </w:rPr>
                    <w:t>西</w:t>
                  </w:r>
                  <w:r>
                    <w:rPr>
                      <w:rFonts w:hint="default" w:ascii="Times New Roman" w:hAnsi="Times New Roman" w:cs="Times New Roman" w:eastAsiaTheme="minorEastAsia"/>
                      <w:color w:val="auto"/>
                      <w:kern w:val="0"/>
                      <w:szCs w:val="21"/>
                      <w:highlight w:val="none"/>
                      <w:lang w:val="en-US" w:eastAsia="zh-CN"/>
                    </w:rPr>
                    <w:t>南侧2</w:t>
                  </w:r>
                  <w:r>
                    <w:rPr>
                      <w:rFonts w:hint="eastAsia" w:cs="Times New Roman" w:eastAsiaTheme="minorEastAsia"/>
                      <w:color w:val="auto"/>
                      <w:kern w:val="0"/>
                      <w:szCs w:val="21"/>
                      <w:highlight w:val="none"/>
                      <w:lang w:val="en-US" w:eastAsia="zh-CN"/>
                    </w:rPr>
                    <w:t>.85</w:t>
                  </w:r>
                  <w:r>
                    <w:rPr>
                      <w:rFonts w:hint="default" w:ascii="Times New Roman" w:hAnsi="Times New Roman" w:cs="Times New Roman" w:eastAsiaTheme="minorEastAsia"/>
                      <w:color w:val="auto"/>
                      <w:kern w:val="0"/>
                      <w:szCs w:val="21"/>
                      <w:highlight w:val="none"/>
                      <w:lang w:val="en-US" w:eastAsia="zh-CN"/>
                    </w:rPr>
                    <w:t>km的</w:t>
                  </w:r>
                  <w:r>
                    <w:rPr>
                      <w:rFonts w:hint="default" w:ascii="Times New Roman" w:hAnsi="Times New Roman" w:cs="Times New Roman" w:eastAsiaTheme="minorEastAsia"/>
                      <w:color w:val="auto"/>
                      <w:kern w:val="0"/>
                      <w:szCs w:val="21"/>
                      <w:highlight w:val="none"/>
                    </w:rPr>
                    <w:t>燕山水源涵养-生物多样性维护生态保护红线。</w:t>
                  </w:r>
                </w:p>
              </w:tc>
              <w:tc>
                <w:tcPr>
                  <w:tcW w:w="439" w:type="pct"/>
                  <w:vAlign w:val="center"/>
                </w:tcPr>
                <w:p w14:paraId="414673A7">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29D1A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89" w:type="pct"/>
                  <w:vAlign w:val="center"/>
                </w:tcPr>
                <w:p w14:paraId="19C65271">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主要目标：绿色低碳转型成效显著。国土空间开发保护格局得到优化，绿色低碳发展加快推进，能源资源配置更加合理、利用效率大幅提高，单位地区生产总值能源消耗和碳排放强度持续降低，简约适度、绿色低碳的生活方式加快形成。</w:t>
                  </w:r>
                </w:p>
                <w:p w14:paraId="0AB2FD98">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态环境质量持续改善。主要污染物排放持续减少，环境空气质量全面改善，优良天数比率持续提高，基本消除重污染天气。水环境质量稳步提升，水生态功能初步得到恢复，海洋生态环境稳中向好，城乡人居环境明显改善。</w:t>
                  </w:r>
                </w:p>
                <w:p w14:paraId="7ACA43F4">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生态服务功能稳步提升。生态安全屏障更加牢固，生物多样性得到有效保护，自然保护地体系逐步完善，塞罕坝二次创业取得新成果，首都水源涵养功能区、京津冀生态环境支撑区建设取得明显成效。</w:t>
                  </w:r>
                </w:p>
                <w:p w14:paraId="486A5636">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环境风险得到有效防控。土壤污染风险得到有效管控，危险废物和新污染物治理能力明显增强，核与辐射环境风险有效管控，防范化解生态环境风险能力显著增强。</w:t>
                  </w:r>
                </w:p>
                <w:p w14:paraId="73D36618">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现代环境治理体系加快形成。生态环境监管和应急能力短板加快补齐，共建共治共享的生态环境治理体系更加健全，生态环境治理效能得到新提升。</w:t>
                  </w:r>
                </w:p>
              </w:tc>
              <w:tc>
                <w:tcPr>
                  <w:tcW w:w="1171" w:type="pct"/>
                  <w:vMerge w:val="restart"/>
                  <w:vAlign w:val="center"/>
                </w:tcPr>
                <w:p w14:paraId="277A6FF4">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本项目采取防渗措施，对土壤和地下水影响可接受</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项目环境风险</w:t>
                  </w:r>
                  <w:r>
                    <w:rPr>
                      <w:rFonts w:hint="default" w:ascii="Times New Roman" w:hAnsi="Times New Roman" w:cs="Times New Roman"/>
                      <w:color w:val="auto"/>
                      <w:sz w:val="21"/>
                      <w:szCs w:val="21"/>
                      <w:highlight w:val="none"/>
                      <w:lang w:val="en-US" w:eastAsia="zh-CN"/>
                    </w:rPr>
                    <w:t>可控</w:t>
                  </w:r>
                  <w:r>
                    <w:rPr>
                      <w:rFonts w:hint="default" w:ascii="Times New Roman" w:hAnsi="Times New Roman" w:cs="Times New Roman"/>
                      <w:color w:val="auto"/>
                      <w:szCs w:val="21"/>
                      <w:highlight w:val="none"/>
                    </w:rPr>
                    <w:t>。</w:t>
                  </w:r>
                </w:p>
              </w:tc>
              <w:tc>
                <w:tcPr>
                  <w:tcW w:w="439" w:type="pct"/>
                  <w:vMerge w:val="restart"/>
                  <w:vAlign w:val="center"/>
                </w:tcPr>
                <w:p w14:paraId="3FDD7174">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06716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3389" w:type="pct"/>
                  <w:vAlign w:val="center"/>
                </w:tcPr>
                <w:p w14:paraId="4849A4BF">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加强空间布局管控，严格环境准入管理，强化源头防控。理顺源头预防压力传导机制，落实溯源、断源、减排措施，切断污染物进入土壤、地下水环境的途径。</w:t>
                  </w:r>
                </w:p>
              </w:tc>
              <w:tc>
                <w:tcPr>
                  <w:tcW w:w="1171" w:type="pct"/>
                  <w:vMerge w:val="continue"/>
                  <w:vAlign w:val="center"/>
                </w:tcPr>
                <w:p w14:paraId="29893839">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p>
              </w:tc>
              <w:tc>
                <w:tcPr>
                  <w:tcW w:w="439" w:type="pct"/>
                  <w:vMerge w:val="continue"/>
                  <w:vAlign w:val="center"/>
                </w:tcPr>
                <w:p w14:paraId="02A927C8">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p>
              </w:tc>
            </w:tr>
            <w:tr w14:paraId="120CD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89" w:type="pct"/>
                  <w:vAlign w:val="center"/>
                </w:tcPr>
                <w:p w14:paraId="1E1B83B5">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强化空间布局优化与管理。强化国土空间规划和用途管控，推进重点行业统一规划、集聚发展，引导重点产业向环境容量充足地区布局。严格落实环境影响评价制度，涉及排放有毒有害物质可能造成土壤污染的新(改、扩)建项目，依法进行环境影响评价，提出并落实防腐蚀、防渗漏、防遗撒等土壤污染防治具体措施。</w:t>
                  </w:r>
                </w:p>
              </w:tc>
              <w:tc>
                <w:tcPr>
                  <w:tcW w:w="1171" w:type="pct"/>
                  <w:vMerge w:val="continue"/>
                  <w:vAlign w:val="center"/>
                </w:tcPr>
                <w:p w14:paraId="6299B542">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p>
              </w:tc>
              <w:tc>
                <w:tcPr>
                  <w:tcW w:w="439" w:type="pct"/>
                  <w:vMerge w:val="continue"/>
                  <w:vAlign w:val="center"/>
                </w:tcPr>
                <w:p w14:paraId="1888C17A">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p>
              </w:tc>
            </w:tr>
            <w:tr w14:paraId="17151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3389" w:type="pct"/>
                  <w:vAlign w:val="center"/>
                </w:tcPr>
                <w:p w14:paraId="4EB2780F">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强化重点监管单位监管。依据相关技术规范，动态更新土壤污染重点监管单位名录，依法纳入排污许可管理，严格落实土壤与地下水污染隐患排查、自行监测及有毒有害物质排放情况定期报告制度，加强企业拆除活动污染防治监管。依法监督尾矿库运营和管理单位履行土壤污染防治法定义务，防止其发生可能污染土壤的事故。</w:t>
                  </w:r>
                </w:p>
              </w:tc>
              <w:tc>
                <w:tcPr>
                  <w:tcW w:w="1171" w:type="pct"/>
                  <w:vMerge w:val="continue"/>
                  <w:vAlign w:val="center"/>
                </w:tcPr>
                <w:p w14:paraId="640FBD0E">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p>
              </w:tc>
              <w:tc>
                <w:tcPr>
                  <w:tcW w:w="439" w:type="pct"/>
                  <w:vMerge w:val="continue"/>
                  <w:vAlign w:val="center"/>
                </w:tcPr>
                <w:p w14:paraId="22478B9E">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p>
              </w:tc>
            </w:tr>
          </w:tbl>
          <w:p w14:paraId="2E7D5EC7">
            <w:pPr>
              <w:autoSpaceDE w:val="0"/>
              <w:autoSpaceDN w:val="0"/>
              <w:adjustRightInd w:val="0"/>
              <w:ind w:firstLine="420"/>
              <w:contextualSpacing/>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根据表分析，本项目符合《河北省生态环境保护“十四五”规划》中的相关要求。</w:t>
            </w:r>
          </w:p>
          <w:p w14:paraId="2FA67B25">
            <w:pPr>
              <w:ind w:firstLine="422"/>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(2)与唐山市生态环境保护“十四五”规划符合性</w:t>
            </w:r>
          </w:p>
          <w:p w14:paraId="684D58D6">
            <w:pPr>
              <w:pStyle w:val="21"/>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表</w:t>
            </w:r>
            <w:r>
              <w:rPr>
                <w:rFonts w:hint="eastAsia" w:ascii="Times New Roman" w:hAnsi="Times New Roman" w:cs="Times New Roman"/>
                <w:color w:val="auto"/>
                <w:highlight w:val="none"/>
                <w:lang w:val="en-US" w:eastAsia="zh-CN"/>
              </w:rPr>
              <w:t>1-</w:t>
            </w:r>
            <w:r>
              <w:rPr>
                <w:rFonts w:hint="eastAsia" w:cs="Times New Roman"/>
                <w:color w:val="auto"/>
                <w:highlight w:val="none"/>
                <w:lang w:val="en-US" w:eastAsia="zh-CN"/>
              </w:rPr>
              <w:t>16</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b/>
                <w:bCs/>
                <w:color w:val="auto"/>
                <w:sz w:val="21"/>
                <w:szCs w:val="21"/>
                <w:highlight w:val="none"/>
              </w:rPr>
              <w:t>本项目与《唐山市生态环境保护“十四五”规划》符合性分析</w:t>
            </w:r>
          </w:p>
          <w:tbl>
            <w:tblPr>
              <w:tblStyle w:val="84"/>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3839"/>
              <w:gridCol w:w="2128"/>
              <w:gridCol w:w="721"/>
            </w:tblGrid>
            <w:tr w14:paraId="5E53D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558" w:type="pct"/>
                  <w:vAlign w:val="center"/>
                </w:tcPr>
                <w:p w14:paraId="38FD7F46">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类别</w:t>
                  </w:r>
                </w:p>
              </w:tc>
              <w:tc>
                <w:tcPr>
                  <w:tcW w:w="2549" w:type="pct"/>
                  <w:vAlign w:val="center"/>
                </w:tcPr>
                <w:p w14:paraId="1496E004">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管控要求</w:t>
                  </w:r>
                </w:p>
              </w:tc>
              <w:tc>
                <w:tcPr>
                  <w:tcW w:w="1413" w:type="pct"/>
                  <w:vAlign w:val="center"/>
                </w:tcPr>
                <w:p w14:paraId="5B7B8B47">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本项目相关内容</w:t>
                  </w:r>
                </w:p>
              </w:tc>
              <w:tc>
                <w:tcPr>
                  <w:tcW w:w="478" w:type="pct"/>
                  <w:vAlign w:val="center"/>
                </w:tcPr>
                <w:p w14:paraId="73CC23D2">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对比结果</w:t>
                  </w:r>
                </w:p>
              </w:tc>
            </w:tr>
            <w:tr w14:paraId="3CA3E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58" w:type="pct"/>
                  <w:vAlign w:val="center"/>
                </w:tcPr>
                <w:p w14:paraId="381F58BD">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环境空气质量</w:t>
                  </w:r>
                </w:p>
              </w:tc>
              <w:tc>
                <w:tcPr>
                  <w:tcW w:w="2549" w:type="pct"/>
                  <w:vAlign w:val="center"/>
                </w:tcPr>
                <w:p w14:paraId="7F0D3BDD">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坚持标本兼治、系统施治，突出区域协同、措施协同、污染因子协同，以有效提升优良天数比率为主线，协同控制PM</w:t>
                  </w:r>
                  <w:r>
                    <w:rPr>
                      <w:rFonts w:hint="default" w:ascii="Times New Roman" w:hAnsi="Times New Roman" w:cs="Times New Roman"/>
                      <w:color w:val="auto"/>
                      <w:sz w:val="21"/>
                      <w:szCs w:val="21"/>
                      <w:highlight w:val="none"/>
                      <w:vertAlign w:val="subscript"/>
                    </w:rPr>
                    <w:t>2.5</w:t>
                  </w:r>
                  <w:r>
                    <w:rPr>
                      <w:rFonts w:hint="default" w:ascii="Times New Roman" w:hAnsi="Times New Roman" w:cs="Times New Roman"/>
                      <w:color w:val="auto"/>
                      <w:sz w:val="21"/>
                      <w:szCs w:val="21"/>
                      <w:highlight w:val="none"/>
                    </w:rPr>
                    <w:t>与臭氧污染，持续打好蓝天保卫战，推动环境空气质量持续改善，努力实现“蓝天白云、繁星闪烁”</w:t>
                  </w:r>
                </w:p>
              </w:tc>
              <w:tc>
                <w:tcPr>
                  <w:tcW w:w="1413" w:type="pct"/>
                  <w:vAlign w:val="center"/>
                </w:tcPr>
                <w:p w14:paraId="2A4679F0">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eastAsia" w:asciiTheme="minorEastAsia" w:hAnsiTheme="minorEastAsia" w:eastAsiaTheme="minorEastAsia" w:cstheme="minorEastAsia"/>
                      <w:color w:val="auto"/>
                      <w:spacing w:val="10"/>
                      <w:sz w:val="21"/>
                      <w:szCs w:val="21"/>
                      <w:highlight w:val="none"/>
                      <w:lang w:val="en-US" w:eastAsia="zh-CN"/>
                    </w:rPr>
                    <w:t>项目排放废气满足</w:t>
                  </w:r>
                  <w:r>
                    <w:rPr>
                      <w:rFonts w:hint="eastAsia" w:asciiTheme="minorEastAsia" w:hAnsiTheme="minorEastAsia" w:eastAsiaTheme="minorEastAsia" w:cstheme="minorEastAsia"/>
                      <w:snapToGrid w:val="0"/>
                      <w:color w:val="auto"/>
                      <w:sz w:val="21"/>
                      <w:szCs w:val="21"/>
                      <w:highlight w:val="none"/>
                    </w:rPr>
                    <w:t>《钢铁工业大气污染物超低排放标准》(DB13/2169-2018)</w:t>
                  </w:r>
                </w:p>
              </w:tc>
              <w:tc>
                <w:tcPr>
                  <w:tcW w:w="478" w:type="pct"/>
                  <w:vAlign w:val="center"/>
                </w:tcPr>
                <w:p w14:paraId="17352227">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6D749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58" w:type="pct"/>
                  <w:vAlign w:val="center"/>
                </w:tcPr>
                <w:p w14:paraId="50344318">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水生态环境</w:t>
                  </w:r>
                </w:p>
              </w:tc>
              <w:tc>
                <w:tcPr>
                  <w:tcW w:w="2549" w:type="pct"/>
                  <w:vAlign w:val="center"/>
                </w:tcPr>
                <w:p w14:paraId="30C88D10">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实施差别化环境准入政策，推进涉水工业企业全面入园进区。新设立和升级的经济开发区、高新技术产业开发区、出口加工区等工业园区必须同步规划和建设污水集中处理设施。督促加快完善工业园区配套管网、污水集中处理设施和自动监控系统，推进“清污分流、雨污分流”，实现废水分类收集、分质处理。入网企业污水必须达到集中处理要求，方可接入污水集中处理设施处理；直排水企业必须达到城镇污水处理厂一级A排放标准或行业特别排放标准。</w:t>
                  </w:r>
                </w:p>
              </w:tc>
              <w:tc>
                <w:tcPr>
                  <w:tcW w:w="1413" w:type="pct"/>
                  <w:vAlign w:val="center"/>
                </w:tcPr>
                <w:p w14:paraId="64BEED90">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项目洗车废水沉淀后循环使用，不外排，</w:t>
                  </w:r>
                  <w:r>
                    <w:rPr>
                      <w:rFonts w:hint="default" w:ascii="Times New Roman" w:hAnsi="Times New Roman" w:cs="Times New Roman"/>
                      <w:color w:val="auto"/>
                      <w:sz w:val="21"/>
                      <w:szCs w:val="21"/>
                      <w:highlight w:val="none"/>
                    </w:rPr>
                    <w:t>本项目无新增生活污水</w:t>
                  </w:r>
                  <w:r>
                    <w:rPr>
                      <w:rFonts w:hint="eastAsia"/>
                      <w:color w:val="auto"/>
                      <w:sz w:val="21"/>
                      <w:szCs w:val="21"/>
                      <w:highlight w:val="none"/>
                    </w:rPr>
                    <w:t>。</w:t>
                  </w:r>
                </w:p>
              </w:tc>
              <w:tc>
                <w:tcPr>
                  <w:tcW w:w="478" w:type="pct"/>
                  <w:vAlign w:val="center"/>
                </w:tcPr>
                <w:p w14:paraId="5BC2DC1F">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1A1D7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58" w:type="pct"/>
                  <w:vAlign w:val="center"/>
                </w:tcPr>
                <w:p w14:paraId="379C5BDD">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土壤地下水环境安全</w:t>
                  </w:r>
                </w:p>
              </w:tc>
              <w:tc>
                <w:tcPr>
                  <w:tcW w:w="2549" w:type="pct"/>
                  <w:vAlign w:val="center"/>
                </w:tcPr>
                <w:p w14:paraId="66AA5089">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严格落实环境影响评价制度，涉及有毒有害物质可能造成土壤污染的新(改、扩)建项目，依法进行环境影响评价，提出并落实防腐蚀、防渗漏、防遗撒等土壤污染防治具体措施。落实土壤和地下水污染防治要求。</w:t>
                  </w:r>
                </w:p>
              </w:tc>
              <w:tc>
                <w:tcPr>
                  <w:tcW w:w="1413" w:type="pct"/>
                  <w:vAlign w:val="center"/>
                </w:tcPr>
                <w:p w14:paraId="4C211C04">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本项目采取防渗措施，对土壤和地下水影响可接受</w:t>
                  </w:r>
                </w:p>
              </w:tc>
              <w:tc>
                <w:tcPr>
                  <w:tcW w:w="478" w:type="pct"/>
                  <w:vAlign w:val="center"/>
                </w:tcPr>
                <w:p w14:paraId="7B6C691A">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1E2D3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58" w:type="pct"/>
                  <w:vAlign w:val="center"/>
                </w:tcPr>
                <w:p w14:paraId="5E31675C">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固体废物</w:t>
                  </w:r>
                </w:p>
              </w:tc>
              <w:tc>
                <w:tcPr>
                  <w:tcW w:w="2549" w:type="pct"/>
                  <w:vAlign w:val="center"/>
                </w:tcPr>
                <w:p w14:paraId="5674468C">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加强固体废物、危险化学品生态环境风险防控，构建危险废物、医疗废物收集处置管理体系，全面推动废旧物资和可再生资源循环利用，减少固体废物对环境的污染。</w:t>
                  </w:r>
                </w:p>
              </w:tc>
              <w:tc>
                <w:tcPr>
                  <w:tcW w:w="1413" w:type="pct"/>
                  <w:vAlign w:val="center"/>
                </w:tcPr>
                <w:p w14:paraId="6988F5B2">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lang w:val="en-US"/>
                    </w:rPr>
                  </w:pPr>
                  <w:r>
                    <w:rPr>
                      <w:rFonts w:hint="eastAsia"/>
                      <w:color w:val="auto"/>
                      <w:sz w:val="21"/>
                      <w:szCs w:val="21"/>
                      <w:highlight w:val="none"/>
                      <w:lang w:val="en-US" w:eastAsia="zh-CN"/>
                    </w:rPr>
                    <w:t>项目各种固体废物均得到合理处置</w:t>
                  </w:r>
                </w:p>
              </w:tc>
              <w:tc>
                <w:tcPr>
                  <w:tcW w:w="478" w:type="pct"/>
                  <w:vAlign w:val="center"/>
                </w:tcPr>
                <w:p w14:paraId="7DEDFC9B">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bl>
          <w:p w14:paraId="5E33F465">
            <w:pPr>
              <w:ind w:firstLine="422"/>
              <w:contextualSpacing/>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根据表分析，本项目符合《唐山市生态环境保护“十四五”规划》中的相关要求。</w:t>
            </w:r>
          </w:p>
          <w:p w14:paraId="07A78BBA">
            <w:pPr>
              <w:ind w:firstLine="422"/>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w:t>
            </w:r>
            <w:r>
              <w:rPr>
                <w:rFonts w:hint="default" w:ascii="Times New Roman" w:hAnsi="Times New Roman" w:eastAsia="宋体" w:cs="Times New Roman"/>
                <w:b/>
                <w:color w:val="auto"/>
                <w:sz w:val="21"/>
                <w:szCs w:val="21"/>
                <w:highlight w:val="none"/>
                <w:lang w:val="en-US" w:eastAsia="zh-CN"/>
              </w:rPr>
              <w:t>3</w:t>
            </w:r>
            <w:r>
              <w:rPr>
                <w:rFonts w:hint="default" w:ascii="Times New Roman" w:hAnsi="Times New Roman" w:eastAsia="宋体" w:cs="Times New Roman"/>
                <w:b/>
                <w:color w:val="auto"/>
                <w:sz w:val="21"/>
                <w:szCs w:val="21"/>
                <w:highlight w:val="none"/>
              </w:rPr>
              <w:t>)与</w:t>
            </w:r>
            <w:r>
              <w:rPr>
                <w:rFonts w:hint="default" w:ascii="Times New Roman" w:hAnsi="Times New Roman" w:eastAsia="宋体" w:cs="Times New Roman"/>
                <w:b/>
                <w:color w:val="auto"/>
                <w:sz w:val="21"/>
                <w:szCs w:val="21"/>
                <w:highlight w:val="none"/>
                <w:lang w:val="en-US" w:eastAsia="zh-CN"/>
              </w:rPr>
              <w:t>迁安</w:t>
            </w:r>
            <w:r>
              <w:rPr>
                <w:rFonts w:hint="default" w:ascii="Times New Roman" w:hAnsi="Times New Roman" w:eastAsia="宋体" w:cs="Times New Roman"/>
                <w:b/>
                <w:color w:val="auto"/>
                <w:sz w:val="21"/>
                <w:szCs w:val="21"/>
                <w:highlight w:val="none"/>
              </w:rPr>
              <w:t>市生态环境保护“十四五”规划符合性</w:t>
            </w:r>
          </w:p>
          <w:p w14:paraId="42017CDB">
            <w:pPr>
              <w:pStyle w:val="21"/>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表</w:t>
            </w:r>
            <w:r>
              <w:rPr>
                <w:rFonts w:hint="eastAsia" w:ascii="Times New Roman" w:hAnsi="Times New Roman" w:cs="Times New Roman"/>
                <w:color w:val="auto"/>
                <w:highlight w:val="none"/>
                <w:lang w:val="en-US" w:eastAsia="zh-CN"/>
              </w:rPr>
              <w:t>1-1</w:t>
            </w:r>
            <w:r>
              <w:rPr>
                <w:rFonts w:hint="eastAsia" w:cs="Times New Roman"/>
                <w:color w:val="auto"/>
                <w:highlight w:val="none"/>
                <w:lang w:val="en-US" w:eastAsia="zh-CN"/>
              </w:rPr>
              <w:t>7</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b/>
                <w:bCs/>
                <w:color w:val="auto"/>
                <w:sz w:val="21"/>
                <w:szCs w:val="21"/>
                <w:highlight w:val="none"/>
              </w:rPr>
              <w:t>本项目与《</w:t>
            </w:r>
            <w:r>
              <w:rPr>
                <w:rFonts w:hint="default" w:ascii="Times New Roman" w:hAnsi="Times New Roman" w:cs="Times New Roman"/>
                <w:b/>
                <w:bCs/>
                <w:color w:val="auto"/>
                <w:sz w:val="21"/>
                <w:szCs w:val="21"/>
                <w:highlight w:val="none"/>
                <w:lang w:val="en-US" w:eastAsia="zh-CN"/>
              </w:rPr>
              <w:t>迁安市</w:t>
            </w:r>
            <w:r>
              <w:rPr>
                <w:rFonts w:hint="default" w:ascii="Times New Roman" w:hAnsi="Times New Roman" w:cs="Times New Roman"/>
                <w:b/>
                <w:bCs/>
                <w:color w:val="auto"/>
                <w:sz w:val="21"/>
                <w:szCs w:val="21"/>
                <w:highlight w:val="none"/>
              </w:rPr>
              <w:t>生态环境保护“十四五”规划》符合性分析</w:t>
            </w:r>
          </w:p>
          <w:tbl>
            <w:tblPr>
              <w:tblStyle w:val="84"/>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7"/>
              <w:gridCol w:w="3321"/>
              <w:gridCol w:w="2531"/>
              <w:gridCol w:w="789"/>
            </w:tblGrid>
            <w:tr w14:paraId="7F4E4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589" w:type="pct"/>
                  <w:vAlign w:val="center"/>
                </w:tcPr>
                <w:p w14:paraId="566516C8">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类别</w:t>
                  </w:r>
                </w:p>
              </w:tc>
              <w:tc>
                <w:tcPr>
                  <w:tcW w:w="2205" w:type="pct"/>
                  <w:vAlign w:val="center"/>
                </w:tcPr>
                <w:p w14:paraId="2EE1EC40">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管控要求</w:t>
                  </w:r>
                </w:p>
              </w:tc>
              <w:tc>
                <w:tcPr>
                  <w:tcW w:w="1681" w:type="pct"/>
                  <w:vAlign w:val="center"/>
                </w:tcPr>
                <w:p w14:paraId="51DDA7FE">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本项目相关内容</w:t>
                  </w:r>
                </w:p>
              </w:tc>
              <w:tc>
                <w:tcPr>
                  <w:tcW w:w="524" w:type="pct"/>
                  <w:vAlign w:val="center"/>
                </w:tcPr>
                <w:p w14:paraId="4BD4AEF9">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对比结果</w:t>
                  </w:r>
                </w:p>
              </w:tc>
            </w:tr>
            <w:tr w14:paraId="709D9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89" w:type="pct"/>
                  <w:vAlign w:val="center"/>
                </w:tcPr>
                <w:p w14:paraId="414D9938">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环境空气质量</w:t>
                  </w:r>
                </w:p>
              </w:tc>
              <w:tc>
                <w:tcPr>
                  <w:tcW w:w="2205" w:type="pct"/>
                  <w:vAlign w:val="center"/>
                </w:tcPr>
                <w:p w14:paraId="01295D02">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深入打好蓝天保卫战，持续改善环境空气质量。围绕“十四五”空气质量目标，严格落实唐山市大气环境质量限期达标规划中的相关要求。打好“压能、治企、减煤、降尘、控车”组合拳，深入推进“创B争A促引领”专项行动。</w:t>
                  </w:r>
                </w:p>
              </w:tc>
              <w:tc>
                <w:tcPr>
                  <w:tcW w:w="1681" w:type="pct"/>
                  <w:vAlign w:val="center"/>
                </w:tcPr>
                <w:p w14:paraId="523B0FE2">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eastAsia" w:asciiTheme="minorEastAsia" w:hAnsiTheme="minorEastAsia" w:eastAsiaTheme="minorEastAsia" w:cstheme="minorEastAsia"/>
                      <w:color w:val="auto"/>
                      <w:spacing w:val="10"/>
                      <w:sz w:val="21"/>
                      <w:szCs w:val="21"/>
                      <w:highlight w:val="none"/>
                      <w:lang w:val="en-US" w:eastAsia="zh-CN"/>
                    </w:rPr>
                    <w:t>项目排放废气满足</w:t>
                  </w:r>
                  <w:r>
                    <w:rPr>
                      <w:rFonts w:hint="eastAsia" w:asciiTheme="minorEastAsia" w:hAnsiTheme="minorEastAsia" w:eastAsiaTheme="minorEastAsia" w:cstheme="minorEastAsia"/>
                      <w:snapToGrid w:val="0"/>
                      <w:color w:val="auto"/>
                      <w:sz w:val="21"/>
                      <w:szCs w:val="21"/>
                      <w:highlight w:val="none"/>
                    </w:rPr>
                    <w:t>《钢铁工业大气污染物超低排放标准》(DB13/2169-2018)</w:t>
                  </w:r>
                </w:p>
              </w:tc>
              <w:tc>
                <w:tcPr>
                  <w:tcW w:w="524" w:type="pct"/>
                  <w:vAlign w:val="center"/>
                </w:tcPr>
                <w:p w14:paraId="3DCC6625">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47FDB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89" w:type="pct"/>
                  <w:vAlign w:val="center"/>
                </w:tcPr>
                <w:p w14:paraId="4A456198">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水生态环境</w:t>
                  </w:r>
                </w:p>
              </w:tc>
              <w:tc>
                <w:tcPr>
                  <w:tcW w:w="2205" w:type="pct"/>
                  <w:vAlign w:val="center"/>
                </w:tcPr>
                <w:p w14:paraId="3F5C372F">
                  <w:pPr>
                    <w:autoSpaceDE w:val="0"/>
                    <w:autoSpaceDN w:val="0"/>
                    <w:adjustRightInd w:val="0"/>
                    <w:spacing w:line="280" w:lineRule="exact"/>
                    <w:ind w:firstLine="0" w:firstLineChars="0"/>
                    <w:contextualSpacing/>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深入打好碧水保卫战，推进水生态环境改善。</w:t>
                  </w:r>
                </w:p>
              </w:tc>
              <w:tc>
                <w:tcPr>
                  <w:tcW w:w="1681" w:type="pct"/>
                  <w:vAlign w:val="center"/>
                </w:tcPr>
                <w:p w14:paraId="02501725">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项目洗车废水沉淀后循环使用，不外排，</w:t>
                  </w:r>
                  <w:r>
                    <w:rPr>
                      <w:rFonts w:hint="default" w:ascii="Times New Roman" w:hAnsi="Times New Roman" w:cs="Times New Roman"/>
                      <w:color w:val="auto"/>
                      <w:sz w:val="21"/>
                      <w:szCs w:val="21"/>
                      <w:highlight w:val="none"/>
                    </w:rPr>
                    <w:t>本项目无新增生活污水</w:t>
                  </w:r>
                  <w:r>
                    <w:rPr>
                      <w:rFonts w:hint="eastAsia"/>
                      <w:color w:val="auto"/>
                      <w:sz w:val="21"/>
                      <w:szCs w:val="21"/>
                      <w:highlight w:val="none"/>
                    </w:rPr>
                    <w:t>。</w:t>
                  </w:r>
                </w:p>
              </w:tc>
              <w:tc>
                <w:tcPr>
                  <w:tcW w:w="524" w:type="pct"/>
                  <w:vAlign w:val="center"/>
                </w:tcPr>
                <w:p w14:paraId="5F94D33A">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6483D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89" w:type="pct"/>
                  <w:vAlign w:val="center"/>
                </w:tcPr>
                <w:p w14:paraId="6CEE8DF3">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土壤地下水环境安全</w:t>
                  </w:r>
                </w:p>
              </w:tc>
              <w:tc>
                <w:tcPr>
                  <w:tcW w:w="2205" w:type="pct"/>
                  <w:vAlign w:val="center"/>
                </w:tcPr>
                <w:p w14:paraId="14DF017B">
                  <w:pPr>
                    <w:autoSpaceDE w:val="0"/>
                    <w:autoSpaceDN w:val="0"/>
                    <w:adjustRightInd w:val="0"/>
                    <w:spacing w:line="280" w:lineRule="exact"/>
                    <w:ind w:firstLine="0" w:firstLineChars="0"/>
                    <w:contextualSpacing/>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深入打好净土保卫战，保障土壤地下水环境安全。</w:t>
                  </w:r>
                </w:p>
              </w:tc>
              <w:tc>
                <w:tcPr>
                  <w:tcW w:w="1681" w:type="pct"/>
                  <w:vAlign w:val="center"/>
                </w:tcPr>
                <w:p w14:paraId="4F0607FD">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本项目采取分区防渗措施，对土壤和地下水影响可接受</w:t>
                  </w:r>
                </w:p>
              </w:tc>
              <w:tc>
                <w:tcPr>
                  <w:tcW w:w="524" w:type="pct"/>
                  <w:vAlign w:val="center"/>
                </w:tcPr>
                <w:p w14:paraId="77D682EB">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r w14:paraId="221E0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89" w:type="pct"/>
                  <w:vAlign w:val="center"/>
                </w:tcPr>
                <w:p w14:paraId="4271FBC5">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固体废物</w:t>
                  </w:r>
                </w:p>
              </w:tc>
              <w:tc>
                <w:tcPr>
                  <w:tcW w:w="2205" w:type="pct"/>
                  <w:vAlign w:val="center"/>
                </w:tcPr>
                <w:p w14:paraId="7F52291E">
                  <w:pPr>
                    <w:autoSpaceDE w:val="0"/>
                    <w:autoSpaceDN w:val="0"/>
                    <w:adjustRightInd w:val="0"/>
                    <w:spacing w:line="280" w:lineRule="exact"/>
                    <w:ind w:firstLine="0" w:firstLineChars="0"/>
                    <w:contextualSpacing/>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推进系统防治，构建固体废物防治体系。</w:t>
                  </w:r>
                </w:p>
              </w:tc>
              <w:tc>
                <w:tcPr>
                  <w:tcW w:w="1681" w:type="pct"/>
                  <w:vAlign w:val="center"/>
                </w:tcPr>
                <w:p w14:paraId="0EE6A5BE">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项目各种固体废物均得到合理处置</w:t>
                  </w:r>
                </w:p>
              </w:tc>
              <w:tc>
                <w:tcPr>
                  <w:tcW w:w="524" w:type="pct"/>
                  <w:vAlign w:val="center"/>
                </w:tcPr>
                <w:p w14:paraId="131480C2">
                  <w:pPr>
                    <w:autoSpaceDE w:val="0"/>
                    <w:autoSpaceDN w:val="0"/>
                    <w:adjustRightInd w:val="0"/>
                    <w:spacing w:line="280" w:lineRule="exact"/>
                    <w:ind w:firstLine="0" w:firstLineChars="0"/>
                    <w:contextualSpacing/>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bl>
          <w:p w14:paraId="421581FC">
            <w:pPr>
              <w:ind w:firstLine="422"/>
              <w:contextualSpacing/>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根据表分析，本项目符合《</w:t>
            </w:r>
            <w:r>
              <w:rPr>
                <w:rFonts w:hint="default" w:ascii="Times New Roman" w:hAnsi="Times New Roman" w:cs="Times New Roman"/>
                <w:color w:val="auto"/>
                <w:sz w:val="21"/>
                <w:szCs w:val="21"/>
                <w:highlight w:val="none"/>
                <w:lang w:val="en-US" w:eastAsia="zh-CN"/>
              </w:rPr>
              <w:t>迁安市</w:t>
            </w:r>
            <w:r>
              <w:rPr>
                <w:rFonts w:hint="default" w:ascii="Times New Roman" w:hAnsi="Times New Roman" w:cs="Times New Roman"/>
                <w:color w:val="auto"/>
                <w:sz w:val="21"/>
                <w:szCs w:val="21"/>
                <w:highlight w:val="none"/>
              </w:rPr>
              <w:t>生态环境保护“十四五”规划》中的相关要求。</w:t>
            </w:r>
          </w:p>
          <w:p w14:paraId="0B1BB230">
            <w:pPr>
              <w:pStyle w:val="2"/>
              <w:numPr>
                <w:ilvl w:val="0"/>
                <w:numId w:val="5"/>
              </w:numPr>
              <w:ind w:left="0" w:leftChars="0" w:firstLine="0" w:firstLineChars="0"/>
              <w:rPr>
                <w:rFonts w:hint="default"/>
                <w:color w:val="auto"/>
                <w:lang w:val="en-US" w:eastAsia="zh-CN"/>
              </w:rPr>
            </w:pPr>
            <w:r>
              <w:rPr>
                <w:rFonts w:hint="default" w:ascii="Times New Roman" w:hAnsi="Times New Roman" w:cs="Times New Roman"/>
                <w:b/>
                <w:color w:val="auto"/>
                <w:sz w:val="21"/>
                <w:szCs w:val="21"/>
                <w:highlight w:val="none"/>
              </w:rPr>
              <w:t>与</w:t>
            </w:r>
            <w:r>
              <w:rPr>
                <w:rFonts w:hint="eastAsia" w:ascii="Times New Roman" w:hAnsi="Times New Roman" w:cs="Times New Roman"/>
                <w:b/>
                <w:color w:val="auto"/>
                <w:sz w:val="21"/>
                <w:szCs w:val="21"/>
                <w:highlight w:val="none"/>
                <w:lang w:val="en-US" w:eastAsia="zh-CN"/>
              </w:rPr>
              <w:t>其他产业政策合理性</w:t>
            </w:r>
            <w:r>
              <w:rPr>
                <w:rFonts w:hint="default" w:ascii="Times New Roman" w:hAnsi="Times New Roman" w:cs="Times New Roman"/>
                <w:b/>
                <w:color w:val="auto"/>
                <w:sz w:val="21"/>
                <w:szCs w:val="21"/>
                <w:highlight w:val="none"/>
              </w:rPr>
              <w:t>分析</w:t>
            </w:r>
          </w:p>
          <w:p w14:paraId="38D2B079">
            <w:pPr>
              <w:pStyle w:val="3"/>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cs="Times New Roman"/>
                <w:b/>
                <w:color w:val="auto"/>
                <w:sz w:val="21"/>
                <w:szCs w:val="21"/>
                <w:highlight w:val="none"/>
                <w:lang w:val="en-US" w:eastAsia="zh-CN"/>
              </w:rPr>
              <w:t>(1)</w:t>
            </w:r>
            <w:r>
              <w:rPr>
                <w:rFonts w:hint="default" w:ascii="Times New Roman" w:hAnsi="Times New Roman" w:cs="Times New Roman"/>
                <w:b/>
                <w:color w:val="auto"/>
                <w:sz w:val="21"/>
                <w:szCs w:val="21"/>
                <w:highlight w:val="none"/>
              </w:rPr>
              <w:t>与《固体废物综合治理行动计划</w:t>
            </w:r>
            <w:r>
              <w:rPr>
                <w:rFonts w:hint="eastAsia" w:ascii="Times New Roman" w:hAnsi="Times New Roman" w:cs="Times New Roman"/>
                <w:b/>
                <w:color w:val="auto"/>
                <w:sz w:val="21"/>
                <w:szCs w:val="21"/>
                <w:highlight w:val="none"/>
                <w:lang w:eastAsia="zh-CN"/>
              </w:rPr>
              <w:t>》</w:t>
            </w:r>
            <w:r>
              <w:rPr>
                <w:rFonts w:hint="default" w:ascii="Times New Roman" w:hAnsi="Times New Roman" w:cs="Times New Roman"/>
                <w:b/>
                <w:color w:val="auto"/>
                <w:sz w:val="21"/>
                <w:szCs w:val="21"/>
                <w:highlight w:val="none"/>
              </w:rPr>
              <w:t>符合性</w:t>
            </w:r>
            <w:r>
              <w:rPr>
                <w:rFonts w:hint="eastAsia" w:ascii="Times New Roman" w:hAnsi="Times New Roman" w:cs="Times New Roman"/>
                <w:b/>
                <w:color w:val="auto"/>
                <w:sz w:val="21"/>
                <w:szCs w:val="21"/>
                <w:highlight w:val="none"/>
                <w:lang w:val="en-US" w:eastAsia="zh-CN"/>
              </w:rPr>
              <w:t>分析</w:t>
            </w:r>
          </w:p>
          <w:p w14:paraId="73BEF1C7">
            <w:pPr>
              <w:pStyle w:val="21"/>
              <w:rPr>
                <w:rFonts w:hint="default" w:ascii="Times New Roman" w:hAnsi="Times New Roman" w:cs="Times New Roman"/>
                <w:color w:val="auto"/>
                <w:highlight w:val="none"/>
              </w:rPr>
            </w:pPr>
            <w:r>
              <w:rPr>
                <w:rFonts w:hint="default" w:ascii="Times New Roman" w:hAnsi="Times New Roman" w:cs="Times New Roman"/>
                <w:color w:val="auto"/>
                <w:highlight w:val="none"/>
              </w:rPr>
              <w:t>表</w:t>
            </w:r>
            <w:r>
              <w:rPr>
                <w:rFonts w:hint="eastAsia" w:ascii="Times New Roman" w:hAnsi="Times New Roman" w:cs="Times New Roman"/>
                <w:color w:val="auto"/>
                <w:highlight w:val="none"/>
                <w:lang w:val="en-US" w:eastAsia="zh-CN"/>
              </w:rPr>
              <w:t>1-1</w:t>
            </w:r>
            <w:r>
              <w:rPr>
                <w:rFonts w:hint="eastAsia" w:cs="Times New Roman"/>
                <w:color w:val="auto"/>
                <w:highlight w:val="none"/>
                <w:lang w:val="en-US" w:eastAsia="zh-CN"/>
              </w:rPr>
              <w:t>8</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本项目与《固体废物综合治理行动计划</w:t>
            </w:r>
            <w:r>
              <w:rPr>
                <w:rFonts w:hint="eastAsia" w:ascii="Times New Roman" w:hAnsi="Times New Roman" w:cs="Times New Roman"/>
                <w:color w:val="auto"/>
                <w:highlight w:val="none"/>
                <w:lang w:eastAsia="zh-CN"/>
              </w:rPr>
              <w:t>》</w:t>
            </w:r>
            <w:r>
              <w:rPr>
                <w:rFonts w:hint="default" w:ascii="Times New Roman" w:hAnsi="Times New Roman" w:cs="Times New Roman"/>
                <w:color w:val="auto"/>
                <w:highlight w:val="none"/>
              </w:rPr>
              <w:t>符合性</w:t>
            </w:r>
            <w:r>
              <w:rPr>
                <w:rFonts w:hint="eastAsia" w:ascii="Times New Roman" w:hAnsi="Times New Roman" w:cs="Times New Roman"/>
                <w:color w:val="auto"/>
                <w:highlight w:val="none"/>
                <w:lang w:val="en-US" w:eastAsia="zh-CN"/>
              </w:rPr>
              <w:t>分析</w:t>
            </w:r>
          </w:p>
          <w:tbl>
            <w:tblPr>
              <w:tblStyle w:val="84"/>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34"/>
              <w:gridCol w:w="3029"/>
              <w:gridCol w:w="661"/>
            </w:tblGrid>
            <w:tr w14:paraId="3C348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2547" w:type="pct"/>
                  <w:vAlign w:val="center"/>
                </w:tcPr>
                <w:p w14:paraId="46AA89A1">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文件</w:t>
                  </w:r>
                  <w:r>
                    <w:rPr>
                      <w:rFonts w:hint="default" w:ascii="Times New Roman" w:hAnsi="Times New Roman" w:cs="Times New Roman"/>
                      <w:color w:val="auto"/>
                      <w:sz w:val="21"/>
                      <w:szCs w:val="21"/>
                      <w:highlight w:val="none"/>
                    </w:rPr>
                    <w:t>要求</w:t>
                  </w:r>
                </w:p>
              </w:tc>
              <w:tc>
                <w:tcPr>
                  <w:tcW w:w="2012" w:type="pct"/>
                  <w:vAlign w:val="center"/>
                </w:tcPr>
                <w:p w14:paraId="04970FFE">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项目情况</w:t>
                  </w:r>
                </w:p>
              </w:tc>
              <w:tc>
                <w:tcPr>
                  <w:tcW w:w="439" w:type="pct"/>
                  <w:vAlign w:val="center"/>
                </w:tcPr>
                <w:p w14:paraId="465B86AD">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7F5BC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547" w:type="pct"/>
                  <w:vAlign w:val="center"/>
                </w:tcPr>
                <w:p w14:paraId="4F291E26">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加强工业固体废物源头减量。严格落实产业、环保、节能等政策，依法依规淘汰落后产能。强化工业园区固体废物源头管控。大力推行绿色设计，支持企业改进生产工艺和装备，强化工业生产精细化管控，降低固体废物产生强度。</w:t>
                  </w:r>
                </w:p>
              </w:tc>
              <w:tc>
                <w:tcPr>
                  <w:tcW w:w="2012" w:type="pct"/>
                  <w:vAlign w:val="center"/>
                </w:tcPr>
                <w:p w14:paraId="649DDCDA">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lang w:val="en-US"/>
                    </w:rPr>
                  </w:pPr>
                  <w:r>
                    <w:rPr>
                      <w:rFonts w:hint="default" w:ascii="Times New Roman" w:hAnsi="Times New Roman" w:cs="Times New Roman" w:eastAsiaTheme="minorEastAsia"/>
                      <w:color w:val="auto"/>
                      <w:kern w:val="0"/>
                      <w:sz w:val="21"/>
                      <w:szCs w:val="21"/>
                      <w:highlight w:val="none"/>
                    </w:rPr>
                    <w:t>本项目为</w:t>
                  </w:r>
                  <w:r>
                    <w:rPr>
                      <w:rFonts w:hint="default" w:ascii="Times New Roman" w:hAnsi="Times New Roman" w:cs="Times New Roman" w:eastAsiaTheme="minorEastAsia"/>
                      <w:snapToGrid/>
                      <w:color w:val="auto"/>
                      <w:kern w:val="0"/>
                      <w:sz w:val="21"/>
                      <w:szCs w:val="21"/>
                      <w:highlight w:val="none"/>
                      <w:lang w:val="en-US" w:eastAsia="zh-CN" w:bidi="ar-SA"/>
                    </w:rPr>
                    <w:t>废弃资源综合利用项目</w:t>
                  </w:r>
                  <w:r>
                    <w:rPr>
                      <w:rFonts w:hint="default" w:ascii="Times New Roman" w:hAnsi="Times New Roman" w:cs="Times New Roman" w:eastAsiaTheme="minorEastAsia"/>
                      <w:color w:val="auto"/>
                      <w:kern w:val="0"/>
                      <w:sz w:val="21"/>
                      <w:szCs w:val="21"/>
                      <w:highlight w:val="none"/>
                    </w:rPr>
                    <w:t>，</w:t>
                  </w:r>
                  <w:r>
                    <w:rPr>
                      <w:rFonts w:hint="default" w:ascii="Times New Roman" w:hAnsi="Times New Roman" w:cs="Times New Roman" w:eastAsiaTheme="minorEastAsia"/>
                      <w:color w:val="auto"/>
                      <w:kern w:val="0"/>
                      <w:sz w:val="21"/>
                      <w:szCs w:val="21"/>
                      <w:highlight w:val="none"/>
                      <w:lang w:val="en-US" w:eastAsia="zh-CN"/>
                    </w:rPr>
                    <w:t>对钢铁企业的废弃资源进行综合利用，属于</w:t>
                  </w:r>
                  <w:r>
                    <w:rPr>
                      <w:rFonts w:hint="eastAsia" w:cs="Times New Roman" w:eastAsiaTheme="minorEastAsia"/>
                      <w:color w:val="auto"/>
                      <w:kern w:val="0"/>
                      <w:sz w:val="21"/>
                      <w:szCs w:val="21"/>
                      <w:highlight w:val="none"/>
                      <w:lang w:val="en-US" w:eastAsia="zh-CN"/>
                    </w:rPr>
                    <w:t>从源头上降低固体废物产生强度。</w:t>
                  </w:r>
                </w:p>
              </w:tc>
              <w:tc>
                <w:tcPr>
                  <w:tcW w:w="439" w:type="pct"/>
                  <w:vAlign w:val="center"/>
                </w:tcPr>
                <w:p w14:paraId="2BBA538B">
                  <w:pPr>
                    <w:autoSpaceDE w:val="0"/>
                    <w:autoSpaceDN w:val="0"/>
                    <w:adjustRightInd w:val="0"/>
                    <w:spacing w:line="280" w:lineRule="exact"/>
                    <w:ind w:firstLine="0" w:firstLineChars="0"/>
                    <w:contextualSpacing/>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w:t>
                  </w:r>
                </w:p>
              </w:tc>
            </w:tr>
          </w:tbl>
          <w:p w14:paraId="6204896A">
            <w:pPr>
              <w:pStyle w:val="3"/>
              <w:rPr>
                <w:rFonts w:hint="eastAsia" w:ascii="Times New Roman" w:hAnsi="Times New Roman" w:cs="Times New Roman"/>
                <w:b/>
                <w:color w:val="auto"/>
                <w:sz w:val="21"/>
                <w:szCs w:val="21"/>
                <w:highlight w:val="none"/>
                <w:lang w:val="en-US" w:eastAsia="zh-CN"/>
              </w:rPr>
            </w:pPr>
            <w:r>
              <w:rPr>
                <w:rFonts w:hint="eastAsia" w:ascii="Times New Roman" w:hAnsi="Times New Roman" w:cs="Times New Roman"/>
                <w:b/>
                <w:color w:val="auto"/>
                <w:sz w:val="21"/>
                <w:szCs w:val="21"/>
                <w:highlight w:val="none"/>
                <w:lang w:val="en-US" w:eastAsia="zh-CN"/>
              </w:rPr>
              <w:t>(2)</w:t>
            </w:r>
            <w:r>
              <w:rPr>
                <w:rFonts w:hint="default" w:ascii="Times New Roman" w:hAnsi="Times New Roman" w:cs="Times New Roman"/>
                <w:b/>
                <w:color w:val="auto"/>
                <w:sz w:val="21"/>
                <w:szCs w:val="21"/>
                <w:highlight w:val="none"/>
                <w:lang w:val="en-US" w:eastAsia="zh-CN"/>
              </w:rPr>
              <w:t>与《煤场、料场、渣场扬尘污染控制技术规范》(DB13/T2352-2016)符合性</w:t>
            </w:r>
            <w:r>
              <w:rPr>
                <w:rFonts w:hint="eastAsia" w:ascii="Times New Roman" w:hAnsi="Times New Roman" w:cs="Times New Roman"/>
                <w:b/>
                <w:color w:val="auto"/>
                <w:sz w:val="21"/>
                <w:szCs w:val="21"/>
                <w:highlight w:val="none"/>
                <w:lang w:val="en-US" w:eastAsia="zh-CN"/>
              </w:rPr>
              <w:t>分析</w:t>
            </w:r>
          </w:p>
          <w:p w14:paraId="5C8321F1">
            <w:pPr>
              <w:pStyle w:val="21"/>
              <w:rPr>
                <w:rFonts w:hint="default" w:ascii="Times New Roman" w:hAnsi="Times New Roman" w:cs="Times New Roman"/>
                <w:color w:val="auto"/>
                <w:highlight w:val="none"/>
              </w:rPr>
            </w:pPr>
            <w:r>
              <w:rPr>
                <w:rFonts w:hint="default" w:ascii="Times New Roman" w:hAnsi="Times New Roman" w:cs="Times New Roman"/>
                <w:color w:val="auto"/>
                <w:highlight w:val="none"/>
              </w:rPr>
              <w:t>表</w:t>
            </w:r>
            <w:r>
              <w:rPr>
                <w:rFonts w:hint="eastAsia" w:ascii="Times New Roman" w:hAnsi="Times New Roman" w:cs="Times New Roman"/>
                <w:color w:val="auto"/>
                <w:highlight w:val="none"/>
                <w:lang w:val="en-US" w:eastAsia="zh-CN"/>
              </w:rPr>
              <w:t>1-1</w:t>
            </w:r>
            <w:r>
              <w:rPr>
                <w:rFonts w:hint="eastAsia" w:cs="Times New Roman"/>
                <w:color w:val="auto"/>
                <w:highlight w:val="none"/>
                <w:lang w:val="en-US" w:eastAsia="zh-CN"/>
              </w:rPr>
              <w:t>9</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本项目与</w:t>
            </w:r>
            <w:r>
              <w:rPr>
                <w:rFonts w:hint="default" w:ascii="Times New Roman" w:hAnsi="Times New Roman" w:cs="Times New Roman"/>
                <w:b/>
                <w:color w:val="auto"/>
                <w:sz w:val="21"/>
                <w:szCs w:val="21"/>
                <w:highlight w:val="none"/>
                <w:lang w:val="en-US" w:eastAsia="zh-CN"/>
              </w:rPr>
              <w:t>《煤场、料场、渣场扬尘污染控制技术规范》</w:t>
            </w:r>
            <w:r>
              <w:rPr>
                <w:rFonts w:hint="default" w:ascii="Times New Roman" w:hAnsi="Times New Roman" w:cs="Times New Roman"/>
                <w:color w:val="auto"/>
                <w:highlight w:val="none"/>
              </w:rPr>
              <w:t>符合性</w:t>
            </w:r>
            <w:r>
              <w:rPr>
                <w:rFonts w:hint="eastAsia" w:ascii="Times New Roman" w:hAnsi="Times New Roman" w:cs="Times New Roman"/>
                <w:color w:val="auto"/>
                <w:highlight w:val="none"/>
                <w:lang w:val="en-US" w:eastAsia="zh-CN"/>
              </w:rPr>
              <w:t>分析</w:t>
            </w:r>
          </w:p>
          <w:tbl>
            <w:tblPr>
              <w:tblStyle w:val="84"/>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4"/>
              <w:gridCol w:w="3139"/>
              <w:gridCol w:w="2142"/>
              <w:gridCol w:w="1069"/>
            </w:tblGrid>
            <w:tr w14:paraId="33597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2866" w:type="pct"/>
                  <w:gridSpan w:val="2"/>
                  <w:vAlign w:val="center"/>
                </w:tcPr>
                <w:p w14:paraId="2382A88E">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规范</w:t>
                  </w:r>
                  <w:r>
                    <w:rPr>
                      <w:rFonts w:hint="default" w:ascii="Times New Roman" w:hAnsi="Times New Roman" w:cs="Times New Roman"/>
                      <w:color w:val="auto"/>
                      <w:sz w:val="21"/>
                      <w:szCs w:val="21"/>
                      <w:highlight w:val="none"/>
                    </w:rPr>
                    <w:t>要求</w:t>
                  </w:r>
                  <w:r>
                    <w:rPr>
                      <w:rFonts w:hint="eastAsia" w:ascii="Times New Roman" w:hAnsi="Times New Roman" w:cs="Times New Roman"/>
                      <w:color w:val="auto"/>
                      <w:sz w:val="21"/>
                      <w:szCs w:val="21"/>
                      <w:highlight w:val="none"/>
                      <w:lang w:val="en-US" w:eastAsia="zh-CN"/>
                    </w:rPr>
                    <w:t>(钢铁行业)</w:t>
                  </w:r>
                </w:p>
              </w:tc>
              <w:tc>
                <w:tcPr>
                  <w:tcW w:w="1423" w:type="pct"/>
                  <w:vAlign w:val="center"/>
                </w:tcPr>
                <w:p w14:paraId="5AF93EC1">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项目情况</w:t>
                  </w:r>
                </w:p>
              </w:tc>
              <w:tc>
                <w:tcPr>
                  <w:tcW w:w="710" w:type="pct"/>
                  <w:vAlign w:val="center"/>
                </w:tcPr>
                <w:p w14:paraId="05F7237B">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1C7B4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80" w:type="pct"/>
                  <w:vAlign w:val="center"/>
                </w:tcPr>
                <w:p w14:paraId="1A0B16F4">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物料运输、装卸</w:t>
                  </w:r>
                </w:p>
              </w:tc>
              <w:tc>
                <w:tcPr>
                  <w:tcW w:w="2085" w:type="pct"/>
                  <w:vAlign w:val="center"/>
                </w:tcPr>
                <w:p w14:paraId="562703F9">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粉状物料（如铁精粉、生石灰粉等干料）运输车辆应采用密闭车斗或罐车</w:t>
                  </w:r>
                  <w:r>
                    <w:rPr>
                      <w:rFonts w:hint="default" w:ascii="Times New Roman" w:hAnsi="Times New Roman" w:eastAsia="宋体" w:cs="Times New Roman"/>
                      <w:color w:val="auto"/>
                      <w:sz w:val="21"/>
                      <w:szCs w:val="21"/>
                      <w:highlight w:val="none"/>
                      <w:lang w:val="en-US" w:eastAsia="zh-CN"/>
                    </w:rPr>
                    <w:t>。</w:t>
                  </w:r>
                </w:p>
              </w:tc>
              <w:tc>
                <w:tcPr>
                  <w:tcW w:w="1423" w:type="pct"/>
                  <w:vAlign w:val="center"/>
                </w:tcPr>
                <w:p w14:paraId="1E2F10FA">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项目除尘灰、</w:t>
                  </w:r>
                  <w:r>
                    <w:rPr>
                      <w:rFonts w:hint="eastAsia" w:cs="Times New Roman"/>
                      <w:color w:val="auto"/>
                      <w:sz w:val="21"/>
                      <w:szCs w:val="21"/>
                      <w:highlight w:val="none"/>
                      <w:lang w:val="en-US" w:eastAsia="zh-CN"/>
                    </w:rPr>
                    <w:t>含铁沉泥</w:t>
                  </w:r>
                  <w:r>
                    <w:rPr>
                      <w:rFonts w:hint="eastAsia" w:ascii="Times New Roman" w:hAnsi="Times New Roman" w:eastAsia="宋体" w:cs="Times New Roman"/>
                      <w:color w:val="auto"/>
                      <w:sz w:val="21"/>
                      <w:szCs w:val="21"/>
                      <w:highlight w:val="none"/>
                      <w:lang w:val="en-US" w:eastAsia="zh-CN"/>
                    </w:rPr>
                    <w:t>、矿粉等原料运输车辆应采用密闭车斗。</w:t>
                  </w:r>
                </w:p>
              </w:tc>
              <w:tc>
                <w:tcPr>
                  <w:tcW w:w="710" w:type="pct"/>
                  <w:vAlign w:val="center"/>
                </w:tcPr>
                <w:p w14:paraId="6BC96874">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符合</w:t>
                  </w:r>
                </w:p>
              </w:tc>
            </w:tr>
            <w:tr w14:paraId="6B0C5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80" w:type="pct"/>
                  <w:vAlign w:val="center"/>
                </w:tcPr>
                <w:p w14:paraId="1D0CDC03">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物料存储</w:t>
                  </w:r>
                </w:p>
              </w:tc>
              <w:tc>
                <w:tcPr>
                  <w:tcW w:w="2085" w:type="pct"/>
                  <w:vAlign w:val="center"/>
                </w:tcPr>
                <w:p w14:paraId="0DD380D3">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粉状物料（如铁精粉、生石灰粉等干料）储存应采用入棚、入仓储存，棚内应设有喷淋装置，在物料装卸时洒水降尘，棚内应设置横向防雨天窗</w:t>
                  </w:r>
                </w:p>
              </w:tc>
              <w:tc>
                <w:tcPr>
                  <w:tcW w:w="1423" w:type="pct"/>
                  <w:vAlign w:val="center"/>
                </w:tcPr>
                <w:p w14:paraId="5823CAC4">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cs="Times New Roman" w:eastAsiaTheme="minorEastAsia"/>
                      <w:color w:val="auto"/>
                      <w:kern w:val="0"/>
                      <w:sz w:val="21"/>
                      <w:szCs w:val="21"/>
                      <w:highlight w:val="none"/>
                      <w:lang w:val="en-US" w:eastAsia="zh-CN"/>
                    </w:rPr>
                    <w:t>项目利用现有厂房，</w:t>
                  </w:r>
                  <w:r>
                    <w:rPr>
                      <w:rFonts w:hint="eastAsia" w:cs="Times New Roman" w:eastAsiaTheme="minorEastAsia"/>
                      <w:color w:val="auto"/>
                      <w:kern w:val="0"/>
                      <w:sz w:val="21"/>
                      <w:szCs w:val="21"/>
                      <w:highlight w:val="red"/>
                      <w:lang w:val="en-US" w:eastAsia="zh-CN"/>
                    </w:rPr>
                    <w:t>位于</w:t>
                  </w:r>
                  <w:r>
                    <w:rPr>
                      <w:rFonts w:hint="eastAsia" w:cs="Times New Roman" w:eastAsiaTheme="minorEastAsia"/>
                      <w:color w:val="auto"/>
                      <w:kern w:val="0"/>
                      <w:szCs w:val="21"/>
                      <w:highlight w:val="red"/>
                      <w:lang w:val="en-US" w:eastAsia="zh-CN"/>
                    </w:rPr>
                    <w:t>峪沟</w:t>
                  </w:r>
                  <w:r>
                    <w:commentReference w:id="1"/>
                  </w:r>
                  <w:r>
                    <w:rPr>
                      <w:rFonts w:hint="eastAsia" w:cs="Times New Roman" w:eastAsiaTheme="minorEastAsia"/>
                      <w:color w:val="auto"/>
                      <w:kern w:val="0"/>
                      <w:szCs w:val="21"/>
                      <w:highlight w:val="red"/>
                      <w:lang w:val="en-US" w:eastAsia="zh-CN"/>
                    </w:rPr>
                    <w:t>料库内南侧，</w:t>
                  </w:r>
                  <w:r>
                    <w:rPr>
                      <w:rFonts w:hint="eastAsia" w:ascii="Times New Roman" w:hAnsi="Times New Roman" w:eastAsia="宋体" w:cs="Times New Roman"/>
                      <w:color w:val="auto"/>
                      <w:sz w:val="21"/>
                      <w:szCs w:val="21"/>
                      <w:highlight w:val="none"/>
                      <w:lang w:val="en-US" w:eastAsia="zh-CN"/>
                    </w:rPr>
                    <w:t>除尘灰、</w:t>
                  </w:r>
                  <w:r>
                    <w:rPr>
                      <w:rFonts w:hint="eastAsia" w:cs="Times New Roman"/>
                      <w:color w:val="auto"/>
                      <w:sz w:val="21"/>
                      <w:szCs w:val="21"/>
                      <w:highlight w:val="none"/>
                      <w:lang w:val="en-US" w:eastAsia="zh-CN"/>
                    </w:rPr>
                    <w:t>含铁沉泥</w:t>
                  </w:r>
                  <w:r>
                    <w:rPr>
                      <w:rFonts w:hint="eastAsia" w:ascii="Times New Roman" w:hAnsi="Times New Roman" w:eastAsia="宋体" w:cs="Times New Roman"/>
                      <w:color w:val="auto"/>
                      <w:sz w:val="21"/>
                      <w:szCs w:val="21"/>
                      <w:highlight w:val="none"/>
                      <w:lang w:val="en-US" w:eastAsia="zh-CN"/>
                    </w:rPr>
                    <w:t>、矿粉等原料在生产车间原料区储存，设置喷雾装置。</w:t>
                  </w:r>
                </w:p>
              </w:tc>
              <w:tc>
                <w:tcPr>
                  <w:tcW w:w="710" w:type="pct"/>
                  <w:vAlign w:val="center"/>
                </w:tcPr>
                <w:p w14:paraId="5875C7E4">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符合</w:t>
                  </w:r>
                </w:p>
              </w:tc>
            </w:tr>
          </w:tbl>
          <w:p w14:paraId="7B36C513">
            <w:pPr>
              <w:pStyle w:val="3"/>
              <w:rPr>
                <w:rFonts w:hint="eastAsia" w:ascii="Times New Roman" w:hAnsi="Times New Roman" w:cs="Times New Roman"/>
                <w:b/>
                <w:color w:val="auto"/>
                <w:sz w:val="21"/>
                <w:szCs w:val="21"/>
                <w:highlight w:val="none"/>
                <w:lang w:val="en-US" w:eastAsia="zh-CN"/>
              </w:rPr>
            </w:pPr>
            <w:r>
              <w:rPr>
                <w:rFonts w:hint="eastAsia" w:ascii="Times New Roman" w:hAnsi="Times New Roman" w:cs="Times New Roman"/>
                <w:b/>
                <w:color w:val="auto"/>
                <w:sz w:val="21"/>
                <w:szCs w:val="21"/>
                <w:highlight w:val="none"/>
                <w:lang w:val="en-US" w:eastAsia="zh-CN"/>
              </w:rPr>
              <w:t>(3)</w:t>
            </w:r>
            <w:r>
              <w:rPr>
                <w:rFonts w:hint="default" w:ascii="Times New Roman" w:hAnsi="Times New Roman" w:cs="Times New Roman"/>
                <w:b/>
                <w:color w:val="auto"/>
                <w:sz w:val="21"/>
                <w:szCs w:val="21"/>
                <w:highlight w:val="none"/>
                <w:lang w:val="en-US" w:eastAsia="zh-CN"/>
              </w:rPr>
              <w:t>与《固体废物鉴别</w:t>
            </w:r>
            <w:r>
              <w:rPr>
                <w:rFonts w:hint="eastAsia" w:ascii="Times New Roman" w:hAnsi="Times New Roman" w:cs="Times New Roman"/>
                <w:b/>
                <w:color w:val="auto"/>
                <w:sz w:val="21"/>
                <w:szCs w:val="21"/>
                <w:highlight w:val="none"/>
                <w:lang w:val="en-US" w:eastAsia="zh-CN"/>
              </w:rPr>
              <w:t xml:space="preserve">标准 </w:t>
            </w:r>
            <w:r>
              <w:rPr>
                <w:rFonts w:hint="default" w:ascii="Times New Roman" w:hAnsi="Times New Roman" w:cs="Times New Roman"/>
                <w:b/>
                <w:color w:val="auto"/>
                <w:sz w:val="21"/>
                <w:szCs w:val="21"/>
                <w:highlight w:val="none"/>
                <w:lang w:val="en-US" w:eastAsia="zh-CN"/>
              </w:rPr>
              <w:t>通则》符合性</w:t>
            </w:r>
            <w:r>
              <w:rPr>
                <w:rFonts w:hint="eastAsia" w:ascii="Times New Roman" w:hAnsi="Times New Roman" w:cs="Times New Roman"/>
                <w:b/>
                <w:color w:val="auto"/>
                <w:sz w:val="21"/>
                <w:szCs w:val="21"/>
                <w:highlight w:val="none"/>
                <w:lang w:val="en-US" w:eastAsia="zh-CN"/>
              </w:rPr>
              <w:t>分析</w:t>
            </w:r>
          </w:p>
          <w:p w14:paraId="32F6B406">
            <w:pPr>
              <w:pStyle w:val="3"/>
              <w:rPr>
                <w:rFonts w:hint="eastAsia" w:ascii="Times New Roman" w:hAnsi="Times New Roman" w:cs="Times New Roman"/>
                <w:bCs w:val="0"/>
                <w:color w:val="auto"/>
                <w:kern w:val="2"/>
                <w:sz w:val="21"/>
                <w:szCs w:val="21"/>
                <w:highlight w:val="none"/>
                <w:lang w:val="en-US" w:eastAsia="zh-CN" w:bidi="ar-SA"/>
              </w:rPr>
            </w:pPr>
            <w:r>
              <w:rPr>
                <w:rFonts w:hint="eastAsia" w:ascii="Times New Roman" w:hAnsi="Times New Roman" w:eastAsia="宋体" w:cs="Times New Roman"/>
                <w:bCs w:val="0"/>
                <w:color w:val="auto"/>
                <w:kern w:val="2"/>
                <w:sz w:val="21"/>
                <w:szCs w:val="21"/>
                <w:highlight w:val="none"/>
                <w:lang w:val="en-US" w:eastAsia="zh-CN" w:bidi="ar-SA"/>
              </w:rPr>
              <w:t>根据</w:t>
            </w:r>
            <w:r>
              <w:rPr>
                <w:rFonts w:hint="default" w:ascii="Times New Roman" w:hAnsi="Times New Roman" w:eastAsia="宋体" w:cs="Times New Roman"/>
                <w:bCs w:val="0"/>
                <w:color w:val="auto"/>
                <w:kern w:val="2"/>
                <w:sz w:val="21"/>
                <w:szCs w:val="21"/>
                <w:highlight w:val="none"/>
                <w:lang w:val="en-US" w:eastAsia="zh-CN" w:bidi="ar-SA"/>
              </w:rPr>
              <w:t>《固体废物鉴别</w:t>
            </w:r>
            <w:r>
              <w:rPr>
                <w:rFonts w:hint="eastAsia" w:ascii="Times New Roman" w:hAnsi="Times New Roman" w:eastAsia="宋体" w:cs="Times New Roman"/>
                <w:bCs w:val="0"/>
                <w:color w:val="auto"/>
                <w:kern w:val="2"/>
                <w:sz w:val="21"/>
                <w:szCs w:val="21"/>
                <w:highlight w:val="none"/>
                <w:lang w:val="en-US" w:eastAsia="zh-CN" w:bidi="ar-SA"/>
              </w:rPr>
              <w:t xml:space="preserve">标准 </w:t>
            </w:r>
            <w:r>
              <w:rPr>
                <w:rFonts w:hint="default" w:ascii="Times New Roman" w:hAnsi="Times New Roman" w:eastAsia="宋体" w:cs="Times New Roman"/>
                <w:bCs w:val="0"/>
                <w:color w:val="auto"/>
                <w:kern w:val="2"/>
                <w:sz w:val="21"/>
                <w:szCs w:val="21"/>
                <w:highlight w:val="none"/>
                <w:lang w:val="en-US" w:eastAsia="zh-CN" w:bidi="ar-SA"/>
              </w:rPr>
              <w:t>通则》</w:t>
            </w:r>
            <w:r>
              <w:rPr>
                <w:rFonts w:hint="eastAsia" w:ascii="Times New Roman" w:hAnsi="Times New Roman" w:eastAsia="宋体" w:cs="Times New Roman"/>
                <w:bCs w:val="0"/>
                <w:color w:val="auto"/>
                <w:kern w:val="2"/>
                <w:sz w:val="21"/>
                <w:szCs w:val="21"/>
                <w:highlight w:val="none"/>
                <w:lang w:val="en-US" w:eastAsia="zh-CN" w:bidi="ar-SA"/>
              </w:rPr>
              <w:t>，项目使用的原料除尘灰和</w:t>
            </w:r>
            <w:r>
              <w:rPr>
                <w:rFonts w:hint="eastAsia" w:ascii="Times New Roman" w:hAnsi="Times New Roman" w:cs="Times New Roman"/>
                <w:bCs w:val="0"/>
                <w:color w:val="auto"/>
                <w:kern w:val="2"/>
                <w:sz w:val="21"/>
                <w:szCs w:val="21"/>
                <w:highlight w:val="none"/>
                <w:lang w:val="en-US" w:eastAsia="zh-CN" w:bidi="ar-SA"/>
              </w:rPr>
              <w:t>含铁沉泥</w:t>
            </w:r>
            <w:r>
              <w:rPr>
                <w:rFonts w:hint="eastAsia" w:ascii="Times New Roman" w:hAnsi="Times New Roman" w:eastAsia="宋体" w:cs="Times New Roman"/>
                <w:bCs w:val="0"/>
                <w:color w:val="auto"/>
                <w:kern w:val="2"/>
                <w:sz w:val="21"/>
                <w:szCs w:val="21"/>
                <w:highlight w:val="none"/>
                <w:lang w:val="en-US" w:eastAsia="zh-CN" w:bidi="ar-SA"/>
              </w:rPr>
              <w:t>，属于4.1f）生产活动中产生的因外形、粒径组成、有效物质含量不能满足原使用者使用要求，而被放弃使用的生产物料[4.2.2a)规定的情形除外]</w:t>
            </w:r>
            <w:r>
              <w:rPr>
                <w:rFonts w:hint="eastAsia" w:ascii="Times New Roman" w:hAnsi="Times New Roman" w:cs="Times New Roman"/>
                <w:bCs w:val="0"/>
                <w:color w:val="auto"/>
                <w:kern w:val="2"/>
                <w:sz w:val="21"/>
                <w:szCs w:val="21"/>
                <w:highlight w:val="none"/>
                <w:lang w:val="en-US" w:eastAsia="zh-CN" w:bidi="ar-SA"/>
              </w:rPr>
              <w:t>。根据</w:t>
            </w:r>
            <w:r>
              <w:rPr>
                <w:rFonts w:hint="eastAsia" w:ascii="Times New Roman" w:hAnsi="Times New Roman" w:eastAsia="宋体" w:cs="Times New Roman"/>
                <w:bCs w:val="0"/>
                <w:color w:val="auto"/>
                <w:kern w:val="2"/>
                <w:sz w:val="21"/>
                <w:szCs w:val="21"/>
                <w:highlight w:val="none"/>
                <w:lang w:val="en-US" w:eastAsia="zh-CN" w:bidi="ar-SA"/>
              </w:rPr>
              <w:t>4.2.2a)规定的情形</w:t>
            </w:r>
            <w:r>
              <w:rPr>
                <w:rFonts w:hint="eastAsia" w:ascii="Times New Roman" w:hAnsi="Times New Roman" w:cs="Times New Roman"/>
                <w:bCs w:val="0"/>
                <w:color w:val="auto"/>
                <w:kern w:val="2"/>
                <w:sz w:val="21"/>
                <w:szCs w:val="21"/>
                <w:highlight w:val="none"/>
                <w:lang w:val="en-US" w:eastAsia="zh-CN" w:bidi="ar-SA"/>
              </w:rPr>
              <w:t>，“不需要任何修复、加工，按原始用途使用的下列生产物料：1)仅因生产活动终止、暂停或计划改变等原因，所有者不再使用的但满足原始用途的原料，以及继续作为同产业链其他企业原料使用的中间物料和半成品；2)仅因浓度变化无法满足原使用者要求的，但可在该物质适用的其他使用用途领域继续使用的物料。”，项目不属于此类情形。</w:t>
            </w:r>
          </w:p>
          <w:p w14:paraId="5029C34D">
            <w:pPr>
              <w:pStyle w:val="3"/>
              <w:rPr>
                <w:rFonts w:hint="default" w:ascii="Times New Roman" w:hAnsi="Times New Roman" w:eastAsia="宋体" w:cs="Times New Roman"/>
                <w:bCs w:val="0"/>
                <w:color w:val="auto"/>
                <w:kern w:val="2"/>
                <w:sz w:val="21"/>
                <w:szCs w:val="21"/>
                <w:highlight w:val="none"/>
                <w:lang w:val="en-US" w:eastAsia="zh-CN" w:bidi="ar-SA"/>
              </w:rPr>
            </w:pPr>
            <w:r>
              <w:rPr>
                <w:rFonts w:hint="eastAsia" w:ascii="Times New Roman" w:hAnsi="Times New Roman" w:eastAsia="宋体" w:cs="Times New Roman"/>
                <w:bCs w:val="0"/>
                <w:color w:val="auto"/>
                <w:kern w:val="2"/>
                <w:sz w:val="21"/>
                <w:szCs w:val="21"/>
                <w:highlight w:val="none"/>
                <w:lang w:val="en-US" w:eastAsia="zh-CN" w:bidi="ar-SA"/>
              </w:rPr>
              <w:t>综上，原料属于固体废物，项目属于</w:t>
            </w:r>
            <w:r>
              <w:rPr>
                <w:rFonts w:hint="default" w:ascii="Times New Roman" w:hAnsi="Times New Roman" w:eastAsia="宋体" w:cs="Times New Roman"/>
                <w:bCs w:val="0"/>
                <w:color w:val="auto"/>
                <w:kern w:val="2"/>
                <w:sz w:val="21"/>
                <w:szCs w:val="21"/>
                <w:highlight w:val="none"/>
                <w:lang w:val="en-US" w:eastAsia="zh-CN" w:bidi="ar-SA"/>
              </w:rPr>
              <w:t>废弃资源综合利用项目</w:t>
            </w:r>
            <w:r>
              <w:rPr>
                <w:rFonts w:hint="eastAsia" w:ascii="Times New Roman" w:hAnsi="Times New Roman" w:eastAsia="宋体" w:cs="Times New Roman"/>
                <w:bCs w:val="0"/>
                <w:color w:val="auto"/>
                <w:kern w:val="2"/>
                <w:sz w:val="21"/>
                <w:szCs w:val="21"/>
                <w:highlight w:val="none"/>
                <w:lang w:val="en-US" w:eastAsia="zh-CN" w:bidi="ar-SA"/>
              </w:rPr>
              <w:t>，将除尘灰与矿粉混合后加工成</w:t>
            </w:r>
            <w:r>
              <w:rPr>
                <w:rFonts w:hint="default" w:ascii="Times New Roman" w:hAnsi="Times New Roman" w:eastAsia="宋体" w:cs="Times New Roman"/>
                <w:bCs w:val="0"/>
                <w:color w:val="auto"/>
                <w:kern w:val="2"/>
                <w:sz w:val="21"/>
                <w:szCs w:val="21"/>
                <w:highlight w:val="none"/>
                <w:lang w:val="en-US" w:eastAsia="zh-CN" w:bidi="ar-SA"/>
              </w:rPr>
              <w:t>含铁废料压球</w:t>
            </w:r>
            <w:r>
              <w:rPr>
                <w:rFonts w:hint="eastAsia" w:ascii="Times New Roman" w:hAnsi="Times New Roman" w:eastAsia="宋体" w:cs="Times New Roman"/>
                <w:bCs w:val="0"/>
                <w:color w:val="auto"/>
                <w:kern w:val="2"/>
                <w:sz w:val="21"/>
                <w:szCs w:val="21"/>
                <w:highlight w:val="none"/>
                <w:lang w:val="en-US" w:eastAsia="zh-CN" w:bidi="ar-SA"/>
              </w:rPr>
              <w:t>，可应用于本厂的炼钢工序(降低炉温)，替代部分炼钢冷料，实现资源的回收利用。</w:t>
            </w:r>
          </w:p>
          <w:p w14:paraId="41D1F3DD">
            <w:pPr>
              <w:pStyle w:val="3"/>
              <w:rPr>
                <w:rFonts w:hint="eastAsia" w:ascii="Times New Roman" w:hAnsi="Times New Roman" w:cs="Times New Roman"/>
                <w:b/>
                <w:color w:val="auto"/>
                <w:sz w:val="21"/>
                <w:szCs w:val="21"/>
                <w:highlight w:val="none"/>
                <w:lang w:val="en-US" w:eastAsia="zh-CN"/>
              </w:rPr>
            </w:pPr>
            <w:r>
              <w:rPr>
                <w:rFonts w:hint="eastAsia" w:ascii="Times New Roman" w:hAnsi="Times New Roman" w:cs="Times New Roman"/>
                <w:b/>
                <w:color w:val="auto"/>
                <w:sz w:val="21"/>
                <w:szCs w:val="21"/>
                <w:highlight w:val="none"/>
                <w:lang w:val="en-US" w:eastAsia="zh-CN"/>
              </w:rPr>
              <w:t>(4)</w:t>
            </w:r>
            <w:r>
              <w:rPr>
                <w:rFonts w:hint="default" w:ascii="Times New Roman" w:hAnsi="Times New Roman" w:cs="Times New Roman"/>
                <w:b/>
                <w:color w:val="auto"/>
                <w:sz w:val="21"/>
                <w:szCs w:val="21"/>
                <w:highlight w:val="none"/>
                <w:lang w:val="en-US" w:eastAsia="zh-CN"/>
              </w:rPr>
              <w:t>与《固体废物再生利用污染防治技术导则》(</w:t>
            </w:r>
            <w:r>
              <w:rPr>
                <w:rFonts w:hint="eastAsia" w:ascii="Times New Roman" w:hAnsi="Times New Roman" w:cs="Times New Roman"/>
                <w:b/>
                <w:color w:val="auto"/>
                <w:sz w:val="21"/>
                <w:szCs w:val="21"/>
                <w:highlight w:val="none"/>
                <w:lang w:val="en-US" w:eastAsia="zh-CN"/>
              </w:rPr>
              <w:t>HJ1091-2020</w:t>
            </w:r>
            <w:r>
              <w:rPr>
                <w:rFonts w:hint="default" w:ascii="Times New Roman" w:hAnsi="Times New Roman" w:cs="Times New Roman"/>
                <w:b/>
                <w:color w:val="auto"/>
                <w:sz w:val="21"/>
                <w:szCs w:val="21"/>
                <w:highlight w:val="none"/>
                <w:lang w:val="en-US" w:eastAsia="zh-CN"/>
              </w:rPr>
              <w:t>)符合性</w:t>
            </w:r>
            <w:r>
              <w:rPr>
                <w:rFonts w:hint="eastAsia" w:ascii="Times New Roman" w:hAnsi="Times New Roman" w:cs="Times New Roman"/>
                <w:b/>
                <w:color w:val="auto"/>
                <w:sz w:val="21"/>
                <w:szCs w:val="21"/>
                <w:highlight w:val="none"/>
                <w:lang w:val="en-US" w:eastAsia="zh-CN"/>
              </w:rPr>
              <w:t>分析</w:t>
            </w:r>
          </w:p>
          <w:p w14:paraId="28AC9C4A">
            <w:pPr>
              <w:pStyle w:val="21"/>
              <w:rPr>
                <w:rFonts w:hint="default" w:ascii="Times New Roman" w:hAnsi="Times New Roman" w:cs="Times New Roman"/>
                <w:color w:val="auto"/>
                <w:highlight w:val="none"/>
              </w:rPr>
            </w:pPr>
          </w:p>
          <w:p w14:paraId="4991CAD2">
            <w:pPr>
              <w:pStyle w:val="21"/>
              <w:rPr>
                <w:rFonts w:hint="default" w:ascii="Times New Roman" w:hAnsi="Times New Roman" w:cs="Times New Roman"/>
                <w:color w:val="auto"/>
                <w:highlight w:val="none"/>
              </w:rPr>
            </w:pPr>
          </w:p>
          <w:p w14:paraId="04672BD7">
            <w:pPr>
              <w:pStyle w:val="21"/>
              <w:rPr>
                <w:rFonts w:hint="default" w:ascii="Times New Roman" w:hAnsi="Times New Roman" w:cs="Times New Roman"/>
                <w:color w:val="auto"/>
                <w:highlight w:val="none"/>
              </w:rPr>
            </w:pPr>
            <w:r>
              <w:rPr>
                <w:rFonts w:hint="default" w:ascii="Times New Roman" w:hAnsi="Times New Roman" w:cs="Times New Roman"/>
                <w:color w:val="auto"/>
                <w:highlight w:val="none"/>
              </w:rPr>
              <w:t>表</w:t>
            </w:r>
            <w:r>
              <w:rPr>
                <w:rFonts w:hint="eastAsia" w:ascii="Times New Roman" w:hAnsi="Times New Roman" w:cs="Times New Roman"/>
                <w:color w:val="auto"/>
                <w:highlight w:val="none"/>
                <w:lang w:val="en-US" w:eastAsia="zh-CN"/>
              </w:rPr>
              <w:t>1-</w:t>
            </w:r>
            <w:r>
              <w:rPr>
                <w:rFonts w:hint="eastAsia" w:cs="Times New Roman"/>
                <w:color w:val="auto"/>
                <w:highlight w:val="none"/>
                <w:lang w:val="en-US" w:eastAsia="zh-CN"/>
              </w:rPr>
              <w:t>20</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本项目与</w:t>
            </w:r>
            <w:r>
              <w:rPr>
                <w:rFonts w:hint="default" w:ascii="Times New Roman" w:hAnsi="Times New Roman" w:cs="Times New Roman"/>
                <w:b/>
                <w:color w:val="auto"/>
                <w:sz w:val="21"/>
                <w:szCs w:val="21"/>
                <w:highlight w:val="none"/>
                <w:lang w:val="en-US" w:eastAsia="zh-CN"/>
              </w:rPr>
              <w:t>《固体废物再生利用污染防治技术导则》</w:t>
            </w:r>
            <w:r>
              <w:rPr>
                <w:rFonts w:hint="default" w:ascii="Times New Roman" w:hAnsi="Times New Roman" w:cs="Times New Roman"/>
                <w:color w:val="auto"/>
                <w:highlight w:val="none"/>
              </w:rPr>
              <w:t>符合性</w:t>
            </w:r>
            <w:r>
              <w:rPr>
                <w:rFonts w:hint="eastAsia" w:ascii="Times New Roman" w:hAnsi="Times New Roman" w:cs="Times New Roman"/>
                <w:color w:val="auto"/>
                <w:highlight w:val="none"/>
                <w:lang w:val="en-US" w:eastAsia="zh-CN"/>
              </w:rPr>
              <w:t>分析</w:t>
            </w:r>
          </w:p>
          <w:tbl>
            <w:tblPr>
              <w:tblStyle w:val="84"/>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4"/>
              <w:gridCol w:w="3298"/>
              <w:gridCol w:w="2871"/>
              <w:gridCol w:w="721"/>
            </w:tblGrid>
            <w:tr w14:paraId="795E7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2612" w:type="pct"/>
                  <w:gridSpan w:val="2"/>
                  <w:vAlign w:val="center"/>
                </w:tcPr>
                <w:p w14:paraId="2448A1BA">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导则</w:t>
                  </w:r>
                  <w:r>
                    <w:rPr>
                      <w:rFonts w:hint="eastAsia" w:cs="Times New Roman"/>
                      <w:color w:val="auto"/>
                      <w:sz w:val="21"/>
                      <w:szCs w:val="21"/>
                      <w:highlight w:val="none"/>
                      <w:lang w:val="en-US" w:eastAsia="zh-CN"/>
                    </w:rPr>
                    <w:t>总体</w:t>
                  </w:r>
                  <w:r>
                    <w:rPr>
                      <w:rFonts w:hint="default" w:ascii="Times New Roman" w:hAnsi="Times New Roman" w:cs="Times New Roman"/>
                      <w:color w:val="auto"/>
                      <w:sz w:val="21"/>
                      <w:szCs w:val="21"/>
                      <w:highlight w:val="none"/>
                    </w:rPr>
                    <w:t>要求</w:t>
                  </w:r>
                </w:p>
              </w:tc>
              <w:tc>
                <w:tcPr>
                  <w:tcW w:w="1907" w:type="pct"/>
                  <w:vAlign w:val="center"/>
                </w:tcPr>
                <w:p w14:paraId="49517F1A">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项目情况</w:t>
                  </w:r>
                </w:p>
              </w:tc>
              <w:tc>
                <w:tcPr>
                  <w:tcW w:w="479" w:type="pct"/>
                  <w:vAlign w:val="center"/>
                </w:tcPr>
                <w:p w14:paraId="0A05CE88">
                  <w:pPr>
                    <w:adjustRightInd w:val="0"/>
                    <w:snapToGrid w:val="0"/>
                    <w:spacing w:line="280" w:lineRule="exact"/>
                    <w:ind w:firstLine="0" w:firstLineChars="0"/>
                    <w:jc w:val="center"/>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符合性</w:t>
                  </w:r>
                </w:p>
              </w:tc>
            </w:tr>
            <w:tr w14:paraId="7D5DA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1" w:type="pct"/>
                  <w:vAlign w:val="center"/>
                </w:tcPr>
                <w:p w14:paraId="4A2AD866">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4.1</w:t>
                  </w:r>
                </w:p>
              </w:tc>
              <w:tc>
                <w:tcPr>
                  <w:tcW w:w="2191" w:type="pct"/>
                  <w:vAlign w:val="center"/>
                </w:tcPr>
                <w:p w14:paraId="19513613">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固体废物再生利用应遵循环境安全优先的原则，保证固体废物再生利用全过程的环境安全与人体健康。</w:t>
                  </w:r>
                </w:p>
              </w:tc>
              <w:tc>
                <w:tcPr>
                  <w:tcW w:w="1907" w:type="pct"/>
                  <w:vAlign w:val="center"/>
                </w:tcPr>
                <w:p w14:paraId="5981B1F4">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项目固体废物再生利用</w:t>
                  </w:r>
                  <w:r>
                    <w:rPr>
                      <w:rFonts w:hint="eastAsia" w:ascii="Times New Roman" w:hAnsi="Times New Roman" w:eastAsia="宋体" w:cs="Times New Roman"/>
                      <w:color w:val="auto"/>
                      <w:sz w:val="21"/>
                      <w:szCs w:val="21"/>
                      <w:highlight w:val="none"/>
                      <w:lang w:val="en-US" w:eastAsia="zh-CN"/>
                    </w:rPr>
                    <w:t>全过程的</w:t>
                  </w:r>
                  <w:r>
                    <w:rPr>
                      <w:rFonts w:hint="eastAsia" w:cs="Times New Roman"/>
                      <w:color w:val="auto"/>
                      <w:sz w:val="21"/>
                      <w:szCs w:val="21"/>
                      <w:highlight w:val="none"/>
                      <w:lang w:val="en-US" w:eastAsia="zh-CN"/>
                    </w:rPr>
                    <w:t>对</w:t>
                  </w:r>
                  <w:r>
                    <w:rPr>
                      <w:rFonts w:hint="eastAsia" w:ascii="Times New Roman" w:hAnsi="Times New Roman" w:eastAsia="宋体" w:cs="Times New Roman"/>
                      <w:color w:val="auto"/>
                      <w:sz w:val="21"/>
                      <w:szCs w:val="21"/>
                      <w:highlight w:val="none"/>
                      <w:lang w:val="en-US" w:eastAsia="zh-CN"/>
                    </w:rPr>
                    <w:t>环境安全与人体健康</w:t>
                  </w:r>
                  <w:r>
                    <w:rPr>
                      <w:rFonts w:hint="eastAsia" w:cs="Times New Roman"/>
                      <w:color w:val="auto"/>
                      <w:sz w:val="21"/>
                      <w:szCs w:val="21"/>
                      <w:highlight w:val="none"/>
                      <w:lang w:val="en-US" w:eastAsia="zh-CN"/>
                    </w:rPr>
                    <w:t>的影响可接受</w:t>
                  </w:r>
                  <w:r>
                    <w:rPr>
                      <w:rFonts w:hint="eastAsia" w:ascii="Times New Roman" w:hAnsi="Times New Roman" w:eastAsia="宋体" w:cs="Times New Roman"/>
                      <w:color w:val="auto"/>
                      <w:sz w:val="21"/>
                      <w:szCs w:val="21"/>
                      <w:highlight w:val="none"/>
                      <w:lang w:val="en-US" w:eastAsia="zh-CN"/>
                    </w:rPr>
                    <w:t>。</w:t>
                  </w:r>
                </w:p>
              </w:tc>
              <w:tc>
                <w:tcPr>
                  <w:tcW w:w="479" w:type="pct"/>
                  <w:vAlign w:val="center"/>
                </w:tcPr>
                <w:p w14:paraId="75947E7A">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符合</w:t>
                  </w:r>
                </w:p>
              </w:tc>
            </w:tr>
            <w:tr w14:paraId="7E14C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1" w:type="pct"/>
                  <w:vAlign w:val="center"/>
                </w:tcPr>
                <w:p w14:paraId="30B33213">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4.2</w:t>
                  </w:r>
                </w:p>
              </w:tc>
              <w:tc>
                <w:tcPr>
                  <w:tcW w:w="2191" w:type="pct"/>
                  <w:vAlign w:val="center"/>
                </w:tcPr>
                <w:p w14:paraId="57EE2F3C">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进行固体废物再生利用技术选择时，应在固体废物再生利用技术生命周期评价结果的基础上，结合相关法规及行业的产业政策要求。</w:t>
                  </w:r>
                </w:p>
              </w:tc>
              <w:tc>
                <w:tcPr>
                  <w:tcW w:w="1907" w:type="pct"/>
                  <w:vAlign w:val="center"/>
                </w:tcPr>
                <w:p w14:paraId="3F1E6760">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eastAsiaTheme="minorEastAsia"/>
                      <w:color w:val="auto"/>
                      <w:kern w:val="0"/>
                      <w:sz w:val="21"/>
                      <w:szCs w:val="21"/>
                      <w:highlight w:val="red"/>
                    </w:rPr>
                    <w:t>项目为</w:t>
                  </w:r>
                  <w:r>
                    <w:rPr>
                      <w:rFonts w:hint="eastAsia" w:eastAsiaTheme="minorEastAsia"/>
                      <w:color w:val="auto"/>
                      <w:kern w:val="0"/>
                      <w:sz w:val="21"/>
                      <w:szCs w:val="21"/>
                      <w:highlight w:val="red"/>
                    </w:rPr>
                    <w:t>废弃资源综合利用项目</w:t>
                  </w:r>
                  <w:r>
                    <w:rPr>
                      <w:rFonts w:hint="eastAsia" w:eastAsiaTheme="minorEastAsia"/>
                      <w:color w:val="auto"/>
                      <w:kern w:val="0"/>
                      <w:sz w:val="21"/>
                      <w:szCs w:val="21"/>
                      <w:highlight w:val="red"/>
                      <w:lang w:eastAsia="zh-CN"/>
                    </w:rPr>
                    <w:t>，</w:t>
                  </w:r>
                  <w:r>
                    <w:rPr>
                      <w:rFonts w:hint="default" w:ascii="Times New Roman" w:hAnsi="Times New Roman" w:cs="Times New Roman" w:eastAsiaTheme="minorEastAsia"/>
                      <w:color w:val="auto"/>
                      <w:kern w:val="0"/>
                      <w:szCs w:val="21"/>
                      <w:highlight w:val="red"/>
                    </w:rPr>
                    <w:t>根据《产业结构调整指导目录(2024年本)》，本项目</w:t>
                  </w:r>
                  <w:r>
                    <w:rPr>
                      <w:rFonts w:hint="eastAsia" w:cs="Times New Roman" w:eastAsiaTheme="minorEastAsia"/>
                      <w:color w:val="auto"/>
                      <w:kern w:val="0"/>
                      <w:szCs w:val="21"/>
                      <w:highlight w:val="red"/>
                      <w:lang w:val="en-US" w:eastAsia="zh-CN"/>
                    </w:rPr>
                    <w:t>属于“八、钢铁”中的“6.冶金固体废弃物综合利用，冶金废液(含废水、废酸、废油等)循环利用”，为鼓励类</w:t>
                  </w:r>
                  <w:r>
                    <w:rPr>
                      <w:rFonts w:hint="default" w:ascii="Times New Roman" w:hAnsi="Times New Roman" w:cs="Times New Roman" w:eastAsiaTheme="minorEastAsia"/>
                      <w:color w:val="auto"/>
                      <w:kern w:val="0"/>
                      <w:szCs w:val="21"/>
                      <w:highlight w:val="red"/>
                    </w:rPr>
                    <w:t>；</w:t>
                  </w:r>
                  <w:r>
                    <w:rPr>
                      <w:rFonts w:hint="default" w:ascii="Times New Roman" w:hAnsi="Times New Roman" w:cs="Times New Roman"/>
                      <w:color w:val="auto"/>
                      <w:kern w:val="0"/>
                      <w:sz w:val="21"/>
                      <w:szCs w:val="21"/>
                      <w:highlight w:val="red"/>
                    </w:rPr>
                    <w:t>不属于《市场准入负面清单(2025年版)》中禁止准入类项目</w:t>
                  </w:r>
                  <w:r>
                    <w:rPr>
                      <w:rFonts w:hint="default" w:cs="Times New Roman" w:eastAsiaTheme="minorEastAsia"/>
                      <w:color w:val="auto"/>
                      <w:kern w:val="0"/>
                      <w:szCs w:val="21"/>
                      <w:highlight w:val="red"/>
                      <w:lang w:val="en-US" w:eastAsia="zh-CN"/>
                    </w:rPr>
                    <w:t>本</w:t>
                  </w:r>
                  <w:commentRangeStart w:id="2"/>
                  <w:r>
                    <w:rPr>
                      <w:rFonts w:hint="default" w:cs="Times New Roman" w:eastAsiaTheme="minorEastAsia"/>
                      <w:color w:val="auto"/>
                      <w:kern w:val="0"/>
                      <w:szCs w:val="21"/>
                      <w:highlight w:val="red"/>
                      <w:lang w:val="en-US" w:eastAsia="zh-CN"/>
                    </w:rPr>
                    <w:t>项目已由</w:t>
                  </w:r>
                  <w:r>
                    <w:rPr>
                      <w:rFonts w:hint="eastAsia" w:cs="Times New Roman" w:eastAsiaTheme="minorEastAsia"/>
                      <w:color w:val="auto"/>
                      <w:kern w:val="0"/>
                      <w:szCs w:val="21"/>
                      <w:highlight w:val="red"/>
                      <w:lang w:val="en-US" w:eastAsia="zh-CN"/>
                    </w:rPr>
                    <w:t>河北迁安经济开发区管理委员会(迁安高新技术产业开发区管理委员会)</w:t>
                  </w:r>
                  <w:r>
                    <w:rPr>
                      <w:rFonts w:hint="default" w:cs="Times New Roman" w:eastAsiaTheme="minorEastAsia"/>
                      <w:color w:val="auto"/>
                      <w:kern w:val="0"/>
                      <w:szCs w:val="21"/>
                      <w:highlight w:val="red"/>
                      <w:lang w:val="en-US" w:eastAsia="zh-CN"/>
                    </w:rPr>
                    <w:t>出具了项目</w:t>
                  </w:r>
                  <w:r>
                    <w:rPr>
                      <w:rFonts w:hint="eastAsia" w:cs="Times New Roman" w:eastAsiaTheme="minorEastAsia"/>
                      <w:color w:val="auto"/>
                      <w:kern w:val="0"/>
                      <w:szCs w:val="21"/>
                      <w:highlight w:val="red"/>
                      <w:lang w:val="en-US" w:eastAsia="zh-CN"/>
                    </w:rPr>
                    <w:t>备案文件</w:t>
                  </w:r>
                  <w:r>
                    <w:rPr>
                      <w:rFonts w:hint="default" w:cs="Times New Roman" w:eastAsiaTheme="minorEastAsia"/>
                      <w:color w:val="auto"/>
                      <w:kern w:val="0"/>
                      <w:szCs w:val="21"/>
                      <w:highlight w:val="red"/>
                      <w:lang w:val="en-US" w:eastAsia="zh-CN"/>
                    </w:rPr>
                    <w:t>，文号：</w:t>
                  </w:r>
                  <w:r>
                    <w:rPr>
                      <w:rFonts w:hint="eastAsia" w:cs="Times New Roman" w:eastAsiaTheme="minorEastAsia"/>
                      <w:color w:val="auto"/>
                      <w:kern w:val="0"/>
                      <w:szCs w:val="21"/>
                      <w:highlight w:val="red"/>
                      <w:lang w:val="en-US" w:eastAsia="zh-CN"/>
                    </w:rPr>
                    <w:t>迁经开行审投资西备字[2026]34号。</w:t>
                  </w:r>
                  <w:commentRangeEnd w:id="2"/>
                  <w:r>
                    <w:rPr>
                      <w:highlight w:val="red"/>
                    </w:rPr>
                    <w:commentReference w:id="2"/>
                  </w:r>
                </w:p>
              </w:tc>
              <w:tc>
                <w:tcPr>
                  <w:tcW w:w="479" w:type="pct"/>
                  <w:vAlign w:val="center"/>
                </w:tcPr>
                <w:p w14:paraId="510B14E1">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符合</w:t>
                  </w:r>
                </w:p>
              </w:tc>
            </w:tr>
            <w:tr w14:paraId="4EB75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1" w:type="pct"/>
                  <w:vAlign w:val="center"/>
                </w:tcPr>
                <w:p w14:paraId="76BDA949">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4.3</w:t>
                  </w:r>
                </w:p>
              </w:tc>
              <w:tc>
                <w:tcPr>
                  <w:tcW w:w="2191" w:type="pct"/>
                  <w:vAlign w:val="center"/>
                </w:tcPr>
                <w:p w14:paraId="4C26D865">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固体废物再生利用建设项目的选址应符合区域性环境保护规划和当地的城乡总体规划。</w:t>
                  </w:r>
                </w:p>
              </w:tc>
              <w:tc>
                <w:tcPr>
                  <w:tcW w:w="1907" w:type="pct"/>
                  <w:vAlign w:val="center"/>
                </w:tcPr>
                <w:p w14:paraId="1AB3B560">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cs="Times New Roman" w:eastAsiaTheme="minorEastAsia"/>
                      <w:color w:val="auto"/>
                      <w:kern w:val="0"/>
                      <w:szCs w:val="21"/>
                      <w:highlight w:val="none"/>
                      <w:lang w:val="en-US" w:eastAsia="zh-CN"/>
                    </w:rPr>
                    <w:t>项目符合《</w:t>
                  </w:r>
                  <w:r>
                    <w:rPr>
                      <w:rFonts w:hint="default" w:cs="Times New Roman" w:eastAsiaTheme="minorEastAsia"/>
                      <w:color w:val="auto"/>
                      <w:kern w:val="0"/>
                      <w:szCs w:val="21"/>
                      <w:highlight w:val="none"/>
                      <w:lang w:val="en-US" w:eastAsia="zh-CN"/>
                    </w:rPr>
                    <w:t>河北省生态环境保护“十四五”规划</w:t>
                  </w:r>
                  <w:r>
                    <w:rPr>
                      <w:rFonts w:hint="eastAsia" w:cs="Times New Roman" w:eastAsiaTheme="minorEastAsia"/>
                      <w:color w:val="auto"/>
                      <w:kern w:val="0"/>
                      <w:szCs w:val="21"/>
                      <w:highlight w:val="none"/>
                      <w:lang w:val="en-US" w:eastAsia="zh-CN"/>
                    </w:rPr>
                    <w:t>》、《</w:t>
                  </w:r>
                  <w:r>
                    <w:rPr>
                      <w:rFonts w:hint="default" w:cs="Times New Roman" w:eastAsiaTheme="minorEastAsia"/>
                      <w:color w:val="auto"/>
                      <w:kern w:val="0"/>
                      <w:szCs w:val="21"/>
                      <w:highlight w:val="none"/>
                      <w:lang w:val="en-US" w:eastAsia="zh-CN"/>
                    </w:rPr>
                    <w:t>唐山市生态环境保护“十四五”规划</w:t>
                  </w:r>
                  <w:r>
                    <w:rPr>
                      <w:rFonts w:hint="eastAsia" w:cs="Times New Roman" w:eastAsiaTheme="minorEastAsia"/>
                      <w:color w:val="auto"/>
                      <w:kern w:val="0"/>
                      <w:szCs w:val="21"/>
                      <w:highlight w:val="none"/>
                      <w:lang w:val="en-US" w:eastAsia="zh-CN"/>
                    </w:rPr>
                    <w:t>》、《</w:t>
                  </w:r>
                  <w:r>
                    <w:rPr>
                      <w:rFonts w:hint="default" w:cs="Times New Roman" w:eastAsiaTheme="minorEastAsia"/>
                      <w:color w:val="auto"/>
                      <w:kern w:val="0"/>
                      <w:szCs w:val="21"/>
                      <w:highlight w:val="none"/>
                      <w:lang w:val="en-US" w:eastAsia="zh-CN"/>
                    </w:rPr>
                    <w:t>迁安市生态环境保护“十四五”规划</w:t>
                  </w:r>
                  <w:r>
                    <w:rPr>
                      <w:rFonts w:hint="eastAsia" w:cs="Times New Roman" w:eastAsiaTheme="minorEastAsia"/>
                      <w:color w:val="auto"/>
                      <w:kern w:val="0"/>
                      <w:szCs w:val="21"/>
                      <w:highlight w:val="none"/>
                      <w:lang w:val="en-US" w:eastAsia="zh-CN"/>
                    </w:rPr>
                    <w:t>》、</w:t>
                  </w:r>
                  <w:r>
                    <w:rPr>
                      <w:rFonts w:hint="default" w:cs="Times New Roman" w:eastAsiaTheme="minorEastAsia"/>
                      <w:color w:val="auto"/>
                      <w:kern w:val="0"/>
                      <w:szCs w:val="21"/>
                      <w:highlight w:val="none"/>
                      <w:lang w:val="en-US" w:eastAsia="zh-CN"/>
                    </w:rPr>
                    <w:t>《迁安市国土空间总体规划(2021-2035)》</w:t>
                  </w:r>
                  <w:r>
                    <w:rPr>
                      <w:rFonts w:hint="eastAsia" w:cs="Times New Roman" w:eastAsiaTheme="minorEastAsia"/>
                      <w:color w:val="auto"/>
                      <w:kern w:val="0"/>
                      <w:szCs w:val="21"/>
                      <w:highlight w:val="none"/>
                      <w:lang w:val="en-US" w:eastAsia="zh-CN"/>
                    </w:rPr>
                    <w:t>等。</w:t>
                  </w:r>
                </w:p>
              </w:tc>
              <w:tc>
                <w:tcPr>
                  <w:tcW w:w="479" w:type="pct"/>
                  <w:vAlign w:val="center"/>
                </w:tcPr>
                <w:p w14:paraId="14E065BE">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3348A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1" w:type="pct"/>
                  <w:vAlign w:val="center"/>
                </w:tcPr>
                <w:p w14:paraId="2B6DBF14">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4.4</w:t>
                  </w:r>
                </w:p>
              </w:tc>
              <w:tc>
                <w:tcPr>
                  <w:tcW w:w="2191" w:type="pct"/>
                  <w:vAlign w:val="center"/>
                </w:tcPr>
                <w:p w14:paraId="584CFBC6">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固体废物再生利用建设项目的设计、施工、验收和运行应遵守国家现行的相关法规的规定，同时建立完善的环境管理制度，包括环境影响评价、环境管理计划、环境保护责任、排污许可、监测、信息公开、环境应急预案和环境保护档案管理等制度。</w:t>
                  </w:r>
                </w:p>
              </w:tc>
              <w:tc>
                <w:tcPr>
                  <w:tcW w:w="1907" w:type="pct"/>
                  <w:vAlign w:val="center"/>
                </w:tcPr>
                <w:p w14:paraId="6C94FF83">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要求项目</w:t>
                  </w:r>
                  <w:r>
                    <w:rPr>
                      <w:rFonts w:hint="eastAsia" w:ascii="Times New Roman" w:hAnsi="Times New Roman" w:eastAsia="宋体" w:cs="Times New Roman"/>
                      <w:color w:val="auto"/>
                      <w:sz w:val="21"/>
                      <w:szCs w:val="21"/>
                      <w:highlight w:val="none"/>
                      <w:lang w:val="en-US" w:eastAsia="zh-CN"/>
                    </w:rPr>
                    <w:t>的设计、施工、验收和运行遵守国家现行的相关法规的规定，同时建立完善的环境管理制度</w:t>
                  </w:r>
                  <w:r>
                    <w:rPr>
                      <w:rFonts w:hint="eastAsia" w:cs="Times New Roman"/>
                      <w:color w:val="auto"/>
                      <w:sz w:val="21"/>
                      <w:szCs w:val="21"/>
                      <w:highlight w:val="none"/>
                      <w:lang w:val="en-US" w:eastAsia="zh-CN"/>
                    </w:rPr>
                    <w:t>。</w:t>
                  </w:r>
                </w:p>
              </w:tc>
              <w:tc>
                <w:tcPr>
                  <w:tcW w:w="479" w:type="pct"/>
                  <w:vAlign w:val="center"/>
                </w:tcPr>
                <w:p w14:paraId="0292B72A">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1A3F8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1" w:type="pct"/>
                  <w:vAlign w:val="center"/>
                </w:tcPr>
                <w:p w14:paraId="6E750CC3">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4.5</w:t>
                  </w:r>
                </w:p>
              </w:tc>
              <w:tc>
                <w:tcPr>
                  <w:tcW w:w="2191" w:type="pct"/>
                  <w:vAlign w:val="center"/>
                </w:tcPr>
                <w:p w14:paraId="5E755BE3">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应对固体废物再生利用各技术环节的环境污染因子进行识别，采取有效污染控制措施，配备污染物监测设备设施，避免污染物的无组织排放，防止发生二次污染，妥善处置产生的废物。</w:t>
                  </w:r>
                </w:p>
              </w:tc>
              <w:tc>
                <w:tcPr>
                  <w:tcW w:w="1907" w:type="pct"/>
                  <w:vMerge w:val="restart"/>
                  <w:vAlign w:val="center"/>
                </w:tcPr>
                <w:p w14:paraId="5812745E">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项目采取了完善的环境治理措施，废气污染物排放满足废气污染物排放满足</w:t>
                  </w:r>
                  <w:r>
                    <w:rPr>
                      <w:rFonts w:hint="eastAsia" w:ascii="Times New Roman" w:hAnsi="Times New Roman"/>
                      <w:color w:val="auto"/>
                      <w:sz w:val="21"/>
                      <w:szCs w:val="21"/>
                      <w:highlight w:val="red"/>
                    </w:rPr>
                    <w:t>《钢铁工业大气污染物超低排放标准》</w:t>
                  </w:r>
                  <w:r>
                    <w:rPr>
                      <w:rFonts w:hint="eastAsia" w:ascii="Times New Roman" w:hAnsi="Times New Roman"/>
                      <w:color w:val="auto"/>
                      <w:sz w:val="21"/>
                      <w:szCs w:val="21"/>
                      <w:highlight w:val="red"/>
                      <w:lang w:eastAsia="zh-CN"/>
                    </w:rPr>
                    <w:t>(</w:t>
                  </w:r>
                  <w:r>
                    <w:rPr>
                      <w:rFonts w:hint="eastAsia" w:ascii="Times New Roman" w:hAnsi="Times New Roman"/>
                      <w:color w:val="auto"/>
                      <w:sz w:val="21"/>
                      <w:szCs w:val="21"/>
                      <w:highlight w:val="red"/>
                    </w:rPr>
                    <w:t>DB</w:t>
                  </w:r>
                  <w:r>
                    <w:rPr>
                      <w:rFonts w:ascii="Times New Roman" w:hAnsi="Times New Roman"/>
                      <w:color w:val="auto"/>
                      <w:sz w:val="21"/>
                      <w:szCs w:val="21"/>
                      <w:highlight w:val="red"/>
                    </w:rPr>
                    <w:t>13</w:t>
                  </w:r>
                  <w:r>
                    <w:rPr>
                      <w:rFonts w:hint="eastAsia" w:ascii="Times New Roman" w:hAnsi="Times New Roman"/>
                      <w:color w:val="auto"/>
                      <w:sz w:val="21"/>
                      <w:szCs w:val="21"/>
                      <w:highlight w:val="red"/>
                    </w:rPr>
                    <w:t>/2169-2018)</w:t>
                  </w:r>
                  <w:r>
                    <w:rPr>
                      <w:rFonts w:hint="eastAsia"/>
                      <w:color w:val="auto"/>
                      <w:sz w:val="21"/>
                      <w:szCs w:val="21"/>
                      <w:highlight w:val="red"/>
                      <w:lang w:val="en-US" w:eastAsia="zh-CN"/>
                    </w:rPr>
                    <w:t>及</w:t>
                  </w:r>
                  <w:r>
                    <w:rPr>
                      <w:rFonts w:hint="eastAsia" w:ascii="Times New Roman" w:hAnsi="Times New Roman"/>
                      <w:color w:val="auto"/>
                      <w:sz w:val="21"/>
                      <w:szCs w:val="21"/>
                      <w:highlight w:val="red"/>
                      <w:lang w:eastAsia="zh-CN"/>
                    </w:rPr>
                    <w:t>《唐山市人民政府关于执行重点行业大气污染物排放特别要求的通知》(唐政字[2021]82号)中厂界无组织排放浓度限值要求</w:t>
                  </w:r>
                  <w:r>
                    <w:commentReference w:id="3"/>
                  </w:r>
                  <w:r>
                    <w:rPr>
                      <w:rFonts w:hint="default" w:ascii="Times New Roman" w:hAnsi="Times New Roman" w:eastAsia="宋体" w:cs="Times New Roman"/>
                      <w:color w:val="auto"/>
                      <w:kern w:val="0"/>
                      <w:sz w:val="21"/>
                      <w:szCs w:val="21"/>
                      <w:highlight w:val="none"/>
                      <w:lang w:val="en-US" w:eastAsia="zh-CN" w:bidi="ar"/>
                    </w:rPr>
                    <w:t>；</w:t>
                  </w:r>
                  <w:r>
                    <w:rPr>
                      <w:rFonts w:hint="default" w:ascii="Times New Roman" w:hAnsi="Times New Roman" w:eastAsia="宋体" w:cs="Times New Roman"/>
                      <w:color w:val="auto"/>
                      <w:sz w:val="21"/>
                      <w:szCs w:val="21"/>
                      <w:highlight w:val="none"/>
                      <w:lang w:val="en-US" w:eastAsia="zh-CN"/>
                    </w:rPr>
                    <w:t>项目洗车废水沉淀后循环使用</w:t>
                  </w:r>
                  <w:r>
                    <w:rPr>
                      <w:rFonts w:hint="default" w:ascii="Times New Roman" w:hAnsi="Times New Roman" w:eastAsia="宋体" w:cs="Times New Roman"/>
                      <w:color w:val="auto"/>
                      <w:sz w:val="21"/>
                      <w:szCs w:val="21"/>
                      <w:highlight w:val="none"/>
                    </w:rPr>
                    <w:t>。本项目无新增生活污水</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kern w:val="0"/>
                      <w:sz w:val="21"/>
                      <w:szCs w:val="21"/>
                      <w:highlight w:val="none"/>
                      <w:lang w:val="en-US" w:eastAsia="zh-CN" w:bidi="ar"/>
                    </w:rPr>
                    <w:t>不与地表水发生直接联系，不会对当地地表水环境造成影响；</w:t>
                  </w:r>
                  <w:r>
                    <w:rPr>
                      <w:rFonts w:hint="default" w:ascii="Times New Roman" w:hAnsi="Times New Roman" w:eastAsia="宋体" w:cs="Times New Roman"/>
                      <w:color w:val="auto"/>
                      <w:kern w:val="0"/>
                      <w:sz w:val="21"/>
                      <w:szCs w:val="21"/>
                      <w:highlight w:val="none"/>
                      <w:lang w:val="zh-CN"/>
                    </w:rPr>
                    <w:t>项目采取了完善的噪声控制措施，经预测，</w:t>
                  </w:r>
                  <w:r>
                    <w:rPr>
                      <w:rFonts w:hint="default" w:ascii="Times New Roman" w:hAnsi="Times New Roman" w:eastAsia="宋体" w:cs="Times New Roman"/>
                      <w:color w:val="auto"/>
                      <w:kern w:val="0"/>
                      <w:sz w:val="21"/>
                      <w:szCs w:val="21"/>
                      <w:highlight w:val="none"/>
                    </w:rPr>
                    <w:t>厂界噪声预测值满足《工业企业厂界环境噪声排放标准》</w:t>
                  </w:r>
                  <w:r>
                    <w:rPr>
                      <w:rFonts w:hint="default" w:ascii="Times New Roman" w:hAnsi="Times New Roman" w:eastAsia="宋体" w:cs="Times New Roman"/>
                      <w:color w:val="auto"/>
                      <w:kern w:val="0"/>
                      <w:sz w:val="21"/>
                      <w:szCs w:val="21"/>
                      <w:highlight w:val="none"/>
                      <w:lang w:eastAsia="zh-CN"/>
                    </w:rPr>
                    <w:t>(</w:t>
                  </w:r>
                  <w:r>
                    <w:rPr>
                      <w:rFonts w:hint="default" w:ascii="Times New Roman" w:hAnsi="Times New Roman" w:eastAsia="宋体" w:cs="Times New Roman"/>
                      <w:color w:val="auto"/>
                      <w:kern w:val="0"/>
                      <w:sz w:val="21"/>
                      <w:szCs w:val="21"/>
                      <w:highlight w:val="none"/>
                    </w:rPr>
                    <w:t>GB13248-2008)</w:t>
                  </w:r>
                  <w:r>
                    <w:rPr>
                      <w:rFonts w:hint="default" w:ascii="Times New Roman" w:hAnsi="Times New Roman" w:eastAsia="宋体" w:cs="Times New Roman"/>
                      <w:color w:val="auto"/>
                      <w:kern w:val="0"/>
                      <w:sz w:val="21"/>
                      <w:szCs w:val="21"/>
                      <w:highlight w:val="none"/>
                      <w:lang w:val="en-US" w:eastAsia="zh-CN"/>
                    </w:rPr>
                    <w:t>3</w:t>
                  </w:r>
                  <w:r>
                    <w:rPr>
                      <w:rFonts w:hint="default" w:ascii="Times New Roman" w:hAnsi="Times New Roman" w:eastAsia="宋体" w:cs="Times New Roman"/>
                      <w:color w:val="auto"/>
                      <w:kern w:val="0"/>
                      <w:sz w:val="21"/>
                      <w:szCs w:val="21"/>
                      <w:highlight w:val="none"/>
                    </w:rPr>
                    <w:t>类标准要求</w:t>
                  </w:r>
                  <w:r>
                    <w:rPr>
                      <w:rFonts w:hint="eastAsia" w:cs="Times New Roman"/>
                      <w:color w:val="auto"/>
                      <w:kern w:val="0"/>
                      <w:sz w:val="21"/>
                      <w:szCs w:val="21"/>
                      <w:highlight w:val="none"/>
                      <w:lang w:eastAsia="zh-CN"/>
                    </w:rPr>
                    <w:t>；</w:t>
                  </w:r>
                  <w:r>
                    <w:rPr>
                      <w:rFonts w:hint="eastAsia" w:ascii="Times New Roman" w:cs="Times New Roman"/>
                      <w:color w:val="auto"/>
                      <w:sz w:val="21"/>
                      <w:szCs w:val="21"/>
                      <w:highlight w:val="none"/>
                      <w:lang w:val="en-US" w:eastAsia="zh-CN"/>
                    </w:rPr>
                    <w:t>项目产生的固体废物均得到合理处置</w:t>
                  </w:r>
                  <w:r>
                    <w:rPr>
                      <w:rFonts w:hint="eastAsia" w:cs="Times New Roman"/>
                      <w:color w:val="auto"/>
                      <w:sz w:val="21"/>
                      <w:szCs w:val="21"/>
                      <w:highlight w:val="none"/>
                      <w:lang w:val="en-US" w:eastAsia="zh-CN"/>
                    </w:rPr>
                    <w:t>。</w:t>
                  </w:r>
                </w:p>
              </w:tc>
              <w:tc>
                <w:tcPr>
                  <w:tcW w:w="479" w:type="pct"/>
                  <w:vAlign w:val="center"/>
                </w:tcPr>
                <w:p w14:paraId="1506833B">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20E9A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1" w:type="pct"/>
                  <w:vAlign w:val="center"/>
                </w:tcPr>
                <w:p w14:paraId="21B28936">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4.6</w:t>
                  </w:r>
                </w:p>
              </w:tc>
              <w:tc>
                <w:tcPr>
                  <w:tcW w:w="2191" w:type="pct"/>
                  <w:vAlign w:val="center"/>
                </w:tcPr>
                <w:p w14:paraId="77D77BD7">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固体废物再生利用过程产生的各种污染物的排放应满足国家和地方的污染物排放(控制)标准与排污许可要求。</w:t>
                  </w:r>
                </w:p>
              </w:tc>
              <w:tc>
                <w:tcPr>
                  <w:tcW w:w="1907" w:type="pct"/>
                  <w:vMerge w:val="continue"/>
                  <w:vAlign w:val="center"/>
                </w:tcPr>
                <w:p w14:paraId="58269C08">
                  <w:pPr>
                    <w:adjustRightInd w:val="0"/>
                    <w:snapToGrid w:val="0"/>
                    <w:spacing w:line="280" w:lineRule="exact"/>
                    <w:ind w:firstLine="0" w:firstLineChars="0"/>
                    <w:jc w:val="center"/>
                    <w:textAlignment w:val="baseline"/>
                    <w:rPr>
                      <w:rFonts w:hint="eastAsia" w:ascii="Times New Roman" w:hAnsi="Times New Roman" w:eastAsia="宋体" w:cs="Times New Roman"/>
                      <w:color w:val="auto"/>
                      <w:sz w:val="21"/>
                      <w:szCs w:val="21"/>
                      <w:highlight w:val="none"/>
                      <w:lang w:val="en-US" w:eastAsia="zh-CN"/>
                    </w:rPr>
                  </w:pPr>
                </w:p>
              </w:tc>
              <w:tc>
                <w:tcPr>
                  <w:tcW w:w="479" w:type="pct"/>
                  <w:vAlign w:val="center"/>
                </w:tcPr>
                <w:p w14:paraId="236A592F">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2B4C4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1" w:type="pct"/>
                  <w:vAlign w:val="center"/>
                </w:tcPr>
                <w:p w14:paraId="2F876B94">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4.7</w:t>
                  </w:r>
                </w:p>
              </w:tc>
              <w:tc>
                <w:tcPr>
                  <w:tcW w:w="2191" w:type="pct"/>
                  <w:vAlign w:val="center"/>
                </w:tcPr>
                <w:p w14:paraId="7FF22932">
                  <w:pPr>
                    <w:adjustRightInd w:val="0"/>
                    <w:snapToGrid w:val="0"/>
                    <w:spacing w:line="280" w:lineRule="exact"/>
                    <w:ind w:firstLine="0" w:firstLineChars="0"/>
                    <w:jc w:val="both"/>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固体废物再生利用产物作为产品的，应符合GB34330中要求的国家、地方制定或行业通行的产品质量标准，与国家相关污染控制标准或技术规范要求，包括该产物生产过程中排放到环境中的特征污染物含量标准和该产物中特征污染物的含量标准。</w:t>
                  </w:r>
                </w:p>
                <w:p w14:paraId="27228EEF">
                  <w:pPr>
                    <w:adjustRightInd w:val="0"/>
                    <w:snapToGrid w:val="0"/>
                    <w:spacing w:line="280" w:lineRule="exact"/>
                    <w:ind w:firstLine="0" w:firstLineChars="0"/>
                    <w:jc w:val="both"/>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当没有国家污染控制标准或技术规范时，应以再生利用的固体废物中的特征污染物为评价对象，综合考虑其在固体废物再生利用过程中的迁移转化行为以及再生利用产物的用途，进行环境风险定性评价，依据评价结果来识别该产物中的有害成分。</w:t>
                  </w:r>
                </w:p>
                <w:p w14:paraId="175C5AD4">
                  <w:pPr>
                    <w:adjustRightInd w:val="0"/>
                    <w:snapToGrid w:val="0"/>
                    <w:spacing w:line="280" w:lineRule="exact"/>
                    <w:ind w:firstLine="0" w:firstLineChars="0"/>
                    <w:jc w:val="both"/>
                    <w:textAlignment w:val="baseline"/>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根据定性评价结果开展产物的环境风险定量评价。环境风险定量评价的主要步骤应包括</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确定环境保护目标、建立评价场景、构建污染物释放模型、构建污染物在环境介质中的迁移转化模型、影响评估等。对于无法明确产品用途时，应根据最不利暴露条件开展环境风险评价</w:t>
                  </w:r>
                  <w:r>
                    <w:rPr>
                      <w:rFonts w:hint="eastAsia" w:cs="Times New Roman"/>
                      <w:color w:val="auto"/>
                      <w:sz w:val="21"/>
                      <w:szCs w:val="21"/>
                      <w:highlight w:val="none"/>
                      <w:lang w:val="en-US" w:eastAsia="zh-CN"/>
                    </w:rPr>
                    <w:t>。</w:t>
                  </w:r>
                </w:p>
              </w:tc>
              <w:tc>
                <w:tcPr>
                  <w:tcW w:w="1907" w:type="pct"/>
                  <w:vAlign w:val="center"/>
                </w:tcPr>
                <w:p w14:paraId="2C028371">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项目产生的产物为本厂所用，满足本厂所需的技术要求。</w:t>
                  </w:r>
                </w:p>
              </w:tc>
              <w:tc>
                <w:tcPr>
                  <w:tcW w:w="479" w:type="pct"/>
                  <w:vAlign w:val="center"/>
                </w:tcPr>
                <w:p w14:paraId="48FECD01">
                  <w:pPr>
                    <w:adjustRightInd w:val="0"/>
                    <w:snapToGrid w:val="0"/>
                    <w:spacing w:line="280" w:lineRule="exact"/>
                    <w:ind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bl>
          <w:p w14:paraId="68AAC0AE">
            <w:pPr>
              <w:rPr>
                <w:rFonts w:hint="default"/>
                <w:color w:val="auto"/>
                <w:lang w:val="en-US" w:eastAsia="zh-CN"/>
              </w:rPr>
            </w:pPr>
          </w:p>
        </w:tc>
      </w:tr>
    </w:tbl>
    <w:p w14:paraId="33DD00F2">
      <w:pPr>
        <w:ind w:firstLine="720"/>
        <w:outlineLvl w:val="0"/>
        <w:rPr>
          <w:rFonts w:eastAsiaTheme="minorEastAsia"/>
          <w:color w:val="auto"/>
          <w:sz w:val="36"/>
          <w:szCs w:val="32"/>
          <w:highlight w:val="yellow"/>
        </w:rPr>
        <w:sectPr>
          <w:headerReference r:id="rId7" w:type="default"/>
          <w:footerReference r:id="rId8"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p>
    <w:p w14:paraId="1E7E91E7">
      <w:pPr>
        <w:pStyle w:val="77"/>
        <w:spacing w:before="0" w:beforeAutospacing="0" w:after="0" w:afterAutospacing="0" w:line="240" w:lineRule="auto"/>
        <w:ind w:firstLine="0" w:firstLineChars="0"/>
        <w:outlineLvl w:val="0"/>
        <w:rPr>
          <w:rFonts w:ascii="Times New Roman" w:hAnsi="Times New Roman" w:eastAsiaTheme="minorEastAsia"/>
          <w:b/>
          <w:bCs/>
          <w:snapToGrid w:val="0"/>
          <w:color w:val="auto"/>
          <w:sz w:val="32"/>
          <w:szCs w:val="32"/>
          <w:highlight w:val="none"/>
        </w:rPr>
      </w:pPr>
      <w:r>
        <w:rPr>
          <w:rFonts w:ascii="Times New Roman" w:hAnsi="Times New Roman" w:eastAsiaTheme="minorEastAsia"/>
          <w:b/>
          <w:bCs/>
          <w:snapToGrid w:val="0"/>
          <w:color w:val="auto"/>
          <w:sz w:val="32"/>
          <w:szCs w:val="32"/>
          <w:highlight w:val="none"/>
        </w:rPr>
        <w:t>二、建设项目工程分析</w:t>
      </w:r>
    </w:p>
    <w:tbl>
      <w:tblPr>
        <w:tblStyle w:val="8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22"/>
        <w:gridCol w:w="8637"/>
      </w:tblGrid>
      <w:tr w14:paraId="2BF1A1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38" w:hRule="atLeast"/>
          <w:jc w:val="center"/>
        </w:trPr>
        <w:tc>
          <w:tcPr>
            <w:tcW w:w="233" w:type="pct"/>
            <w:shd w:val="clear" w:color="auto" w:fill="auto"/>
            <w:vAlign w:val="center"/>
          </w:tcPr>
          <w:p w14:paraId="6FE831F5">
            <w:pPr>
              <w:pStyle w:val="77"/>
              <w:spacing w:before="0" w:beforeAutospacing="0" w:after="0" w:after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建设项目</w:t>
            </w:r>
          </w:p>
          <w:p w14:paraId="67107A65">
            <w:pPr>
              <w:pStyle w:val="43"/>
              <w:rPr>
                <w:rFonts w:hint="default" w:ascii="Times New Roman" w:hAnsi="Times New Roman" w:cs="Times New Roman"/>
                <w:color w:val="auto"/>
                <w:sz w:val="21"/>
                <w:szCs w:val="21"/>
                <w:highlight w:val="yellow"/>
              </w:rPr>
            </w:pPr>
          </w:p>
        </w:tc>
        <w:tc>
          <w:tcPr>
            <w:tcW w:w="4766" w:type="pct"/>
            <w:shd w:val="clear" w:color="auto" w:fill="auto"/>
          </w:tcPr>
          <w:p w14:paraId="0A1A834E">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1、项目由来</w:t>
            </w:r>
          </w:p>
          <w:p w14:paraId="52930796">
            <w:pPr>
              <w:jc w:val="both"/>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lang w:val="en-US" w:eastAsia="zh-CN"/>
              </w:rPr>
              <w:t>唐山松汀钢铁有限公司始建于1969年，厂址位于河北迁安经济开发区，迁安市木厂口镇西北侧，</w:t>
            </w:r>
            <w:r>
              <w:rPr>
                <w:rFonts w:hint="eastAsia" w:ascii="宋体" w:hAnsi="宋体" w:eastAsia="宋体" w:cs="宋体"/>
                <w:color w:val="auto"/>
                <w:highlight w:val="none"/>
              </w:rPr>
              <w:t>经多年发展，</w:t>
            </w:r>
            <w:r>
              <w:rPr>
                <w:rFonts w:hint="eastAsia" w:ascii="宋体" w:hAnsi="宋体" w:eastAsia="宋体" w:cs="宋体"/>
                <w:color w:val="auto"/>
                <w:highlight w:val="none"/>
                <w:lang w:val="en-US" w:eastAsia="zh-CN"/>
              </w:rPr>
              <w:t>松汀</w:t>
            </w:r>
            <w:r>
              <w:rPr>
                <w:rFonts w:hint="eastAsia" w:ascii="宋体" w:hAnsi="宋体" w:eastAsia="宋体" w:cs="宋体"/>
                <w:color w:val="auto"/>
                <w:highlight w:val="none"/>
              </w:rPr>
              <w:t>公司现已成为集烧结、球团、炼铁、炼钢、轧钢等为一体的钢铁联合企业</w:t>
            </w:r>
            <w:r>
              <w:rPr>
                <w:rFonts w:hint="default" w:ascii="Times New Roman" w:hAnsi="Times New Roman" w:cs="Times New Roman" w:eastAsiaTheme="minorEastAsia"/>
                <w:color w:val="auto"/>
                <w:kern w:val="0"/>
                <w:sz w:val="21"/>
                <w:szCs w:val="21"/>
                <w:highlight w:val="none"/>
                <w:lang w:val="en-US" w:eastAsia="zh-CN"/>
              </w:rPr>
              <w:t>。</w:t>
            </w:r>
          </w:p>
          <w:p w14:paraId="45272745">
            <w:pPr>
              <w:pStyle w:val="161"/>
              <w:spacing w:line="360" w:lineRule="auto"/>
              <w:ind w:firstLine="420"/>
              <w:jc w:val="both"/>
              <w:rPr>
                <w:rFonts w:hint="eastAsia"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eastAsiaTheme="minorEastAsia"/>
                <w:color w:val="auto"/>
                <w:kern w:val="0"/>
                <w:sz w:val="21"/>
                <w:szCs w:val="21"/>
                <w:highlight w:val="none"/>
                <w:lang w:val="en-US" w:eastAsia="zh-CN"/>
              </w:rPr>
              <w:t>钢厂除尘灰是钢铁生产过程中产生的重要副产品，具有广泛的综合利用价值。随着环保要求的提高和资源循环利用理念的深入，除尘灰的资源化利用已成为钢铁企业可持续发展的重要环节。</w:t>
            </w:r>
            <w:r>
              <w:rPr>
                <w:rFonts w:hint="eastAsia" w:cs="Times New Roman" w:eastAsiaTheme="minorEastAsia"/>
                <w:color w:val="auto"/>
                <w:kern w:val="0"/>
                <w:sz w:val="21"/>
                <w:szCs w:val="21"/>
                <w:highlight w:val="red"/>
                <w:lang w:val="en-US" w:eastAsia="zh-CN"/>
              </w:rPr>
              <w:t>将除尘灰与矿粉等混合后加工成</w:t>
            </w:r>
            <w:r>
              <w:rPr>
                <w:rFonts w:hint="default" w:ascii="Times New Roman" w:hAnsi="Times New Roman" w:cs="Times New Roman" w:eastAsiaTheme="minorEastAsia"/>
                <w:color w:val="auto"/>
                <w:sz w:val="21"/>
                <w:szCs w:val="21"/>
                <w:highlight w:val="red"/>
                <w:lang w:val="en-US" w:eastAsia="zh-CN"/>
              </w:rPr>
              <w:t>含铁废料压球</w:t>
            </w:r>
            <w:r>
              <w:rPr>
                <w:highlight w:val="red"/>
              </w:rPr>
              <w:commentReference w:id="4"/>
            </w:r>
            <w:r>
              <w:rPr>
                <w:rFonts w:hint="eastAsia" w:ascii="Times New Roman" w:hAnsi="Times New Roman" w:cs="Times New Roman" w:eastAsiaTheme="minorEastAsia"/>
                <w:color w:val="auto"/>
                <w:sz w:val="21"/>
                <w:szCs w:val="21"/>
                <w:highlight w:val="red"/>
                <w:lang w:val="en-US" w:eastAsia="zh-CN"/>
              </w:rPr>
              <w:t>，</w:t>
            </w:r>
            <w:r>
              <w:rPr>
                <w:rFonts w:hint="eastAsia" w:ascii="Times New Roman" w:hAnsi="Times New Roman" w:eastAsia="宋体" w:cs="Times New Roman"/>
                <w:color w:val="auto"/>
                <w:kern w:val="0"/>
                <w:sz w:val="21"/>
                <w:szCs w:val="21"/>
                <w:highlight w:val="red"/>
                <w:lang w:val="en-US" w:eastAsia="zh-CN" w:bidi="ar"/>
              </w:rPr>
              <w:t>可应用于</w:t>
            </w:r>
            <w:r>
              <w:rPr>
                <w:rFonts w:hint="eastAsia" w:cs="Times New Roman"/>
                <w:color w:val="auto"/>
                <w:kern w:val="0"/>
                <w:sz w:val="21"/>
                <w:szCs w:val="21"/>
                <w:highlight w:val="red"/>
                <w:lang w:val="en-US" w:eastAsia="zh-CN" w:bidi="ar"/>
              </w:rPr>
              <w:t>本厂的炼钢工序</w:t>
            </w:r>
            <w:r>
              <w:rPr>
                <w:rFonts w:hint="eastAsia" w:ascii="Times New Roman" w:hAnsi="Times New Roman" w:eastAsia="宋体" w:cs="Times New Roman"/>
                <w:color w:val="auto"/>
                <w:kern w:val="0"/>
                <w:sz w:val="21"/>
                <w:szCs w:val="21"/>
                <w:highlight w:val="red"/>
                <w:lang w:val="en-US" w:eastAsia="zh-CN" w:bidi="ar"/>
              </w:rPr>
              <w:t>，</w:t>
            </w:r>
            <w:r>
              <w:rPr>
                <w:rFonts w:hint="eastAsia" w:ascii="Times New Roman" w:hAnsi="Times New Roman" w:cs="Times New Roman"/>
                <w:color w:val="auto"/>
                <w:kern w:val="0"/>
                <w:sz w:val="21"/>
                <w:szCs w:val="21"/>
                <w:highlight w:val="red"/>
                <w:lang w:val="en-US" w:eastAsia="zh-CN" w:bidi="ar"/>
              </w:rPr>
              <w:t>替代部分炼钢冷料</w:t>
            </w:r>
            <w:r>
              <w:rPr>
                <w:rFonts w:hint="eastAsia" w:cs="Times New Roman"/>
                <w:color w:val="auto"/>
                <w:kern w:val="0"/>
                <w:sz w:val="21"/>
                <w:szCs w:val="21"/>
                <w:highlight w:val="red"/>
                <w:lang w:val="en-US" w:eastAsia="zh-CN" w:bidi="ar"/>
              </w:rPr>
              <w:t>(降低炉温)</w:t>
            </w:r>
            <w:r>
              <w:rPr>
                <w:rFonts w:hint="eastAsia" w:ascii="Times New Roman" w:hAnsi="Times New Roman" w:cs="Times New Roman"/>
                <w:color w:val="auto"/>
                <w:kern w:val="0"/>
                <w:sz w:val="21"/>
                <w:szCs w:val="21"/>
                <w:highlight w:val="red"/>
                <w:lang w:val="en-US" w:eastAsia="zh-CN" w:bidi="ar"/>
              </w:rPr>
              <w:t>，优于直接将除尘灰返回烧结厂做原料利用的现状方案，不仅可以</w:t>
            </w:r>
            <w:r>
              <w:rPr>
                <w:rFonts w:hint="eastAsia" w:ascii="Times New Roman" w:hAnsi="Times New Roman" w:eastAsia="宋体" w:cs="Times New Roman"/>
                <w:color w:val="auto"/>
                <w:kern w:val="0"/>
                <w:sz w:val="21"/>
                <w:szCs w:val="21"/>
                <w:highlight w:val="red"/>
                <w:lang w:val="en-US" w:eastAsia="zh-CN" w:bidi="ar"/>
              </w:rPr>
              <w:t>实现资源的回收利用</w:t>
            </w:r>
            <w:r>
              <w:rPr>
                <w:rFonts w:hint="eastAsia" w:ascii="Times New Roman" w:hAnsi="Times New Roman" w:cs="Times New Roman"/>
                <w:color w:val="auto"/>
                <w:kern w:val="0"/>
                <w:sz w:val="21"/>
                <w:szCs w:val="21"/>
                <w:highlight w:val="red"/>
                <w:lang w:val="en-US" w:eastAsia="zh-CN" w:bidi="ar"/>
              </w:rPr>
              <w:t>，更能降低冶炼成本</w:t>
            </w:r>
            <w:r>
              <w:rPr>
                <w:rFonts w:hint="eastAsia" w:ascii="Times New Roman" w:hAnsi="Times New Roman" w:eastAsia="宋体" w:cs="Times New Roman"/>
                <w:color w:val="auto"/>
                <w:kern w:val="0"/>
                <w:sz w:val="21"/>
                <w:szCs w:val="21"/>
                <w:highlight w:val="red"/>
                <w:lang w:val="en-US" w:eastAsia="zh-CN" w:bidi="ar"/>
              </w:rPr>
              <w:t>。</w:t>
            </w:r>
          </w:p>
          <w:p w14:paraId="03D03CDE">
            <w:pPr>
              <w:pStyle w:val="161"/>
              <w:spacing w:line="360" w:lineRule="auto"/>
              <w:ind w:firstLine="420"/>
              <w:jc w:val="both"/>
              <w:rPr>
                <w:rFonts w:hint="default" w:ascii="Times New Roman" w:hAnsi="Times New Roman" w:cs="Times New Roman" w:eastAsiaTheme="minorEastAsia"/>
                <w:color w:val="auto"/>
                <w:sz w:val="21"/>
                <w:szCs w:val="21"/>
                <w:highlight w:val="none"/>
                <w:lang w:val="en-US" w:eastAsia="zh-CN"/>
              </w:rPr>
            </w:pPr>
            <w:r>
              <w:rPr>
                <w:rFonts w:hint="eastAsia"/>
                <w:color w:val="auto"/>
                <w:sz w:val="21"/>
                <w:szCs w:val="21"/>
                <w:highlight w:val="none"/>
                <w:lang w:val="en-US" w:eastAsia="zh-CN"/>
              </w:rPr>
              <w:t>基于以上背景，</w:t>
            </w:r>
            <w:r>
              <w:rPr>
                <w:rFonts w:hint="default" w:ascii="Times New Roman" w:hAnsi="Times New Roman" w:cs="Times New Roman" w:eastAsiaTheme="minorEastAsia"/>
                <w:color w:val="auto"/>
                <w:kern w:val="0"/>
                <w:sz w:val="21"/>
                <w:szCs w:val="21"/>
                <w:highlight w:val="none"/>
                <w:lang w:val="en-US" w:eastAsia="zh-CN"/>
              </w:rPr>
              <w:t>唐山松汀钢铁有限公</w:t>
            </w:r>
            <w:r>
              <w:rPr>
                <w:rFonts w:hint="default" w:ascii="Times New Roman" w:hAnsi="Times New Roman" w:eastAsia="宋体" w:cs="Times New Roman"/>
                <w:color w:val="auto"/>
                <w:kern w:val="0"/>
                <w:sz w:val="21"/>
                <w:szCs w:val="21"/>
                <w:highlight w:val="none"/>
                <w:lang w:val="en-US" w:eastAsia="zh-CN" w:bidi="ar"/>
              </w:rPr>
              <w:t>司</w:t>
            </w:r>
            <w:r>
              <w:rPr>
                <w:rFonts w:hint="eastAsia" w:ascii="Times New Roman" w:hAnsi="Times New Roman" w:eastAsia="宋体" w:cs="Times New Roman"/>
                <w:color w:val="auto"/>
                <w:kern w:val="0"/>
                <w:sz w:val="21"/>
                <w:szCs w:val="21"/>
                <w:highlight w:val="none"/>
                <w:lang w:val="en-US" w:eastAsia="zh-CN" w:bidi="ar"/>
              </w:rPr>
              <w:t>决定投资200万，在公司现有厂区内建设含铁废料综合利用项目，</w:t>
            </w:r>
            <w:r>
              <w:rPr>
                <w:rFonts w:hint="default" w:ascii="Times New Roman" w:hAnsi="Times New Roman" w:cs="Times New Roman" w:eastAsiaTheme="minorEastAsia"/>
                <w:color w:val="auto"/>
                <w:sz w:val="21"/>
                <w:szCs w:val="21"/>
                <w:highlight w:val="none"/>
                <w:lang w:val="en-US" w:eastAsia="zh-CN"/>
              </w:rPr>
              <w:t>项目利用现有厂房面积约4400平方米，新建时产15吨含铁废料压球生产线1条，包括压球机、除尘器、输送机、成品球料仓棒条卸料筛、电控阀门、气力卸料系统、配电设施等；项目建成后，年产含铁废料压球10.8万吨。</w:t>
            </w:r>
          </w:p>
          <w:p w14:paraId="52B1AB30">
            <w:pPr>
              <w:pStyle w:val="161"/>
              <w:spacing w:line="360" w:lineRule="auto"/>
              <w:ind w:firstLine="420"/>
              <w:jc w:val="both"/>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kern w:val="2"/>
                <w:sz w:val="21"/>
                <w:szCs w:val="21"/>
                <w:highlight w:val="none"/>
              </w:rPr>
              <w:t>根据《中华人民共和国环境影响评价法》和《建设项目环境影响评价分类管理名录》等有关环保政策法规的要求，</w:t>
            </w:r>
            <w:r>
              <w:rPr>
                <w:rFonts w:hint="default" w:ascii="Times New Roman" w:hAnsi="Times New Roman" w:cs="Times New Roman"/>
                <w:color w:val="auto"/>
                <w:kern w:val="2"/>
                <w:sz w:val="21"/>
                <w:szCs w:val="21"/>
                <w:highlight w:val="none"/>
                <w:lang w:val="en-US" w:eastAsia="zh-CN"/>
              </w:rPr>
              <w:t>项目</w:t>
            </w:r>
            <w:r>
              <w:rPr>
                <w:rFonts w:hint="default" w:ascii="Times New Roman" w:hAnsi="Times New Roman" w:cs="Times New Roman"/>
                <w:color w:val="auto"/>
                <w:kern w:val="2"/>
                <w:sz w:val="21"/>
                <w:szCs w:val="21"/>
                <w:highlight w:val="none"/>
              </w:rPr>
              <w:t>属于</w:t>
            </w:r>
            <w:r>
              <w:rPr>
                <w:rFonts w:hint="eastAsia" w:ascii="Times New Roman" w:hAnsi="Times New Roman" w:cs="Times New Roman"/>
                <w:color w:val="auto"/>
                <w:kern w:val="2"/>
                <w:sz w:val="21"/>
                <w:szCs w:val="21"/>
                <w:highlight w:val="none"/>
              </w:rPr>
              <w:t>三十九、废弃资源综合利用业42-金属废料和碎屑加工处理421</w:t>
            </w:r>
            <w:r>
              <w:rPr>
                <w:rFonts w:hint="eastAsia" w:ascii="Times New Roman" w:hAnsi="Times New Roman" w:cs="Times New Roman"/>
                <w:color w:val="auto"/>
                <w:kern w:val="2"/>
                <w:sz w:val="21"/>
                <w:szCs w:val="21"/>
                <w:highlight w:val="none"/>
                <w:lang w:val="en-US" w:eastAsia="zh-CN"/>
              </w:rPr>
              <w:t>-金属和金属化合物矿灰及残渣加工处理</w:t>
            </w:r>
            <w:r>
              <w:rPr>
                <w:rFonts w:ascii="Times New Roman" w:hAnsi="Times New Roman" w:cs="Times New Roman"/>
                <w:color w:val="auto"/>
                <w:kern w:val="2"/>
                <w:sz w:val="21"/>
                <w:szCs w:val="21"/>
                <w:highlight w:val="none"/>
              </w:rPr>
              <w:t>，根据要求，该项目需编制环境影响报告表。</w:t>
            </w:r>
          </w:p>
          <w:p w14:paraId="019B41E3">
            <w:pPr>
              <w:pStyle w:val="161"/>
              <w:spacing w:line="360" w:lineRule="auto"/>
              <w:ind w:firstLine="420"/>
              <w:jc w:val="both"/>
              <w:rPr>
                <w:rFonts w:hint="default" w:ascii="Times New Roman" w:hAnsi="Times New Roman" w:cs="Times New Roman"/>
                <w:color w:val="auto"/>
                <w:kern w:val="2"/>
                <w:sz w:val="21"/>
                <w:szCs w:val="21"/>
                <w:highlight w:val="none"/>
              </w:rPr>
            </w:pPr>
            <w:r>
              <w:rPr>
                <w:rFonts w:hint="default" w:ascii="Times New Roman" w:hAnsi="Times New Roman" w:cs="Times New Roman" w:eastAsiaTheme="minorEastAsia"/>
                <w:color w:val="auto"/>
                <w:kern w:val="0"/>
                <w:sz w:val="21"/>
                <w:szCs w:val="21"/>
                <w:highlight w:val="none"/>
                <w:lang w:val="en-US" w:eastAsia="zh-CN"/>
              </w:rPr>
              <w:t>唐山松汀钢铁有限公司</w:t>
            </w:r>
            <w:r>
              <w:rPr>
                <w:rFonts w:hint="default" w:ascii="Times New Roman" w:hAnsi="Times New Roman" w:cs="Times New Roman"/>
                <w:color w:val="auto"/>
                <w:kern w:val="2"/>
                <w:sz w:val="21"/>
                <w:szCs w:val="21"/>
                <w:highlight w:val="none"/>
              </w:rPr>
              <w:t>委托我公司进行该项目环境影响评价工作。接受委托后，我单位组织技术人员对本项目进行现场踏勘，详细地搜集了与本项目有关的技术资料，按照《建设项目环境影响报告表编制技术指南(污染影响类)》(试行)等的有关规定，编制完成了本项目环境影响报告表。</w:t>
            </w:r>
          </w:p>
          <w:p w14:paraId="50C85DE6">
            <w:pPr>
              <w:pStyle w:val="161"/>
              <w:spacing w:line="360" w:lineRule="auto"/>
              <w:ind w:firstLine="420"/>
              <w:jc w:val="both"/>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kern w:val="2"/>
                <w:sz w:val="21"/>
                <w:szCs w:val="21"/>
                <w:highlight w:val="none"/>
              </w:rPr>
              <w:t>2、主要建设内容</w:t>
            </w:r>
          </w:p>
          <w:p w14:paraId="299594CD">
            <w:pPr>
              <w:pStyle w:val="161"/>
              <w:spacing w:line="360" w:lineRule="auto"/>
              <w:ind w:firstLine="420"/>
              <w:jc w:val="both"/>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项目利用现有厂房面积约4400平方米，新建时产15吨含铁废料压球生产线1条，包括压球机、除尘器、输送机、成品球料仓棒条卸料筛、电控阀门、气力卸料系统、配电设施等；项目建成后，年产含铁废料压球10.8万吨。</w:t>
            </w:r>
          </w:p>
          <w:p w14:paraId="503B962D">
            <w:pPr>
              <w:ind w:firstLine="0" w:firstLineChars="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表</w:t>
            </w:r>
            <w:r>
              <w:rPr>
                <w:rFonts w:hint="eastAsia" w:ascii="Times New Roman" w:hAnsi="Times New Roman" w:cs="Times New Roman"/>
                <w:b/>
                <w:bCs/>
                <w:color w:val="auto"/>
                <w:sz w:val="21"/>
                <w:szCs w:val="21"/>
                <w:highlight w:val="none"/>
                <w:lang w:val="en-US" w:eastAsia="zh-CN"/>
              </w:rPr>
              <w:t>2-1</w:t>
            </w:r>
            <w:r>
              <w:rPr>
                <w:rFonts w:hint="default" w:ascii="Times New Roman" w:hAnsi="Times New Roman" w:cs="Times New Roman"/>
                <w:b/>
                <w:bCs/>
                <w:color w:val="auto"/>
                <w:sz w:val="21"/>
                <w:szCs w:val="21"/>
                <w:highlight w:val="none"/>
              </w:rPr>
              <w:t xml:space="preserve">    项目组成一览表</w:t>
            </w:r>
          </w:p>
          <w:tbl>
            <w:tblPr>
              <w:tblStyle w:val="8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9"/>
              <w:gridCol w:w="1260"/>
              <w:gridCol w:w="4942"/>
              <w:gridCol w:w="1397"/>
            </w:tblGrid>
            <w:tr w14:paraId="24FC5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1" w:type="pct"/>
                  <w:tcBorders>
                    <w:top w:val="single" w:color="auto" w:sz="4" w:space="0"/>
                    <w:left w:val="single" w:color="auto" w:sz="4" w:space="0"/>
                    <w:bottom w:val="single" w:color="auto" w:sz="4" w:space="0"/>
                    <w:right w:val="single" w:color="auto" w:sz="4" w:space="0"/>
                  </w:tcBorders>
                  <w:vAlign w:val="center"/>
                </w:tcPr>
                <w:p w14:paraId="5DD5B2A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工程类别</w:t>
                  </w:r>
                </w:p>
              </w:tc>
              <w:tc>
                <w:tcPr>
                  <w:tcW w:w="749" w:type="pct"/>
                  <w:tcBorders>
                    <w:top w:val="single" w:color="auto" w:sz="4" w:space="0"/>
                    <w:left w:val="single" w:color="auto" w:sz="4" w:space="0"/>
                    <w:bottom w:val="single" w:color="auto" w:sz="4" w:space="0"/>
                    <w:right w:val="single" w:color="auto" w:sz="4" w:space="0"/>
                  </w:tcBorders>
                  <w:vAlign w:val="center"/>
                </w:tcPr>
                <w:p w14:paraId="25F7F99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项目名称</w:t>
                  </w:r>
                </w:p>
              </w:tc>
              <w:tc>
                <w:tcPr>
                  <w:tcW w:w="2938" w:type="pct"/>
                  <w:tcBorders>
                    <w:top w:val="single" w:color="auto" w:sz="4" w:space="0"/>
                    <w:left w:val="single" w:color="auto" w:sz="4" w:space="0"/>
                    <w:bottom w:val="single" w:color="auto" w:sz="4" w:space="0"/>
                    <w:right w:val="single" w:color="auto" w:sz="4" w:space="0"/>
                  </w:tcBorders>
                  <w:vAlign w:val="center"/>
                </w:tcPr>
                <w:p w14:paraId="575AD7E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建设内容</w:t>
                  </w:r>
                </w:p>
              </w:tc>
              <w:tc>
                <w:tcPr>
                  <w:tcW w:w="830" w:type="pct"/>
                  <w:tcBorders>
                    <w:top w:val="single" w:color="auto" w:sz="4" w:space="0"/>
                    <w:left w:val="single" w:color="auto" w:sz="4" w:space="0"/>
                    <w:bottom w:val="single" w:color="auto" w:sz="4" w:space="0"/>
                    <w:right w:val="single" w:color="auto" w:sz="4" w:space="0"/>
                  </w:tcBorders>
                  <w:vAlign w:val="center"/>
                </w:tcPr>
                <w:p w14:paraId="27B1480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备注</w:t>
                  </w:r>
                </w:p>
              </w:tc>
            </w:tr>
            <w:tr w14:paraId="45DDC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481" w:type="pct"/>
                  <w:tcBorders>
                    <w:top w:val="single" w:color="auto" w:sz="4" w:space="0"/>
                    <w:left w:val="single" w:color="auto" w:sz="4" w:space="0"/>
                    <w:right w:val="single" w:color="auto" w:sz="4" w:space="0"/>
                  </w:tcBorders>
                  <w:vAlign w:val="center"/>
                </w:tcPr>
                <w:p w14:paraId="21E8BF9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主体工程</w:t>
                  </w:r>
                </w:p>
              </w:tc>
              <w:tc>
                <w:tcPr>
                  <w:tcW w:w="749" w:type="pct"/>
                  <w:tcBorders>
                    <w:top w:val="single" w:color="auto" w:sz="4" w:space="0"/>
                    <w:left w:val="single" w:color="auto" w:sz="4" w:space="0"/>
                    <w:right w:val="single" w:color="auto" w:sz="4" w:space="0"/>
                  </w:tcBorders>
                  <w:vAlign w:val="center"/>
                </w:tcPr>
                <w:p w14:paraId="2F8B6F0A">
                  <w:pPr>
                    <w:adjustRightInd w:val="0"/>
                    <w:snapToGrid w:val="0"/>
                    <w:spacing w:line="240" w:lineRule="auto"/>
                    <w:ind w:firstLine="0" w:firstLineChars="0"/>
                    <w:jc w:val="center"/>
                    <w:rPr>
                      <w:rFonts w:hint="default" w:ascii="Times New Roman" w:hAnsi="Times New Roman" w:cs="Times New Roman"/>
                      <w:b/>
                      <w:bCs/>
                      <w:color w:val="auto"/>
                      <w:sz w:val="21"/>
                      <w:szCs w:val="21"/>
                      <w:highlight w:val="none"/>
                    </w:rPr>
                  </w:pPr>
                  <w:r>
                    <w:rPr>
                      <w:rFonts w:hint="default" w:ascii="Times New Roman" w:hAnsi="Times New Roman" w:cs="Times New Roman" w:eastAsiaTheme="minorEastAsia"/>
                      <w:color w:val="auto"/>
                      <w:sz w:val="21"/>
                      <w:szCs w:val="21"/>
                      <w:highlight w:val="none"/>
                      <w:lang w:val="en-US" w:eastAsia="zh-CN"/>
                    </w:rPr>
                    <w:t>含铁废料压球</w:t>
                  </w:r>
                  <w:r>
                    <w:rPr>
                      <w:rFonts w:hint="eastAsia"/>
                      <w:color w:val="auto"/>
                      <w:sz w:val="21"/>
                      <w:szCs w:val="21"/>
                      <w:highlight w:val="none"/>
                    </w:rPr>
                    <w:t>生产线</w:t>
                  </w:r>
                </w:p>
              </w:tc>
              <w:tc>
                <w:tcPr>
                  <w:tcW w:w="2938" w:type="pct"/>
                  <w:tcBorders>
                    <w:top w:val="single" w:color="auto" w:sz="4" w:space="0"/>
                    <w:left w:val="single" w:color="auto" w:sz="4" w:space="0"/>
                    <w:bottom w:val="single" w:color="auto" w:sz="4" w:space="0"/>
                    <w:right w:val="single" w:color="auto" w:sz="4" w:space="0"/>
                  </w:tcBorders>
                  <w:vAlign w:val="center"/>
                </w:tcPr>
                <w:p w14:paraId="2AEAC640">
                  <w:pPr>
                    <w:adjustRightInd w:val="0"/>
                    <w:snapToGrid w:val="0"/>
                    <w:spacing w:line="240" w:lineRule="auto"/>
                    <w:ind w:firstLine="0" w:firstLineChars="0"/>
                    <w:jc w:val="center"/>
                    <w:rPr>
                      <w:rFonts w:hint="default" w:ascii="Times New Roman" w:hAnsi="Times New Roman" w:cs="Times New Roman"/>
                      <w:b/>
                      <w:bCs/>
                      <w:color w:val="auto"/>
                      <w:sz w:val="21"/>
                      <w:szCs w:val="21"/>
                      <w:highlight w:val="none"/>
                    </w:rPr>
                  </w:pPr>
                  <w:r>
                    <w:rPr>
                      <w:rFonts w:hint="default" w:ascii="Times New Roman" w:hAnsi="Times New Roman" w:cs="Times New Roman" w:eastAsiaTheme="minorEastAsia"/>
                      <w:color w:val="auto"/>
                      <w:sz w:val="21"/>
                      <w:szCs w:val="21"/>
                      <w:highlight w:val="none"/>
                      <w:lang w:val="en-US" w:eastAsia="zh-CN"/>
                    </w:rPr>
                    <w:t>利用现有厂房面积约4400平方米</w:t>
                  </w:r>
                  <w:r>
                    <w:rPr>
                      <w:rFonts w:hint="eastAsia" w:cs="Times New Roman" w:eastAsiaTheme="minorEastAsia"/>
                      <w:color w:val="auto"/>
                      <w:sz w:val="21"/>
                      <w:szCs w:val="21"/>
                      <w:highlight w:val="none"/>
                      <w:lang w:val="en-US" w:eastAsia="zh-CN"/>
                    </w:rPr>
                    <w:t>，</w:t>
                  </w:r>
                  <w:r>
                    <w:rPr>
                      <w:rFonts w:hint="eastAsia"/>
                      <w:color w:val="auto"/>
                      <w:sz w:val="21"/>
                      <w:szCs w:val="21"/>
                      <w:highlight w:val="none"/>
                    </w:rPr>
                    <w:t>建设</w:t>
                  </w:r>
                  <w:r>
                    <w:rPr>
                      <w:rFonts w:hint="default" w:ascii="Times New Roman" w:hAnsi="Times New Roman" w:cs="Times New Roman" w:eastAsiaTheme="minorEastAsia"/>
                      <w:color w:val="auto"/>
                      <w:sz w:val="21"/>
                      <w:szCs w:val="21"/>
                      <w:highlight w:val="none"/>
                      <w:lang w:val="en-US" w:eastAsia="zh-CN"/>
                    </w:rPr>
                    <w:t>时产15吨含铁废料压球生产线1条</w:t>
                  </w:r>
                  <w:r>
                    <w:rPr>
                      <w:rFonts w:hint="eastAsia"/>
                      <w:color w:val="auto"/>
                      <w:sz w:val="21"/>
                      <w:szCs w:val="21"/>
                      <w:highlight w:val="none"/>
                    </w:rPr>
                    <w:t>，采用入料→</w:t>
                  </w:r>
                  <w:r>
                    <w:rPr>
                      <w:rFonts w:hint="eastAsia"/>
                      <w:color w:val="auto"/>
                      <w:sz w:val="21"/>
                      <w:szCs w:val="21"/>
                      <w:highlight w:val="none"/>
                      <w:lang w:val="en-US" w:eastAsia="zh-CN"/>
                    </w:rPr>
                    <w:t>筛分</w:t>
                  </w:r>
                  <w:r>
                    <w:rPr>
                      <w:rFonts w:hint="eastAsia"/>
                      <w:color w:val="auto"/>
                      <w:sz w:val="21"/>
                      <w:szCs w:val="21"/>
                      <w:highlight w:val="none"/>
                    </w:rPr>
                    <w:t>→</w:t>
                  </w:r>
                  <w:r>
                    <w:rPr>
                      <w:rFonts w:hint="eastAsia"/>
                      <w:color w:val="auto"/>
                      <w:sz w:val="21"/>
                      <w:szCs w:val="21"/>
                      <w:highlight w:val="none"/>
                      <w:lang w:val="en-US" w:eastAsia="zh-CN"/>
                    </w:rPr>
                    <w:t>搅拌</w:t>
                  </w:r>
                  <w:r>
                    <w:rPr>
                      <w:rFonts w:hint="eastAsia"/>
                      <w:color w:val="auto"/>
                      <w:sz w:val="21"/>
                      <w:szCs w:val="21"/>
                      <w:highlight w:val="none"/>
                    </w:rPr>
                    <w:t>→成型等工序，</w:t>
                  </w:r>
                  <w:r>
                    <w:rPr>
                      <w:rFonts w:hint="eastAsia"/>
                      <w:color w:val="auto"/>
                      <w:sz w:val="21"/>
                      <w:szCs w:val="21"/>
                      <w:highlight w:val="none"/>
                      <w:lang w:val="en-US" w:eastAsia="zh-CN"/>
                    </w:rPr>
                    <w:t>项目建成后，年产含铁废料压球10.8万吨</w:t>
                  </w:r>
                  <w:r>
                    <w:rPr>
                      <w:rFonts w:hint="eastAsia"/>
                      <w:color w:val="auto"/>
                      <w:sz w:val="21"/>
                      <w:szCs w:val="21"/>
                      <w:highlight w:val="none"/>
                    </w:rPr>
                    <w:t>。</w:t>
                  </w:r>
                </w:p>
              </w:tc>
              <w:tc>
                <w:tcPr>
                  <w:tcW w:w="830" w:type="pct"/>
                  <w:tcBorders>
                    <w:top w:val="single" w:color="auto" w:sz="4" w:space="0"/>
                    <w:left w:val="single" w:color="auto" w:sz="4" w:space="0"/>
                    <w:right w:val="single" w:color="auto" w:sz="4" w:space="0"/>
                  </w:tcBorders>
                  <w:vAlign w:val="center"/>
                </w:tcPr>
                <w:p w14:paraId="0C769743">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依托</w:t>
                  </w:r>
                </w:p>
              </w:tc>
            </w:tr>
            <w:tr w14:paraId="6F381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481" w:type="pct"/>
                  <w:vMerge w:val="restart"/>
                  <w:tcBorders>
                    <w:top w:val="single" w:color="auto" w:sz="4" w:space="0"/>
                    <w:left w:val="single" w:color="auto" w:sz="4" w:space="0"/>
                    <w:right w:val="single" w:color="auto" w:sz="4" w:space="0"/>
                  </w:tcBorders>
                  <w:vAlign w:val="center"/>
                </w:tcPr>
                <w:p w14:paraId="2A9E00DF">
                  <w:pPr>
                    <w:adjustRightInd w:val="0"/>
                    <w:snapToGrid w:val="0"/>
                    <w:spacing w:line="240" w:lineRule="auto"/>
                    <w:ind w:firstLine="0" w:firstLineChars="0"/>
                    <w:jc w:val="center"/>
                    <w:rPr>
                      <w:rFonts w:hint="default" w:ascii="Times New Roman" w:hAnsi="Times New Roman" w:cs="Times New Roman"/>
                      <w:color w:val="auto"/>
                      <w:sz w:val="21"/>
                      <w:szCs w:val="21"/>
                      <w:highlight w:val="none"/>
                    </w:rPr>
                  </w:pPr>
                  <w:r>
                    <w:rPr>
                      <w:rFonts w:hint="eastAsia"/>
                      <w:color w:val="auto"/>
                      <w:sz w:val="21"/>
                      <w:szCs w:val="21"/>
                      <w:highlight w:val="none"/>
                    </w:rPr>
                    <w:t>储运工程</w:t>
                  </w:r>
                </w:p>
              </w:tc>
              <w:tc>
                <w:tcPr>
                  <w:tcW w:w="749" w:type="pct"/>
                  <w:tcBorders>
                    <w:top w:val="single" w:color="auto" w:sz="4" w:space="0"/>
                    <w:left w:val="single" w:color="auto" w:sz="4" w:space="0"/>
                    <w:right w:val="single" w:color="auto" w:sz="4" w:space="0"/>
                  </w:tcBorders>
                  <w:vAlign w:val="center"/>
                </w:tcPr>
                <w:p w14:paraId="01F3107F">
                  <w:pPr>
                    <w:adjustRightInd w:val="0"/>
                    <w:snapToGrid w:val="0"/>
                    <w:spacing w:line="240" w:lineRule="auto"/>
                    <w:ind w:firstLine="0" w:firstLineChars="0"/>
                    <w:jc w:val="center"/>
                    <w:rPr>
                      <w:rFonts w:hint="eastAsia"/>
                      <w:color w:val="auto"/>
                      <w:sz w:val="21"/>
                      <w:szCs w:val="21"/>
                      <w:highlight w:val="none"/>
                    </w:rPr>
                  </w:pPr>
                  <w:r>
                    <w:rPr>
                      <w:rFonts w:hint="eastAsia"/>
                      <w:color w:val="auto"/>
                      <w:sz w:val="21"/>
                      <w:szCs w:val="21"/>
                      <w:highlight w:val="none"/>
                      <w:lang w:val="en-US" w:eastAsia="zh-CN"/>
                    </w:rPr>
                    <w:t>原料区</w:t>
                  </w:r>
                </w:p>
              </w:tc>
              <w:tc>
                <w:tcPr>
                  <w:tcW w:w="2938" w:type="pct"/>
                  <w:tcBorders>
                    <w:top w:val="single" w:color="auto" w:sz="4" w:space="0"/>
                    <w:left w:val="single" w:color="auto" w:sz="4" w:space="0"/>
                    <w:bottom w:val="single" w:color="auto" w:sz="4" w:space="0"/>
                    <w:right w:val="single" w:color="auto" w:sz="4" w:space="0"/>
                  </w:tcBorders>
                  <w:vAlign w:val="center"/>
                </w:tcPr>
                <w:p w14:paraId="782900D6">
                  <w:pPr>
                    <w:adjustRightInd w:val="0"/>
                    <w:snapToGrid w:val="0"/>
                    <w:spacing w:line="240" w:lineRule="auto"/>
                    <w:ind w:firstLine="0" w:firstLineChars="0"/>
                    <w:jc w:val="both"/>
                    <w:rPr>
                      <w:rFonts w:hint="eastAsia"/>
                      <w:color w:val="auto"/>
                      <w:sz w:val="21"/>
                      <w:szCs w:val="21"/>
                      <w:highlight w:val="none"/>
                    </w:rPr>
                  </w:pPr>
                  <w:r>
                    <w:rPr>
                      <w:rFonts w:hint="eastAsia"/>
                      <w:color w:val="auto"/>
                      <w:sz w:val="21"/>
                      <w:szCs w:val="21"/>
                      <w:highlight w:val="none"/>
                      <w:lang w:val="en-US" w:eastAsia="zh-CN"/>
                    </w:rPr>
                    <w:t>位于生产车间内部西侧</w:t>
                  </w:r>
                  <w:r>
                    <w:rPr>
                      <w:rFonts w:hint="eastAsia"/>
                      <w:color w:val="auto"/>
                      <w:sz w:val="21"/>
                      <w:szCs w:val="21"/>
                      <w:highlight w:val="none"/>
                    </w:rPr>
                    <w:t>，原料区用于</w:t>
                  </w:r>
                  <w:r>
                    <w:rPr>
                      <w:rFonts w:hint="eastAsia"/>
                      <w:color w:val="auto"/>
                      <w:sz w:val="21"/>
                      <w:szCs w:val="21"/>
                      <w:highlight w:val="none"/>
                      <w:lang w:val="en-US" w:eastAsia="zh-CN"/>
                    </w:rPr>
                    <w:t>储</w:t>
                  </w:r>
                  <w:r>
                    <w:rPr>
                      <w:rFonts w:hint="eastAsia"/>
                      <w:color w:val="auto"/>
                      <w:sz w:val="21"/>
                      <w:szCs w:val="21"/>
                      <w:highlight w:val="none"/>
                    </w:rPr>
                    <w:t>存</w:t>
                  </w:r>
                  <w:r>
                    <w:rPr>
                      <w:rFonts w:hint="eastAsia"/>
                      <w:color w:val="auto"/>
                      <w:sz w:val="21"/>
                      <w:szCs w:val="21"/>
                      <w:highlight w:val="none"/>
                      <w:lang w:val="en-US" w:eastAsia="zh-CN"/>
                    </w:rPr>
                    <w:t>除尘灰、含铁沉泥、矿粉、粘合剂</w:t>
                  </w:r>
                  <w:r>
                    <w:rPr>
                      <w:rFonts w:hint="eastAsia"/>
                      <w:color w:val="auto"/>
                      <w:sz w:val="21"/>
                      <w:szCs w:val="21"/>
                      <w:highlight w:val="none"/>
                    </w:rPr>
                    <w:t>等原料</w:t>
                  </w:r>
                  <w:r>
                    <w:rPr>
                      <w:rFonts w:hint="eastAsia"/>
                      <w:color w:val="auto"/>
                      <w:sz w:val="21"/>
                      <w:szCs w:val="21"/>
                      <w:highlight w:val="none"/>
                      <w:lang w:eastAsia="zh-CN"/>
                    </w:rPr>
                    <w:t>。</w:t>
                  </w:r>
                  <w:r>
                    <w:rPr>
                      <w:rFonts w:hint="eastAsia"/>
                      <w:color w:val="auto"/>
                      <w:sz w:val="21"/>
                      <w:szCs w:val="21"/>
                      <w:highlight w:val="none"/>
                      <w:lang w:val="en-US" w:eastAsia="zh-CN"/>
                    </w:rPr>
                    <w:t>占地面积约为500</w:t>
                  </w:r>
                  <w:r>
                    <w:rPr>
                      <w:rFonts w:hint="eastAsia"/>
                      <w:color w:val="auto"/>
                      <w:sz w:val="21"/>
                      <w:szCs w:val="21"/>
                      <w:highlight w:val="none"/>
                    </w:rPr>
                    <w:t>m</w:t>
                  </w:r>
                  <w:r>
                    <w:rPr>
                      <w:rFonts w:hint="eastAsia"/>
                      <w:color w:val="auto"/>
                      <w:sz w:val="21"/>
                      <w:szCs w:val="21"/>
                      <w:highlight w:val="none"/>
                      <w:vertAlign w:val="superscript"/>
                    </w:rPr>
                    <w:t>2</w:t>
                  </w:r>
                  <w:r>
                    <w:rPr>
                      <w:rFonts w:hint="eastAsia"/>
                      <w:color w:val="auto"/>
                      <w:sz w:val="21"/>
                      <w:szCs w:val="21"/>
                      <w:highlight w:val="none"/>
                    </w:rPr>
                    <w:t>，可储存大约</w:t>
                  </w:r>
                  <w:r>
                    <w:rPr>
                      <w:rFonts w:hint="eastAsia"/>
                      <w:color w:val="auto"/>
                      <w:sz w:val="21"/>
                      <w:szCs w:val="21"/>
                      <w:highlight w:val="none"/>
                      <w:lang w:val="en-US" w:eastAsia="zh-CN"/>
                    </w:rPr>
                    <w:t>1250t原料</w:t>
                  </w:r>
                  <w:r>
                    <w:rPr>
                      <w:rFonts w:hint="eastAsia"/>
                      <w:color w:val="auto"/>
                      <w:sz w:val="21"/>
                      <w:szCs w:val="21"/>
                      <w:highlight w:val="none"/>
                      <w:lang w:eastAsia="zh-CN"/>
                    </w:rPr>
                    <w:t>，</w:t>
                  </w:r>
                  <w:r>
                    <w:rPr>
                      <w:rFonts w:hint="eastAsia"/>
                      <w:color w:val="auto"/>
                      <w:sz w:val="21"/>
                      <w:szCs w:val="21"/>
                      <w:highlight w:val="none"/>
                      <w:lang w:val="en-US" w:eastAsia="zh-CN"/>
                    </w:rPr>
                    <w:t>储存周期约为4天。</w:t>
                  </w:r>
                </w:p>
              </w:tc>
              <w:tc>
                <w:tcPr>
                  <w:tcW w:w="830" w:type="pct"/>
                  <w:vMerge w:val="restart"/>
                  <w:tcBorders>
                    <w:top w:val="single" w:color="auto" w:sz="4" w:space="0"/>
                    <w:left w:val="single" w:color="auto" w:sz="4" w:space="0"/>
                    <w:right w:val="single" w:color="auto" w:sz="4" w:space="0"/>
                  </w:tcBorders>
                  <w:vAlign w:val="center"/>
                </w:tcPr>
                <w:p w14:paraId="0BFB7FC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w:t>
                  </w:r>
                </w:p>
              </w:tc>
            </w:tr>
            <w:tr w14:paraId="2EB11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481" w:type="pct"/>
                  <w:vMerge w:val="continue"/>
                  <w:tcBorders>
                    <w:left w:val="single" w:color="auto" w:sz="4" w:space="0"/>
                    <w:right w:val="single" w:color="auto" w:sz="4" w:space="0"/>
                  </w:tcBorders>
                  <w:vAlign w:val="center"/>
                </w:tcPr>
                <w:p w14:paraId="7AB84DAD">
                  <w:pPr>
                    <w:adjustRightInd w:val="0"/>
                    <w:snapToGrid w:val="0"/>
                    <w:spacing w:line="240" w:lineRule="auto"/>
                    <w:ind w:firstLine="0" w:firstLineChars="0"/>
                    <w:jc w:val="center"/>
                    <w:rPr>
                      <w:rFonts w:hint="eastAsia"/>
                      <w:color w:val="auto"/>
                      <w:sz w:val="21"/>
                      <w:szCs w:val="21"/>
                      <w:highlight w:val="none"/>
                    </w:rPr>
                  </w:pPr>
                </w:p>
              </w:tc>
              <w:tc>
                <w:tcPr>
                  <w:tcW w:w="749" w:type="pct"/>
                  <w:tcBorders>
                    <w:left w:val="single" w:color="auto" w:sz="4" w:space="0"/>
                    <w:right w:val="single" w:color="auto" w:sz="4" w:space="0"/>
                  </w:tcBorders>
                  <w:vAlign w:val="center"/>
                </w:tcPr>
                <w:p w14:paraId="26585271">
                  <w:pPr>
                    <w:adjustRightInd w:val="0"/>
                    <w:snapToGrid w:val="0"/>
                    <w:spacing w:line="240" w:lineRule="auto"/>
                    <w:ind w:firstLine="0" w:firstLineChars="0"/>
                    <w:jc w:val="center"/>
                    <w:rPr>
                      <w:rFonts w:hint="eastAsia"/>
                      <w:color w:val="auto"/>
                      <w:sz w:val="21"/>
                      <w:szCs w:val="21"/>
                      <w:highlight w:val="none"/>
                      <w:lang w:val="en-US" w:eastAsia="zh-CN"/>
                    </w:rPr>
                  </w:pPr>
                  <w:r>
                    <w:rPr>
                      <w:rFonts w:hint="eastAsia"/>
                      <w:color w:val="auto"/>
                      <w:sz w:val="21"/>
                      <w:szCs w:val="21"/>
                      <w:highlight w:val="none"/>
                      <w:lang w:val="en-US" w:eastAsia="zh-CN"/>
                    </w:rPr>
                    <w:t>成品区</w:t>
                  </w:r>
                </w:p>
              </w:tc>
              <w:tc>
                <w:tcPr>
                  <w:tcW w:w="2938" w:type="pct"/>
                  <w:tcBorders>
                    <w:top w:val="single" w:color="auto" w:sz="4" w:space="0"/>
                    <w:left w:val="single" w:color="auto" w:sz="4" w:space="0"/>
                    <w:bottom w:val="single" w:color="auto" w:sz="4" w:space="0"/>
                    <w:right w:val="single" w:color="auto" w:sz="4" w:space="0"/>
                  </w:tcBorders>
                  <w:vAlign w:val="center"/>
                </w:tcPr>
                <w:p w14:paraId="74212CC1">
                  <w:pPr>
                    <w:adjustRightInd w:val="0"/>
                    <w:snapToGrid w:val="0"/>
                    <w:spacing w:line="240" w:lineRule="auto"/>
                    <w:ind w:firstLine="0" w:firstLineChars="0"/>
                    <w:jc w:val="both"/>
                    <w:rPr>
                      <w:rFonts w:hint="eastAsia"/>
                      <w:color w:val="auto"/>
                      <w:sz w:val="21"/>
                      <w:szCs w:val="21"/>
                      <w:highlight w:val="none"/>
                      <w:lang w:val="en-US" w:eastAsia="zh-CN"/>
                    </w:rPr>
                  </w:pPr>
                  <w:r>
                    <w:rPr>
                      <w:rFonts w:hint="eastAsia"/>
                      <w:color w:val="auto"/>
                      <w:sz w:val="21"/>
                      <w:szCs w:val="21"/>
                      <w:highlight w:val="none"/>
                      <w:lang w:val="en-US" w:eastAsia="zh-CN"/>
                    </w:rPr>
                    <w:t>位于生产车间内部北侧，</w:t>
                  </w:r>
                  <w:r>
                    <w:rPr>
                      <w:rFonts w:hint="eastAsia"/>
                      <w:color w:val="auto"/>
                      <w:sz w:val="21"/>
                      <w:szCs w:val="21"/>
                      <w:highlight w:val="none"/>
                    </w:rPr>
                    <w:t>成品区用于存放</w:t>
                  </w:r>
                  <w:r>
                    <w:rPr>
                      <w:rFonts w:hint="default" w:ascii="Times New Roman" w:hAnsi="Times New Roman" w:cs="Times New Roman" w:eastAsiaTheme="minorEastAsia"/>
                      <w:color w:val="auto"/>
                      <w:sz w:val="21"/>
                      <w:szCs w:val="21"/>
                      <w:highlight w:val="none"/>
                      <w:lang w:val="en-US" w:eastAsia="zh-CN"/>
                    </w:rPr>
                    <w:t>含铁废料压球</w:t>
                  </w:r>
                  <w:r>
                    <w:rPr>
                      <w:rFonts w:hint="eastAsia"/>
                      <w:color w:val="auto"/>
                      <w:sz w:val="21"/>
                      <w:szCs w:val="21"/>
                      <w:highlight w:val="none"/>
                      <w:lang w:val="en-US" w:eastAsia="zh-CN"/>
                    </w:rPr>
                    <w:t>成品</w:t>
                  </w:r>
                  <w:r>
                    <w:rPr>
                      <w:rFonts w:hint="eastAsia"/>
                      <w:color w:val="auto"/>
                      <w:sz w:val="21"/>
                      <w:szCs w:val="21"/>
                      <w:highlight w:val="none"/>
                      <w:lang w:eastAsia="zh-CN"/>
                    </w:rPr>
                    <w:t>，</w:t>
                  </w:r>
                  <w:r>
                    <w:rPr>
                      <w:rFonts w:hint="eastAsia"/>
                      <w:color w:val="auto"/>
                      <w:sz w:val="21"/>
                      <w:szCs w:val="21"/>
                      <w:highlight w:val="none"/>
                    </w:rPr>
                    <w:t>成品区大约占地</w:t>
                  </w:r>
                  <w:r>
                    <w:rPr>
                      <w:rFonts w:hint="eastAsia"/>
                      <w:color w:val="auto"/>
                      <w:sz w:val="21"/>
                      <w:szCs w:val="21"/>
                      <w:highlight w:val="none"/>
                      <w:lang w:val="en-US" w:eastAsia="zh-CN"/>
                    </w:rPr>
                    <w:t>600</w:t>
                  </w:r>
                  <w:r>
                    <w:rPr>
                      <w:rFonts w:hint="eastAsia"/>
                      <w:color w:val="auto"/>
                      <w:sz w:val="21"/>
                      <w:szCs w:val="21"/>
                      <w:highlight w:val="none"/>
                    </w:rPr>
                    <w:t>m</w:t>
                  </w:r>
                  <w:r>
                    <w:rPr>
                      <w:rFonts w:hint="eastAsia"/>
                      <w:color w:val="auto"/>
                      <w:sz w:val="21"/>
                      <w:szCs w:val="21"/>
                      <w:highlight w:val="none"/>
                      <w:vertAlign w:val="superscript"/>
                    </w:rPr>
                    <w:t>2</w:t>
                  </w:r>
                  <w:r>
                    <w:rPr>
                      <w:rFonts w:hint="eastAsia"/>
                      <w:color w:val="auto"/>
                      <w:sz w:val="21"/>
                      <w:szCs w:val="21"/>
                      <w:highlight w:val="none"/>
                    </w:rPr>
                    <w:t>，可储存大约</w:t>
                  </w:r>
                  <w:r>
                    <w:rPr>
                      <w:rFonts w:hint="eastAsia"/>
                      <w:color w:val="auto"/>
                      <w:sz w:val="21"/>
                      <w:szCs w:val="21"/>
                      <w:highlight w:val="none"/>
                      <w:lang w:val="en-US" w:eastAsia="zh-CN"/>
                    </w:rPr>
                    <w:t>16</w:t>
                  </w:r>
                  <w:r>
                    <w:rPr>
                      <w:rFonts w:hint="eastAsia"/>
                      <w:color w:val="auto"/>
                      <w:sz w:val="21"/>
                      <w:szCs w:val="21"/>
                      <w:highlight w:val="none"/>
                    </w:rPr>
                    <w:t>00</w:t>
                  </w:r>
                  <w:r>
                    <w:rPr>
                      <w:rFonts w:hint="eastAsia"/>
                      <w:color w:val="auto"/>
                      <w:sz w:val="21"/>
                      <w:szCs w:val="21"/>
                      <w:highlight w:val="none"/>
                      <w:lang w:val="en-US" w:eastAsia="zh-CN"/>
                    </w:rPr>
                    <w:t>t</w:t>
                  </w:r>
                  <w:r>
                    <w:rPr>
                      <w:rFonts w:hint="default" w:ascii="Times New Roman" w:hAnsi="Times New Roman" w:cs="Times New Roman" w:eastAsiaTheme="minorEastAsia"/>
                      <w:color w:val="auto"/>
                      <w:sz w:val="21"/>
                      <w:szCs w:val="21"/>
                      <w:highlight w:val="none"/>
                      <w:lang w:val="en-US" w:eastAsia="zh-CN"/>
                    </w:rPr>
                    <w:t>含铁废料压球</w:t>
                  </w:r>
                  <w:r>
                    <w:rPr>
                      <w:rFonts w:hint="eastAsia"/>
                      <w:color w:val="auto"/>
                      <w:sz w:val="21"/>
                      <w:szCs w:val="21"/>
                      <w:highlight w:val="none"/>
                    </w:rPr>
                    <w:t>，储存周期约为</w:t>
                  </w:r>
                  <w:r>
                    <w:rPr>
                      <w:rFonts w:hint="eastAsia"/>
                      <w:color w:val="auto"/>
                      <w:sz w:val="21"/>
                      <w:szCs w:val="21"/>
                      <w:highlight w:val="none"/>
                      <w:lang w:val="en-US" w:eastAsia="zh-CN"/>
                    </w:rPr>
                    <w:t>4</w:t>
                  </w:r>
                  <w:r>
                    <w:rPr>
                      <w:rFonts w:hint="eastAsia"/>
                      <w:color w:val="auto"/>
                      <w:sz w:val="21"/>
                      <w:szCs w:val="21"/>
                      <w:highlight w:val="none"/>
                    </w:rPr>
                    <w:t>天。</w:t>
                  </w:r>
                </w:p>
              </w:tc>
              <w:tc>
                <w:tcPr>
                  <w:tcW w:w="830" w:type="pct"/>
                  <w:vMerge w:val="continue"/>
                  <w:tcBorders>
                    <w:left w:val="single" w:color="auto" w:sz="4" w:space="0"/>
                    <w:right w:val="single" w:color="auto" w:sz="4" w:space="0"/>
                  </w:tcBorders>
                  <w:vAlign w:val="center"/>
                </w:tcPr>
                <w:p w14:paraId="6BF6A09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eastAsia" w:cs="Times New Roman"/>
                      <w:color w:val="auto"/>
                      <w:sz w:val="21"/>
                      <w:szCs w:val="21"/>
                      <w:highlight w:val="none"/>
                      <w:lang w:val="en-US" w:eastAsia="zh-CN"/>
                    </w:rPr>
                  </w:pPr>
                </w:p>
              </w:tc>
            </w:tr>
            <w:tr w14:paraId="72AB8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jc w:val="center"/>
              </w:trPr>
              <w:tc>
                <w:tcPr>
                  <w:tcW w:w="481" w:type="pct"/>
                  <w:vMerge w:val="continue"/>
                  <w:tcBorders>
                    <w:left w:val="single" w:color="auto" w:sz="4" w:space="0"/>
                    <w:right w:val="single" w:color="auto" w:sz="4" w:space="0"/>
                  </w:tcBorders>
                  <w:vAlign w:val="center"/>
                </w:tcPr>
                <w:p w14:paraId="61EDFCED">
                  <w:pPr>
                    <w:adjustRightInd w:val="0"/>
                    <w:snapToGrid w:val="0"/>
                    <w:spacing w:line="240" w:lineRule="auto"/>
                    <w:ind w:firstLine="0" w:firstLineChars="0"/>
                    <w:jc w:val="center"/>
                    <w:rPr>
                      <w:rFonts w:hint="eastAsia"/>
                      <w:color w:val="auto"/>
                      <w:sz w:val="21"/>
                      <w:szCs w:val="21"/>
                      <w:highlight w:val="none"/>
                    </w:rPr>
                  </w:pPr>
                </w:p>
              </w:tc>
              <w:tc>
                <w:tcPr>
                  <w:tcW w:w="749" w:type="pct"/>
                  <w:tcBorders>
                    <w:left w:val="single" w:color="auto" w:sz="4" w:space="0"/>
                    <w:right w:val="single" w:color="auto" w:sz="4" w:space="0"/>
                  </w:tcBorders>
                  <w:vAlign w:val="center"/>
                </w:tcPr>
                <w:p w14:paraId="4BA0333B">
                  <w:pPr>
                    <w:adjustRightInd w:val="0"/>
                    <w:snapToGrid w:val="0"/>
                    <w:spacing w:line="240" w:lineRule="auto"/>
                    <w:ind w:firstLine="0" w:firstLineChars="0"/>
                    <w:jc w:val="center"/>
                    <w:rPr>
                      <w:rFonts w:hint="default"/>
                      <w:color w:val="auto"/>
                      <w:sz w:val="21"/>
                      <w:szCs w:val="21"/>
                      <w:highlight w:val="none"/>
                      <w:lang w:val="en-US" w:eastAsia="zh-CN"/>
                    </w:rPr>
                  </w:pPr>
                  <w:r>
                    <w:rPr>
                      <w:rFonts w:hint="eastAsia"/>
                      <w:color w:val="auto"/>
                      <w:sz w:val="21"/>
                      <w:szCs w:val="21"/>
                      <w:highlight w:val="none"/>
                      <w:lang w:val="en-US" w:eastAsia="zh-CN"/>
                    </w:rPr>
                    <w:t>晾晒区</w:t>
                  </w:r>
                </w:p>
              </w:tc>
              <w:tc>
                <w:tcPr>
                  <w:tcW w:w="2938" w:type="pct"/>
                  <w:tcBorders>
                    <w:top w:val="single" w:color="auto" w:sz="4" w:space="0"/>
                    <w:left w:val="single" w:color="auto" w:sz="4" w:space="0"/>
                    <w:bottom w:val="single" w:color="auto" w:sz="4" w:space="0"/>
                    <w:right w:val="single" w:color="auto" w:sz="4" w:space="0"/>
                  </w:tcBorders>
                  <w:vAlign w:val="center"/>
                </w:tcPr>
                <w:p w14:paraId="3DE959EC">
                  <w:pPr>
                    <w:adjustRightInd w:val="0"/>
                    <w:snapToGrid w:val="0"/>
                    <w:spacing w:line="240" w:lineRule="auto"/>
                    <w:ind w:firstLine="0" w:firstLineChars="0"/>
                    <w:jc w:val="both"/>
                    <w:rPr>
                      <w:rFonts w:hint="default"/>
                      <w:color w:val="auto"/>
                      <w:sz w:val="21"/>
                      <w:szCs w:val="21"/>
                      <w:highlight w:val="none"/>
                      <w:lang w:val="en-US" w:eastAsia="zh-CN"/>
                    </w:rPr>
                  </w:pPr>
                  <w:r>
                    <w:rPr>
                      <w:rFonts w:hint="eastAsia"/>
                      <w:color w:val="auto"/>
                      <w:sz w:val="21"/>
                      <w:szCs w:val="21"/>
                      <w:highlight w:val="none"/>
                      <w:lang w:val="en-US" w:eastAsia="zh-CN"/>
                    </w:rPr>
                    <w:t>位于生产车间的内部东侧，用于成型后的含铁废料压球的晾晒，晾晒区</w:t>
                  </w:r>
                  <w:r>
                    <w:rPr>
                      <w:rFonts w:hint="eastAsia"/>
                      <w:color w:val="auto"/>
                      <w:sz w:val="21"/>
                      <w:szCs w:val="21"/>
                      <w:highlight w:val="none"/>
                    </w:rPr>
                    <w:t>大约占地</w:t>
                  </w:r>
                  <w:r>
                    <w:rPr>
                      <w:rFonts w:hint="eastAsia"/>
                      <w:color w:val="auto"/>
                      <w:sz w:val="21"/>
                      <w:szCs w:val="21"/>
                      <w:highlight w:val="none"/>
                      <w:lang w:val="en-US" w:eastAsia="zh-CN"/>
                    </w:rPr>
                    <w:t>300</w:t>
                  </w:r>
                  <w:r>
                    <w:rPr>
                      <w:rFonts w:hint="eastAsia"/>
                      <w:color w:val="auto"/>
                      <w:sz w:val="21"/>
                      <w:szCs w:val="21"/>
                      <w:highlight w:val="none"/>
                    </w:rPr>
                    <w:t>m</w:t>
                  </w:r>
                  <w:r>
                    <w:rPr>
                      <w:rFonts w:hint="eastAsia"/>
                      <w:color w:val="auto"/>
                      <w:sz w:val="21"/>
                      <w:szCs w:val="21"/>
                      <w:highlight w:val="none"/>
                      <w:vertAlign w:val="superscript"/>
                    </w:rPr>
                    <w:t>2</w:t>
                  </w:r>
                  <w:r>
                    <w:rPr>
                      <w:rFonts w:hint="eastAsia"/>
                      <w:color w:val="auto"/>
                      <w:sz w:val="21"/>
                      <w:szCs w:val="21"/>
                      <w:highlight w:val="none"/>
                    </w:rPr>
                    <w:t>，可储存大约</w:t>
                  </w:r>
                  <w:r>
                    <w:rPr>
                      <w:rFonts w:hint="eastAsia"/>
                      <w:color w:val="auto"/>
                      <w:sz w:val="21"/>
                      <w:szCs w:val="21"/>
                      <w:highlight w:val="none"/>
                      <w:lang w:val="en-US" w:eastAsia="zh-CN"/>
                    </w:rPr>
                    <w:t>800</w:t>
                  </w:r>
                  <w:r>
                    <w:rPr>
                      <w:rFonts w:hint="eastAsia"/>
                      <w:color w:val="auto"/>
                      <w:sz w:val="21"/>
                      <w:szCs w:val="21"/>
                      <w:highlight w:val="none"/>
                    </w:rPr>
                    <w:t>吨含铁废料压球，储存周期约为</w:t>
                  </w:r>
                  <w:r>
                    <w:rPr>
                      <w:rFonts w:hint="eastAsia"/>
                      <w:color w:val="auto"/>
                      <w:sz w:val="21"/>
                      <w:szCs w:val="21"/>
                      <w:highlight w:val="none"/>
                      <w:lang w:val="en-US" w:eastAsia="zh-CN"/>
                    </w:rPr>
                    <w:t>2</w:t>
                  </w:r>
                  <w:r>
                    <w:rPr>
                      <w:rFonts w:hint="eastAsia"/>
                      <w:color w:val="auto"/>
                      <w:sz w:val="21"/>
                      <w:szCs w:val="21"/>
                      <w:highlight w:val="none"/>
                    </w:rPr>
                    <w:t>天。</w:t>
                  </w:r>
                </w:p>
              </w:tc>
              <w:tc>
                <w:tcPr>
                  <w:tcW w:w="830" w:type="pct"/>
                  <w:vMerge w:val="continue"/>
                  <w:tcBorders>
                    <w:left w:val="single" w:color="auto" w:sz="4" w:space="0"/>
                    <w:right w:val="single" w:color="auto" w:sz="4" w:space="0"/>
                  </w:tcBorders>
                  <w:vAlign w:val="center"/>
                </w:tcPr>
                <w:p w14:paraId="1D180A1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eastAsia" w:cs="Times New Roman"/>
                      <w:color w:val="auto"/>
                      <w:sz w:val="21"/>
                      <w:szCs w:val="21"/>
                      <w:highlight w:val="none"/>
                      <w:lang w:val="en-US" w:eastAsia="zh-CN"/>
                    </w:rPr>
                  </w:pPr>
                </w:p>
              </w:tc>
            </w:tr>
            <w:tr w14:paraId="65EB1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481" w:type="pct"/>
                  <w:vMerge w:val="restart"/>
                  <w:tcBorders>
                    <w:left w:val="single" w:color="auto" w:sz="4" w:space="0"/>
                    <w:right w:val="single" w:color="auto" w:sz="4" w:space="0"/>
                  </w:tcBorders>
                  <w:vAlign w:val="center"/>
                </w:tcPr>
                <w:p w14:paraId="6FE99872">
                  <w:pPr>
                    <w:adjustRightInd w:val="0"/>
                    <w:snapToGrid w:val="0"/>
                    <w:spacing w:line="240" w:lineRule="auto"/>
                    <w:ind w:firstLine="0" w:firstLineChars="0"/>
                    <w:jc w:val="center"/>
                    <w:rPr>
                      <w:rFonts w:hint="default" w:eastAsia="宋体"/>
                      <w:color w:val="auto"/>
                      <w:sz w:val="21"/>
                      <w:szCs w:val="21"/>
                      <w:highlight w:val="none"/>
                      <w:lang w:val="en-US" w:eastAsia="zh-CN"/>
                    </w:rPr>
                  </w:pPr>
                  <w:r>
                    <w:rPr>
                      <w:rFonts w:hint="eastAsia"/>
                      <w:color w:val="auto"/>
                      <w:sz w:val="21"/>
                      <w:szCs w:val="21"/>
                      <w:highlight w:val="none"/>
                      <w:lang w:val="en-US" w:eastAsia="zh-CN"/>
                    </w:rPr>
                    <w:t>辅助工程</w:t>
                  </w:r>
                </w:p>
              </w:tc>
              <w:tc>
                <w:tcPr>
                  <w:tcW w:w="749" w:type="pct"/>
                  <w:tcBorders>
                    <w:left w:val="single" w:color="auto" w:sz="4" w:space="0"/>
                    <w:right w:val="single" w:color="auto" w:sz="4" w:space="0"/>
                  </w:tcBorders>
                  <w:vAlign w:val="center"/>
                </w:tcPr>
                <w:p w14:paraId="42A1D1F3">
                  <w:pPr>
                    <w:adjustRightInd w:val="0"/>
                    <w:snapToGrid w:val="0"/>
                    <w:spacing w:line="240" w:lineRule="auto"/>
                    <w:ind w:firstLine="0" w:firstLineChars="0"/>
                    <w:jc w:val="center"/>
                    <w:rPr>
                      <w:rFonts w:hint="eastAsia"/>
                      <w:color w:val="auto"/>
                      <w:sz w:val="21"/>
                      <w:szCs w:val="21"/>
                      <w:highlight w:val="none"/>
                      <w:lang w:val="en-US" w:eastAsia="zh-CN"/>
                    </w:rPr>
                  </w:pPr>
                  <w:r>
                    <w:rPr>
                      <w:color w:val="auto"/>
                      <w:sz w:val="21"/>
                      <w:szCs w:val="21"/>
                      <w:highlight w:val="none"/>
                    </w:rPr>
                    <w:t>办公</w:t>
                  </w:r>
                </w:p>
              </w:tc>
              <w:tc>
                <w:tcPr>
                  <w:tcW w:w="2938" w:type="pct"/>
                  <w:tcBorders>
                    <w:top w:val="single" w:color="auto" w:sz="4" w:space="0"/>
                    <w:left w:val="single" w:color="auto" w:sz="4" w:space="0"/>
                    <w:bottom w:val="single" w:color="auto" w:sz="4" w:space="0"/>
                    <w:right w:val="single" w:color="auto" w:sz="4" w:space="0"/>
                  </w:tcBorders>
                  <w:vAlign w:val="center"/>
                </w:tcPr>
                <w:p w14:paraId="3BE4FD1C">
                  <w:pPr>
                    <w:adjustRightInd w:val="0"/>
                    <w:snapToGrid w:val="0"/>
                    <w:spacing w:line="240" w:lineRule="auto"/>
                    <w:ind w:firstLine="0" w:firstLineChars="0"/>
                    <w:rPr>
                      <w:rFonts w:hint="eastAsia"/>
                      <w:color w:val="auto"/>
                      <w:sz w:val="21"/>
                      <w:szCs w:val="21"/>
                      <w:highlight w:val="none"/>
                      <w:lang w:val="en-US" w:eastAsia="zh-CN"/>
                    </w:rPr>
                  </w:pPr>
                  <w:r>
                    <w:rPr>
                      <w:rFonts w:hint="eastAsia"/>
                      <w:color w:val="auto"/>
                      <w:sz w:val="21"/>
                      <w:szCs w:val="21"/>
                      <w:highlight w:val="none"/>
                      <w:lang w:val="en-US" w:eastAsia="zh-CN"/>
                    </w:rPr>
                    <w:t>依托唐山松汀钢铁有限公司现有办公楼</w:t>
                  </w:r>
                  <w:r>
                    <w:rPr>
                      <w:rFonts w:hint="eastAsia"/>
                      <w:color w:val="auto"/>
                      <w:sz w:val="21"/>
                      <w:szCs w:val="21"/>
                      <w:highlight w:val="none"/>
                    </w:rPr>
                    <w:t>。</w:t>
                  </w:r>
                </w:p>
              </w:tc>
              <w:tc>
                <w:tcPr>
                  <w:tcW w:w="830" w:type="pct"/>
                  <w:tcBorders>
                    <w:left w:val="single" w:color="auto" w:sz="4" w:space="0"/>
                    <w:right w:val="single" w:color="auto" w:sz="4" w:space="0"/>
                  </w:tcBorders>
                  <w:vAlign w:val="center"/>
                </w:tcPr>
                <w:p w14:paraId="714139A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default" w:ascii="Times New Roman" w:hAnsi="Times New Roman" w:cs="Times New Roman"/>
                      <w:color w:val="auto"/>
                      <w:sz w:val="21"/>
                      <w:szCs w:val="21"/>
                      <w:highlight w:val="none"/>
                    </w:rPr>
                    <w:t>依托</w:t>
                  </w:r>
                </w:p>
              </w:tc>
            </w:tr>
            <w:tr w14:paraId="4B749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 w:hRule="atLeast"/>
                <w:jc w:val="center"/>
              </w:trPr>
              <w:tc>
                <w:tcPr>
                  <w:tcW w:w="481" w:type="pct"/>
                  <w:vMerge w:val="continue"/>
                  <w:tcBorders>
                    <w:left w:val="single" w:color="auto" w:sz="4" w:space="0"/>
                    <w:right w:val="single" w:color="auto" w:sz="4" w:space="0"/>
                  </w:tcBorders>
                  <w:vAlign w:val="center"/>
                </w:tcPr>
                <w:p w14:paraId="28B926F7">
                  <w:pPr>
                    <w:adjustRightInd w:val="0"/>
                    <w:snapToGrid w:val="0"/>
                    <w:spacing w:line="240" w:lineRule="auto"/>
                    <w:ind w:firstLine="0" w:firstLineChars="0"/>
                    <w:jc w:val="center"/>
                    <w:rPr>
                      <w:rFonts w:hint="eastAsia"/>
                      <w:color w:val="auto"/>
                      <w:sz w:val="21"/>
                      <w:szCs w:val="21"/>
                      <w:highlight w:val="none"/>
                    </w:rPr>
                  </w:pPr>
                </w:p>
              </w:tc>
              <w:tc>
                <w:tcPr>
                  <w:tcW w:w="749" w:type="pct"/>
                  <w:tcBorders>
                    <w:left w:val="single" w:color="auto" w:sz="4" w:space="0"/>
                    <w:right w:val="single" w:color="auto" w:sz="4" w:space="0"/>
                  </w:tcBorders>
                  <w:vAlign w:val="center"/>
                </w:tcPr>
                <w:p w14:paraId="39F87EB5">
                  <w:pPr>
                    <w:adjustRightInd w:val="0"/>
                    <w:snapToGrid w:val="0"/>
                    <w:spacing w:line="240" w:lineRule="auto"/>
                    <w:ind w:firstLine="0" w:firstLineChars="0"/>
                    <w:jc w:val="center"/>
                    <w:rPr>
                      <w:rFonts w:hint="eastAsia"/>
                      <w:color w:val="auto"/>
                      <w:sz w:val="21"/>
                      <w:szCs w:val="21"/>
                      <w:highlight w:val="none"/>
                      <w:lang w:val="en-US" w:eastAsia="zh-CN"/>
                    </w:rPr>
                  </w:pPr>
                  <w:r>
                    <w:rPr>
                      <w:color w:val="auto"/>
                      <w:sz w:val="21"/>
                      <w:szCs w:val="21"/>
                      <w:highlight w:val="none"/>
                    </w:rPr>
                    <w:t>危废间</w:t>
                  </w:r>
                </w:p>
              </w:tc>
              <w:tc>
                <w:tcPr>
                  <w:tcW w:w="2938" w:type="pct"/>
                  <w:tcBorders>
                    <w:top w:val="single" w:color="auto" w:sz="4" w:space="0"/>
                    <w:left w:val="single" w:color="auto" w:sz="4" w:space="0"/>
                    <w:bottom w:val="single" w:color="auto" w:sz="4" w:space="0"/>
                    <w:right w:val="single" w:color="auto" w:sz="4" w:space="0"/>
                  </w:tcBorders>
                  <w:vAlign w:val="center"/>
                </w:tcPr>
                <w:p w14:paraId="0E33EF4A">
                  <w:pPr>
                    <w:adjustRightInd w:val="0"/>
                    <w:snapToGrid w:val="0"/>
                    <w:spacing w:line="240" w:lineRule="auto"/>
                    <w:ind w:firstLine="0" w:firstLineChars="0"/>
                    <w:jc w:val="both"/>
                    <w:rPr>
                      <w:rFonts w:hint="eastAsia"/>
                      <w:color w:val="auto"/>
                      <w:sz w:val="21"/>
                      <w:szCs w:val="21"/>
                      <w:highlight w:val="none"/>
                      <w:lang w:val="en-US" w:eastAsia="zh-CN"/>
                    </w:rPr>
                  </w:pPr>
                  <w:r>
                    <w:rPr>
                      <w:rFonts w:hint="eastAsia"/>
                      <w:color w:val="auto"/>
                      <w:sz w:val="21"/>
                      <w:szCs w:val="21"/>
                      <w:highlight w:val="none"/>
                      <w:lang w:val="en-US" w:eastAsia="zh-CN"/>
                    </w:rPr>
                    <w:t>依托唐山松汀钢铁有限公司现有危废间</w:t>
                  </w:r>
                  <w:r>
                    <w:rPr>
                      <w:rFonts w:hint="eastAsia"/>
                      <w:color w:val="auto"/>
                      <w:sz w:val="21"/>
                      <w:szCs w:val="21"/>
                      <w:highlight w:val="none"/>
                    </w:rPr>
                    <w:t>。</w:t>
                  </w:r>
                </w:p>
              </w:tc>
              <w:tc>
                <w:tcPr>
                  <w:tcW w:w="830" w:type="pct"/>
                  <w:tcBorders>
                    <w:left w:val="single" w:color="auto" w:sz="4" w:space="0"/>
                    <w:right w:val="single" w:color="auto" w:sz="4" w:space="0"/>
                  </w:tcBorders>
                  <w:vAlign w:val="center"/>
                </w:tcPr>
                <w:p w14:paraId="5A223E3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eastAsia" w:cs="Times New Roman"/>
                      <w:color w:val="auto"/>
                      <w:sz w:val="21"/>
                      <w:szCs w:val="21"/>
                      <w:highlight w:val="none"/>
                      <w:lang w:val="en-US" w:eastAsia="zh-CN"/>
                    </w:rPr>
                  </w:pPr>
                  <w:r>
                    <w:rPr>
                      <w:rFonts w:hint="default" w:ascii="Times New Roman" w:hAnsi="Times New Roman" w:cs="Times New Roman"/>
                      <w:color w:val="auto"/>
                      <w:sz w:val="21"/>
                      <w:szCs w:val="21"/>
                      <w:highlight w:val="none"/>
                    </w:rPr>
                    <w:t>依托</w:t>
                  </w:r>
                </w:p>
              </w:tc>
            </w:tr>
            <w:tr w14:paraId="0C3CB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jc w:val="center"/>
              </w:trPr>
              <w:tc>
                <w:tcPr>
                  <w:tcW w:w="481" w:type="pct"/>
                  <w:vMerge w:val="continue"/>
                  <w:tcBorders>
                    <w:left w:val="single" w:color="auto" w:sz="4" w:space="0"/>
                    <w:right w:val="single" w:color="auto" w:sz="4" w:space="0"/>
                  </w:tcBorders>
                  <w:vAlign w:val="center"/>
                </w:tcPr>
                <w:p w14:paraId="70C0D589">
                  <w:pPr>
                    <w:adjustRightInd w:val="0"/>
                    <w:snapToGrid w:val="0"/>
                    <w:spacing w:line="240" w:lineRule="auto"/>
                    <w:ind w:firstLine="0" w:firstLineChars="0"/>
                    <w:jc w:val="center"/>
                    <w:rPr>
                      <w:rFonts w:hint="eastAsia"/>
                      <w:color w:val="auto"/>
                      <w:sz w:val="21"/>
                      <w:szCs w:val="21"/>
                      <w:highlight w:val="none"/>
                    </w:rPr>
                  </w:pPr>
                </w:p>
              </w:tc>
              <w:tc>
                <w:tcPr>
                  <w:tcW w:w="749" w:type="pct"/>
                  <w:tcBorders>
                    <w:left w:val="single" w:color="auto" w:sz="4" w:space="0"/>
                    <w:right w:val="single" w:color="auto" w:sz="4" w:space="0"/>
                  </w:tcBorders>
                  <w:vAlign w:val="center"/>
                </w:tcPr>
                <w:p w14:paraId="7050AA53">
                  <w:pPr>
                    <w:adjustRightInd w:val="0"/>
                    <w:snapToGrid w:val="0"/>
                    <w:spacing w:line="240" w:lineRule="auto"/>
                    <w:ind w:firstLine="0" w:firstLineChars="0"/>
                    <w:jc w:val="center"/>
                    <w:rPr>
                      <w:rFonts w:hint="default"/>
                      <w:color w:val="auto"/>
                      <w:sz w:val="21"/>
                      <w:szCs w:val="21"/>
                      <w:highlight w:val="none"/>
                      <w:lang w:val="en-US" w:eastAsia="zh-CN"/>
                    </w:rPr>
                  </w:pPr>
                  <w:r>
                    <w:rPr>
                      <w:rFonts w:hint="eastAsia"/>
                      <w:color w:val="auto"/>
                      <w:sz w:val="21"/>
                      <w:szCs w:val="21"/>
                      <w:highlight w:val="none"/>
                    </w:rPr>
                    <w:t>一般固废贮存</w:t>
                  </w:r>
                  <w:r>
                    <w:rPr>
                      <w:rFonts w:hint="eastAsia"/>
                      <w:color w:val="auto"/>
                      <w:sz w:val="21"/>
                      <w:szCs w:val="21"/>
                      <w:highlight w:val="none"/>
                      <w:lang w:val="en-US" w:eastAsia="zh-CN"/>
                    </w:rPr>
                    <w:t>区(废料区)</w:t>
                  </w:r>
                </w:p>
              </w:tc>
              <w:tc>
                <w:tcPr>
                  <w:tcW w:w="2938" w:type="pct"/>
                  <w:tcBorders>
                    <w:top w:val="single" w:color="auto" w:sz="4" w:space="0"/>
                    <w:left w:val="single" w:color="auto" w:sz="4" w:space="0"/>
                    <w:bottom w:val="single" w:color="auto" w:sz="4" w:space="0"/>
                    <w:right w:val="single" w:color="auto" w:sz="4" w:space="0"/>
                  </w:tcBorders>
                  <w:vAlign w:val="center"/>
                </w:tcPr>
                <w:p w14:paraId="6597F74B">
                  <w:pPr>
                    <w:adjustRightInd w:val="0"/>
                    <w:snapToGrid w:val="0"/>
                    <w:spacing w:line="240" w:lineRule="auto"/>
                    <w:ind w:firstLine="0" w:firstLineChars="0"/>
                    <w:jc w:val="both"/>
                    <w:rPr>
                      <w:rFonts w:hint="eastAsia"/>
                      <w:color w:val="auto"/>
                      <w:sz w:val="21"/>
                      <w:szCs w:val="21"/>
                      <w:highlight w:val="none"/>
                      <w:lang w:val="en-US" w:eastAsia="zh-CN"/>
                    </w:rPr>
                  </w:pPr>
                  <w:r>
                    <w:rPr>
                      <w:rFonts w:hint="eastAsia"/>
                      <w:color w:val="auto"/>
                      <w:sz w:val="21"/>
                      <w:szCs w:val="21"/>
                      <w:highlight w:val="none"/>
                      <w:lang w:val="en-US" w:eastAsia="zh-CN"/>
                    </w:rPr>
                    <w:t>位于生产车间的原料筛分工序的北侧，用于存放筛分出来的废物料，废料区</w:t>
                  </w:r>
                  <w:r>
                    <w:rPr>
                      <w:rFonts w:hint="eastAsia"/>
                      <w:color w:val="auto"/>
                      <w:sz w:val="21"/>
                      <w:szCs w:val="21"/>
                      <w:highlight w:val="none"/>
                    </w:rPr>
                    <w:t>大约占地</w:t>
                  </w:r>
                  <w:r>
                    <w:rPr>
                      <w:rFonts w:hint="eastAsia"/>
                      <w:color w:val="auto"/>
                      <w:sz w:val="21"/>
                      <w:szCs w:val="21"/>
                      <w:highlight w:val="none"/>
                      <w:lang w:val="en-US" w:eastAsia="zh-CN"/>
                    </w:rPr>
                    <w:t>10</w:t>
                  </w:r>
                  <w:r>
                    <w:rPr>
                      <w:rFonts w:hint="eastAsia"/>
                      <w:color w:val="auto"/>
                      <w:sz w:val="21"/>
                      <w:szCs w:val="21"/>
                      <w:highlight w:val="none"/>
                    </w:rPr>
                    <w:t>m</w:t>
                  </w:r>
                  <w:r>
                    <w:rPr>
                      <w:rFonts w:hint="eastAsia"/>
                      <w:color w:val="auto"/>
                      <w:sz w:val="21"/>
                      <w:szCs w:val="21"/>
                      <w:highlight w:val="none"/>
                      <w:vertAlign w:val="superscript"/>
                    </w:rPr>
                    <w:t>2</w:t>
                  </w:r>
                  <w:r>
                    <w:rPr>
                      <w:rFonts w:hint="eastAsia"/>
                      <w:color w:val="auto"/>
                      <w:sz w:val="21"/>
                      <w:szCs w:val="21"/>
                      <w:highlight w:val="none"/>
                    </w:rPr>
                    <w:t>，可储存大约</w:t>
                  </w:r>
                  <w:r>
                    <w:rPr>
                      <w:rFonts w:hint="eastAsia"/>
                      <w:color w:val="auto"/>
                      <w:sz w:val="21"/>
                      <w:szCs w:val="21"/>
                      <w:highlight w:val="none"/>
                      <w:lang w:val="en-US" w:eastAsia="zh-CN"/>
                    </w:rPr>
                    <w:t>25</w:t>
                  </w:r>
                  <w:r>
                    <w:rPr>
                      <w:rFonts w:hint="eastAsia"/>
                      <w:color w:val="auto"/>
                      <w:sz w:val="21"/>
                      <w:szCs w:val="21"/>
                      <w:highlight w:val="none"/>
                    </w:rPr>
                    <w:t>吨</w:t>
                  </w:r>
                  <w:r>
                    <w:rPr>
                      <w:rFonts w:hint="eastAsia"/>
                      <w:color w:val="auto"/>
                      <w:sz w:val="21"/>
                      <w:szCs w:val="21"/>
                      <w:highlight w:val="none"/>
                      <w:lang w:val="en-US" w:eastAsia="zh-CN"/>
                    </w:rPr>
                    <w:t>废物料</w:t>
                  </w:r>
                  <w:r>
                    <w:rPr>
                      <w:rFonts w:hint="eastAsia"/>
                      <w:color w:val="auto"/>
                      <w:sz w:val="21"/>
                      <w:szCs w:val="21"/>
                      <w:highlight w:val="none"/>
                    </w:rPr>
                    <w:t>，储存周期约为</w:t>
                  </w:r>
                  <w:r>
                    <w:rPr>
                      <w:rFonts w:hint="eastAsia"/>
                      <w:color w:val="auto"/>
                      <w:sz w:val="21"/>
                      <w:szCs w:val="21"/>
                      <w:highlight w:val="none"/>
                      <w:lang w:val="en-US" w:eastAsia="zh-CN"/>
                    </w:rPr>
                    <w:t>7</w:t>
                  </w:r>
                  <w:r>
                    <w:rPr>
                      <w:rFonts w:hint="eastAsia"/>
                      <w:color w:val="auto"/>
                      <w:sz w:val="21"/>
                      <w:szCs w:val="21"/>
                      <w:highlight w:val="none"/>
                    </w:rPr>
                    <w:t>天。</w:t>
                  </w:r>
                </w:p>
              </w:tc>
              <w:tc>
                <w:tcPr>
                  <w:tcW w:w="830" w:type="pct"/>
                  <w:tcBorders>
                    <w:left w:val="single" w:color="auto" w:sz="4" w:space="0"/>
                    <w:right w:val="single" w:color="auto" w:sz="4" w:space="0"/>
                  </w:tcBorders>
                  <w:vAlign w:val="center"/>
                </w:tcPr>
                <w:p w14:paraId="569B26A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w:t>
                  </w:r>
                </w:p>
              </w:tc>
            </w:tr>
            <w:tr w14:paraId="63C88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1" w:type="pct"/>
                  <w:vMerge w:val="restart"/>
                  <w:tcBorders>
                    <w:top w:val="single" w:color="auto" w:sz="4" w:space="0"/>
                    <w:left w:val="single" w:color="auto" w:sz="4" w:space="0"/>
                    <w:right w:val="single" w:color="auto" w:sz="4" w:space="0"/>
                  </w:tcBorders>
                  <w:vAlign w:val="center"/>
                </w:tcPr>
                <w:p w14:paraId="71F47D3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公用工程</w:t>
                  </w:r>
                </w:p>
              </w:tc>
              <w:tc>
                <w:tcPr>
                  <w:tcW w:w="749" w:type="pct"/>
                  <w:tcBorders>
                    <w:top w:val="single" w:color="auto" w:sz="4" w:space="0"/>
                    <w:left w:val="single" w:color="auto" w:sz="4" w:space="0"/>
                    <w:bottom w:val="single" w:color="auto" w:sz="4" w:space="0"/>
                    <w:right w:val="single" w:color="auto" w:sz="4" w:space="0"/>
                  </w:tcBorders>
                  <w:vAlign w:val="center"/>
                </w:tcPr>
                <w:p w14:paraId="579F2B5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供水</w:t>
                  </w:r>
                </w:p>
              </w:tc>
              <w:tc>
                <w:tcPr>
                  <w:tcW w:w="2938" w:type="pct"/>
                  <w:tcBorders>
                    <w:top w:val="single" w:color="auto" w:sz="4" w:space="0"/>
                    <w:left w:val="single" w:color="auto" w:sz="4" w:space="0"/>
                    <w:bottom w:val="single" w:color="auto" w:sz="4" w:space="0"/>
                    <w:right w:val="single" w:color="auto" w:sz="4" w:space="0"/>
                  </w:tcBorders>
                  <w:vAlign w:val="center"/>
                </w:tcPr>
                <w:p w14:paraId="557EBB68">
                  <w:pPr>
                    <w:adjustRightInd w:val="0"/>
                    <w:snapToGrid w:val="0"/>
                    <w:spacing w:line="240" w:lineRule="auto"/>
                    <w:ind w:firstLine="0" w:firstLineChars="0"/>
                    <w:rPr>
                      <w:rFonts w:hint="default" w:ascii="Times New Roman" w:hAnsi="Times New Roman" w:eastAsia="宋体" w:cs="Times New Roman"/>
                      <w:color w:val="auto"/>
                      <w:sz w:val="21"/>
                      <w:szCs w:val="21"/>
                      <w:highlight w:val="none"/>
                      <w:lang w:val="en-US" w:eastAsia="zh-CN"/>
                    </w:rPr>
                  </w:pPr>
                  <w:r>
                    <w:rPr>
                      <w:rFonts w:hint="eastAsia"/>
                      <w:color w:val="auto"/>
                      <w:sz w:val="21"/>
                      <w:szCs w:val="21"/>
                      <w:highlight w:val="none"/>
                      <w:lang w:val="en-US" w:eastAsia="zh-CN"/>
                    </w:rPr>
                    <w:t>用水由现有供水管网提供。公司已取得河北省水利厅核发的取水许可证，取水点位于滨河街道办事处麻官营村东滦河右岸，为傍河取水，取水方式为在岸边建井，井内安装水泵抽水，管线输送。</w:t>
                  </w:r>
                </w:p>
              </w:tc>
              <w:tc>
                <w:tcPr>
                  <w:tcW w:w="830" w:type="pct"/>
                  <w:tcBorders>
                    <w:top w:val="single" w:color="auto" w:sz="4" w:space="0"/>
                    <w:left w:val="single" w:color="auto" w:sz="4" w:space="0"/>
                    <w:bottom w:val="single" w:color="auto" w:sz="4" w:space="0"/>
                    <w:right w:val="single" w:color="auto" w:sz="4" w:space="0"/>
                  </w:tcBorders>
                  <w:vAlign w:val="center"/>
                </w:tcPr>
                <w:p w14:paraId="76CB9A9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依托</w:t>
                  </w:r>
                </w:p>
              </w:tc>
            </w:tr>
            <w:tr w14:paraId="154EA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1" w:type="pct"/>
                  <w:vMerge w:val="continue"/>
                  <w:tcBorders>
                    <w:left w:val="single" w:color="auto" w:sz="4" w:space="0"/>
                    <w:right w:val="single" w:color="auto" w:sz="4" w:space="0"/>
                  </w:tcBorders>
                  <w:vAlign w:val="center"/>
                </w:tcPr>
                <w:p w14:paraId="76B7162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p>
              </w:tc>
              <w:tc>
                <w:tcPr>
                  <w:tcW w:w="749" w:type="pct"/>
                  <w:tcBorders>
                    <w:top w:val="single" w:color="auto" w:sz="4" w:space="0"/>
                    <w:left w:val="single" w:color="auto" w:sz="4" w:space="0"/>
                    <w:bottom w:val="single" w:color="auto" w:sz="4" w:space="0"/>
                    <w:right w:val="single" w:color="auto" w:sz="4" w:space="0"/>
                  </w:tcBorders>
                  <w:vAlign w:val="center"/>
                </w:tcPr>
                <w:p w14:paraId="7A2F81E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供电</w:t>
                  </w:r>
                </w:p>
              </w:tc>
              <w:tc>
                <w:tcPr>
                  <w:tcW w:w="2938" w:type="pct"/>
                  <w:tcBorders>
                    <w:top w:val="single" w:color="auto" w:sz="4" w:space="0"/>
                    <w:left w:val="single" w:color="auto" w:sz="4" w:space="0"/>
                    <w:bottom w:val="single" w:color="auto" w:sz="4" w:space="0"/>
                    <w:right w:val="single" w:color="auto" w:sz="4" w:space="0"/>
                  </w:tcBorders>
                  <w:vAlign w:val="center"/>
                </w:tcPr>
                <w:p w14:paraId="1A41F5AE">
                  <w:pPr>
                    <w:adjustRightInd w:val="0"/>
                    <w:snapToGrid w:val="0"/>
                    <w:spacing w:line="240" w:lineRule="auto"/>
                    <w:ind w:firstLine="0" w:firstLineChars="0"/>
                    <w:rPr>
                      <w:rFonts w:hint="default" w:ascii="Times New Roman" w:hAnsi="Times New Roman" w:eastAsia="宋体" w:cs="Times New Roman"/>
                      <w:color w:val="auto"/>
                      <w:sz w:val="21"/>
                      <w:szCs w:val="21"/>
                      <w:highlight w:val="none"/>
                      <w:lang w:val="en-US" w:eastAsia="zh-CN"/>
                    </w:rPr>
                  </w:pPr>
                  <w:r>
                    <w:rPr>
                      <w:rFonts w:hint="eastAsia"/>
                      <w:color w:val="auto"/>
                      <w:sz w:val="21"/>
                      <w:szCs w:val="21"/>
                      <w:highlight w:val="none"/>
                    </w:rPr>
                    <w:t>项目用电</w:t>
                  </w:r>
                  <w:r>
                    <w:rPr>
                      <w:rFonts w:hint="eastAsia"/>
                      <w:color w:val="auto"/>
                      <w:sz w:val="21"/>
                      <w:szCs w:val="21"/>
                      <w:highlight w:val="none"/>
                      <w:lang w:val="en-US" w:eastAsia="zh-CN"/>
                    </w:rPr>
                    <w:t>由唐山松汀钢铁有限公司现有供电管网提供</w:t>
                  </w:r>
                  <w:r>
                    <w:rPr>
                      <w:rFonts w:hint="eastAsia"/>
                      <w:color w:val="auto"/>
                      <w:sz w:val="21"/>
                      <w:szCs w:val="21"/>
                      <w:highlight w:val="none"/>
                    </w:rPr>
                    <w:t>，年用电量为</w:t>
                  </w:r>
                  <w:r>
                    <w:rPr>
                      <w:rFonts w:hint="eastAsia"/>
                      <w:color w:val="auto"/>
                      <w:sz w:val="21"/>
                      <w:szCs w:val="21"/>
                      <w:highlight w:val="none"/>
                      <w:lang w:val="en-US" w:eastAsia="zh-CN"/>
                    </w:rPr>
                    <w:t>50.99</w:t>
                  </w:r>
                  <w:r>
                    <w:rPr>
                      <w:rFonts w:hint="eastAsia"/>
                      <w:color w:val="auto"/>
                      <w:sz w:val="21"/>
                      <w:szCs w:val="21"/>
                      <w:highlight w:val="none"/>
                    </w:rPr>
                    <w:t>万kWh。</w:t>
                  </w:r>
                </w:p>
              </w:tc>
              <w:tc>
                <w:tcPr>
                  <w:tcW w:w="830" w:type="pct"/>
                  <w:tcBorders>
                    <w:top w:val="single" w:color="auto" w:sz="4" w:space="0"/>
                    <w:left w:val="single" w:color="auto" w:sz="4" w:space="0"/>
                    <w:bottom w:val="single" w:color="auto" w:sz="4" w:space="0"/>
                    <w:right w:val="single" w:color="auto" w:sz="4" w:space="0"/>
                  </w:tcBorders>
                  <w:vAlign w:val="center"/>
                </w:tcPr>
                <w:p w14:paraId="4A9F122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依托</w:t>
                  </w:r>
                </w:p>
              </w:tc>
            </w:tr>
            <w:tr w14:paraId="52BC7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1" w:type="pct"/>
                  <w:vMerge w:val="continue"/>
                  <w:tcBorders>
                    <w:left w:val="single" w:color="auto" w:sz="4" w:space="0"/>
                    <w:right w:val="single" w:color="auto" w:sz="4" w:space="0"/>
                  </w:tcBorders>
                  <w:vAlign w:val="center"/>
                </w:tcPr>
                <w:p w14:paraId="12182C4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p>
              </w:tc>
              <w:tc>
                <w:tcPr>
                  <w:tcW w:w="749" w:type="pct"/>
                  <w:tcBorders>
                    <w:top w:val="single" w:color="auto" w:sz="4" w:space="0"/>
                    <w:left w:val="single" w:color="auto" w:sz="4" w:space="0"/>
                    <w:bottom w:val="single" w:color="auto" w:sz="4" w:space="0"/>
                    <w:right w:val="single" w:color="auto" w:sz="4" w:space="0"/>
                  </w:tcBorders>
                  <w:vAlign w:val="center"/>
                </w:tcPr>
                <w:p w14:paraId="1420BAE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供热</w:t>
                  </w:r>
                </w:p>
              </w:tc>
              <w:tc>
                <w:tcPr>
                  <w:tcW w:w="2938" w:type="pct"/>
                  <w:tcBorders>
                    <w:top w:val="single" w:color="auto" w:sz="4" w:space="0"/>
                    <w:left w:val="single" w:color="auto" w:sz="4" w:space="0"/>
                    <w:bottom w:val="single" w:color="auto" w:sz="4" w:space="0"/>
                    <w:right w:val="single" w:color="auto" w:sz="4" w:space="0"/>
                  </w:tcBorders>
                  <w:vAlign w:val="center"/>
                </w:tcPr>
                <w:p w14:paraId="7EB49DE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rPr>
                    <w:t>项目生产车间无需供热，办公楼供热</w:t>
                  </w:r>
                  <w:r>
                    <w:rPr>
                      <w:rFonts w:hint="eastAsia"/>
                      <w:color w:val="auto"/>
                      <w:sz w:val="21"/>
                      <w:szCs w:val="21"/>
                      <w:highlight w:val="none"/>
                      <w:lang w:val="en-US" w:eastAsia="zh-CN"/>
                    </w:rPr>
                    <w:t>依托现有空调</w:t>
                  </w:r>
                  <w:r>
                    <w:rPr>
                      <w:rFonts w:hint="eastAsia"/>
                      <w:color w:val="auto"/>
                      <w:sz w:val="21"/>
                      <w:szCs w:val="21"/>
                      <w:highlight w:val="none"/>
                    </w:rPr>
                    <w:t>。</w:t>
                  </w:r>
                </w:p>
              </w:tc>
              <w:tc>
                <w:tcPr>
                  <w:tcW w:w="830" w:type="pct"/>
                  <w:tcBorders>
                    <w:top w:val="single" w:color="auto" w:sz="4" w:space="0"/>
                    <w:left w:val="single" w:color="auto" w:sz="4" w:space="0"/>
                    <w:bottom w:val="single" w:color="auto" w:sz="4" w:space="0"/>
                    <w:right w:val="single" w:color="auto" w:sz="4" w:space="0"/>
                  </w:tcBorders>
                  <w:vAlign w:val="center"/>
                </w:tcPr>
                <w:p w14:paraId="391693A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依托</w:t>
                  </w:r>
                </w:p>
              </w:tc>
            </w:tr>
            <w:tr w14:paraId="30398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1" w:type="pct"/>
                  <w:vMerge w:val="restart"/>
                  <w:tcBorders>
                    <w:top w:val="single" w:color="auto" w:sz="4" w:space="0"/>
                    <w:left w:val="single" w:color="auto" w:sz="4" w:space="0"/>
                    <w:right w:val="single" w:color="auto" w:sz="4" w:space="0"/>
                  </w:tcBorders>
                  <w:vAlign w:val="center"/>
                </w:tcPr>
                <w:p w14:paraId="5F1E86D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环保工程</w:t>
                  </w:r>
                </w:p>
              </w:tc>
              <w:tc>
                <w:tcPr>
                  <w:tcW w:w="749" w:type="pct"/>
                  <w:tcBorders>
                    <w:top w:val="single" w:color="auto" w:sz="4" w:space="0"/>
                    <w:left w:val="single" w:color="auto" w:sz="4" w:space="0"/>
                    <w:right w:val="single" w:color="auto" w:sz="4" w:space="0"/>
                  </w:tcBorders>
                  <w:vAlign w:val="center"/>
                </w:tcPr>
                <w:p w14:paraId="5DC21FA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废气</w:t>
                  </w:r>
                </w:p>
              </w:tc>
              <w:tc>
                <w:tcPr>
                  <w:tcW w:w="2938" w:type="pct"/>
                  <w:tcBorders>
                    <w:top w:val="single" w:color="auto" w:sz="4" w:space="0"/>
                    <w:left w:val="single" w:color="auto" w:sz="4" w:space="0"/>
                    <w:bottom w:val="single" w:color="auto" w:sz="4" w:space="0"/>
                    <w:right w:val="single" w:color="auto" w:sz="4" w:space="0"/>
                  </w:tcBorders>
                  <w:vAlign w:val="center"/>
                </w:tcPr>
                <w:p w14:paraId="7F9A844E">
                  <w:pPr>
                    <w:adjustRightInd w:val="0"/>
                    <w:snapToGrid w:val="0"/>
                    <w:spacing w:line="240" w:lineRule="auto"/>
                    <w:ind w:firstLine="0" w:firstLineChars="0"/>
                    <w:jc w:val="both"/>
                    <w:rPr>
                      <w:rFonts w:hint="default" w:ascii="Times New Roman" w:hAnsi="Times New Roman" w:cs="Times New Roman"/>
                      <w:color w:val="auto"/>
                      <w:sz w:val="21"/>
                      <w:szCs w:val="21"/>
                      <w:highlight w:val="none"/>
                    </w:rPr>
                  </w:pPr>
                  <w:r>
                    <w:rPr>
                      <w:rFonts w:hint="eastAsia" w:ascii="Times New Roman" w:hAnsi="Times New Roman"/>
                      <w:color w:val="auto"/>
                      <w:sz w:val="21"/>
                      <w:szCs w:val="21"/>
                      <w:highlight w:val="none"/>
                      <w:lang w:val="en-US" w:eastAsia="zh-CN"/>
                    </w:rPr>
                    <w:t>入</w:t>
                  </w:r>
                  <w:r>
                    <w:rPr>
                      <w:rFonts w:hint="eastAsia" w:ascii="Times New Roman" w:hAnsi="Times New Roman"/>
                      <w:color w:val="auto"/>
                      <w:sz w:val="21"/>
                      <w:szCs w:val="21"/>
                      <w:highlight w:val="none"/>
                    </w:rPr>
                    <w:t>料、</w:t>
                  </w:r>
                  <w:r>
                    <w:rPr>
                      <w:rFonts w:hint="eastAsia" w:ascii="Times New Roman" w:hAnsi="Times New Roman"/>
                      <w:color w:val="auto"/>
                      <w:sz w:val="21"/>
                      <w:szCs w:val="21"/>
                      <w:highlight w:val="none"/>
                      <w:lang w:val="en-US" w:eastAsia="zh-CN"/>
                    </w:rPr>
                    <w:t>筛分、搅拌</w:t>
                  </w:r>
                  <w:r>
                    <w:rPr>
                      <w:rFonts w:hint="eastAsia" w:ascii="Times New Roman"/>
                      <w:color w:val="auto"/>
                      <w:sz w:val="21"/>
                      <w:szCs w:val="21"/>
                      <w:highlight w:val="none"/>
                      <w:lang w:val="en-US" w:eastAsia="zh-CN"/>
                    </w:rPr>
                    <w:t>等</w:t>
                  </w:r>
                  <w:r>
                    <w:rPr>
                      <w:rFonts w:hint="eastAsia"/>
                      <w:color w:val="auto"/>
                      <w:sz w:val="21"/>
                      <w:szCs w:val="21"/>
                      <w:highlight w:val="none"/>
                    </w:rPr>
                    <w:t>过程产生的废气经</w:t>
                  </w:r>
                  <w:r>
                    <w:rPr>
                      <w:rFonts w:hint="eastAsia"/>
                      <w:color w:val="auto"/>
                      <w:sz w:val="21"/>
                      <w:szCs w:val="21"/>
                      <w:highlight w:val="none"/>
                      <w:lang w:val="en-US" w:eastAsia="zh-CN"/>
                    </w:rPr>
                    <w:t>集气罩收集后依托现</w:t>
                  </w:r>
                  <w:r>
                    <w:rPr>
                      <w:rFonts w:hint="eastAsia"/>
                      <w:color w:val="auto"/>
                      <w:sz w:val="21"/>
                      <w:szCs w:val="21"/>
                      <w:highlight w:val="red"/>
                      <w:lang w:val="en-US" w:eastAsia="zh-CN"/>
                    </w:rPr>
                    <w:t>有质检筛分除尘器(80000m</w:t>
                  </w:r>
                  <w:r>
                    <w:rPr>
                      <w:rFonts w:hint="eastAsia"/>
                      <w:color w:val="auto"/>
                      <w:sz w:val="21"/>
                      <w:szCs w:val="21"/>
                      <w:highlight w:val="red"/>
                      <w:vertAlign w:val="superscript"/>
                      <w:lang w:val="en-US" w:eastAsia="zh-CN"/>
                    </w:rPr>
                    <w:t>3</w:t>
                  </w:r>
                  <w:r>
                    <w:rPr>
                      <w:rFonts w:hint="eastAsia"/>
                      <w:color w:val="auto"/>
                      <w:sz w:val="21"/>
                      <w:szCs w:val="21"/>
                      <w:highlight w:val="red"/>
                      <w:lang w:val="en-US" w:eastAsia="zh-CN"/>
                    </w:rPr>
                    <w:t>/h)处理</w:t>
                  </w:r>
                  <w:r>
                    <w:commentReference w:id="5"/>
                  </w:r>
                  <w:r>
                    <w:rPr>
                      <w:rFonts w:hint="eastAsia"/>
                      <w:color w:val="auto"/>
                      <w:sz w:val="21"/>
                      <w:szCs w:val="21"/>
                      <w:highlight w:val="none"/>
                      <w:lang w:val="en-US" w:eastAsia="zh-CN"/>
                    </w:rPr>
                    <w:t>后，</w:t>
                  </w:r>
                  <w:r>
                    <w:rPr>
                      <w:rFonts w:hint="eastAsia"/>
                      <w:color w:val="auto"/>
                      <w:sz w:val="21"/>
                      <w:szCs w:val="21"/>
                      <w:highlight w:val="none"/>
                    </w:rPr>
                    <w:t>由1根</w:t>
                  </w:r>
                  <w:r>
                    <w:rPr>
                      <w:rFonts w:hint="eastAsia"/>
                      <w:color w:val="auto"/>
                      <w:sz w:val="21"/>
                      <w:szCs w:val="21"/>
                      <w:highlight w:val="none"/>
                      <w:lang w:val="en-US" w:eastAsia="zh-CN"/>
                    </w:rPr>
                    <w:t>24</w:t>
                  </w:r>
                  <w:r>
                    <w:rPr>
                      <w:rFonts w:hint="eastAsia"/>
                      <w:color w:val="auto"/>
                      <w:sz w:val="21"/>
                      <w:szCs w:val="21"/>
                      <w:highlight w:val="none"/>
                    </w:rPr>
                    <w:t>m高排气筒排放</w:t>
                  </w:r>
                  <w:r>
                    <w:rPr>
                      <w:rFonts w:hint="eastAsia"/>
                      <w:color w:val="auto"/>
                      <w:sz w:val="21"/>
                      <w:szCs w:val="21"/>
                      <w:highlight w:val="none"/>
                      <w:lang w:eastAsia="zh-CN"/>
                    </w:rPr>
                    <w:t>。</w:t>
                  </w:r>
                  <w:r>
                    <w:rPr>
                      <w:rFonts w:hint="eastAsia"/>
                      <w:color w:val="auto"/>
                      <w:sz w:val="21"/>
                      <w:szCs w:val="21"/>
                      <w:highlight w:val="none"/>
                      <w:lang w:val="en-US" w:eastAsia="zh-CN"/>
                    </w:rPr>
                    <w:t>物料堆存</w:t>
                  </w:r>
                  <w:r>
                    <w:rPr>
                      <w:rFonts w:hint="eastAsia"/>
                      <w:color w:val="auto"/>
                      <w:sz w:val="21"/>
                      <w:szCs w:val="21"/>
                      <w:highlight w:val="none"/>
                    </w:rPr>
                    <w:t>在封闭库房内</w:t>
                  </w:r>
                  <w:r>
                    <w:rPr>
                      <w:rFonts w:hint="eastAsia"/>
                      <w:color w:val="auto"/>
                      <w:sz w:val="21"/>
                      <w:szCs w:val="21"/>
                      <w:highlight w:val="none"/>
                      <w:lang w:val="en-US" w:eastAsia="zh-CN"/>
                    </w:rPr>
                    <w:t>(设</w:t>
                  </w:r>
                  <w:r>
                    <w:rPr>
                      <w:rFonts w:hint="eastAsia"/>
                      <w:color w:val="auto"/>
                      <w:sz w:val="21"/>
                      <w:szCs w:val="21"/>
                      <w:highlight w:val="red"/>
                      <w:lang w:val="en-US" w:eastAsia="zh-CN"/>
                    </w:rPr>
                    <w:t>自动感应门</w:t>
                  </w:r>
                  <w:r>
                    <w:rPr>
                      <w:rFonts w:hint="eastAsia"/>
                      <w:color w:val="auto"/>
                      <w:sz w:val="21"/>
                      <w:szCs w:val="21"/>
                      <w:highlight w:val="none"/>
                      <w:lang w:val="en-US" w:eastAsia="zh-CN"/>
                    </w:rPr>
                    <w:t>)</w:t>
                  </w:r>
                  <w:r>
                    <w:rPr>
                      <w:rFonts w:hint="eastAsia"/>
                      <w:color w:val="auto"/>
                      <w:sz w:val="21"/>
                      <w:szCs w:val="21"/>
                      <w:highlight w:val="none"/>
                    </w:rPr>
                    <w:t>，并设置</w:t>
                  </w:r>
                  <w:r>
                    <w:rPr>
                      <w:rFonts w:hint="eastAsia"/>
                      <w:color w:val="auto"/>
                      <w:sz w:val="21"/>
                      <w:szCs w:val="21"/>
                      <w:highlight w:val="none"/>
                      <w:lang w:eastAsia="zh-CN"/>
                    </w:rPr>
                    <w:t>喷雾抑尘</w:t>
                  </w:r>
                  <w:r>
                    <w:rPr>
                      <w:rFonts w:hint="eastAsia"/>
                      <w:color w:val="auto"/>
                      <w:sz w:val="21"/>
                      <w:szCs w:val="21"/>
                      <w:highlight w:val="none"/>
                    </w:rPr>
                    <w:t>装置，项目生产过程位于封闭车间内。</w:t>
                  </w:r>
                </w:p>
              </w:tc>
              <w:tc>
                <w:tcPr>
                  <w:tcW w:w="830" w:type="pct"/>
                  <w:tcBorders>
                    <w:top w:val="single" w:color="auto" w:sz="4" w:space="0"/>
                    <w:left w:val="single" w:color="auto" w:sz="4" w:space="0"/>
                    <w:bottom w:val="single" w:color="auto" w:sz="4" w:space="0"/>
                    <w:right w:val="single" w:color="auto" w:sz="4" w:space="0"/>
                  </w:tcBorders>
                  <w:vAlign w:val="center"/>
                </w:tcPr>
                <w:p w14:paraId="61F8DEB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依托</w:t>
                  </w:r>
                </w:p>
              </w:tc>
            </w:tr>
            <w:tr w14:paraId="42F8A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1" w:type="pct"/>
                  <w:vMerge w:val="continue"/>
                  <w:tcBorders>
                    <w:left w:val="single" w:color="auto" w:sz="4" w:space="0"/>
                    <w:right w:val="single" w:color="auto" w:sz="4" w:space="0"/>
                  </w:tcBorders>
                  <w:vAlign w:val="center"/>
                </w:tcPr>
                <w:p w14:paraId="591CD65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p>
              </w:tc>
              <w:tc>
                <w:tcPr>
                  <w:tcW w:w="749" w:type="pct"/>
                  <w:tcBorders>
                    <w:top w:val="single" w:color="auto" w:sz="4" w:space="0"/>
                    <w:left w:val="single" w:color="auto" w:sz="4" w:space="0"/>
                    <w:right w:val="single" w:color="auto" w:sz="4" w:space="0"/>
                  </w:tcBorders>
                  <w:vAlign w:val="center"/>
                </w:tcPr>
                <w:p w14:paraId="022A3593">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废水</w:t>
                  </w:r>
                </w:p>
              </w:tc>
              <w:tc>
                <w:tcPr>
                  <w:tcW w:w="2938" w:type="pct"/>
                  <w:tcBorders>
                    <w:top w:val="single" w:color="auto" w:sz="4" w:space="0"/>
                    <w:left w:val="single" w:color="auto" w:sz="4" w:space="0"/>
                    <w:right w:val="single" w:color="auto" w:sz="4" w:space="0"/>
                  </w:tcBorders>
                  <w:vAlign w:val="center"/>
                </w:tcPr>
                <w:p w14:paraId="5797BB77">
                  <w:pPr>
                    <w:widowControl/>
                    <w:spacing w:line="240" w:lineRule="auto"/>
                    <w:ind w:firstLine="0" w:firstLineChars="0"/>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项目洗车废水沉淀后循环使用，不外排，</w:t>
                  </w:r>
                  <w:r>
                    <w:rPr>
                      <w:rFonts w:hint="default" w:ascii="Times New Roman" w:hAnsi="Times New Roman" w:cs="Times New Roman"/>
                      <w:color w:val="auto"/>
                      <w:sz w:val="21"/>
                      <w:szCs w:val="21"/>
                      <w:highlight w:val="none"/>
                    </w:rPr>
                    <w:t>本项目无新增生活污水</w:t>
                  </w:r>
                  <w:r>
                    <w:rPr>
                      <w:rFonts w:hint="eastAsia"/>
                      <w:color w:val="auto"/>
                      <w:sz w:val="21"/>
                      <w:szCs w:val="21"/>
                      <w:highlight w:val="none"/>
                    </w:rPr>
                    <w:t>。</w:t>
                  </w:r>
                </w:p>
              </w:tc>
              <w:tc>
                <w:tcPr>
                  <w:tcW w:w="830" w:type="pct"/>
                  <w:tcBorders>
                    <w:top w:val="single" w:color="auto" w:sz="4" w:space="0"/>
                    <w:left w:val="single" w:color="auto" w:sz="4" w:space="0"/>
                    <w:right w:val="single" w:color="auto" w:sz="4" w:space="0"/>
                  </w:tcBorders>
                  <w:vAlign w:val="center"/>
                </w:tcPr>
                <w:p w14:paraId="572FF68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sz w:val="21"/>
                      <w:szCs w:val="21"/>
                      <w:highlight w:val="none"/>
                    </w:rPr>
                    <w:t>依托</w:t>
                  </w:r>
                  <w:r>
                    <w:rPr>
                      <w:rFonts w:hint="eastAsia" w:cs="Times New Roman"/>
                      <w:color w:val="auto"/>
                      <w:sz w:val="21"/>
                      <w:szCs w:val="21"/>
                      <w:highlight w:val="none"/>
                      <w:lang w:val="en-US" w:eastAsia="zh-CN"/>
                    </w:rPr>
                    <w:t>厂区现有洗车平台</w:t>
                  </w:r>
                </w:p>
              </w:tc>
            </w:tr>
            <w:tr w14:paraId="2F092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1" w:type="pct"/>
                  <w:vMerge w:val="continue"/>
                  <w:tcBorders>
                    <w:left w:val="single" w:color="auto" w:sz="4" w:space="0"/>
                    <w:right w:val="single" w:color="auto" w:sz="4" w:space="0"/>
                  </w:tcBorders>
                  <w:vAlign w:val="center"/>
                </w:tcPr>
                <w:p w14:paraId="5677443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p>
              </w:tc>
              <w:tc>
                <w:tcPr>
                  <w:tcW w:w="749" w:type="pct"/>
                  <w:tcBorders>
                    <w:top w:val="single" w:color="auto" w:sz="4" w:space="0"/>
                    <w:left w:val="single" w:color="auto" w:sz="4" w:space="0"/>
                    <w:bottom w:val="single" w:color="auto" w:sz="4" w:space="0"/>
                    <w:right w:val="single" w:color="auto" w:sz="4" w:space="0"/>
                  </w:tcBorders>
                  <w:vAlign w:val="center"/>
                </w:tcPr>
                <w:p w14:paraId="7434715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噪声</w:t>
                  </w:r>
                </w:p>
              </w:tc>
              <w:tc>
                <w:tcPr>
                  <w:tcW w:w="2938" w:type="pct"/>
                  <w:tcBorders>
                    <w:top w:val="single" w:color="auto" w:sz="4" w:space="0"/>
                    <w:left w:val="single" w:color="auto" w:sz="4" w:space="0"/>
                    <w:bottom w:val="single" w:color="auto" w:sz="4" w:space="0"/>
                    <w:right w:val="single" w:color="auto" w:sz="4" w:space="0"/>
                  </w:tcBorders>
                  <w:vAlign w:val="center"/>
                </w:tcPr>
                <w:p w14:paraId="0DCCC56F">
                  <w:pPr>
                    <w:adjustRightInd w:val="0"/>
                    <w:snapToGrid w:val="0"/>
                    <w:spacing w:line="240" w:lineRule="auto"/>
                    <w:ind w:firstLine="0" w:firstLineChars="0"/>
                    <w:rPr>
                      <w:rFonts w:hint="default" w:ascii="Times New Roman" w:hAnsi="Times New Roman" w:cs="Times New Roman"/>
                      <w:color w:val="auto"/>
                      <w:sz w:val="21"/>
                      <w:szCs w:val="21"/>
                      <w:highlight w:val="none"/>
                    </w:rPr>
                  </w:pPr>
                  <w:r>
                    <w:rPr>
                      <w:color w:val="auto"/>
                      <w:sz w:val="21"/>
                      <w:szCs w:val="21"/>
                      <w:highlight w:val="none"/>
                    </w:rPr>
                    <w:t>选用低噪声设备，机械设备采用基础</w:t>
                  </w:r>
                  <w:r>
                    <w:rPr>
                      <w:rFonts w:hint="eastAsia"/>
                      <w:color w:val="auto"/>
                      <w:sz w:val="21"/>
                      <w:szCs w:val="21"/>
                      <w:highlight w:val="none"/>
                      <w:lang w:eastAsia="zh-CN"/>
                    </w:rPr>
                    <w:t>减振</w:t>
                  </w:r>
                  <w:r>
                    <w:rPr>
                      <w:color w:val="auto"/>
                      <w:sz w:val="21"/>
                      <w:szCs w:val="21"/>
                      <w:highlight w:val="none"/>
                    </w:rPr>
                    <w:t>、厂房隔声</w:t>
                  </w:r>
                  <w:r>
                    <w:rPr>
                      <w:rFonts w:hint="eastAsia"/>
                      <w:color w:val="auto"/>
                      <w:sz w:val="21"/>
                      <w:szCs w:val="21"/>
                      <w:highlight w:val="none"/>
                      <w:lang w:val="en-US" w:eastAsia="zh-CN"/>
                    </w:rPr>
                    <w:t>等措施</w:t>
                  </w:r>
                  <w:r>
                    <w:rPr>
                      <w:color w:val="auto"/>
                      <w:sz w:val="21"/>
                      <w:szCs w:val="21"/>
                      <w:highlight w:val="none"/>
                    </w:rPr>
                    <w:t>。</w:t>
                  </w:r>
                </w:p>
              </w:tc>
              <w:tc>
                <w:tcPr>
                  <w:tcW w:w="830" w:type="pct"/>
                  <w:tcBorders>
                    <w:top w:val="single" w:color="auto" w:sz="4" w:space="0"/>
                    <w:left w:val="single" w:color="auto" w:sz="4" w:space="0"/>
                    <w:bottom w:val="single" w:color="auto" w:sz="4" w:space="0"/>
                    <w:right w:val="single" w:color="auto" w:sz="4" w:space="0"/>
                  </w:tcBorders>
                  <w:vAlign w:val="center"/>
                </w:tcPr>
                <w:p w14:paraId="473D90E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rPr>
                    <w:t>—</w:t>
                  </w:r>
                </w:p>
              </w:tc>
            </w:tr>
            <w:tr w14:paraId="51AC3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481" w:type="pct"/>
                  <w:vMerge w:val="continue"/>
                  <w:tcBorders>
                    <w:left w:val="single" w:color="auto" w:sz="4" w:space="0"/>
                    <w:right w:val="single" w:color="auto" w:sz="4" w:space="0"/>
                  </w:tcBorders>
                  <w:vAlign w:val="center"/>
                </w:tcPr>
                <w:p w14:paraId="10880E4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p>
              </w:tc>
              <w:tc>
                <w:tcPr>
                  <w:tcW w:w="749" w:type="pct"/>
                  <w:vMerge w:val="restart"/>
                  <w:tcBorders>
                    <w:top w:val="single" w:color="auto" w:sz="4" w:space="0"/>
                    <w:left w:val="single" w:color="auto" w:sz="4" w:space="0"/>
                    <w:right w:val="single" w:color="auto" w:sz="4" w:space="0"/>
                  </w:tcBorders>
                  <w:vAlign w:val="center"/>
                </w:tcPr>
                <w:p w14:paraId="20D49D37">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固体废物</w:t>
                  </w:r>
                </w:p>
              </w:tc>
              <w:tc>
                <w:tcPr>
                  <w:tcW w:w="2938" w:type="pct"/>
                  <w:tcBorders>
                    <w:top w:val="single" w:color="auto" w:sz="4" w:space="0"/>
                    <w:left w:val="single" w:color="auto" w:sz="4" w:space="0"/>
                    <w:bottom w:val="single" w:color="auto" w:sz="4" w:space="0"/>
                    <w:right w:val="single" w:color="auto" w:sz="4" w:space="0"/>
                  </w:tcBorders>
                  <w:vAlign w:val="center"/>
                </w:tcPr>
                <w:p w14:paraId="4F6F9415">
                  <w:pPr>
                    <w:adjustRightInd w:val="0"/>
                    <w:snapToGrid w:val="0"/>
                    <w:spacing w:line="240" w:lineRule="auto"/>
                    <w:ind w:firstLine="0" w:firstLineChars="0"/>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大粒径物料收集后回烧结配料，</w:t>
                  </w:r>
                  <w:r>
                    <w:rPr>
                      <w:rFonts w:hint="eastAsia"/>
                      <w:color w:val="auto"/>
                      <w:sz w:val="21"/>
                      <w:szCs w:val="21"/>
                      <w:highlight w:val="none"/>
                    </w:rPr>
                    <w:t>除尘灰</w:t>
                  </w:r>
                  <w:r>
                    <w:rPr>
                      <w:rFonts w:hint="eastAsia"/>
                      <w:color w:val="auto"/>
                      <w:sz w:val="21"/>
                      <w:szCs w:val="21"/>
                      <w:highlight w:val="none"/>
                      <w:lang w:eastAsia="zh-CN"/>
                    </w:rPr>
                    <w:t>、</w:t>
                  </w:r>
                  <w:r>
                    <w:rPr>
                      <w:rFonts w:hint="eastAsia"/>
                      <w:color w:val="auto"/>
                      <w:sz w:val="21"/>
                      <w:szCs w:val="21"/>
                      <w:highlight w:val="none"/>
                      <w:lang w:val="en-US" w:eastAsia="zh-CN"/>
                    </w:rPr>
                    <w:t>洗车沉泥、半成品筛分筛下物</w:t>
                  </w:r>
                  <w:r>
                    <w:rPr>
                      <w:rFonts w:hint="eastAsia"/>
                      <w:color w:val="auto"/>
                      <w:sz w:val="21"/>
                      <w:szCs w:val="21"/>
                      <w:highlight w:val="none"/>
                    </w:rPr>
                    <w:t>收集后</w:t>
                  </w:r>
                  <w:r>
                    <w:rPr>
                      <w:rFonts w:hint="eastAsia"/>
                      <w:color w:val="auto"/>
                      <w:sz w:val="21"/>
                      <w:szCs w:val="21"/>
                      <w:highlight w:val="none"/>
                      <w:lang w:val="en-US" w:eastAsia="zh-CN"/>
                    </w:rPr>
                    <w:t>作为原料回用</w:t>
                  </w:r>
                  <w:r>
                    <w:rPr>
                      <w:rFonts w:hint="eastAsia"/>
                      <w:color w:val="auto"/>
                      <w:sz w:val="21"/>
                      <w:szCs w:val="21"/>
                      <w:highlight w:val="none"/>
                    </w:rPr>
                    <w:t>；废布袋收集后厂家回收利用；未成形的不合格品</w:t>
                  </w:r>
                  <w:r>
                    <w:rPr>
                      <w:rFonts w:hint="eastAsia" w:ascii="Times New Roman"/>
                      <w:color w:val="auto"/>
                      <w:sz w:val="21"/>
                      <w:szCs w:val="21"/>
                      <w:highlight w:val="none"/>
                    </w:rPr>
                    <w:t>返回</w:t>
                  </w:r>
                  <w:r>
                    <w:rPr>
                      <w:rFonts w:hint="eastAsia" w:ascii="Times New Roman"/>
                      <w:color w:val="auto"/>
                      <w:sz w:val="21"/>
                      <w:szCs w:val="21"/>
                      <w:highlight w:val="none"/>
                      <w:lang w:val="en-US" w:eastAsia="zh-CN"/>
                    </w:rPr>
                    <w:t>中转</w:t>
                  </w:r>
                  <w:r>
                    <w:rPr>
                      <w:rFonts w:hint="eastAsia" w:ascii="Times New Roman"/>
                      <w:color w:val="auto"/>
                      <w:sz w:val="21"/>
                      <w:szCs w:val="21"/>
                      <w:highlight w:val="none"/>
                    </w:rPr>
                    <w:t>工序回用</w:t>
                  </w:r>
                  <w:r>
                    <w:rPr>
                      <w:rFonts w:hint="eastAsia"/>
                      <w:color w:val="auto"/>
                      <w:sz w:val="21"/>
                      <w:szCs w:val="21"/>
                      <w:highlight w:val="none"/>
                      <w:lang w:eastAsia="zh-CN"/>
                    </w:rPr>
                    <w:t>；</w:t>
                  </w:r>
                  <w:r>
                    <w:rPr>
                      <w:rFonts w:hint="eastAsia"/>
                      <w:color w:val="auto"/>
                      <w:sz w:val="21"/>
                      <w:szCs w:val="21"/>
                      <w:highlight w:val="none"/>
                      <w:lang w:val="en-US" w:eastAsia="zh-CN"/>
                    </w:rPr>
                    <w:t>粘合剂废包装袋由厂家回收利用</w:t>
                  </w:r>
                </w:p>
              </w:tc>
              <w:tc>
                <w:tcPr>
                  <w:tcW w:w="830" w:type="pct"/>
                  <w:tcBorders>
                    <w:top w:val="single" w:color="auto" w:sz="4" w:space="0"/>
                    <w:left w:val="single" w:color="auto" w:sz="4" w:space="0"/>
                    <w:bottom w:val="single" w:color="auto" w:sz="4" w:space="0"/>
                    <w:right w:val="single" w:color="auto" w:sz="4" w:space="0"/>
                  </w:tcBorders>
                  <w:vAlign w:val="center"/>
                </w:tcPr>
                <w:p w14:paraId="7C38B3B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kern w:val="0"/>
                      <w:sz w:val="21"/>
                      <w:szCs w:val="21"/>
                      <w:highlight w:val="none"/>
                    </w:rPr>
                    <w:t>—</w:t>
                  </w:r>
                </w:p>
              </w:tc>
            </w:tr>
            <w:tr w14:paraId="051CE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481" w:type="pct"/>
                  <w:vMerge w:val="continue"/>
                  <w:tcBorders>
                    <w:left w:val="single" w:color="auto" w:sz="4" w:space="0"/>
                    <w:right w:val="single" w:color="auto" w:sz="4" w:space="0"/>
                  </w:tcBorders>
                  <w:vAlign w:val="center"/>
                </w:tcPr>
                <w:p w14:paraId="5C5E17A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p>
              </w:tc>
              <w:tc>
                <w:tcPr>
                  <w:tcW w:w="749" w:type="pct"/>
                  <w:vMerge w:val="continue"/>
                  <w:tcBorders>
                    <w:left w:val="single" w:color="auto" w:sz="4" w:space="0"/>
                    <w:right w:val="single" w:color="auto" w:sz="4" w:space="0"/>
                  </w:tcBorders>
                  <w:vAlign w:val="center"/>
                </w:tcPr>
                <w:p w14:paraId="2B3C049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p>
              </w:tc>
              <w:tc>
                <w:tcPr>
                  <w:tcW w:w="2938" w:type="pct"/>
                  <w:tcBorders>
                    <w:top w:val="single" w:color="auto" w:sz="4" w:space="0"/>
                    <w:left w:val="single" w:color="auto" w:sz="4" w:space="0"/>
                    <w:bottom w:val="single" w:color="auto" w:sz="4" w:space="0"/>
                    <w:right w:val="single" w:color="auto" w:sz="4" w:space="0"/>
                  </w:tcBorders>
                  <w:vAlign w:val="center"/>
                </w:tcPr>
                <w:p w14:paraId="25C4ECF9">
                  <w:pPr>
                    <w:adjustRightInd w:val="0"/>
                    <w:snapToGrid w:val="0"/>
                    <w:spacing w:line="240" w:lineRule="auto"/>
                    <w:ind w:firstLine="0" w:firstLineChars="0"/>
                    <w:rPr>
                      <w:rFonts w:hint="eastAsia"/>
                      <w:color w:val="auto"/>
                      <w:sz w:val="21"/>
                      <w:szCs w:val="21"/>
                      <w:highlight w:val="none"/>
                      <w:lang w:val="en-US" w:eastAsia="zh-CN"/>
                    </w:rPr>
                  </w:pPr>
                  <w:r>
                    <w:rPr>
                      <w:rFonts w:hint="eastAsia"/>
                      <w:color w:val="auto"/>
                      <w:sz w:val="21"/>
                      <w:szCs w:val="21"/>
                      <w:highlight w:val="none"/>
                    </w:rPr>
                    <w:t>废润滑油</w:t>
                  </w:r>
                  <w:r>
                    <w:rPr>
                      <w:color w:val="auto"/>
                      <w:sz w:val="21"/>
                      <w:szCs w:val="21"/>
                      <w:highlight w:val="none"/>
                    </w:rPr>
                    <w:t>、</w:t>
                  </w:r>
                  <w:r>
                    <w:rPr>
                      <w:rFonts w:hint="eastAsia"/>
                      <w:color w:val="auto"/>
                      <w:sz w:val="21"/>
                      <w:szCs w:val="21"/>
                      <w:highlight w:val="none"/>
                    </w:rPr>
                    <w:t>废液压油</w:t>
                  </w:r>
                  <w:r>
                    <w:rPr>
                      <w:color w:val="auto"/>
                      <w:sz w:val="21"/>
                      <w:szCs w:val="21"/>
                      <w:highlight w:val="none"/>
                    </w:rPr>
                    <w:t>收集于</w:t>
                  </w:r>
                  <w:r>
                    <w:rPr>
                      <w:rFonts w:hint="eastAsia"/>
                      <w:color w:val="auto"/>
                      <w:sz w:val="21"/>
                      <w:szCs w:val="21"/>
                      <w:highlight w:val="none"/>
                      <w:lang w:eastAsia="zh-CN"/>
                    </w:rPr>
                    <w:t>铁桶</w:t>
                  </w:r>
                  <w:r>
                    <w:rPr>
                      <w:color w:val="auto"/>
                      <w:sz w:val="21"/>
                      <w:szCs w:val="21"/>
                      <w:highlight w:val="none"/>
                    </w:rPr>
                    <w:t>内与废油桶</w:t>
                  </w:r>
                  <w:r>
                    <w:rPr>
                      <w:rFonts w:hint="eastAsia"/>
                      <w:color w:val="auto"/>
                      <w:sz w:val="21"/>
                      <w:szCs w:val="21"/>
                      <w:highlight w:val="none"/>
                      <w:lang w:eastAsia="zh-CN"/>
                    </w:rPr>
                    <w:t>、</w:t>
                  </w:r>
                  <w:r>
                    <w:rPr>
                      <w:rFonts w:hint="eastAsia"/>
                      <w:color w:val="auto"/>
                      <w:sz w:val="21"/>
                      <w:szCs w:val="21"/>
                      <w:highlight w:val="none"/>
                      <w:lang w:val="en-US" w:eastAsia="zh-CN"/>
                    </w:rPr>
                    <w:t>废电瓶</w:t>
                  </w:r>
                  <w:r>
                    <w:rPr>
                      <w:rFonts w:hint="eastAsia"/>
                      <w:color w:val="auto"/>
                      <w:sz w:val="21"/>
                      <w:szCs w:val="21"/>
                      <w:highlight w:val="none"/>
                    </w:rPr>
                    <w:t>在危废间暂存后</w:t>
                  </w:r>
                  <w:r>
                    <w:rPr>
                      <w:color w:val="auto"/>
                      <w:sz w:val="21"/>
                      <w:szCs w:val="21"/>
                      <w:highlight w:val="none"/>
                    </w:rPr>
                    <w:t>，定期交有资质的单位处置</w:t>
                  </w:r>
                </w:p>
              </w:tc>
              <w:tc>
                <w:tcPr>
                  <w:tcW w:w="830" w:type="pct"/>
                  <w:tcBorders>
                    <w:top w:val="single" w:color="auto" w:sz="4" w:space="0"/>
                    <w:left w:val="single" w:color="auto" w:sz="4" w:space="0"/>
                    <w:bottom w:val="single" w:color="auto" w:sz="4" w:space="0"/>
                    <w:right w:val="single" w:color="auto" w:sz="4" w:space="0"/>
                  </w:tcBorders>
                  <w:vAlign w:val="center"/>
                </w:tcPr>
                <w:p w14:paraId="2085769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依托</w:t>
                  </w:r>
                </w:p>
              </w:tc>
            </w:tr>
          </w:tbl>
          <w:p w14:paraId="4E8CD9D8">
            <w:pPr>
              <w:keepNext w:val="0"/>
              <w:keepLines w:val="0"/>
              <w:widowControl/>
              <w:suppressLineNumbers w:val="0"/>
              <w:jc w:val="left"/>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3、</w:t>
            </w:r>
            <w:r>
              <w:rPr>
                <w:rFonts w:hint="eastAsia" w:cs="Times New Roman"/>
                <w:color w:val="auto"/>
                <w:sz w:val="21"/>
                <w:szCs w:val="21"/>
                <w:highlight w:val="none"/>
                <w:lang w:val="en-US" w:eastAsia="zh-CN"/>
              </w:rPr>
              <w:t>产品种类及规模一览表</w:t>
            </w:r>
          </w:p>
          <w:p w14:paraId="03ABDFFA">
            <w:pPr>
              <w:widowControl/>
              <w:adjustRightInd w:val="0"/>
              <w:snapToGrid w:val="0"/>
              <w:spacing w:line="240" w:lineRule="auto"/>
              <w:ind w:firstLine="0" w:firstLineChars="0"/>
              <w:jc w:val="center"/>
              <w:rPr>
                <w:b/>
                <w:bCs/>
                <w:color w:val="auto"/>
                <w:sz w:val="21"/>
                <w:szCs w:val="21"/>
                <w:highlight w:val="none"/>
              </w:rPr>
            </w:pPr>
            <w:r>
              <w:rPr>
                <w:b/>
                <w:bCs/>
                <w:color w:val="auto"/>
                <w:sz w:val="21"/>
                <w:szCs w:val="21"/>
                <w:highlight w:val="none"/>
              </w:rPr>
              <w:t>表</w:t>
            </w:r>
            <w:r>
              <w:rPr>
                <w:rFonts w:hint="eastAsia"/>
                <w:b/>
                <w:bCs/>
                <w:color w:val="auto"/>
                <w:sz w:val="21"/>
                <w:szCs w:val="21"/>
                <w:highlight w:val="none"/>
                <w:lang w:val="en-US" w:eastAsia="zh-CN"/>
              </w:rPr>
              <w:t>2-2</w:t>
            </w:r>
            <w:r>
              <w:rPr>
                <w:b/>
                <w:bCs/>
                <w:color w:val="auto"/>
                <w:sz w:val="21"/>
                <w:szCs w:val="21"/>
                <w:highlight w:val="none"/>
              </w:rPr>
              <w:t xml:space="preserve">    产品种类及规模一览表</w:t>
            </w:r>
          </w:p>
          <w:tbl>
            <w:tblPr>
              <w:tblStyle w:val="8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1"/>
              <w:gridCol w:w="1697"/>
              <w:gridCol w:w="834"/>
              <w:gridCol w:w="1351"/>
              <w:gridCol w:w="3823"/>
            </w:tblGrid>
            <w:tr w14:paraId="29E1A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17" w:type="pct"/>
                  <w:vAlign w:val="center"/>
                </w:tcPr>
                <w:p w14:paraId="0B1BA0EA">
                  <w:pPr>
                    <w:pStyle w:val="141"/>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序号</w:t>
                  </w:r>
                </w:p>
              </w:tc>
              <w:tc>
                <w:tcPr>
                  <w:tcW w:w="1009" w:type="pct"/>
                  <w:vAlign w:val="center"/>
                </w:tcPr>
                <w:p w14:paraId="44873DC2">
                  <w:pPr>
                    <w:pStyle w:val="141"/>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产品名称</w:t>
                  </w:r>
                </w:p>
              </w:tc>
              <w:tc>
                <w:tcPr>
                  <w:tcW w:w="496" w:type="pct"/>
                  <w:vAlign w:val="center"/>
                </w:tcPr>
                <w:p w14:paraId="5F9DE047">
                  <w:pPr>
                    <w:pStyle w:val="141"/>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单位</w:t>
                  </w:r>
                </w:p>
              </w:tc>
              <w:tc>
                <w:tcPr>
                  <w:tcW w:w="803" w:type="pct"/>
                  <w:vAlign w:val="center"/>
                </w:tcPr>
                <w:p w14:paraId="10026E4D">
                  <w:pPr>
                    <w:pStyle w:val="141"/>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数量</w:t>
                  </w:r>
                </w:p>
              </w:tc>
              <w:tc>
                <w:tcPr>
                  <w:tcW w:w="2272" w:type="pct"/>
                  <w:vAlign w:val="center"/>
                </w:tcPr>
                <w:p w14:paraId="4BEE58AF">
                  <w:pPr>
                    <w:pStyle w:val="141"/>
                    <w:spacing w:line="240" w:lineRule="auto"/>
                    <w:ind w:firstLine="0" w:firstLineChars="0"/>
                    <w:jc w:val="center"/>
                    <w:rPr>
                      <w:rFonts w:hint="default" w:ascii="Times New Roman"/>
                      <w:color w:val="auto"/>
                      <w:sz w:val="21"/>
                      <w:szCs w:val="21"/>
                      <w:highlight w:val="none"/>
                      <w:lang w:val="en-US" w:eastAsia="zh-CN"/>
                    </w:rPr>
                  </w:pPr>
                  <w:r>
                    <w:rPr>
                      <w:rFonts w:hint="eastAsia" w:ascii="Times New Roman"/>
                      <w:color w:val="auto"/>
                      <w:sz w:val="21"/>
                      <w:szCs w:val="21"/>
                      <w:highlight w:val="none"/>
                      <w:lang w:val="en-US" w:eastAsia="zh-CN"/>
                    </w:rPr>
                    <w:t>技术指标</w:t>
                  </w:r>
                </w:p>
              </w:tc>
            </w:tr>
            <w:tr w14:paraId="6A0F7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17" w:type="pct"/>
                  <w:vAlign w:val="center"/>
                </w:tcPr>
                <w:p w14:paraId="439D74F9">
                  <w:pPr>
                    <w:pStyle w:val="141"/>
                    <w:spacing w:line="240" w:lineRule="auto"/>
                    <w:ind w:firstLine="0" w:firstLineChars="0"/>
                    <w:jc w:val="center"/>
                    <w:rPr>
                      <w:rFonts w:ascii="Times New Roman"/>
                      <w:color w:val="auto"/>
                      <w:sz w:val="21"/>
                      <w:szCs w:val="21"/>
                      <w:highlight w:val="none"/>
                    </w:rPr>
                  </w:pPr>
                  <w:r>
                    <w:rPr>
                      <w:rFonts w:ascii="Times New Roman"/>
                      <w:color w:val="auto"/>
                      <w:sz w:val="21"/>
                      <w:szCs w:val="21"/>
                      <w:highlight w:val="none"/>
                    </w:rPr>
                    <w:t>1</w:t>
                  </w:r>
                </w:p>
              </w:tc>
              <w:tc>
                <w:tcPr>
                  <w:tcW w:w="1009" w:type="pct"/>
                  <w:vAlign w:val="center"/>
                </w:tcPr>
                <w:p w14:paraId="3DE32A9A">
                  <w:pPr>
                    <w:pStyle w:val="141"/>
                    <w:spacing w:line="240" w:lineRule="auto"/>
                    <w:ind w:firstLine="0" w:firstLineChars="0"/>
                    <w:jc w:val="center"/>
                    <w:rPr>
                      <w:rFonts w:hint="eastAsia" w:ascii="Times New Roman" w:eastAsia="宋体"/>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含铁废料压球</w:t>
                  </w:r>
                </w:p>
              </w:tc>
              <w:tc>
                <w:tcPr>
                  <w:tcW w:w="496" w:type="pct"/>
                  <w:vAlign w:val="center"/>
                </w:tcPr>
                <w:p w14:paraId="44EF904C">
                  <w:pPr>
                    <w:pStyle w:val="141"/>
                    <w:spacing w:line="240" w:lineRule="auto"/>
                    <w:ind w:firstLine="0" w:firstLineChars="0"/>
                    <w:jc w:val="center"/>
                    <w:rPr>
                      <w:rFonts w:ascii="Times New Roman"/>
                      <w:color w:val="auto"/>
                      <w:sz w:val="21"/>
                      <w:szCs w:val="21"/>
                      <w:highlight w:val="none"/>
                    </w:rPr>
                  </w:pPr>
                  <w:r>
                    <w:rPr>
                      <w:rFonts w:hint="eastAsia" w:ascii="Times New Roman"/>
                      <w:color w:val="auto"/>
                      <w:sz w:val="21"/>
                      <w:szCs w:val="21"/>
                      <w:highlight w:val="none"/>
                    </w:rPr>
                    <w:t>万吨</w:t>
                  </w:r>
                </w:p>
              </w:tc>
              <w:tc>
                <w:tcPr>
                  <w:tcW w:w="803" w:type="pct"/>
                  <w:vAlign w:val="center"/>
                </w:tcPr>
                <w:p w14:paraId="50BBDA24">
                  <w:pPr>
                    <w:pStyle w:val="141"/>
                    <w:spacing w:line="240" w:lineRule="auto"/>
                    <w:ind w:firstLine="0" w:firstLineChars="0"/>
                    <w:jc w:val="center"/>
                    <w:rPr>
                      <w:rFonts w:hint="default" w:ascii="Times New Roman" w:eastAsia="宋体"/>
                      <w:color w:val="auto"/>
                      <w:sz w:val="21"/>
                      <w:szCs w:val="21"/>
                      <w:highlight w:val="none"/>
                      <w:lang w:val="en-US" w:eastAsia="zh-CN"/>
                    </w:rPr>
                  </w:pPr>
                  <w:r>
                    <w:rPr>
                      <w:rFonts w:hint="eastAsia" w:ascii="Times New Roman"/>
                      <w:color w:val="auto"/>
                      <w:sz w:val="21"/>
                      <w:szCs w:val="21"/>
                      <w:highlight w:val="none"/>
                      <w:lang w:val="en-US" w:eastAsia="zh-CN"/>
                    </w:rPr>
                    <w:t>10.8万t</w:t>
                  </w:r>
                </w:p>
              </w:tc>
              <w:tc>
                <w:tcPr>
                  <w:tcW w:w="2272" w:type="pct"/>
                  <w:vAlign w:val="center"/>
                </w:tcPr>
                <w:p w14:paraId="6A8926F7">
                  <w:pPr>
                    <w:pStyle w:val="141"/>
                    <w:spacing w:line="240" w:lineRule="auto"/>
                    <w:ind w:firstLine="0" w:firstLineChars="0"/>
                    <w:jc w:val="center"/>
                    <w:rPr>
                      <w:rFonts w:hint="default" w:ascii="Times New Roman"/>
                      <w:color w:val="auto"/>
                      <w:sz w:val="21"/>
                      <w:szCs w:val="21"/>
                      <w:highlight w:val="none"/>
                      <w:lang w:val="en-US" w:eastAsia="zh-CN"/>
                    </w:rPr>
                  </w:pPr>
                  <w:r>
                    <w:rPr>
                      <w:rFonts w:hint="eastAsia" w:ascii="Times New Roman"/>
                      <w:color w:val="auto"/>
                      <w:sz w:val="21"/>
                      <w:szCs w:val="21"/>
                      <w:highlight w:val="none"/>
                      <w:lang w:val="en-US" w:eastAsia="zh-CN"/>
                    </w:rPr>
                    <w:t>粒径5cm左右，含铁率约45%</w:t>
                  </w:r>
                </w:p>
              </w:tc>
            </w:tr>
          </w:tbl>
          <w:p w14:paraId="6F19E395">
            <w:pPr>
              <w:keepNext w:val="0"/>
              <w:keepLines w:val="0"/>
              <w:widowControl/>
              <w:suppressLineNumbers w:val="0"/>
              <w:jc w:val="left"/>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kern w:val="0"/>
                <w:sz w:val="21"/>
                <w:szCs w:val="21"/>
                <w:highlight w:val="none"/>
                <w:lang w:val="en-US" w:eastAsia="zh-CN" w:bidi="ar"/>
              </w:rPr>
              <w:t>主要生产单元</w:t>
            </w:r>
          </w:p>
          <w:p w14:paraId="04931FCD">
            <w:pPr>
              <w:ind w:firstLine="0" w:firstLineChars="0"/>
              <w:jc w:val="center"/>
              <w:rPr>
                <w:rFonts w:hint="default" w:ascii="Times New Roman" w:hAnsi="Times New Roman" w:cs="Times New Roman"/>
                <w:b/>
                <w:bCs/>
                <w:color w:val="auto"/>
                <w:sz w:val="21"/>
                <w:szCs w:val="21"/>
                <w:highlight w:val="none"/>
                <w:lang w:val="en-US" w:eastAsia="zh-CN"/>
              </w:rPr>
            </w:pPr>
            <w:r>
              <w:rPr>
                <w:rFonts w:hint="default" w:ascii="Times New Roman" w:hAnsi="Times New Roman" w:cs="Times New Roman"/>
                <w:b/>
                <w:bCs/>
                <w:color w:val="auto"/>
                <w:sz w:val="21"/>
                <w:szCs w:val="21"/>
                <w:highlight w:val="none"/>
              </w:rPr>
              <w:t>表</w:t>
            </w:r>
            <w:r>
              <w:rPr>
                <w:rFonts w:hint="eastAsia" w:ascii="Times New Roman" w:hAnsi="Times New Roman" w:cs="Times New Roman"/>
                <w:b/>
                <w:bCs/>
                <w:color w:val="auto"/>
                <w:sz w:val="21"/>
                <w:szCs w:val="21"/>
                <w:highlight w:val="none"/>
                <w:lang w:val="en-US" w:eastAsia="zh-CN"/>
              </w:rPr>
              <w:t>2-</w:t>
            </w:r>
            <w:r>
              <w:rPr>
                <w:rFonts w:hint="eastAsia" w:cs="Times New Roman"/>
                <w:b/>
                <w:bCs/>
                <w:color w:val="auto"/>
                <w:sz w:val="21"/>
                <w:szCs w:val="21"/>
                <w:highlight w:val="none"/>
                <w:lang w:val="en-US" w:eastAsia="zh-CN"/>
              </w:rPr>
              <w:t xml:space="preserve">3 </w:t>
            </w:r>
            <w:r>
              <w:rPr>
                <w:rFonts w:hint="default" w:ascii="Times New Roman" w:hAnsi="Times New Roman" w:cs="Times New Roman"/>
                <w:b/>
                <w:bCs/>
                <w:color w:val="auto"/>
                <w:sz w:val="21"/>
                <w:szCs w:val="21"/>
                <w:highlight w:val="none"/>
              </w:rPr>
              <w:t xml:space="preserve">   </w:t>
            </w:r>
            <w:r>
              <w:rPr>
                <w:rFonts w:hint="default" w:ascii="Times New Roman" w:hAnsi="Times New Roman" w:cs="Times New Roman"/>
                <w:b/>
                <w:bCs/>
                <w:color w:val="auto"/>
                <w:sz w:val="21"/>
                <w:szCs w:val="21"/>
                <w:highlight w:val="none"/>
                <w:lang w:val="en-US" w:eastAsia="zh-CN"/>
              </w:rPr>
              <w:t>项目主要构建筑物一览表</w:t>
            </w:r>
          </w:p>
          <w:tbl>
            <w:tblPr>
              <w:tblStyle w:val="8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8"/>
              <w:gridCol w:w="735"/>
              <w:gridCol w:w="836"/>
              <w:gridCol w:w="1592"/>
              <w:gridCol w:w="2173"/>
              <w:gridCol w:w="1407"/>
              <w:gridCol w:w="977"/>
            </w:tblGrid>
            <w:tr w14:paraId="2E0B9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409" w:type="pct"/>
                  <w:vAlign w:val="center"/>
                </w:tcPr>
                <w:p w14:paraId="406D630B">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bidi="ar"/>
                    </w:rPr>
                    <w:t>序号</w:t>
                  </w:r>
                </w:p>
              </w:tc>
              <w:tc>
                <w:tcPr>
                  <w:tcW w:w="437" w:type="pct"/>
                  <w:vAlign w:val="center"/>
                </w:tcPr>
                <w:p w14:paraId="16684845">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bidi="ar"/>
                    </w:rPr>
                    <w:t>名称</w:t>
                  </w:r>
                </w:p>
              </w:tc>
              <w:tc>
                <w:tcPr>
                  <w:tcW w:w="497" w:type="pct"/>
                  <w:vAlign w:val="center"/>
                </w:tcPr>
                <w:p w14:paraId="0098588D">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bidi="ar"/>
                    </w:rPr>
                    <w:t>数量</w:t>
                  </w:r>
                </w:p>
              </w:tc>
              <w:tc>
                <w:tcPr>
                  <w:tcW w:w="946" w:type="pct"/>
                  <w:vAlign w:val="center"/>
                </w:tcPr>
                <w:p w14:paraId="36CE4E49">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建筑面积(m</w:t>
                  </w:r>
                  <w:r>
                    <w:rPr>
                      <w:rFonts w:hint="default" w:ascii="Times New Roman" w:hAnsi="Times New Roman" w:cs="Times New Roman"/>
                      <w:color w:val="auto"/>
                      <w:spacing w:val="6"/>
                      <w:kern w:val="0"/>
                      <w:sz w:val="21"/>
                      <w:szCs w:val="21"/>
                      <w:highlight w:val="none"/>
                      <w:vertAlign w:val="superscript"/>
                      <w:lang w:val="en-US" w:eastAsia="zh-CN" w:bidi="ar"/>
                    </w:rPr>
                    <w:t>2</w:t>
                  </w:r>
                  <w:r>
                    <w:rPr>
                      <w:rFonts w:hint="default" w:ascii="Times New Roman" w:hAnsi="Times New Roman" w:cs="Times New Roman"/>
                      <w:color w:val="auto"/>
                      <w:spacing w:val="6"/>
                      <w:kern w:val="0"/>
                      <w:sz w:val="21"/>
                      <w:szCs w:val="21"/>
                      <w:highlight w:val="none"/>
                      <w:lang w:val="en-US" w:eastAsia="zh-CN" w:bidi="ar"/>
                    </w:rPr>
                    <w:t>)</w:t>
                  </w:r>
                </w:p>
              </w:tc>
              <w:tc>
                <w:tcPr>
                  <w:tcW w:w="1291" w:type="pct"/>
                  <w:vAlign w:val="center"/>
                </w:tcPr>
                <w:p w14:paraId="479663A8">
                  <w:pPr>
                    <w:keepNext w:val="0"/>
                    <w:keepLines w:val="0"/>
                    <w:pageBreakBefore w:val="0"/>
                    <w:widowControl/>
                    <w:suppressLineNumbers w:val="0"/>
                    <w:kinsoku/>
                    <w:wordWrap/>
                    <w:overflowPunct/>
                    <w:topLinePunct w:val="0"/>
                    <w:bidi w:val="0"/>
                    <w:spacing w:line="280" w:lineRule="exact"/>
                    <w:ind w:left="0" w:leftChars="0" w:firstLine="0" w:firstLineChars="0"/>
                    <w:jc w:val="left"/>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长(m)×宽(m)×高(m)</w:t>
                  </w:r>
                </w:p>
              </w:tc>
              <w:tc>
                <w:tcPr>
                  <w:tcW w:w="836" w:type="pct"/>
                  <w:vAlign w:val="center"/>
                </w:tcPr>
                <w:p w14:paraId="3D2C89AB">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结构形式</w:t>
                  </w:r>
                </w:p>
              </w:tc>
              <w:tc>
                <w:tcPr>
                  <w:tcW w:w="580" w:type="pct"/>
                  <w:vAlign w:val="center"/>
                </w:tcPr>
                <w:p w14:paraId="3771FA62">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bidi="ar"/>
                    </w:rPr>
                    <w:t>备注</w:t>
                  </w:r>
                </w:p>
              </w:tc>
            </w:tr>
            <w:tr w14:paraId="001CE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09" w:type="pct"/>
                  <w:vAlign w:val="center"/>
                </w:tcPr>
                <w:p w14:paraId="0107BF68">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bidi="ar"/>
                    </w:rPr>
                    <w:t>1</w:t>
                  </w:r>
                </w:p>
              </w:tc>
              <w:tc>
                <w:tcPr>
                  <w:tcW w:w="437" w:type="pct"/>
                  <w:vAlign w:val="center"/>
                </w:tcPr>
                <w:p w14:paraId="50323873">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eastAsia="宋体" w:cs="Times New Roman"/>
                      <w:color w:val="auto"/>
                      <w:spacing w:val="6"/>
                      <w:kern w:val="0"/>
                      <w:sz w:val="21"/>
                      <w:szCs w:val="21"/>
                      <w:highlight w:val="none"/>
                      <w:lang w:val="en-US" w:bidi="ar"/>
                    </w:rPr>
                  </w:pPr>
                  <w:r>
                    <w:rPr>
                      <w:rFonts w:hint="eastAsia" w:ascii="Times New Roman" w:hAnsi="Times New Roman" w:eastAsia="宋体" w:cs="Times New Roman"/>
                      <w:color w:val="auto"/>
                      <w:spacing w:val="6"/>
                      <w:kern w:val="0"/>
                      <w:sz w:val="21"/>
                      <w:szCs w:val="21"/>
                      <w:highlight w:val="none"/>
                      <w:lang w:val="en-US" w:eastAsia="zh-CN" w:bidi="ar"/>
                    </w:rPr>
                    <w:t>厂房</w:t>
                  </w:r>
                </w:p>
              </w:tc>
              <w:tc>
                <w:tcPr>
                  <w:tcW w:w="497" w:type="pct"/>
                  <w:vAlign w:val="center"/>
                </w:tcPr>
                <w:p w14:paraId="3582E7DB">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bidi="ar"/>
                    </w:rPr>
                    <w:t>1</w:t>
                  </w:r>
                </w:p>
              </w:tc>
              <w:tc>
                <w:tcPr>
                  <w:tcW w:w="946" w:type="pct"/>
                  <w:vAlign w:val="center"/>
                </w:tcPr>
                <w:p w14:paraId="387AC016">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val="en-US" w:eastAsia="zh-CN" w:bidi="ar"/>
                    </w:rPr>
                  </w:pPr>
                  <w:r>
                    <w:rPr>
                      <w:rFonts w:hint="eastAsia" w:cs="Times New Roman"/>
                      <w:color w:val="auto"/>
                      <w:spacing w:val="6"/>
                      <w:kern w:val="0"/>
                      <w:sz w:val="21"/>
                      <w:szCs w:val="21"/>
                      <w:highlight w:val="none"/>
                      <w:lang w:val="en-US" w:eastAsia="zh-CN" w:bidi="ar"/>
                    </w:rPr>
                    <w:t>4400</w:t>
                  </w:r>
                </w:p>
              </w:tc>
              <w:tc>
                <w:tcPr>
                  <w:tcW w:w="1291" w:type="pct"/>
                  <w:vAlign w:val="center"/>
                </w:tcPr>
                <w:p w14:paraId="24698656">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val="en-US" w:eastAsia="zh-CN" w:bidi="ar"/>
                    </w:rPr>
                    <w:t>约</w:t>
                  </w:r>
                  <w:r>
                    <w:rPr>
                      <w:rFonts w:hint="eastAsia" w:cs="Times New Roman"/>
                      <w:color w:val="auto"/>
                      <w:spacing w:val="6"/>
                      <w:kern w:val="0"/>
                      <w:sz w:val="21"/>
                      <w:szCs w:val="21"/>
                      <w:highlight w:val="none"/>
                      <w:lang w:val="en-US" w:eastAsia="zh-CN" w:bidi="ar"/>
                    </w:rPr>
                    <w:t>100</w:t>
                  </w:r>
                  <w:r>
                    <w:rPr>
                      <w:rFonts w:hint="default" w:ascii="Times New Roman" w:hAnsi="Times New Roman" w:cs="Times New Roman"/>
                      <w:color w:val="auto"/>
                      <w:spacing w:val="6"/>
                      <w:kern w:val="0"/>
                      <w:sz w:val="21"/>
                      <w:szCs w:val="21"/>
                      <w:highlight w:val="none"/>
                      <w:lang w:val="en-US" w:eastAsia="zh-CN" w:bidi="ar"/>
                    </w:rPr>
                    <w:t>×</w:t>
                  </w:r>
                  <w:r>
                    <w:rPr>
                      <w:rFonts w:hint="eastAsia" w:cs="Times New Roman"/>
                      <w:color w:val="auto"/>
                      <w:spacing w:val="6"/>
                      <w:kern w:val="0"/>
                      <w:sz w:val="21"/>
                      <w:szCs w:val="21"/>
                      <w:highlight w:val="none"/>
                      <w:lang w:val="en-US" w:eastAsia="zh-CN" w:bidi="ar"/>
                    </w:rPr>
                    <w:t>44</w:t>
                  </w:r>
                  <w:r>
                    <w:rPr>
                      <w:rFonts w:hint="default" w:ascii="Times New Roman" w:hAnsi="Times New Roman" w:cs="Times New Roman"/>
                      <w:color w:val="auto"/>
                      <w:spacing w:val="6"/>
                      <w:kern w:val="0"/>
                      <w:sz w:val="21"/>
                      <w:szCs w:val="21"/>
                      <w:highlight w:val="none"/>
                      <w:lang w:val="en-US" w:eastAsia="zh-CN" w:bidi="ar"/>
                    </w:rPr>
                    <w:t>×</w:t>
                  </w:r>
                  <w:r>
                    <w:rPr>
                      <w:rFonts w:hint="eastAsia" w:cs="Times New Roman"/>
                      <w:color w:val="auto"/>
                      <w:spacing w:val="6"/>
                      <w:kern w:val="0"/>
                      <w:sz w:val="21"/>
                      <w:szCs w:val="21"/>
                      <w:highlight w:val="none"/>
                      <w:lang w:val="en-US" w:eastAsia="zh-CN" w:bidi="ar"/>
                    </w:rPr>
                    <w:t>15</w:t>
                  </w:r>
                </w:p>
              </w:tc>
              <w:tc>
                <w:tcPr>
                  <w:tcW w:w="836" w:type="pct"/>
                  <w:vAlign w:val="center"/>
                </w:tcPr>
                <w:p w14:paraId="16191EB3">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val="en-US" w:eastAsia="zh-CN" w:bidi="ar"/>
                    </w:rPr>
                  </w:pPr>
                  <w:r>
                    <w:rPr>
                      <w:rFonts w:hint="eastAsia" w:cs="Times New Roman"/>
                      <w:color w:val="auto"/>
                      <w:spacing w:val="6"/>
                      <w:kern w:val="0"/>
                      <w:sz w:val="21"/>
                      <w:szCs w:val="21"/>
                      <w:highlight w:val="none"/>
                      <w:lang w:val="en-US" w:eastAsia="zh-CN" w:bidi="ar"/>
                    </w:rPr>
                    <w:t>钢结构</w:t>
                  </w:r>
                </w:p>
              </w:tc>
              <w:tc>
                <w:tcPr>
                  <w:tcW w:w="580" w:type="pct"/>
                  <w:vAlign w:val="center"/>
                </w:tcPr>
                <w:p w14:paraId="75226F14">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ascii="Times New Roman" w:hAnsi="Times New Roman" w:cs="Times New Roman"/>
                      <w:color w:val="auto"/>
                      <w:spacing w:val="6"/>
                      <w:kern w:val="0"/>
                      <w:sz w:val="21"/>
                      <w:szCs w:val="21"/>
                      <w:highlight w:val="none"/>
                      <w:lang w:val="en-US" w:eastAsia="zh-CN" w:bidi="ar"/>
                    </w:rPr>
                  </w:pPr>
                  <w:r>
                    <w:rPr>
                      <w:rFonts w:hint="eastAsia" w:cs="Times New Roman"/>
                      <w:color w:val="auto"/>
                      <w:spacing w:val="6"/>
                      <w:kern w:val="0"/>
                      <w:sz w:val="21"/>
                      <w:szCs w:val="21"/>
                      <w:highlight w:val="none"/>
                      <w:lang w:val="en-US" w:eastAsia="zh-CN" w:bidi="ar"/>
                    </w:rPr>
                    <w:t>依托</w:t>
                  </w:r>
                </w:p>
              </w:tc>
            </w:tr>
          </w:tbl>
          <w:p w14:paraId="048AA292">
            <w:pPr>
              <w:rPr>
                <w:rFonts w:hint="default" w:ascii="Times New Roman" w:hAnsi="Times New Roman" w:cs="Times New Roman"/>
                <w:color w:val="auto"/>
                <w:kern w:val="0"/>
                <w:sz w:val="21"/>
                <w:szCs w:val="21"/>
                <w:highlight w:val="none"/>
              </w:rPr>
            </w:pPr>
            <w:r>
              <w:rPr>
                <w:rFonts w:hint="eastAsia" w:cs="Times New Roman"/>
                <w:color w:val="auto"/>
                <w:sz w:val="21"/>
                <w:szCs w:val="21"/>
                <w:highlight w:val="none"/>
                <w:lang w:val="en-US" w:eastAsia="zh-CN"/>
              </w:rPr>
              <w:t>5</w:t>
            </w:r>
            <w:r>
              <w:rPr>
                <w:rFonts w:hint="default"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rPr>
              <w:t>主要生产设施及设施参数</w:t>
            </w:r>
          </w:p>
          <w:p w14:paraId="1E7A42A0">
            <w:pPr>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rPr>
              <w:t>项目主要生产设施及设施参数见</w:t>
            </w:r>
            <w:r>
              <w:rPr>
                <w:rFonts w:hint="default" w:ascii="Times New Roman" w:hAnsi="Times New Roman" w:cs="Times New Roman"/>
                <w:color w:val="auto"/>
                <w:kern w:val="0"/>
                <w:sz w:val="21"/>
                <w:szCs w:val="21"/>
                <w:highlight w:val="none"/>
              </w:rPr>
              <w:fldChar w:fldCharType="begin"/>
            </w:r>
            <w:r>
              <w:rPr>
                <w:color w:val="auto"/>
              </w:rPr>
              <w:instrText xml:space="preserve"> REF _Ref8675 \h  \* MERGEFORMAT</w:instrText>
            </w:r>
            <w:r>
              <w:rPr>
                <w:rFonts w:hint="default" w:ascii="Times New Roman" w:hAnsi="Times New Roman" w:cs="Times New Roman"/>
                <w:color w:val="auto"/>
                <w:kern w:val="0"/>
                <w:sz w:val="21"/>
                <w:szCs w:val="21"/>
                <w:highlight w:val="none"/>
              </w:rPr>
              <w:fldChar w:fldCharType="separate"/>
            </w:r>
            <w:r>
              <w:rPr>
                <w:rFonts w:hint="default" w:ascii="Times New Roman" w:hAnsi="Times New Roman"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kern w:val="0"/>
                <w:sz w:val="21"/>
                <w:szCs w:val="21"/>
                <w:highlight w:val="none"/>
              </w:rPr>
              <w:fldChar w:fldCharType="end"/>
            </w:r>
            <w:r>
              <w:rPr>
                <w:rFonts w:hint="eastAsia" w:ascii="Times New Roman" w:hAnsi="Times New Roman" w:cs="Times New Roman"/>
                <w:color w:val="auto"/>
                <w:kern w:val="0"/>
                <w:sz w:val="21"/>
                <w:szCs w:val="21"/>
                <w:highlight w:val="none"/>
                <w:lang w:val="en-US" w:eastAsia="zh-CN"/>
              </w:rPr>
              <w:t>-</w:t>
            </w:r>
            <w:r>
              <w:rPr>
                <w:rFonts w:hint="eastAsia" w:cs="Times New Roman"/>
                <w:color w:val="auto"/>
                <w:kern w:val="0"/>
                <w:sz w:val="21"/>
                <w:szCs w:val="21"/>
                <w:highlight w:val="none"/>
                <w:lang w:val="en-US" w:eastAsia="zh-CN"/>
              </w:rPr>
              <w:t>4</w:t>
            </w:r>
            <w:r>
              <w:rPr>
                <w:rFonts w:hint="default" w:ascii="Times New Roman" w:hAnsi="Times New Roman" w:cs="Times New Roman"/>
                <w:color w:val="auto"/>
                <w:kern w:val="0"/>
                <w:sz w:val="21"/>
                <w:szCs w:val="21"/>
                <w:highlight w:val="none"/>
              </w:rPr>
              <w:t>。</w:t>
            </w:r>
          </w:p>
          <w:p w14:paraId="48C696BA">
            <w:pPr>
              <w:pStyle w:val="21"/>
              <w:rPr>
                <w:rFonts w:hint="default" w:ascii="Times New Roman" w:hAnsi="Times New Roman" w:cs="Times New Roman"/>
                <w:color w:val="auto"/>
                <w:sz w:val="21"/>
                <w:szCs w:val="21"/>
                <w:highlight w:val="none"/>
              </w:rPr>
            </w:pPr>
            <w:bookmarkStart w:id="17" w:name="_Ref8675"/>
            <w:r>
              <w:rPr>
                <w:rFonts w:hint="default" w:ascii="Times New Roman" w:hAnsi="Times New Roman" w:cs="Times New Roman"/>
                <w:color w:val="auto"/>
                <w:sz w:val="21"/>
                <w:szCs w:val="21"/>
                <w:highlight w:val="none"/>
              </w:rPr>
              <w:t>表</w:t>
            </w:r>
            <w:bookmarkEnd w:id="17"/>
            <w:r>
              <w:rPr>
                <w:rFonts w:hint="eastAsia" w:ascii="Times New Roman" w:hAnsi="Times New Roman" w:cs="Times New Roman"/>
                <w:color w:val="auto"/>
                <w:sz w:val="21"/>
                <w:szCs w:val="21"/>
                <w:highlight w:val="none"/>
                <w:lang w:val="en-US" w:eastAsia="zh-CN"/>
              </w:rPr>
              <w:t>2-</w:t>
            </w:r>
            <w:r>
              <w:rPr>
                <w:rFonts w:hint="eastAsia"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 xml:space="preserve">    主要生产设备一览表</w:t>
            </w:r>
          </w:p>
          <w:tbl>
            <w:tblPr>
              <w:tblStyle w:val="8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1297"/>
              <w:gridCol w:w="813"/>
              <w:gridCol w:w="974"/>
              <w:gridCol w:w="3271"/>
              <w:gridCol w:w="1585"/>
            </w:tblGrid>
            <w:tr w14:paraId="70A1F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vAlign w:val="center"/>
                </w:tcPr>
                <w:p w14:paraId="3F211B48">
                  <w:pPr>
                    <w:keepNext w:val="0"/>
                    <w:keepLines w:val="0"/>
                    <w:pageBreakBefore w:val="0"/>
                    <w:widowControl/>
                    <w:wordWrap/>
                    <w:overflowPunct/>
                    <w:topLinePunct w:val="0"/>
                    <w:autoSpaceDE/>
                    <w:autoSpaceDN/>
                    <w:bidi w:val="0"/>
                    <w:adjustRightInd/>
                    <w:snapToGrid/>
                    <w:spacing w:line="280" w:lineRule="exact"/>
                    <w:ind w:left="0" w:right="0"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bidi="ar"/>
                    </w:rPr>
                    <w:t>序号</w:t>
                  </w:r>
                </w:p>
              </w:tc>
              <w:tc>
                <w:tcPr>
                  <w:tcW w:w="771" w:type="pct"/>
                  <w:vAlign w:val="center"/>
                </w:tcPr>
                <w:p w14:paraId="5DB3CBBB">
                  <w:pPr>
                    <w:keepNext w:val="0"/>
                    <w:keepLines w:val="0"/>
                    <w:pageBreakBefore w:val="0"/>
                    <w:widowControl/>
                    <w:wordWrap/>
                    <w:overflowPunct/>
                    <w:topLinePunct w:val="0"/>
                    <w:autoSpaceDE/>
                    <w:autoSpaceDN/>
                    <w:bidi w:val="0"/>
                    <w:adjustRightInd/>
                    <w:snapToGrid/>
                    <w:spacing w:line="280" w:lineRule="exact"/>
                    <w:ind w:left="0" w:right="0"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bidi="ar"/>
                    </w:rPr>
                    <w:t>设备名称</w:t>
                  </w:r>
                </w:p>
              </w:tc>
              <w:tc>
                <w:tcPr>
                  <w:tcW w:w="483" w:type="pct"/>
                  <w:vAlign w:val="center"/>
                </w:tcPr>
                <w:p w14:paraId="2AAC325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数量</w:t>
                  </w:r>
                </w:p>
              </w:tc>
              <w:tc>
                <w:tcPr>
                  <w:tcW w:w="579" w:type="pct"/>
                  <w:vAlign w:val="center"/>
                </w:tcPr>
                <w:p w14:paraId="4023BDC6">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单位</w:t>
                  </w:r>
                </w:p>
              </w:tc>
              <w:tc>
                <w:tcPr>
                  <w:tcW w:w="1944" w:type="pct"/>
                  <w:vAlign w:val="center"/>
                </w:tcPr>
                <w:p w14:paraId="28E5FFB0">
                  <w:pPr>
                    <w:keepNext w:val="0"/>
                    <w:keepLines w:val="0"/>
                    <w:pageBreakBefore w:val="0"/>
                    <w:widowControl/>
                    <w:wordWrap/>
                    <w:overflowPunct/>
                    <w:topLinePunct w:val="0"/>
                    <w:autoSpaceDE/>
                    <w:autoSpaceDN/>
                    <w:bidi w:val="0"/>
                    <w:adjustRightInd/>
                    <w:snapToGrid/>
                    <w:spacing w:line="280" w:lineRule="exact"/>
                    <w:ind w:left="0" w:right="0" w:firstLine="0" w:firstLineChars="0"/>
                    <w:jc w:val="center"/>
                    <w:textAlignment w:val="center"/>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型号参数</w:t>
                  </w:r>
                </w:p>
              </w:tc>
              <w:tc>
                <w:tcPr>
                  <w:tcW w:w="942" w:type="pct"/>
                  <w:vAlign w:val="center"/>
                </w:tcPr>
                <w:p w14:paraId="1C1B3761">
                  <w:pPr>
                    <w:keepNext w:val="0"/>
                    <w:keepLines w:val="0"/>
                    <w:pageBreakBefore w:val="0"/>
                    <w:widowControl/>
                    <w:wordWrap/>
                    <w:overflowPunct/>
                    <w:topLinePunct w:val="0"/>
                    <w:autoSpaceDE/>
                    <w:autoSpaceDN/>
                    <w:bidi w:val="0"/>
                    <w:adjustRightInd/>
                    <w:snapToGrid/>
                    <w:spacing w:line="280" w:lineRule="exact"/>
                    <w:ind w:left="0" w:right="0" w:firstLine="0" w:firstLineChars="0"/>
                    <w:jc w:val="center"/>
                    <w:textAlignment w:val="center"/>
                    <w:rPr>
                      <w:rFonts w:hint="default" w:ascii="Times New Roman" w:hAnsi="Times New Roman"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备注</w:t>
                  </w:r>
                </w:p>
              </w:tc>
            </w:tr>
            <w:tr w14:paraId="7FDEA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278" w:type="pct"/>
                  <w:vAlign w:val="center"/>
                </w:tcPr>
                <w:p w14:paraId="7168BAC8">
                  <w:pPr>
                    <w:keepNext w:val="0"/>
                    <w:keepLines w:val="0"/>
                    <w:pageBreakBefore w:val="0"/>
                    <w:widowControl/>
                    <w:wordWrap/>
                    <w:overflowPunct/>
                    <w:topLinePunct w:val="0"/>
                    <w:autoSpaceDE/>
                    <w:autoSpaceDN/>
                    <w:bidi w:val="0"/>
                    <w:adjustRightInd/>
                    <w:snapToGrid/>
                    <w:spacing w:line="280" w:lineRule="exact"/>
                    <w:ind w:left="0" w:right="0" w:firstLine="0" w:firstLineChars="0"/>
                    <w:jc w:val="center"/>
                    <w:textAlignment w:val="center"/>
                    <w:rPr>
                      <w:rFonts w:hint="default" w:ascii="Times New Roman" w:hAnsi="Times New Roman" w:cs="Times New Roman"/>
                      <w:color w:val="auto"/>
                      <w:spacing w:val="6"/>
                      <w:kern w:val="0"/>
                      <w:sz w:val="21"/>
                      <w:szCs w:val="21"/>
                      <w:highlight w:val="none"/>
                      <w:lang w:bidi="ar"/>
                    </w:rPr>
                  </w:pPr>
                  <w:r>
                    <w:rPr>
                      <w:rFonts w:hint="default" w:ascii="Times New Roman" w:hAnsi="Times New Roman" w:cs="Times New Roman"/>
                      <w:color w:val="auto"/>
                      <w:spacing w:val="6"/>
                      <w:kern w:val="0"/>
                      <w:sz w:val="21"/>
                      <w:szCs w:val="21"/>
                      <w:highlight w:val="none"/>
                      <w:lang w:bidi="ar"/>
                    </w:rPr>
                    <w:t>1</w:t>
                  </w:r>
                </w:p>
              </w:tc>
              <w:tc>
                <w:tcPr>
                  <w:tcW w:w="771" w:type="pct"/>
                  <w:vAlign w:val="center"/>
                </w:tcPr>
                <w:p w14:paraId="142F7932">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原料仓</w:t>
                  </w:r>
                </w:p>
              </w:tc>
              <w:tc>
                <w:tcPr>
                  <w:tcW w:w="483" w:type="pct"/>
                  <w:vAlign w:val="center"/>
                </w:tcPr>
                <w:p w14:paraId="23421238">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2</w:t>
                  </w:r>
                </w:p>
              </w:tc>
              <w:tc>
                <w:tcPr>
                  <w:tcW w:w="579" w:type="pct"/>
                  <w:vAlign w:val="center"/>
                </w:tcPr>
                <w:p w14:paraId="24DB58D8">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个</w:t>
                  </w:r>
                </w:p>
              </w:tc>
              <w:tc>
                <w:tcPr>
                  <w:tcW w:w="1944" w:type="pct"/>
                  <w:vAlign w:val="center"/>
                </w:tcPr>
                <w:p w14:paraId="229DCBA5">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8</w:t>
                  </w:r>
                  <w:r>
                    <w:rPr>
                      <w:rFonts w:hint="default" w:ascii="Times New Roman" w:hAnsi="Times New Roman" w:eastAsia="宋体" w:cs="Times New Roman"/>
                      <w:color w:val="auto"/>
                      <w:kern w:val="0"/>
                      <w:sz w:val="21"/>
                      <w:szCs w:val="21"/>
                      <w:highlight w:val="none"/>
                      <w:lang w:val="en-US" w:eastAsia="zh-CN"/>
                    </w:rPr>
                    <w:t>m³</w:t>
                  </w:r>
                  <w:r>
                    <w:rPr>
                      <w:rFonts w:hint="default" w:ascii="Times New Roman" w:hAnsi="Times New Roman" w:cs="Times New Roman"/>
                      <w:color w:val="auto"/>
                      <w:kern w:val="0"/>
                      <w:sz w:val="21"/>
                      <w:szCs w:val="21"/>
                      <w:highlight w:val="none"/>
                      <w:lang w:val="en-US" w:eastAsia="zh-CN"/>
                    </w:rPr>
                    <w:t>，</w:t>
                  </w:r>
                  <w:r>
                    <w:rPr>
                      <w:rFonts w:hint="default" w:ascii="Times New Roman" w:hAnsi="Times New Roman" w:cs="Times New Roman"/>
                      <w:color w:val="auto"/>
                      <w:spacing w:val="6"/>
                      <w:kern w:val="0"/>
                      <w:sz w:val="21"/>
                      <w:szCs w:val="21"/>
                      <w:highlight w:val="none"/>
                      <w:lang w:val="en-US" w:eastAsia="zh-CN" w:bidi="ar"/>
                    </w:rPr>
                    <w:t>3m×2m×1.5m</w:t>
                  </w:r>
                </w:p>
              </w:tc>
              <w:tc>
                <w:tcPr>
                  <w:tcW w:w="942" w:type="pct"/>
                  <w:vAlign w:val="center"/>
                </w:tcPr>
                <w:p w14:paraId="0CFF1163">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w:t>
                  </w:r>
                </w:p>
              </w:tc>
            </w:tr>
            <w:tr w14:paraId="3DB23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vAlign w:val="center"/>
                </w:tcPr>
                <w:p w14:paraId="7BD33F03">
                  <w:pPr>
                    <w:keepNext w:val="0"/>
                    <w:keepLines w:val="0"/>
                    <w:pageBreakBefore w:val="0"/>
                    <w:widowControl/>
                    <w:wordWrap/>
                    <w:overflowPunct/>
                    <w:topLinePunct w:val="0"/>
                    <w:autoSpaceDE/>
                    <w:autoSpaceDN/>
                    <w:bidi w:val="0"/>
                    <w:adjustRightInd/>
                    <w:snapToGrid/>
                    <w:spacing w:line="280" w:lineRule="exact"/>
                    <w:ind w:left="0" w:right="0" w:firstLine="0" w:firstLineChars="0"/>
                    <w:jc w:val="center"/>
                    <w:textAlignment w:val="center"/>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2</w:t>
                  </w:r>
                </w:p>
              </w:tc>
              <w:tc>
                <w:tcPr>
                  <w:tcW w:w="771" w:type="pct"/>
                  <w:vAlign w:val="center"/>
                </w:tcPr>
                <w:p w14:paraId="120394B9">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粘合剂供料机</w:t>
                  </w:r>
                </w:p>
              </w:tc>
              <w:tc>
                <w:tcPr>
                  <w:tcW w:w="483" w:type="pct"/>
                  <w:vAlign w:val="center"/>
                </w:tcPr>
                <w:p w14:paraId="04DD92AA">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579" w:type="pct"/>
                  <w:vAlign w:val="center"/>
                </w:tcPr>
                <w:p w14:paraId="7BA7BBD9">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台</w:t>
                  </w:r>
                </w:p>
              </w:tc>
              <w:tc>
                <w:tcPr>
                  <w:tcW w:w="1944" w:type="pct"/>
                  <w:vAlign w:val="center"/>
                </w:tcPr>
                <w:p w14:paraId="190D2BF2">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sz w:val="21"/>
                      <w:szCs w:val="21"/>
                      <w:highlight w:val="red"/>
                      <w:lang w:val="en-US" w:eastAsia="zh-CN"/>
                    </w:rPr>
                  </w:pPr>
                  <w:r>
                    <w:rPr>
                      <w:rFonts w:hint="eastAsia" w:ascii="Times New Roman" w:hAnsi="Times New Roman" w:eastAsia="宋体" w:cs="Times New Roman"/>
                      <w:color w:val="auto"/>
                      <w:sz w:val="21"/>
                      <w:szCs w:val="21"/>
                      <w:highlight w:val="red"/>
                      <w:lang w:val="en-US" w:eastAsia="zh-CN"/>
                    </w:rPr>
                    <w:t>4kW</w:t>
                  </w:r>
                  <w:r>
                    <w:rPr>
                      <w:rFonts w:hint="default" w:ascii="Times New Roman" w:hAnsi="Times New Roman" w:eastAsia="宋体" w:cs="Times New Roman"/>
                      <w:color w:val="auto"/>
                      <w:sz w:val="21"/>
                      <w:szCs w:val="21"/>
                      <w:highlight w:val="red"/>
                      <w:lang w:val="en-US" w:eastAsia="zh-CN"/>
                    </w:rPr>
                    <w:commentReference w:id="6"/>
                  </w:r>
                </w:p>
              </w:tc>
              <w:tc>
                <w:tcPr>
                  <w:tcW w:w="942" w:type="pct"/>
                  <w:vAlign w:val="center"/>
                </w:tcPr>
                <w:p w14:paraId="089FB5CB">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spacing w:val="6"/>
                      <w:kern w:val="0"/>
                      <w:sz w:val="21"/>
                      <w:szCs w:val="21"/>
                      <w:highlight w:val="none"/>
                      <w:lang w:val="en-US" w:eastAsia="zh-CN" w:bidi="ar"/>
                    </w:rPr>
                    <w:t>—</w:t>
                  </w:r>
                </w:p>
              </w:tc>
            </w:tr>
            <w:tr w14:paraId="7D6D3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8" w:type="pct"/>
                  <w:vAlign w:val="center"/>
                </w:tcPr>
                <w:p w14:paraId="4158C7F7">
                  <w:pPr>
                    <w:keepNext w:val="0"/>
                    <w:keepLines w:val="0"/>
                    <w:pageBreakBefore w:val="0"/>
                    <w:widowControl/>
                    <w:wordWrap/>
                    <w:overflowPunct/>
                    <w:topLinePunct w:val="0"/>
                    <w:autoSpaceDE/>
                    <w:autoSpaceDN/>
                    <w:bidi w:val="0"/>
                    <w:adjustRightInd/>
                    <w:snapToGrid/>
                    <w:spacing w:line="280" w:lineRule="exact"/>
                    <w:ind w:left="0" w:right="0" w:firstLine="0" w:firstLineChars="0"/>
                    <w:jc w:val="center"/>
                    <w:textAlignment w:val="center"/>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3</w:t>
                  </w:r>
                </w:p>
              </w:tc>
              <w:tc>
                <w:tcPr>
                  <w:tcW w:w="771" w:type="pct"/>
                  <w:vAlign w:val="center"/>
                </w:tcPr>
                <w:p w14:paraId="435BDA33">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双轴搅拌机</w:t>
                  </w:r>
                </w:p>
              </w:tc>
              <w:tc>
                <w:tcPr>
                  <w:tcW w:w="483" w:type="pct"/>
                  <w:vAlign w:val="center"/>
                </w:tcPr>
                <w:p w14:paraId="6E7965E1">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2</w:t>
                  </w:r>
                </w:p>
              </w:tc>
              <w:tc>
                <w:tcPr>
                  <w:tcW w:w="579" w:type="pct"/>
                  <w:vAlign w:val="center"/>
                </w:tcPr>
                <w:p w14:paraId="2A579E31">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台</w:t>
                  </w:r>
                </w:p>
              </w:tc>
              <w:tc>
                <w:tcPr>
                  <w:tcW w:w="1944" w:type="pct"/>
                  <w:vAlign w:val="center"/>
                </w:tcPr>
                <w:p w14:paraId="78CD40F4">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sz w:val="21"/>
                      <w:szCs w:val="21"/>
                      <w:highlight w:val="red"/>
                      <w:lang w:val="en-US" w:eastAsia="zh-CN"/>
                    </w:rPr>
                  </w:pPr>
                  <w:r>
                    <w:rPr>
                      <w:rFonts w:hint="eastAsia" w:ascii="Times New Roman" w:hAnsi="Times New Roman" w:eastAsia="宋体" w:cs="Times New Roman"/>
                      <w:color w:val="auto"/>
                      <w:sz w:val="21"/>
                      <w:szCs w:val="21"/>
                      <w:highlight w:val="red"/>
                      <w:lang w:val="en-US" w:eastAsia="zh-CN"/>
                    </w:rPr>
                    <w:t>22kW</w:t>
                  </w:r>
                </w:p>
              </w:tc>
              <w:tc>
                <w:tcPr>
                  <w:tcW w:w="942" w:type="pct"/>
                  <w:vAlign w:val="center"/>
                </w:tcPr>
                <w:p w14:paraId="108FDF50">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spacing w:val="6"/>
                      <w:kern w:val="0"/>
                      <w:sz w:val="21"/>
                      <w:szCs w:val="21"/>
                      <w:highlight w:val="none"/>
                      <w:lang w:val="en-US" w:eastAsia="zh-CN" w:bidi="ar"/>
                    </w:rPr>
                    <w:t>—</w:t>
                  </w:r>
                </w:p>
              </w:tc>
            </w:tr>
            <w:tr w14:paraId="0C030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8" w:type="pct"/>
                  <w:shd w:val="clear" w:color="auto" w:fill="auto"/>
                  <w:vAlign w:val="center"/>
                </w:tcPr>
                <w:p w14:paraId="7885B11B">
                  <w:pPr>
                    <w:keepNext w:val="0"/>
                    <w:keepLines w:val="0"/>
                    <w:pageBreakBefore w:val="0"/>
                    <w:widowControl/>
                    <w:wordWrap/>
                    <w:overflowPunct/>
                    <w:topLinePunct w:val="0"/>
                    <w:autoSpaceDE/>
                    <w:autoSpaceDN/>
                    <w:bidi w:val="0"/>
                    <w:adjustRightInd/>
                    <w:snapToGrid/>
                    <w:spacing w:line="280" w:lineRule="exact"/>
                    <w:ind w:left="0" w:leftChars="0" w:right="0" w:rightChars="0" w:firstLine="0" w:firstLineChars="0"/>
                    <w:jc w:val="center"/>
                    <w:textAlignment w:val="center"/>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4</w:t>
                  </w:r>
                </w:p>
              </w:tc>
              <w:tc>
                <w:tcPr>
                  <w:tcW w:w="771" w:type="pct"/>
                  <w:vAlign w:val="center"/>
                </w:tcPr>
                <w:p w14:paraId="1DBA9134">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棒筛</w:t>
                  </w:r>
                </w:p>
              </w:tc>
              <w:tc>
                <w:tcPr>
                  <w:tcW w:w="483" w:type="pct"/>
                  <w:vAlign w:val="center"/>
                </w:tcPr>
                <w:p w14:paraId="3597C316">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579" w:type="pct"/>
                  <w:vAlign w:val="center"/>
                </w:tcPr>
                <w:p w14:paraId="5C3C9810">
                  <w:pPr>
                    <w:keepNext w:val="0"/>
                    <w:keepLines w:val="0"/>
                    <w:pageBreakBefore w:val="0"/>
                    <w:widowControl/>
                    <w:wordWrap/>
                    <w:overflowPunct/>
                    <w:topLinePunct w:val="0"/>
                    <w:bidi w:val="0"/>
                    <w:spacing w:line="280" w:lineRule="exact"/>
                    <w:ind w:firstLine="0" w:firstLineChars="0"/>
                    <w:jc w:val="both"/>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台</w:t>
                  </w:r>
                </w:p>
              </w:tc>
              <w:tc>
                <w:tcPr>
                  <w:tcW w:w="1944" w:type="pct"/>
                  <w:vAlign w:val="center"/>
                </w:tcPr>
                <w:p w14:paraId="5E19A391">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1.5m×0.7m，2cm间距</w:t>
                  </w:r>
                </w:p>
              </w:tc>
              <w:tc>
                <w:tcPr>
                  <w:tcW w:w="942" w:type="pct"/>
                  <w:vAlign w:val="center"/>
                </w:tcPr>
                <w:p w14:paraId="3EFAF7B9">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w:t>
                  </w:r>
                </w:p>
              </w:tc>
            </w:tr>
            <w:tr w14:paraId="62810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66221282">
                  <w:pPr>
                    <w:keepNext w:val="0"/>
                    <w:keepLines w:val="0"/>
                    <w:pageBreakBefore w:val="0"/>
                    <w:widowControl/>
                    <w:wordWrap/>
                    <w:overflowPunct/>
                    <w:topLinePunct w:val="0"/>
                    <w:autoSpaceDE/>
                    <w:autoSpaceDN/>
                    <w:bidi w:val="0"/>
                    <w:adjustRightInd/>
                    <w:snapToGrid/>
                    <w:spacing w:line="280" w:lineRule="exact"/>
                    <w:ind w:left="0" w:leftChars="0" w:right="0" w:rightChars="0" w:firstLine="0" w:firstLineChars="0"/>
                    <w:jc w:val="center"/>
                    <w:textAlignment w:val="center"/>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5</w:t>
                  </w:r>
                </w:p>
              </w:tc>
              <w:tc>
                <w:tcPr>
                  <w:tcW w:w="771" w:type="pct"/>
                  <w:vAlign w:val="center"/>
                </w:tcPr>
                <w:p w14:paraId="7DDD7DC5">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中转</w:t>
                  </w:r>
                  <w:r>
                    <w:rPr>
                      <w:rFonts w:hint="default" w:ascii="Times New Roman" w:hAnsi="Times New Roman" w:eastAsia="宋体" w:cs="Times New Roman"/>
                      <w:color w:val="auto"/>
                      <w:kern w:val="0"/>
                      <w:sz w:val="21"/>
                      <w:szCs w:val="21"/>
                      <w:highlight w:val="none"/>
                      <w:lang w:val="en-US" w:eastAsia="zh-CN"/>
                    </w:rPr>
                    <w:t>仓</w:t>
                  </w:r>
                </w:p>
              </w:tc>
              <w:tc>
                <w:tcPr>
                  <w:tcW w:w="483" w:type="pct"/>
                  <w:vAlign w:val="center"/>
                </w:tcPr>
                <w:p w14:paraId="33753BE6">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579" w:type="pct"/>
                  <w:vAlign w:val="center"/>
                </w:tcPr>
                <w:p w14:paraId="7E4A0516">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个</w:t>
                  </w:r>
                </w:p>
              </w:tc>
              <w:tc>
                <w:tcPr>
                  <w:tcW w:w="1944" w:type="pct"/>
                  <w:vAlign w:val="center"/>
                </w:tcPr>
                <w:p w14:paraId="3395242C">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5m³</w:t>
                  </w:r>
                </w:p>
              </w:tc>
              <w:tc>
                <w:tcPr>
                  <w:tcW w:w="942" w:type="pct"/>
                  <w:vAlign w:val="center"/>
                </w:tcPr>
                <w:p w14:paraId="175E3E38">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spacing w:val="6"/>
                      <w:kern w:val="0"/>
                      <w:sz w:val="21"/>
                      <w:szCs w:val="21"/>
                      <w:highlight w:val="none"/>
                      <w:lang w:val="en-US" w:eastAsia="zh-CN" w:bidi="ar"/>
                    </w:rPr>
                    <w:t>—</w:t>
                  </w:r>
                </w:p>
              </w:tc>
            </w:tr>
            <w:tr w14:paraId="3F06F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416C8B02">
                  <w:pPr>
                    <w:keepNext w:val="0"/>
                    <w:keepLines w:val="0"/>
                    <w:pageBreakBefore w:val="0"/>
                    <w:widowControl/>
                    <w:wordWrap/>
                    <w:overflowPunct/>
                    <w:topLinePunct w:val="0"/>
                    <w:autoSpaceDE/>
                    <w:autoSpaceDN/>
                    <w:bidi w:val="0"/>
                    <w:adjustRightInd/>
                    <w:snapToGrid/>
                    <w:spacing w:line="280" w:lineRule="exact"/>
                    <w:ind w:left="0" w:leftChars="0" w:right="0" w:rightChars="0" w:firstLine="0" w:firstLineChars="0"/>
                    <w:jc w:val="center"/>
                    <w:textAlignment w:val="center"/>
                    <w:rPr>
                      <w:rFonts w:hint="default" w:ascii="Times New Roman" w:hAnsi="Times New Roman" w:eastAsia="宋体"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6</w:t>
                  </w:r>
                </w:p>
              </w:tc>
              <w:tc>
                <w:tcPr>
                  <w:tcW w:w="771" w:type="pct"/>
                  <w:vAlign w:val="center"/>
                </w:tcPr>
                <w:p w14:paraId="60FC7068">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液压压球机</w:t>
                  </w:r>
                </w:p>
              </w:tc>
              <w:tc>
                <w:tcPr>
                  <w:tcW w:w="483" w:type="pct"/>
                  <w:vAlign w:val="center"/>
                </w:tcPr>
                <w:p w14:paraId="7A43F79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579" w:type="pct"/>
                  <w:vAlign w:val="center"/>
                </w:tcPr>
                <w:p w14:paraId="3F78BF25">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台</w:t>
                  </w:r>
                </w:p>
              </w:tc>
              <w:tc>
                <w:tcPr>
                  <w:tcW w:w="1944" w:type="pct"/>
                  <w:vAlign w:val="center"/>
                </w:tcPr>
                <w:p w14:paraId="3E7AE209">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BM1000-Ⅱ型</w:t>
                  </w:r>
                </w:p>
              </w:tc>
              <w:tc>
                <w:tcPr>
                  <w:tcW w:w="942" w:type="pct"/>
                  <w:vAlign w:val="center"/>
                </w:tcPr>
                <w:p w14:paraId="1E0E9359">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spacing w:val="6"/>
                      <w:kern w:val="0"/>
                      <w:sz w:val="21"/>
                      <w:szCs w:val="21"/>
                      <w:highlight w:val="none"/>
                      <w:lang w:val="en-US" w:eastAsia="zh-CN" w:bidi="ar"/>
                    </w:rPr>
                    <w:t>—</w:t>
                  </w:r>
                </w:p>
              </w:tc>
            </w:tr>
            <w:tr w14:paraId="5476D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551DD5B8">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7</w:t>
                  </w:r>
                </w:p>
              </w:tc>
              <w:tc>
                <w:tcPr>
                  <w:tcW w:w="771" w:type="pct"/>
                  <w:shd w:val="clear" w:color="auto" w:fill="auto"/>
                  <w:vAlign w:val="center"/>
                </w:tcPr>
                <w:p w14:paraId="5B51886E">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输送机</w:t>
                  </w:r>
                </w:p>
              </w:tc>
              <w:tc>
                <w:tcPr>
                  <w:tcW w:w="483" w:type="pct"/>
                  <w:shd w:val="clear" w:color="auto" w:fill="auto"/>
                  <w:vAlign w:val="center"/>
                </w:tcPr>
                <w:p w14:paraId="13DE2D3E">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w:t>
                  </w:r>
                </w:p>
              </w:tc>
              <w:tc>
                <w:tcPr>
                  <w:tcW w:w="579" w:type="pct"/>
                  <w:shd w:val="clear" w:color="auto" w:fill="auto"/>
                  <w:vAlign w:val="center"/>
                </w:tcPr>
                <w:p w14:paraId="5AD60C1A">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条</w:t>
                  </w:r>
                </w:p>
              </w:tc>
              <w:tc>
                <w:tcPr>
                  <w:tcW w:w="1944" w:type="pct"/>
                  <w:shd w:val="clear" w:color="auto" w:fill="auto"/>
                  <w:vAlign w:val="center"/>
                </w:tcPr>
                <w:p w14:paraId="48F92BFE">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650型30米，功率5.5kW</w:t>
                  </w:r>
                </w:p>
              </w:tc>
              <w:tc>
                <w:tcPr>
                  <w:tcW w:w="942" w:type="pct"/>
                  <w:shd w:val="clear" w:color="auto" w:fill="auto"/>
                  <w:vAlign w:val="center"/>
                </w:tcPr>
                <w:p w14:paraId="73B922FE">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eastAsia="zh-CN"/>
                    </w:rPr>
                    <w:t>带速</w:t>
                  </w:r>
                  <w:r>
                    <w:rPr>
                      <w:rFonts w:hint="default" w:ascii="Times New Roman" w:hAnsi="Times New Roman" w:eastAsia="宋体" w:cs="Times New Roman"/>
                      <w:color w:val="auto"/>
                      <w:kern w:val="0"/>
                      <w:sz w:val="21"/>
                      <w:szCs w:val="21"/>
                      <w:highlight w:val="none"/>
                      <w:lang w:val="en-US" w:eastAsia="zh-CN"/>
                    </w:rPr>
                    <w:t>1.25m/s</w:t>
                  </w:r>
                </w:p>
              </w:tc>
            </w:tr>
            <w:tr w14:paraId="6F2BB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6DDF5FAC">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8</w:t>
                  </w:r>
                </w:p>
              </w:tc>
              <w:tc>
                <w:tcPr>
                  <w:tcW w:w="771" w:type="pct"/>
                  <w:shd w:val="clear" w:color="auto" w:fill="auto"/>
                  <w:vAlign w:val="center"/>
                </w:tcPr>
                <w:p w14:paraId="1A747B36">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输送机</w:t>
                  </w:r>
                </w:p>
              </w:tc>
              <w:tc>
                <w:tcPr>
                  <w:tcW w:w="483" w:type="pct"/>
                  <w:shd w:val="clear" w:color="auto" w:fill="auto"/>
                  <w:vAlign w:val="center"/>
                </w:tcPr>
                <w:p w14:paraId="578778E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1</w:t>
                  </w:r>
                </w:p>
              </w:tc>
              <w:tc>
                <w:tcPr>
                  <w:tcW w:w="579" w:type="pct"/>
                  <w:shd w:val="clear" w:color="auto" w:fill="auto"/>
                  <w:vAlign w:val="center"/>
                </w:tcPr>
                <w:p w14:paraId="3AC83F28">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条</w:t>
                  </w:r>
                </w:p>
              </w:tc>
              <w:tc>
                <w:tcPr>
                  <w:tcW w:w="1944" w:type="pct"/>
                  <w:shd w:val="clear" w:color="auto" w:fill="auto"/>
                  <w:vAlign w:val="center"/>
                </w:tcPr>
                <w:p w14:paraId="46E0C8FB">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650型9米，功率4kW</w:t>
                  </w:r>
                </w:p>
              </w:tc>
              <w:tc>
                <w:tcPr>
                  <w:tcW w:w="942" w:type="pct"/>
                  <w:shd w:val="clear" w:color="auto" w:fill="auto"/>
                  <w:vAlign w:val="center"/>
                </w:tcPr>
                <w:p w14:paraId="1E1333EC">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eastAsia="zh-CN"/>
                    </w:rPr>
                    <w:t>带速</w:t>
                  </w:r>
                  <w:r>
                    <w:rPr>
                      <w:rFonts w:hint="default" w:ascii="Times New Roman" w:hAnsi="Times New Roman" w:eastAsia="宋体" w:cs="Times New Roman"/>
                      <w:color w:val="auto"/>
                      <w:kern w:val="0"/>
                      <w:sz w:val="21"/>
                      <w:szCs w:val="21"/>
                      <w:highlight w:val="none"/>
                      <w:lang w:val="en-US" w:eastAsia="zh-CN"/>
                    </w:rPr>
                    <w:t>1.25m/s</w:t>
                  </w:r>
                </w:p>
              </w:tc>
            </w:tr>
            <w:tr w14:paraId="00A6F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7610F598">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9</w:t>
                  </w:r>
                </w:p>
              </w:tc>
              <w:tc>
                <w:tcPr>
                  <w:tcW w:w="771" w:type="pct"/>
                  <w:shd w:val="clear" w:color="auto" w:fill="auto"/>
                  <w:vAlign w:val="center"/>
                </w:tcPr>
                <w:p w14:paraId="78560E8E">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输送机</w:t>
                  </w:r>
                </w:p>
              </w:tc>
              <w:tc>
                <w:tcPr>
                  <w:tcW w:w="483" w:type="pct"/>
                  <w:shd w:val="clear" w:color="auto" w:fill="auto"/>
                  <w:vAlign w:val="center"/>
                </w:tcPr>
                <w:p w14:paraId="33A16BF8">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w:t>
                  </w:r>
                </w:p>
              </w:tc>
              <w:tc>
                <w:tcPr>
                  <w:tcW w:w="579" w:type="pct"/>
                  <w:shd w:val="clear" w:color="auto" w:fill="auto"/>
                  <w:vAlign w:val="center"/>
                </w:tcPr>
                <w:p w14:paraId="5FE1463B">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条</w:t>
                  </w:r>
                </w:p>
              </w:tc>
              <w:tc>
                <w:tcPr>
                  <w:tcW w:w="1944" w:type="pct"/>
                  <w:shd w:val="clear" w:color="auto" w:fill="auto"/>
                  <w:vAlign w:val="center"/>
                </w:tcPr>
                <w:p w14:paraId="048A0637">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650型10米，功率4kW</w:t>
                  </w:r>
                </w:p>
              </w:tc>
              <w:tc>
                <w:tcPr>
                  <w:tcW w:w="942" w:type="pct"/>
                  <w:shd w:val="clear" w:color="auto" w:fill="auto"/>
                  <w:vAlign w:val="center"/>
                </w:tcPr>
                <w:p w14:paraId="09BF061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snapToGrid w:val="0"/>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eastAsia="zh-CN"/>
                    </w:rPr>
                    <w:t>带速</w:t>
                  </w:r>
                  <w:r>
                    <w:rPr>
                      <w:rFonts w:hint="default" w:ascii="Times New Roman" w:hAnsi="Times New Roman" w:eastAsia="宋体" w:cs="Times New Roman"/>
                      <w:color w:val="auto"/>
                      <w:kern w:val="0"/>
                      <w:sz w:val="21"/>
                      <w:szCs w:val="21"/>
                      <w:highlight w:val="none"/>
                      <w:lang w:val="en-US" w:eastAsia="zh-CN"/>
                    </w:rPr>
                    <w:t>1.25m/s</w:t>
                  </w:r>
                </w:p>
              </w:tc>
            </w:tr>
            <w:tr w14:paraId="53DFC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643F75ED">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10</w:t>
                  </w:r>
                </w:p>
              </w:tc>
              <w:tc>
                <w:tcPr>
                  <w:tcW w:w="771" w:type="pct"/>
                  <w:shd w:val="clear" w:color="auto" w:fill="auto"/>
                  <w:vAlign w:val="center"/>
                </w:tcPr>
                <w:p w14:paraId="1E0F34A7">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输送机</w:t>
                  </w:r>
                </w:p>
              </w:tc>
              <w:tc>
                <w:tcPr>
                  <w:tcW w:w="483" w:type="pct"/>
                  <w:shd w:val="clear" w:color="auto" w:fill="auto"/>
                  <w:vAlign w:val="center"/>
                </w:tcPr>
                <w:p w14:paraId="7CE1AF59">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w:t>
                  </w:r>
                </w:p>
              </w:tc>
              <w:tc>
                <w:tcPr>
                  <w:tcW w:w="579" w:type="pct"/>
                  <w:shd w:val="clear" w:color="auto" w:fill="auto"/>
                  <w:vAlign w:val="center"/>
                </w:tcPr>
                <w:p w14:paraId="7C836567">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条</w:t>
                  </w:r>
                </w:p>
              </w:tc>
              <w:tc>
                <w:tcPr>
                  <w:tcW w:w="1944" w:type="pct"/>
                  <w:shd w:val="clear" w:color="auto" w:fill="auto"/>
                  <w:vAlign w:val="center"/>
                </w:tcPr>
                <w:p w14:paraId="138F9D6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650型8米，功率4kW</w:t>
                  </w:r>
                </w:p>
              </w:tc>
              <w:tc>
                <w:tcPr>
                  <w:tcW w:w="942" w:type="pct"/>
                  <w:shd w:val="clear" w:color="auto" w:fill="auto"/>
                  <w:vAlign w:val="center"/>
                </w:tcPr>
                <w:p w14:paraId="0B41B41E">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Times New Roman" w:cs="Times New Roman"/>
                      <w:color w:val="auto"/>
                      <w:spacing w:val="10"/>
                      <w:sz w:val="21"/>
                      <w:szCs w:val="21"/>
                      <w:highlight w:val="none"/>
                    </w:rPr>
                  </w:pPr>
                  <w:r>
                    <w:rPr>
                      <w:rFonts w:hint="default" w:ascii="Times New Roman" w:hAnsi="Times New Roman" w:eastAsia="宋体" w:cs="Times New Roman"/>
                      <w:color w:val="auto"/>
                      <w:kern w:val="0"/>
                      <w:sz w:val="21"/>
                      <w:szCs w:val="21"/>
                      <w:highlight w:val="none"/>
                      <w:lang w:eastAsia="zh-CN"/>
                    </w:rPr>
                    <w:t>带速</w:t>
                  </w:r>
                  <w:r>
                    <w:rPr>
                      <w:rFonts w:hint="default" w:ascii="Times New Roman" w:hAnsi="Times New Roman" w:eastAsia="宋体" w:cs="Times New Roman"/>
                      <w:color w:val="auto"/>
                      <w:kern w:val="0"/>
                      <w:sz w:val="21"/>
                      <w:szCs w:val="21"/>
                      <w:highlight w:val="none"/>
                      <w:lang w:val="en-US" w:eastAsia="zh-CN"/>
                    </w:rPr>
                    <w:t>1.25m/s</w:t>
                  </w:r>
                </w:p>
              </w:tc>
            </w:tr>
            <w:tr w14:paraId="51310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28B9CDB7">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11</w:t>
                  </w:r>
                </w:p>
              </w:tc>
              <w:tc>
                <w:tcPr>
                  <w:tcW w:w="771" w:type="pct"/>
                  <w:shd w:val="clear" w:color="auto" w:fill="auto"/>
                  <w:vAlign w:val="center"/>
                </w:tcPr>
                <w:p w14:paraId="7DFECC0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输送机</w:t>
                  </w:r>
                </w:p>
              </w:tc>
              <w:tc>
                <w:tcPr>
                  <w:tcW w:w="483" w:type="pct"/>
                  <w:shd w:val="clear" w:color="auto" w:fill="auto"/>
                  <w:vAlign w:val="center"/>
                </w:tcPr>
                <w:p w14:paraId="191CA9FD">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w:t>
                  </w:r>
                </w:p>
              </w:tc>
              <w:tc>
                <w:tcPr>
                  <w:tcW w:w="579" w:type="pct"/>
                  <w:shd w:val="clear" w:color="auto" w:fill="auto"/>
                  <w:vAlign w:val="center"/>
                </w:tcPr>
                <w:p w14:paraId="23BDB2B2">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条</w:t>
                  </w:r>
                </w:p>
              </w:tc>
              <w:tc>
                <w:tcPr>
                  <w:tcW w:w="1944" w:type="pct"/>
                  <w:shd w:val="clear" w:color="auto" w:fill="auto"/>
                  <w:vAlign w:val="center"/>
                </w:tcPr>
                <w:p w14:paraId="1D53B79E">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650型20米，功率4kW</w:t>
                  </w:r>
                </w:p>
              </w:tc>
              <w:tc>
                <w:tcPr>
                  <w:tcW w:w="942" w:type="pct"/>
                  <w:shd w:val="clear" w:color="auto" w:fill="auto"/>
                  <w:vAlign w:val="center"/>
                </w:tcPr>
                <w:p w14:paraId="09AEF7D5">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Times New Roman" w:cs="Times New Roman"/>
                      <w:color w:val="auto"/>
                      <w:spacing w:val="10"/>
                      <w:sz w:val="21"/>
                      <w:szCs w:val="21"/>
                      <w:highlight w:val="none"/>
                    </w:rPr>
                  </w:pPr>
                  <w:r>
                    <w:rPr>
                      <w:rFonts w:hint="default" w:ascii="Times New Roman" w:hAnsi="Times New Roman" w:eastAsia="宋体" w:cs="Times New Roman"/>
                      <w:color w:val="auto"/>
                      <w:kern w:val="0"/>
                      <w:sz w:val="21"/>
                      <w:szCs w:val="21"/>
                      <w:highlight w:val="none"/>
                      <w:lang w:eastAsia="zh-CN"/>
                    </w:rPr>
                    <w:t>带速</w:t>
                  </w:r>
                  <w:r>
                    <w:rPr>
                      <w:rFonts w:hint="default" w:ascii="Times New Roman" w:hAnsi="Times New Roman" w:eastAsia="宋体" w:cs="Times New Roman"/>
                      <w:color w:val="auto"/>
                      <w:kern w:val="0"/>
                      <w:sz w:val="21"/>
                      <w:szCs w:val="21"/>
                      <w:highlight w:val="none"/>
                      <w:lang w:val="en-US" w:eastAsia="zh-CN"/>
                    </w:rPr>
                    <w:t>1.25m/s</w:t>
                  </w:r>
                </w:p>
              </w:tc>
            </w:tr>
            <w:tr w14:paraId="34AC2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0496954F">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c>
                <w:tcPr>
                  <w:tcW w:w="771" w:type="pct"/>
                  <w:shd w:val="clear" w:color="auto" w:fill="auto"/>
                  <w:vAlign w:val="center"/>
                </w:tcPr>
                <w:p w14:paraId="1FCF896F">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输送机</w:t>
                  </w:r>
                </w:p>
              </w:tc>
              <w:tc>
                <w:tcPr>
                  <w:tcW w:w="483" w:type="pct"/>
                  <w:shd w:val="clear" w:color="auto" w:fill="auto"/>
                  <w:vAlign w:val="center"/>
                </w:tcPr>
                <w:p w14:paraId="7EBC2C1E">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w:t>
                  </w:r>
                </w:p>
              </w:tc>
              <w:tc>
                <w:tcPr>
                  <w:tcW w:w="579" w:type="pct"/>
                  <w:shd w:val="clear" w:color="auto" w:fill="auto"/>
                  <w:vAlign w:val="center"/>
                </w:tcPr>
                <w:p w14:paraId="4935196A">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条</w:t>
                  </w:r>
                </w:p>
              </w:tc>
              <w:tc>
                <w:tcPr>
                  <w:tcW w:w="1944" w:type="pct"/>
                  <w:shd w:val="clear" w:color="auto" w:fill="auto"/>
                  <w:vAlign w:val="center"/>
                </w:tcPr>
                <w:p w14:paraId="35FD8BC2">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650</w:t>
                  </w:r>
                  <w:r>
                    <w:rPr>
                      <w:rFonts w:hint="default" w:ascii="Times New Roman" w:hAnsi="Times New Roman" w:cs="Times New Roman"/>
                      <w:color w:val="auto"/>
                      <w:kern w:val="0"/>
                      <w:sz w:val="21"/>
                      <w:szCs w:val="21"/>
                      <w:highlight w:val="none"/>
                      <w:lang w:val="en-US" w:eastAsia="zh-CN"/>
                    </w:rPr>
                    <w:t>型12</w:t>
                  </w:r>
                  <w:r>
                    <w:rPr>
                      <w:rFonts w:hint="default" w:ascii="Times New Roman" w:hAnsi="Times New Roman" w:eastAsia="宋体" w:cs="Times New Roman"/>
                      <w:color w:val="auto"/>
                      <w:kern w:val="0"/>
                      <w:sz w:val="21"/>
                      <w:szCs w:val="21"/>
                      <w:highlight w:val="none"/>
                      <w:lang w:val="en-US" w:eastAsia="zh-CN"/>
                    </w:rPr>
                    <w:t>米，功率4kW</w:t>
                  </w:r>
                </w:p>
              </w:tc>
              <w:tc>
                <w:tcPr>
                  <w:tcW w:w="942" w:type="pct"/>
                  <w:shd w:val="clear" w:color="auto" w:fill="auto"/>
                  <w:vAlign w:val="center"/>
                </w:tcPr>
                <w:p w14:paraId="27FB3524">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t>带速</w:t>
                  </w:r>
                  <w:r>
                    <w:rPr>
                      <w:rFonts w:hint="default" w:ascii="Times New Roman" w:hAnsi="Times New Roman" w:eastAsia="宋体" w:cs="Times New Roman"/>
                      <w:color w:val="auto"/>
                      <w:kern w:val="0"/>
                      <w:sz w:val="21"/>
                      <w:szCs w:val="21"/>
                      <w:highlight w:val="none"/>
                      <w:lang w:val="en-US" w:eastAsia="zh-CN"/>
                    </w:rPr>
                    <w:t>1.25m/s</w:t>
                  </w:r>
                </w:p>
              </w:tc>
            </w:tr>
            <w:tr w14:paraId="6CEE4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0697F1EF">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13</w:t>
                  </w:r>
                </w:p>
              </w:tc>
              <w:tc>
                <w:tcPr>
                  <w:tcW w:w="771" w:type="pct"/>
                  <w:shd w:val="clear" w:color="auto" w:fill="auto"/>
                  <w:vAlign w:val="center"/>
                </w:tcPr>
                <w:p w14:paraId="101F29BB">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成品球料棒条卸料筛</w:t>
                  </w:r>
                </w:p>
              </w:tc>
              <w:tc>
                <w:tcPr>
                  <w:tcW w:w="483" w:type="pct"/>
                  <w:shd w:val="clear" w:color="auto" w:fill="auto"/>
                  <w:vAlign w:val="center"/>
                </w:tcPr>
                <w:p w14:paraId="247EBB7A">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w:t>
                  </w:r>
                </w:p>
              </w:tc>
              <w:tc>
                <w:tcPr>
                  <w:tcW w:w="579" w:type="pct"/>
                  <w:shd w:val="clear" w:color="auto" w:fill="auto"/>
                  <w:vAlign w:val="center"/>
                </w:tcPr>
                <w:p w14:paraId="797FD83D">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台</w:t>
                  </w:r>
                </w:p>
              </w:tc>
              <w:tc>
                <w:tcPr>
                  <w:tcW w:w="1944" w:type="pct"/>
                  <w:shd w:val="clear" w:color="auto" w:fill="auto"/>
                  <w:vAlign w:val="center"/>
                </w:tcPr>
                <w:p w14:paraId="6A5E05D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1000</w:t>
                  </w:r>
                  <w:r>
                    <w:rPr>
                      <w:rFonts w:hint="eastAsia" w:cs="Times New Roman"/>
                      <w:color w:val="auto"/>
                      <w:kern w:val="0"/>
                      <w:sz w:val="21"/>
                      <w:szCs w:val="21"/>
                      <w:highlight w:val="none"/>
                      <w:lang w:val="en-US" w:eastAsia="zh-CN"/>
                    </w:rPr>
                    <w:t>mm×</w:t>
                  </w:r>
                  <w:r>
                    <w:rPr>
                      <w:rFonts w:hint="default" w:ascii="Times New Roman" w:hAnsi="Times New Roman" w:eastAsia="宋体" w:cs="Times New Roman"/>
                      <w:color w:val="auto"/>
                      <w:kern w:val="0"/>
                      <w:sz w:val="21"/>
                      <w:szCs w:val="21"/>
                      <w:highlight w:val="none"/>
                      <w:lang w:val="en-US" w:eastAsia="zh-CN"/>
                    </w:rPr>
                    <w:t>2200</w:t>
                  </w:r>
                  <w:r>
                    <w:rPr>
                      <w:rFonts w:hint="eastAsia" w:cs="Times New Roman"/>
                      <w:color w:val="auto"/>
                      <w:kern w:val="0"/>
                      <w:sz w:val="21"/>
                      <w:szCs w:val="21"/>
                      <w:highlight w:val="none"/>
                      <w:lang w:val="en-US" w:eastAsia="zh-CN"/>
                    </w:rPr>
                    <w:t>mm，</w:t>
                  </w:r>
                  <w:r>
                    <w:rPr>
                      <w:rFonts w:hint="default" w:ascii="Times New Roman" w:hAnsi="Times New Roman" w:eastAsia="宋体" w:cs="Times New Roman"/>
                      <w:color w:val="auto"/>
                      <w:spacing w:val="10"/>
                      <w:sz w:val="21"/>
                      <w:szCs w:val="21"/>
                      <w:highlight w:val="none"/>
                      <w:lang w:val="en-US" w:eastAsia="zh-CN"/>
                    </w:rPr>
                    <w:t>间距为2cm</w:t>
                  </w:r>
                </w:p>
              </w:tc>
              <w:tc>
                <w:tcPr>
                  <w:tcW w:w="942" w:type="pct"/>
                  <w:shd w:val="clear" w:color="auto" w:fill="auto"/>
                  <w:vAlign w:val="center"/>
                </w:tcPr>
                <w:p w14:paraId="79AE3B78">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晾晒前筛分</w:t>
                  </w:r>
                </w:p>
              </w:tc>
            </w:tr>
            <w:tr w14:paraId="007FB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6B208BC6">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14</w:t>
                  </w:r>
                </w:p>
              </w:tc>
              <w:tc>
                <w:tcPr>
                  <w:tcW w:w="771" w:type="pct"/>
                  <w:shd w:val="clear" w:color="auto" w:fill="auto"/>
                  <w:vAlign w:val="center"/>
                </w:tcPr>
                <w:p w14:paraId="229E5213">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装载机</w:t>
                  </w:r>
                </w:p>
              </w:tc>
              <w:tc>
                <w:tcPr>
                  <w:tcW w:w="483" w:type="pct"/>
                  <w:shd w:val="clear" w:color="auto" w:fill="auto"/>
                  <w:vAlign w:val="center"/>
                </w:tcPr>
                <w:p w14:paraId="640F0154">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2</w:t>
                  </w:r>
                </w:p>
              </w:tc>
              <w:tc>
                <w:tcPr>
                  <w:tcW w:w="579" w:type="pct"/>
                  <w:shd w:val="clear" w:color="auto" w:fill="auto"/>
                  <w:vAlign w:val="center"/>
                </w:tcPr>
                <w:p w14:paraId="43308978">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台</w:t>
                  </w:r>
                </w:p>
              </w:tc>
              <w:tc>
                <w:tcPr>
                  <w:tcW w:w="1944" w:type="pct"/>
                  <w:shd w:val="clear" w:color="auto" w:fill="auto"/>
                  <w:vAlign w:val="center"/>
                </w:tcPr>
                <w:p w14:paraId="031EB4C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国</w:t>
                  </w:r>
                  <w:r>
                    <w:rPr>
                      <w:rFonts w:hint="default" w:ascii="Times New Roman" w:hAnsi="Times New Roman" w:cs="Times New Roman"/>
                      <w:color w:val="auto"/>
                      <w:spacing w:val="10"/>
                      <w:sz w:val="21"/>
                      <w:szCs w:val="21"/>
                      <w:highlight w:val="none"/>
                      <w:lang w:val="en-US" w:eastAsia="zh-CN"/>
                    </w:rPr>
                    <w:t>四</w:t>
                  </w:r>
                </w:p>
              </w:tc>
              <w:tc>
                <w:tcPr>
                  <w:tcW w:w="942" w:type="pct"/>
                  <w:shd w:val="clear" w:color="auto" w:fill="auto"/>
                  <w:vAlign w:val="center"/>
                </w:tcPr>
                <w:p w14:paraId="2983AA59">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w:t>
                  </w:r>
                </w:p>
              </w:tc>
            </w:tr>
            <w:tr w14:paraId="5F683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36584BD7">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1</w:t>
                  </w:r>
                  <w:r>
                    <w:rPr>
                      <w:rFonts w:hint="eastAsia" w:cs="Times New Roman"/>
                      <w:color w:val="auto"/>
                      <w:kern w:val="2"/>
                      <w:sz w:val="21"/>
                      <w:szCs w:val="21"/>
                      <w:highlight w:val="none"/>
                      <w:lang w:val="en-US" w:eastAsia="zh-CN" w:bidi="ar-SA"/>
                    </w:rPr>
                    <w:t>5</w:t>
                  </w:r>
                </w:p>
              </w:tc>
              <w:tc>
                <w:tcPr>
                  <w:tcW w:w="771" w:type="pct"/>
                  <w:shd w:val="clear" w:color="auto" w:fill="auto"/>
                  <w:vAlign w:val="center"/>
                </w:tcPr>
                <w:p w14:paraId="4F9F310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料仓</w:t>
                  </w:r>
                </w:p>
              </w:tc>
              <w:tc>
                <w:tcPr>
                  <w:tcW w:w="483" w:type="pct"/>
                  <w:shd w:val="clear" w:color="auto" w:fill="auto"/>
                  <w:vAlign w:val="center"/>
                </w:tcPr>
                <w:p w14:paraId="5CA1F9BF">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579" w:type="pct"/>
                  <w:shd w:val="clear" w:color="auto" w:fill="auto"/>
                  <w:vAlign w:val="center"/>
                </w:tcPr>
                <w:p w14:paraId="68638CED">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台</w:t>
                  </w:r>
                </w:p>
              </w:tc>
              <w:tc>
                <w:tcPr>
                  <w:tcW w:w="1944" w:type="pct"/>
                  <w:shd w:val="clear" w:color="auto" w:fill="auto"/>
                  <w:vAlign w:val="center"/>
                </w:tcPr>
                <w:p w14:paraId="208DCEDB">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长3m</w:t>
                  </w:r>
                  <w:r>
                    <w:rPr>
                      <w:rFonts w:hint="eastAsia" w:cs="Times New Roman"/>
                      <w:color w:val="auto"/>
                      <w:kern w:val="0"/>
                      <w:sz w:val="21"/>
                      <w:szCs w:val="21"/>
                      <w:highlight w:val="none"/>
                      <w:lang w:val="en-US" w:eastAsia="zh-CN"/>
                    </w:rPr>
                    <w:t>×</w:t>
                  </w:r>
                  <w:r>
                    <w:rPr>
                      <w:rFonts w:hint="default" w:ascii="Times New Roman" w:hAnsi="Times New Roman" w:cs="Times New Roman"/>
                      <w:color w:val="auto"/>
                      <w:kern w:val="0"/>
                      <w:sz w:val="21"/>
                      <w:szCs w:val="21"/>
                      <w:highlight w:val="none"/>
                      <w:lang w:val="en-US" w:eastAsia="zh-CN"/>
                    </w:rPr>
                    <w:t>宽2m</w:t>
                  </w:r>
                  <w:r>
                    <w:rPr>
                      <w:rFonts w:hint="eastAsia" w:cs="Times New Roman"/>
                      <w:color w:val="auto"/>
                      <w:kern w:val="0"/>
                      <w:sz w:val="21"/>
                      <w:szCs w:val="21"/>
                      <w:highlight w:val="none"/>
                      <w:lang w:val="en-US" w:eastAsia="zh-CN"/>
                    </w:rPr>
                    <w:t>×</w:t>
                  </w:r>
                  <w:r>
                    <w:rPr>
                      <w:rFonts w:hint="default" w:ascii="Times New Roman" w:hAnsi="Times New Roman" w:cs="Times New Roman"/>
                      <w:color w:val="auto"/>
                      <w:kern w:val="0"/>
                      <w:sz w:val="21"/>
                      <w:szCs w:val="21"/>
                      <w:highlight w:val="none"/>
                      <w:lang w:val="en-US" w:eastAsia="zh-CN"/>
                    </w:rPr>
                    <w:t>高2m</w:t>
                  </w:r>
                </w:p>
              </w:tc>
              <w:tc>
                <w:tcPr>
                  <w:tcW w:w="942" w:type="pct"/>
                  <w:shd w:val="clear" w:color="auto" w:fill="auto"/>
                  <w:vAlign w:val="center"/>
                </w:tcPr>
                <w:p w14:paraId="5070843F">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晾晒后入料</w:t>
                  </w:r>
                </w:p>
              </w:tc>
            </w:tr>
            <w:tr w14:paraId="77AF7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1AD22C65">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1</w:t>
                  </w:r>
                  <w:r>
                    <w:rPr>
                      <w:rFonts w:hint="eastAsia" w:cs="Times New Roman"/>
                      <w:color w:val="auto"/>
                      <w:kern w:val="2"/>
                      <w:sz w:val="21"/>
                      <w:szCs w:val="21"/>
                      <w:highlight w:val="none"/>
                      <w:lang w:val="en-US" w:eastAsia="zh-CN" w:bidi="ar-SA"/>
                    </w:rPr>
                    <w:t>6</w:t>
                  </w:r>
                </w:p>
              </w:tc>
              <w:tc>
                <w:tcPr>
                  <w:tcW w:w="771" w:type="pct"/>
                  <w:shd w:val="clear" w:color="auto" w:fill="auto"/>
                  <w:vAlign w:val="center"/>
                </w:tcPr>
                <w:p w14:paraId="77359779">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振筛</w:t>
                  </w:r>
                  <w:r>
                    <w:rPr>
                      <w:rFonts w:hint="eastAsia" w:cs="Times New Roman"/>
                      <w:color w:val="auto"/>
                      <w:kern w:val="0"/>
                      <w:sz w:val="21"/>
                      <w:szCs w:val="21"/>
                      <w:highlight w:val="none"/>
                      <w:lang w:val="en-US" w:eastAsia="zh-CN"/>
                    </w:rPr>
                    <w:t>(</w:t>
                  </w:r>
                  <w:r>
                    <w:rPr>
                      <w:rFonts w:hint="default" w:ascii="Times New Roman" w:hAnsi="Times New Roman" w:eastAsia="宋体" w:cs="Times New Roman"/>
                      <w:color w:val="auto"/>
                      <w:kern w:val="0"/>
                      <w:sz w:val="21"/>
                      <w:szCs w:val="21"/>
                      <w:highlight w:val="none"/>
                      <w:lang w:val="en-US" w:eastAsia="zh-CN"/>
                    </w:rPr>
                    <w:t>晾晒后</w:t>
                  </w:r>
                  <w:r>
                    <w:rPr>
                      <w:rFonts w:hint="eastAsia" w:cs="Times New Roman"/>
                      <w:color w:val="auto"/>
                      <w:kern w:val="0"/>
                      <w:sz w:val="21"/>
                      <w:szCs w:val="21"/>
                      <w:highlight w:val="none"/>
                      <w:lang w:val="en-US" w:eastAsia="zh-CN"/>
                    </w:rPr>
                    <w:t>)</w:t>
                  </w:r>
                </w:p>
              </w:tc>
              <w:tc>
                <w:tcPr>
                  <w:tcW w:w="483" w:type="pct"/>
                  <w:shd w:val="clear" w:color="auto" w:fill="auto"/>
                  <w:vAlign w:val="center"/>
                </w:tcPr>
                <w:p w14:paraId="3BDE81B9">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579" w:type="pct"/>
                  <w:shd w:val="clear" w:color="auto" w:fill="auto"/>
                  <w:vAlign w:val="center"/>
                </w:tcPr>
                <w:p w14:paraId="55ADBF63">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台</w:t>
                  </w:r>
                </w:p>
              </w:tc>
              <w:tc>
                <w:tcPr>
                  <w:tcW w:w="1944" w:type="pct"/>
                  <w:shd w:val="clear" w:color="auto" w:fill="auto"/>
                  <w:vAlign w:val="center"/>
                </w:tcPr>
                <w:p w14:paraId="44AB8303">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r>
                    <w:rPr>
                      <w:rFonts w:hint="eastAsia" w:cs="Times New Roman"/>
                      <w:color w:val="auto"/>
                      <w:kern w:val="0"/>
                      <w:sz w:val="21"/>
                      <w:szCs w:val="21"/>
                      <w:highlight w:val="none"/>
                      <w:lang w:val="en-US" w:eastAsia="zh-CN"/>
                    </w:rPr>
                    <w:t>×</w:t>
                  </w:r>
                  <w:r>
                    <w:rPr>
                      <w:rFonts w:hint="default" w:ascii="Times New Roman" w:hAnsi="Times New Roman" w:cs="Times New Roman"/>
                      <w:color w:val="auto"/>
                      <w:kern w:val="0"/>
                      <w:sz w:val="21"/>
                      <w:szCs w:val="21"/>
                      <w:highlight w:val="none"/>
                      <w:lang w:val="en-US" w:eastAsia="zh-CN"/>
                    </w:rPr>
                    <w:t>1.5m，孔径2cm</w:t>
                  </w:r>
                </w:p>
              </w:tc>
              <w:tc>
                <w:tcPr>
                  <w:tcW w:w="942" w:type="pct"/>
                  <w:shd w:val="clear" w:color="auto" w:fill="auto"/>
                  <w:vAlign w:val="center"/>
                </w:tcPr>
                <w:p w14:paraId="2518FE09">
                  <w:pPr>
                    <w:pStyle w:val="1737"/>
                    <w:keepNext w:val="0"/>
                    <w:keepLines w:val="0"/>
                    <w:pageBreakBefore w:val="0"/>
                    <w:widowControl/>
                    <w:wordWrap/>
                    <w:overflowPunct/>
                    <w:topLinePunct w:val="0"/>
                    <w:bidi w:val="0"/>
                    <w:spacing w:line="280" w:lineRule="exact"/>
                    <w:ind w:left="0" w:leftChars="0" w:right="0" w:firstLine="0" w:firstLineChars="0"/>
                    <w:jc w:val="center"/>
                    <w:rPr>
                      <w:rFonts w:hint="default" w:ascii="Times New Roman" w:hAnsi="Times New Roman" w:cs="Times New Roman"/>
                      <w:color w:val="auto"/>
                      <w:spacing w:val="6"/>
                      <w:kern w:val="0"/>
                      <w:sz w:val="21"/>
                      <w:szCs w:val="21"/>
                      <w:highlight w:val="none"/>
                      <w:lang w:val="en-US" w:eastAsia="zh-CN" w:bidi="ar"/>
                    </w:rPr>
                  </w:pPr>
                  <w:r>
                    <w:rPr>
                      <w:rFonts w:hint="default" w:ascii="Times New Roman" w:hAnsi="Times New Roman" w:cs="Times New Roman"/>
                      <w:color w:val="auto"/>
                      <w:spacing w:val="6"/>
                      <w:kern w:val="0"/>
                      <w:sz w:val="21"/>
                      <w:szCs w:val="21"/>
                      <w:highlight w:val="none"/>
                      <w:lang w:val="en-US" w:eastAsia="zh-CN" w:bidi="ar"/>
                    </w:rPr>
                    <w:t>晾晒后筛分</w:t>
                  </w:r>
                </w:p>
              </w:tc>
            </w:tr>
            <w:tr w14:paraId="19537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7BE83505">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17</w:t>
                  </w:r>
                </w:p>
              </w:tc>
              <w:tc>
                <w:tcPr>
                  <w:tcW w:w="771" w:type="pct"/>
                  <w:shd w:val="clear" w:color="auto" w:fill="auto"/>
                  <w:vAlign w:val="center"/>
                </w:tcPr>
                <w:p w14:paraId="6266C1A5">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red"/>
                      <w:lang w:val="en-US" w:eastAsia="zh-CN"/>
                    </w:rPr>
                  </w:pPr>
                  <w:r>
                    <w:rPr>
                      <w:rFonts w:hint="eastAsia" w:cs="Times New Roman"/>
                      <w:color w:val="auto"/>
                      <w:kern w:val="0"/>
                      <w:sz w:val="21"/>
                      <w:szCs w:val="21"/>
                      <w:highlight w:val="red"/>
                      <w:lang w:val="en-US" w:eastAsia="zh-CN"/>
                    </w:rPr>
                    <w:t>雾炮机</w:t>
                  </w:r>
                </w:p>
              </w:tc>
              <w:tc>
                <w:tcPr>
                  <w:tcW w:w="483" w:type="pct"/>
                  <w:shd w:val="clear" w:color="auto" w:fill="auto"/>
                  <w:vAlign w:val="center"/>
                </w:tcPr>
                <w:p w14:paraId="0F39B129">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eastAsia" w:ascii="Times New Roman" w:hAnsi="Times New Roman" w:cs="Times New Roman"/>
                      <w:color w:val="auto"/>
                      <w:kern w:val="0"/>
                      <w:sz w:val="21"/>
                      <w:szCs w:val="21"/>
                      <w:highlight w:val="red"/>
                      <w:lang w:val="en-US" w:eastAsia="zh-CN"/>
                    </w:rPr>
                    <w:t>4</w:t>
                  </w:r>
                </w:p>
              </w:tc>
              <w:tc>
                <w:tcPr>
                  <w:tcW w:w="579" w:type="pct"/>
                  <w:shd w:val="clear" w:color="auto" w:fill="auto"/>
                  <w:vAlign w:val="center"/>
                </w:tcPr>
                <w:p w14:paraId="797B72F1">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default" w:ascii="Times New Roman" w:hAnsi="Times New Roman" w:cs="Times New Roman"/>
                      <w:color w:val="auto"/>
                      <w:kern w:val="0"/>
                      <w:sz w:val="21"/>
                      <w:szCs w:val="21"/>
                      <w:highlight w:val="red"/>
                      <w:lang w:val="en-US" w:eastAsia="zh-CN"/>
                    </w:rPr>
                    <w:t>台</w:t>
                  </w:r>
                </w:p>
              </w:tc>
              <w:tc>
                <w:tcPr>
                  <w:tcW w:w="1944" w:type="pct"/>
                  <w:shd w:val="clear" w:color="auto" w:fill="auto"/>
                  <w:vAlign w:val="center"/>
                </w:tcPr>
                <w:p w14:paraId="6FEED512">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eastAsia" w:ascii="Times New Roman" w:hAnsi="Times New Roman" w:cs="Times New Roman"/>
                      <w:color w:val="auto"/>
                      <w:kern w:val="0"/>
                      <w:sz w:val="21"/>
                      <w:szCs w:val="21"/>
                      <w:highlight w:val="red"/>
                      <w:lang w:val="en-US" w:eastAsia="zh-CN"/>
                    </w:rPr>
                    <w:t>双流体</w:t>
                  </w:r>
                </w:p>
              </w:tc>
              <w:tc>
                <w:tcPr>
                  <w:tcW w:w="942" w:type="pct"/>
                  <w:shd w:val="clear" w:color="auto" w:fill="auto"/>
                  <w:vAlign w:val="center"/>
                </w:tcPr>
                <w:p w14:paraId="7ECED82C">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eastAsia" w:ascii="Times New Roman" w:hAnsi="Times New Roman" w:cs="Times New Roman"/>
                      <w:color w:val="auto"/>
                      <w:kern w:val="0"/>
                      <w:sz w:val="21"/>
                      <w:szCs w:val="21"/>
                      <w:highlight w:val="red"/>
                      <w:lang w:val="en-US" w:eastAsia="zh-CN"/>
                    </w:rPr>
                    <w:t>—</w:t>
                  </w:r>
                </w:p>
              </w:tc>
            </w:tr>
            <w:tr w14:paraId="44117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4F16F6EB">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ascii="Times New Roman" w:hAnsi="Times New Roman"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18</w:t>
                  </w:r>
                </w:p>
              </w:tc>
              <w:tc>
                <w:tcPr>
                  <w:tcW w:w="771" w:type="pct"/>
                  <w:shd w:val="clear" w:color="auto" w:fill="auto"/>
                  <w:vAlign w:val="center"/>
                </w:tcPr>
                <w:p w14:paraId="79B184C1">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red"/>
                      <w:lang w:val="en-US" w:eastAsia="zh-CN"/>
                    </w:rPr>
                  </w:pPr>
                  <w:r>
                    <w:rPr>
                      <w:rFonts w:hint="eastAsia" w:cs="Times New Roman"/>
                      <w:color w:val="auto"/>
                      <w:kern w:val="0"/>
                      <w:sz w:val="21"/>
                      <w:szCs w:val="21"/>
                      <w:highlight w:val="red"/>
                      <w:lang w:val="en-US" w:eastAsia="zh-CN"/>
                    </w:rPr>
                    <w:t>洗车平台</w:t>
                  </w:r>
                </w:p>
              </w:tc>
              <w:tc>
                <w:tcPr>
                  <w:tcW w:w="483" w:type="pct"/>
                  <w:shd w:val="clear" w:color="auto" w:fill="auto"/>
                  <w:vAlign w:val="center"/>
                </w:tcPr>
                <w:p w14:paraId="441EACCD">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eastAsia" w:ascii="Times New Roman" w:hAnsi="Times New Roman" w:cs="Times New Roman"/>
                      <w:color w:val="auto"/>
                      <w:kern w:val="0"/>
                      <w:sz w:val="21"/>
                      <w:szCs w:val="21"/>
                      <w:highlight w:val="red"/>
                      <w:lang w:val="en-US" w:eastAsia="zh-CN"/>
                    </w:rPr>
                    <w:t>1</w:t>
                  </w:r>
                </w:p>
              </w:tc>
              <w:tc>
                <w:tcPr>
                  <w:tcW w:w="579" w:type="pct"/>
                  <w:shd w:val="clear" w:color="auto" w:fill="auto"/>
                  <w:vAlign w:val="center"/>
                </w:tcPr>
                <w:p w14:paraId="2CD347CC">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default" w:ascii="Times New Roman" w:hAnsi="Times New Roman" w:cs="Times New Roman"/>
                      <w:color w:val="auto"/>
                      <w:kern w:val="0"/>
                      <w:sz w:val="21"/>
                      <w:szCs w:val="21"/>
                      <w:highlight w:val="red"/>
                      <w:lang w:val="en-US" w:eastAsia="zh-CN"/>
                    </w:rPr>
                    <w:t>台</w:t>
                  </w:r>
                </w:p>
              </w:tc>
              <w:tc>
                <w:tcPr>
                  <w:tcW w:w="1944" w:type="pct"/>
                  <w:shd w:val="clear" w:color="auto" w:fill="auto"/>
                  <w:vAlign w:val="center"/>
                </w:tcPr>
                <w:p w14:paraId="7DD37B86">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eastAsia" w:cs="Times New Roman"/>
                      <w:color w:val="auto"/>
                      <w:kern w:val="0"/>
                      <w:sz w:val="21"/>
                      <w:szCs w:val="21"/>
                      <w:highlight w:val="red"/>
                      <w:lang w:val="en-US" w:eastAsia="zh-CN"/>
                    </w:rPr>
                    <w:t>沉淀池尺寸6m×2m×2m</w:t>
                  </w:r>
                </w:p>
              </w:tc>
              <w:tc>
                <w:tcPr>
                  <w:tcW w:w="942" w:type="pct"/>
                  <w:shd w:val="clear" w:color="auto" w:fill="auto"/>
                  <w:vAlign w:val="center"/>
                </w:tcPr>
                <w:p w14:paraId="34916D80">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eastAsia" w:ascii="Times New Roman" w:hAnsi="Times New Roman" w:cs="Times New Roman"/>
                      <w:color w:val="auto"/>
                      <w:kern w:val="0"/>
                      <w:sz w:val="21"/>
                      <w:szCs w:val="21"/>
                      <w:highlight w:val="red"/>
                      <w:lang w:val="en-US" w:eastAsia="zh-CN"/>
                    </w:rPr>
                    <w:t>依托现有</w:t>
                  </w:r>
                </w:p>
              </w:tc>
            </w:tr>
            <w:tr w14:paraId="56CE1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78" w:type="pct"/>
                  <w:shd w:val="clear" w:color="auto" w:fill="auto"/>
                  <w:vAlign w:val="center"/>
                </w:tcPr>
                <w:p w14:paraId="04A801AA">
                  <w:pPr>
                    <w:keepNext w:val="0"/>
                    <w:keepLines w:val="0"/>
                    <w:pageBreakBefore w:val="0"/>
                    <w:widowControl/>
                    <w:wordWrap/>
                    <w:overflowPunct/>
                    <w:topLinePunct w:val="0"/>
                    <w:autoSpaceDE/>
                    <w:autoSpaceDN/>
                    <w:bidi w:val="0"/>
                    <w:spacing w:line="280" w:lineRule="exact"/>
                    <w:ind w:left="0" w:leftChars="0" w:right="0" w:rightChars="0" w:firstLine="0" w:firstLineChars="0"/>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19</w:t>
                  </w:r>
                </w:p>
              </w:tc>
              <w:tc>
                <w:tcPr>
                  <w:tcW w:w="771" w:type="pct"/>
                  <w:shd w:val="clear" w:color="auto" w:fill="auto"/>
                  <w:vAlign w:val="center"/>
                </w:tcPr>
                <w:p w14:paraId="73EA7178">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eastAsia="宋体" w:cs="Times New Roman"/>
                      <w:color w:val="auto"/>
                      <w:kern w:val="0"/>
                      <w:sz w:val="21"/>
                      <w:szCs w:val="21"/>
                      <w:highlight w:val="red"/>
                      <w:lang w:val="en-US" w:eastAsia="zh-CN"/>
                    </w:rPr>
                  </w:pPr>
                  <w:r>
                    <w:rPr>
                      <w:rFonts w:hint="eastAsia"/>
                      <w:highlight w:val="red"/>
                      <w:lang w:val="en-US" w:eastAsia="zh-CN"/>
                    </w:rPr>
                    <w:t>龙门吊</w:t>
                  </w:r>
                </w:p>
              </w:tc>
              <w:tc>
                <w:tcPr>
                  <w:tcW w:w="483" w:type="pct"/>
                  <w:shd w:val="clear" w:color="auto" w:fill="auto"/>
                  <w:vAlign w:val="center"/>
                </w:tcPr>
                <w:p w14:paraId="72C8CCEF">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eastAsia" w:ascii="Times New Roman" w:hAnsi="Times New Roman" w:cs="Times New Roman"/>
                      <w:color w:val="auto"/>
                      <w:kern w:val="0"/>
                      <w:sz w:val="21"/>
                      <w:szCs w:val="21"/>
                      <w:highlight w:val="red"/>
                      <w:lang w:val="en-US" w:eastAsia="zh-CN"/>
                    </w:rPr>
                    <w:t>1</w:t>
                  </w:r>
                </w:p>
              </w:tc>
              <w:tc>
                <w:tcPr>
                  <w:tcW w:w="579" w:type="pct"/>
                  <w:shd w:val="clear" w:color="auto" w:fill="auto"/>
                  <w:vAlign w:val="center"/>
                </w:tcPr>
                <w:p w14:paraId="0E0B58C1">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default" w:ascii="Times New Roman" w:hAnsi="Times New Roman" w:cs="Times New Roman"/>
                      <w:color w:val="auto"/>
                      <w:kern w:val="0"/>
                      <w:sz w:val="21"/>
                      <w:szCs w:val="21"/>
                      <w:highlight w:val="red"/>
                      <w:lang w:val="en-US" w:eastAsia="zh-CN"/>
                    </w:rPr>
                    <w:t>台</w:t>
                  </w:r>
                </w:p>
              </w:tc>
              <w:tc>
                <w:tcPr>
                  <w:tcW w:w="1944" w:type="pct"/>
                  <w:shd w:val="clear" w:color="auto" w:fill="auto"/>
                  <w:vAlign w:val="center"/>
                </w:tcPr>
                <w:p w14:paraId="5BDF521D">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commentRangeStart w:id="7"/>
                  <w:r>
                    <w:rPr>
                      <w:rFonts w:hint="eastAsia" w:ascii="Times New Roman" w:hAnsi="Times New Roman" w:cs="Times New Roman"/>
                      <w:color w:val="auto"/>
                      <w:kern w:val="0"/>
                      <w:sz w:val="21"/>
                      <w:szCs w:val="21"/>
                      <w:highlight w:val="red"/>
                      <w:lang w:val="en-US" w:eastAsia="zh-CN"/>
                    </w:rPr>
                    <w:t>5t</w:t>
                  </w:r>
                  <w:commentRangeEnd w:id="7"/>
                  <w:r>
                    <w:rPr>
                      <w:highlight w:val="red"/>
                    </w:rPr>
                    <w:commentReference w:id="7"/>
                  </w:r>
                </w:p>
              </w:tc>
              <w:tc>
                <w:tcPr>
                  <w:tcW w:w="942" w:type="pct"/>
                  <w:shd w:val="clear" w:color="auto" w:fill="auto"/>
                  <w:vAlign w:val="center"/>
                </w:tcPr>
                <w:p w14:paraId="1724BC93">
                  <w:pPr>
                    <w:keepNext w:val="0"/>
                    <w:keepLines w:val="0"/>
                    <w:pageBreakBefore w:val="0"/>
                    <w:widowControl/>
                    <w:wordWrap/>
                    <w:overflowPunct/>
                    <w:topLinePunct w:val="0"/>
                    <w:bidi w:val="0"/>
                    <w:spacing w:line="280" w:lineRule="exact"/>
                    <w:ind w:firstLine="0" w:firstLineChars="0"/>
                    <w:jc w:val="center"/>
                    <w:rPr>
                      <w:rFonts w:hint="default" w:ascii="Times New Roman" w:hAnsi="Times New Roman" w:cs="Times New Roman"/>
                      <w:color w:val="auto"/>
                      <w:kern w:val="0"/>
                      <w:sz w:val="21"/>
                      <w:szCs w:val="21"/>
                      <w:highlight w:val="red"/>
                      <w:lang w:val="en-US" w:eastAsia="zh-CN"/>
                    </w:rPr>
                  </w:pPr>
                  <w:r>
                    <w:rPr>
                      <w:rFonts w:hint="eastAsia" w:ascii="Times New Roman" w:hAnsi="Times New Roman" w:cs="Times New Roman"/>
                      <w:color w:val="auto"/>
                      <w:kern w:val="0"/>
                      <w:sz w:val="21"/>
                      <w:szCs w:val="21"/>
                      <w:highlight w:val="red"/>
                      <w:lang w:val="en-US" w:eastAsia="zh-CN"/>
                    </w:rPr>
                    <w:t>—</w:t>
                  </w:r>
                </w:p>
              </w:tc>
            </w:tr>
          </w:tbl>
          <w:p w14:paraId="0601D713">
            <w:pPr>
              <w:widowControl w:val="0"/>
              <w:tabs>
                <w:tab w:val="left" w:pos="2375"/>
                <w:tab w:val="center" w:pos="4239"/>
              </w:tabs>
              <w:autoSpaceDE/>
              <w:autoSpaceDN/>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、主要原辅材料及燃料</w:t>
            </w:r>
          </w:p>
          <w:p w14:paraId="078F7179">
            <w:pPr>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rPr>
              <w:t>项目原料材料及能源消耗一览</w:t>
            </w:r>
            <w:r>
              <w:rPr>
                <w:rFonts w:hint="default" w:ascii="Times New Roman" w:hAnsi="Times New Roman" w:cs="Times New Roman"/>
                <w:color w:val="auto"/>
                <w:kern w:val="0"/>
                <w:sz w:val="21"/>
                <w:szCs w:val="21"/>
                <w:highlight w:val="none"/>
                <w:lang w:val="en-US" w:eastAsia="zh-CN"/>
              </w:rPr>
              <w:t>表见</w:t>
            </w:r>
            <w:r>
              <w:rPr>
                <w:rFonts w:hint="default" w:ascii="Times New Roman" w:hAnsi="Times New Roman" w:cs="Times New Roman"/>
                <w:color w:val="auto"/>
                <w:kern w:val="0"/>
                <w:sz w:val="21"/>
                <w:szCs w:val="21"/>
                <w:highlight w:val="none"/>
                <w:lang w:val="en-US" w:eastAsia="zh-CN"/>
              </w:rPr>
              <w:fldChar w:fldCharType="begin"/>
            </w:r>
            <w:r>
              <w:rPr>
                <w:color w:val="auto"/>
              </w:rPr>
              <w:instrText xml:space="preserve"> REF _Ref22299 \h  \* MERGEFORMAT</w:instrText>
            </w:r>
            <w:r>
              <w:rPr>
                <w:rFonts w:hint="default" w:ascii="Times New Roman" w:hAnsi="Times New Roman" w:cs="Times New Roman"/>
                <w:color w:val="auto"/>
                <w:kern w:val="0"/>
                <w:sz w:val="21"/>
                <w:szCs w:val="21"/>
                <w:highlight w:val="none"/>
                <w:lang w:val="en-US" w:eastAsia="zh-CN"/>
              </w:rPr>
              <w:fldChar w:fldCharType="separate"/>
            </w:r>
            <w:r>
              <w:rPr>
                <w:rFonts w:hint="default" w:ascii="Times New Roman" w:hAnsi="Times New Roman"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kern w:val="0"/>
                <w:sz w:val="21"/>
                <w:szCs w:val="21"/>
                <w:highlight w:val="none"/>
                <w:lang w:val="en-US" w:eastAsia="zh-CN"/>
              </w:rPr>
              <w:fldChar w:fldCharType="end"/>
            </w:r>
            <w:r>
              <w:rPr>
                <w:rFonts w:hint="eastAsia" w:ascii="Times New Roman" w:hAnsi="Times New Roman" w:cs="Times New Roman"/>
                <w:color w:val="auto"/>
                <w:kern w:val="0"/>
                <w:sz w:val="21"/>
                <w:szCs w:val="21"/>
                <w:highlight w:val="none"/>
                <w:lang w:val="en-US" w:eastAsia="zh-CN"/>
              </w:rPr>
              <w:t>-</w:t>
            </w:r>
            <w:r>
              <w:rPr>
                <w:rFonts w:hint="eastAsia" w:cs="Times New Roman"/>
                <w:color w:val="auto"/>
                <w:kern w:val="0"/>
                <w:sz w:val="21"/>
                <w:szCs w:val="21"/>
                <w:highlight w:val="none"/>
                <w:lang w:val="en-US" w:eastAsia="zh-CN"/>
              </w:rPr>
              <w:t>5</w:t>
            </w:r>
            <w:r>
              <w:rPr>
                <w:rFonts w:hint="default" w:ascii="Times New Roman" w:hAnsi="Times New Roman" w:cs="Times New Roman"/>
                <w:color w:val="auto"/>
                <w:kern w:val="0"/>
                <w:sz w:val="21"/>
                <w:szCs w:val="21"/>
                <w:highlight w:val="none"/>
              </w:rPr>
              <w:t>。</w:t>
            </w:r>
          </w:p>
          <w:p w14:paraId="3AB07560">
            <w:pPr>
              <w:pStyle w:val="21"/>
              <w:rPr>
                <w:rFonts w:hint="default" w:ascii="Times New Roman" w:hAnsi="Times New Roman" w:cs="Times New Roman"/>
                <w:color w:val="auto"/>
                <w:sz w:val="21"/>
                <w:szCs w:val="21"/>
                <w:highlight w:val="none"/>
              </w:rPr>
            </w:pPr>
            <w:bookmarkStart w:id="18" w:name="_Ref22299"/>
            <w:bookmarkStart w:id="19" w:name="_Ref9250"/>
            <w:bookmarkStart w:id="20" w:name="_Ref26119"/>
            <w:r>
              <w:rPr>
                <w:rFonts w:hint="default" w:ascii="Times New Roman" w:hAnsi="Times New Roman" w:cs="Times New Roman"/>
                <w:color w:val="auto"/>
                <w:sz w:val="21"/>
                <w:szCs w:val="21"/>
                <w:highlight w:val="none"/>
              </w:rPr>
              <w:t>表</w:t>
            </w:r>
            <w:bookmarkEnd w:id="18"/>
            <w:bookmarkEnd w:id="19"/>
            <w:bookmarkEnd w:id="20"/>
            <w:r>
              <w:rPr>
                <w:rFonts w:hint="eastAsia" w:ascii="Times New Roman" w:hAnsi="Times New Roman" w:cs="Times New Roman"/>
                <w:color w:val="auto"/>
                <w:sz w:val="21"/>
                <w:szCs w:val="21"/>
                <w:highlight w:val="none"/>
                <w:lang w:val="en-US" w:eastAsia="zh-CN"/>
              </w:rPr>
              <w:t>2-</w:t>
            </w:r>
            <w:r>
              <w:rPr>
                <w:rFonts w:hint="eastAsia" w:cs="Times New Roman"/>
                <w:color w:val="auto"/>
                <w:sz w:val="21"/>
                <w:szCs w:val="21"/>
                <w:highlight w:val="none"/>
                <w:lang w:val="en-US" w:eastAsia="zh-CN"/>
              </w:rPr>
              <w:t>5</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t>主要原辅材料及能源消耗一览表</w:t>
            </w:r>
          </w:p>
          <w:tbl>
            <w:tblPr>
              <w:tblStyle w:val="84"/>
              <w:tblW w:w="8416" w:type="dxa"/>
              <w:jc w:val="center"/>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Layout w:type="fixed"/>
              <w:tblCellMar>
                <w:top w:w="0" w:type="dxa"/>
                <w:left w:w="0" w:type="dxa"/>
                <w:bottom w:w="0" w:type="dxa"/>
                <w:right w:w="0" w:type="dxa"/>
              </w:tblCellMar>
            </w:tblPr>
            <w:tblGrid>
              <w:gridCol w:w="583"/>
              <w:gridCol w:w="1606"/>
              <w:gridCol w:w="1396"/>
              <w:gridCol w:w="946"/>
              <w:gridCol w:w="3885"/>
            </w:tblGrid>
            <w:tr w14:paraId="0408ED1A">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46" w:type="pct"/>
                  <w:vAlign w:val="center"/>
                </w:tcPr>
                <w:p w14:paraId="0F17A76F">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954" w:type="pct"/>
                  <w:tcBorders>
                    <w:left w:val="single" w:color="auto" w:sz="4" w:space="0"/>
                  </w:tcBorders>
                  <w:vAlign w:val="center"/>
                </w:tcPr>
                <w:p w14:paraId="320C0013">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原辅材料名称</w:t>
                  </w:r>
                </w:p>
              </w:tc>
              <w:tc>
                <w:tcPr>
                  <w:tcW w:w="829" w:type="pct"/>
                  <w:vAlign w:val="center"/>
                </w:tcPr>
                <w:p w14:paraId="4BFDB2D7">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单位</w:t>
                  </w:r>
                </w:p>
              </w:tc>
              <w:tc>
                <w:tcPr>
                  <w:tcW w:w="562" w:type="pct"/>
                  <w:tcBorders>
                    <w:right w:val="single" w:color="auto" w:sz="4" w:space="0"/>
                  </w:tcBorders>
                  <w:vAlign w:val="center"/>
                </w:tcPr>
                <w:p w14:paraId="1323139C">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消耗量</w:t>
                  </w:r>
                </w:p>
              </w:tc>
              <w:tc>
                <w:tcPr>
                  <w:tcW w:w="2307" w:type="pct"/>
                  <w:tcBorders>
                    <w:right w:val="single" w:color="auto" w:sz="4" w:space="0"/>
                  </w:tcBorders>
                  <w:vAlign w:val="center"/>
                </w:tcPr>
                <w:p w14:paraId="0B31D734">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备注</w:t>
                  </w:r>
                </w:p>
              </w:tc>
            </w:tr>
            <w:tr w14:paraId="0EEF5827">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46" w:type="pct"/>
                  <w:vAlign w:val="center"/>
                </w:tcPr>
                <w:p w14:paraId="61F0D216">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954" w:type="pct"/>
                  <w:tcBorders>
                    <w:left w:val="single" w:color="auto" w:sz="4" w:space="0"/>
                  </w:tcBorders>
                  <w:vAlign w:val="center"/>
                </w:tcPr>
                <w:p w14:paraId="105D6632">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eastAsiaTheme="minorEastAsia"/>
                      <w:color w:val="auto"/>
                      <w:sz w:val="21"/>
                      <w:szCs w:val="21"/>
                      <w:highlight w:val="none"/>
                      <w:lang w:val="en-US" w:eastAsia="zh-CN"/>
                    </w:rPr>
                    <w:t>除尘灰</w:t>
                  </w:r>
                </w:p>
              </w:tc>
              <w:tc>
                <w:tcPr>
                  <w:tcW w:w="829" w:type="pct"/>
                  <w:vAlign w:val="center"/>
                </w:tcPr>
                <w:p w14:paraId="4CEAE18A">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万吨</w:t>
                  </w:r>
                </w:p>
              </w:tc>
              <w:tc>
                <w:tcPr>
                  <w:tcW w:w="562" w:type="pct"/>
                  <w:tcBorders>
                    <w:bottom w:val="single" w:color="auto" w:sz="4" w:space="0"/>
                    <w:right w:val="single" w:color="auto" w:sz="4" w:space="0"/>
                  </w:tcBorders>
                  <w:vAlign w:val="center"/>
                </w:tcPr>
                <w:p w14:paraId="7F9766CB">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2.87</w:t>
                  </w:r>
                </w:p>
              </w:tc>
              <w:tc>
                <w:tcPr>
                  <w:tcW w:w="2307" w:type="pct"/>
                  <w:tcBorders>
                    <w:bottom w:val="single" w:color="auto" w:sz="4" w:space="0"/>
                    <w:right w:val="single" w:color="auto" w:sz="4" w:space="0"/>
                  </w:tcBorders>
                  <w:vAlign w:val="center"/>
                </w:tcPr>
                <w:p w14:paraId="48D5391E">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厂内汽车运输，除尘灰来自本厂</w:t>
                  </w:r>
                  <w:r>
                    <w:rPr>
                      <w:rFonts w:hint="eastAsia"/>
                      <w:color w:val="auto"/>
                      <w:highlight w:val="none"/>
                      <w:lang w:val="en-US" w:eastAsia="zh-CN"/>
                    </w:rPr>
                    <w:t>炼钢厂一次烟气干法除尘，颜色呈灰红色/红褐色，类似赤铁精粉，水分＜1%。</w:t>
                  </w:r>
                </w:p>
              </w:tc>
            </w:tr>
            <w:tr w14:paraId="5AC22E6B">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46" w:type="pct"/>
                  <w:vAlign w:val="center"/>
                </w:tcPr>
                <w:p w14:paraId="0F736A4F">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w:t>
                  </w:r>
                </w:p>
              </w:tc>
              <w:tc>
                <w:tcPr>
                  <w:tcW w:w="954" w:type="pct"/>
                  <w:tcBorders>
                    <w:left w:val="single" w:color="auto" w:sz="4" w:space="0"/>
                  </w:tcBorders>
                  <w:vAlign w:val="center"/>
                </w:tcPr>
                <w:p w14:paraId="55A498F3">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red"/>
                      <w:lang w:val="en-US" w:eastAsia="zh-CN"/>
                    </w:rPr>
                    <w:t>含铁</w:t>
                  </w:r>
                  <w:r>
                    <w:commentReference w:id="8"/>
                  </w:r>
                  <w:r>
                    <w:rPr>
                      <w:rFonts w:hint="eastAsia" w:cs="Times New Roman" w:eastAsiaTheme="minorEastAsia"/>
                      <w:color w:val="auto"/>
                      <w:sz w:val="21"/>
                      <w:szCs w:val="21"/>
                      <w:highlight w:val="red"/>
                      <w:lang w:val="en-US" w:eastAsia="zh-CN"/>
                    </w:rPr>
                    <w:t>沉泥</w:t>
                  </w:r>
                </w:p>
              </w:tc>
              <w:tc>
                <w:tcPr>
                  <w:tcW w:w="829" w:type="pct"/>
                  <w:vAlign w:val="center"/>
                </w:tcPr>
                <w:p w14:paraId="01ECFA77">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万吨</w:t>
                  </w:r>
                </w:p>
              </w:tc>
              <w:tc>
                <w:tcPr>
                  <w:tcW w:w="562" w:type="pct"/>
                  <w:tcBorders>
                    <w:top w:val="single" w:color="auto" w:sz="4" w:space="0"/>
                    <w:right w:val="single" w:color="auto" w:sz="4" w:space="0"/>
                  </w:tcBorders>
                  <w:vAlign w:val="center"/>
                </w:tcPr>
                <w:p w14:paraId="2C0859B9">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1.28</w:t>
                  </w:r>
                </w:p>
              </w:tc>
              <w:tc>
                <w:tcPr>
                  <w:tcW w:w="2307" w:type="pct"/>
                  <w:tcBorders>
                    <w:top w:val="single" w:color="auto" w:sz="4" w:space="0"/>
                    <w:right w:val="single" w:color="auto" w:sz="4" w:space="0"/>
                  </w:tcBorders>
                  <w:vAlign w:val="center"/>
                </w:tcPr>
                <w:p w14:paraId="1E0B406C">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厂内汽车运输，含铁沉泥来自本厂炼钢厂</w:t>
                  </w:r>
                  <w:r>
                    <w:rPr>
                      <w:rFonts w:hint="eastAsia"/>
                      <w:color w:val="auto"/>
                      <w:highlight w:val="none"/>
                      <w:lang w:val="en-US" w:eastAsia="zh-CN"/>
                    </w:rPr>
                    <w:t>一次烟气OG法除尘和湿电除尘，褐色至黑褐色，呈泥浆状，高含水率、超细颗粒、高含铁、强粘性</w:t>
                  </w:r>
                </w:p>
              </w:tc>
            </w:tr>
            <w:tr w14:paraId="2BD7EB8C">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46" w:type="pct"/>
                  <w:vAlign w:val="center"/>
                </w:tcPr>
                <w:p w14:paraId="39C2AC49">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w:t>
                  </w:r>
                </w:p>
              </w:tc>
              <w:tc>
                <w:tcPr>
                  <w:tcW w:w="954" w:type="pct"/>
                  <w:tcBorders>
                    <w:left w:val="single" w:color="auto" w:sz="4" w:space="0"/>
                  </w:tcBorders>
                  <w:vAlign w:val="center"/>
                </w:tcPr>
                <w:p w14:paraId="52E1E866">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矿粉</w:t>
                  </w:r>
                </w:p>
              </w:tc>
              <w:tc>
                <w:tcPr>
                  <w:tcW w:w="829" w:type="pct"/>
                  <w:vAlign w:val="center"/>
                </w:tcPr>
                <w:p w14:paraId="3C6CB748">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万吨</w:t>
                  </w:r>
                </w:p>
              </w:tc>
              <w:tc>
                <w:tcPr>
                  <w:tcW w:w="562" w:type="pct"/>
                  <w:tcBorders>
                    <w:right w:val="single" w:color="auto" w:sz="4" w:space="0"/>
                  </w:tcBorders>
                  <w:vAlign w:val="center"/>
                </w:tcPr>
                <w:p w14:paraId="15F35B0B">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4.81</w:t>
                  </w:r>
                </w:p>
              </w:tc>
              <w:tc>
                <w:tcPr>
                  <w:tcW w:w="2307" w:type="pct"/>
                  <w:tcBorders>
                    <w:right w:val="single" w:color="auto" w:sz="4" w:space="0"/>
                  </w:tcBorders>
                  <w:vAlign w:val="center"/>
                </w:tcPr>
                <w:p w14:paraId="6073E5C7">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厂内汽车运输，</w:t>
                  </w:r>
                  <w:r>
                    <w:rPr>
                      <w:rFonts w:hint="eastAsia"/>
                      <w:color w:val="auto"/>
                      <w:highlight w:val="none"/>
                      <w:lang w:val="en-US" w:eastAsia="zh-CN"/>
                    </w:rPr>
                    <w:t>与本厂烧结原料一致，品位约60-66%</w:t>
                  </w:r>
                </w:p>
              </w:tc>
            </w:tr>
            <w:tr w14:paraId="2807843A">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46" w:type="pct"/>
                  <w:vAlign w:val="center"/>
                </w:tcPr>
                <w:p w14:paraId="20316A33">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954" w:type="pct"/>
                  <w:tcBorders>
                    <w:left w:val="single" w:color="auto" w:sz="4" w:space="0"/>
                  </w:tcBorders>
                  <w:vAlign w:val="center"/>
                </w:tcPr>
                <w:p w14:paraId="64C3EC18">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粘合剂</w:t>
                  </w:r>
                </w:p>
              </w:tc>
              <w:tc>
                <w:tcPr>
                  <w:tcW w:w="829" w:type="pct"/>
                  <w:vAlign w:val="center"/>
                </w:tcPr>
                <w:p w14:paraId="66C62154">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万吨</w:t>
                  </w:r>
                </w:p>
              </w:tc>
              <w:tc>
                <w:tcPr>
                  <w:tcW w:w="562" w:type="pct"/>
                  <w:tcBorders>
                    <w:right w:val="single" w:color="auto" w:sz="4" w:space="0"/>
                  </w:tcBorders>
                  <w:vAlign w:val="center"/>
                </w:tcPr>
                <w:p w14:paraId="4A3B63A8">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1.62</w:t>
                  </w:r>
                </w:p>
              </w:tc>
              <w:tc>
                <w:tcPr>
                  <w:tcW w:w="2307" w:type="pct"/>
                  <w:tcBorders>
                    <w:right w:val="single" w:color="auto" w:sz="4" w:space="0"/>
                  </w:tcBorders>
                  <w:vAlign w:val="center"/>
                </w:tcPr>
                <w:p w14:paraId="51A30512">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eastAsia" w:cs="Times New Roman"/>
                      <w:color w:val="auto"/>
                      <w:sz w:val="21"/>
                      <w:szCs w:val="21"/>
                      <w:highlight w:val="none"/>
                      <w:lang w:val="en-US" w:eastAsia="zh-CN"/>
                    </w:rPr>
                    <w:t>厂内汽车运输，吨包袋包装，</w:t>
                  </w:r>
                  <w:r>
                    <w:rPr>
                      <w:rFonts w:hint="eastAsia"/>
                      <w:color w:val="auto"/>
                      <w:highlight w:val="none"/>
                      <w:lang w:val="en-US" w:eastAsia="zh-CN"/>
                    </w:rPr>
                    <w:t>主要成分为膨润土(皂土)</w:t>
                  </w:r>
                </w:p>
              </w:tc>
            </w:tr>
            <w:tr w14:paraId="37830672">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46" w:type="pct"/>
                  <w:shd w:val="clear" w:color="auto" w:fill="auto"/>
                  <w:vAlign w:val="center"/>
                </w:tcPr>
                <w:p w14:paraId="76A85A60">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ascii="Times New Roman" w:hAnsi="Times New Roman" w:cs="Times New Roman" w:eastAsiaTheme="minorEastAsia"/>
                      <w:color w:val="auto"/>
                      <w:kern w:val="2"/>
                      <w:sz w:val="21"/>
                      <w:szCs w:val="21"/>
                      <w:highlight w:val="none"/>
                      <w:lang w:val="en-US" w:eastAsia="zh-CN" w:bidi="ar-SA"/>
                    </w:rPr>
                  </w:pPr>
                  <w:r>
                    <w:rPr>
                      <w:rFonts w:hint="eastAsia" w:cs="Times New Roman"/>
                      <w:color w:val="auto"/>
                      <w:sz w:val="21"/>
                      <w:szCs w:val="21"/>
                      <w:highlight w:val="none"/>
                      <w:lang w:val="en-US" w:eastAsia="zh-CN"/>
                    </w:rPr>
                    <w:t>4</w:t>
                  </w:r>
                </w:p>
              </w:tc>
              <w:tc>
                <w:tcPr>
                  <w:tcW w:w="954" w:type="pct"/>
                  <w:tcBorders>
                    <w:left w:val="single" w:color="auto" w:sz="4" w:space="0"/>
                  </w:tcBorders>
                  <w:shd w:val="clear" w:color="auto" w:fill="auto"/>
                  <w:vAlign w:val="center"/>
                </w:tcPr>
                <w:p w14:paraId="7CEC15C5">
                  <w:pPr>
                    <w:widowControl/>
                    <w:adjustRightInd w:val="0"/>
                    <w:snapToGrid w:val="0"/>
                    <w:spacing w:line="240" w:lineRule="auto"/>
                    <w:ind w:firstLine="0" w:firstLineChars="0"/>
                    <w:jc w:val="center"/>
                    <w:rPr>
                      <w:rFonts w:hint="eastAsia" w:ascii="Times New Roman" w:hAnsi="Times New Roman" w:cs="Times New Roman" w:eastAsiaTheme="minorEastAsia"/>
                      <w:color w:val="auto"/>
                      <w:kern w:val="2"/>
                      <w:sz w:val="21"/>
                      <w:szCs w:val="21"/>
                      <w:highlight w:val="none"/>
                      <w:lang w:val="en-US" w:eastAsia="zh-CN" w:bidi="ar-SA"/>
                    </w:rPr>
                  </w:pPr>
                  <w:r>
                    <w:rPr>
                      <w:rFonts w:hint="eastAsia"/>
                      <w:color w:val="auto"/>
                      <w:sz w:val="21"/>
                      <w:szCs w:val="21"/>
                      <w:highlight w:val="none"/>
                    </w:rPr>
                    <w:t>水</w:t>
                  </w:r>
                </w:p>
              </w:tc>
              <w:tc>
                <w:tcPr>
                  <w:tcW w:w="829" w:type="pct"/>
                  <w:vAlign w:val="center"/>
                </w:tcPr>
                <w:p w14:paraId="772B8B92">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吨</w:t>
                  </w:r>
                </w:p>
              </w:tc>
              <w:tc>
                <w:tcPr>
                  <w:tcW w:w="562" w:type="pct"/>
                  <w:tcBorders>
                    <w:right w:val="single" w:color="auto" w:sz="4" w:space="0"/>
                  </w:tcBorders>
                  <w:vAlign w:val="center"/>
                </w:tcPr>
                <w:p w14:paraId="78B56D35">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33458.1</w:t>
                  </w:r>
                </w:p>
              </w:tc>
              <w:tc>
                <w:tcPr>
                  <w:tcW w:w="2307" w:type="pct"/>
                  <w:tcBorders>
                    <w:right w:val="single" w:color="auto" w:sz="4" w:space="0"/>
                  </w:tcBorders>
                  <w:vAlign w:val="center"/>
                </w:tcPr>
                <w:p w14:paraId="42E460B6">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eastAsia="宋体"/>
                      <w:color w:val="auto"/>
                      <w:highlight w:val="none"/>
                      <w:lang w:val="en-US" w:eastAsia="zh-CN"/>
                    </w:rPr>
                  </w:pPr>
                  <w:r>
                    <w:rPr>
                      <w:rFonts w:hint="eastAsia"/>
                      <w:color w:val="auto"/>
                      <w:highlight w:val="none"/>
                      <w:lang w:val="en-US" w:eastAsia="zh-CN"/>
                    </w:rPr>
                    <w:t>依托厂区现有供水系统</w:t>
                  </w:r>
                  <w:r>
                    <w:commentReference w:id="9"/>
                  </w:r>
                </w:p>
              </w:tc>
            </w:tr>
            <w:tr w14:paraId="1EC194BC">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46" w:type="pct"/>
                  <w:shd w:val="clear" w:color="auto" w:fill="auto"/>
                  <w:vAlign w:val="center"/>
                </w:tcPr>
                <w:p w14:paraId="0E023915">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ascii="Times New Roman" w:hAnsi="Times New Roman" w:cs="Times New Roman" w:eastAsiaTheme="minorEastAsia"/>
                      <w:color w:val="auto"/>
                      <w:kern w:val="2"/>
                      <w:sz w:val="21"/>
                      <w:szCs w:val="21"/>
                      <w:highlight w:val="none"/>
                      <w:lang w:val="en-US" w:eastAsia="zh-CN" w:bidi="ar-SA"/>
                    </w:rPr>
                  </w:pPr>
                  <w:r>
                    <w:rPr>
                      <w:rFonts w:hint="eastAsia" w:cs="Times New Roman"/>
                      <w:color w:val="auto"/>
                      <w:sz w:val="21"/>
                      <w:szCs w:val="21"/>
                      <w:highlight w:val="none"/>
                      <w:lang w:val="en-US" w:eastAsia="zh-CN"/>
                    </w:rPr>
                    <w:t>5</w:t>
                  </w:r>
                </w:p>
              </w:tc>
              <w:tc>
                <w:tcPr>
                  <w:tcW w:w="954" w:type="pct"/>
                  <w:tcBorders>
                    <w:left w:val="single" w:color="auto" w:sz="4" w:space="0"/>
                  </w:tcBorders>
                  <w:shd w:val="clear" w:color="auto" w:fill="auto"/>
                  <w:vAlign w:val="center"/>
                </w:tcPr>
                <w:p w14:paraId="5D38E9AB">
                  <w:pPr>
                    <w:widowControl/>
                    <w:adjustRightInd w:val="0"/>
                    <w:snapToGrid w:val="0"/>
                    <w:spacing w:line="240" w:lineRule="auto"/>
                    <w:ind w:firstLine="0" w:firstLineChars="0"/>
                    <w:jc w:val="center"/>
                    <w:rPr>
                      <w:rFonts w:hint="eastAsia" w:ascii="Times New Roman" w:hAnsi="Times New Roman" w:cs="Times New Roman" w:eastAsiaTheme="minorEastAsia"/>
                      <w:color w:val="auto"/>
                      <w:kern w:val="2"/>
                      <w:sz w:val="21"/>
                      <w:szCs w:val="21"/>
                      <w:highlight w:val="none"/>
                      <w:lang w:val="en-US" w:eastAsia="zh-CN" w:bidi="ar-SA"/>
                    </w:rPr>
                  </w:pPr>
                  <w:r>
                    <w:rPr>
                      <w:rFonts w:hint="eastAsia"/>
                      <w:color w:val="auto"/>
                      <w:sz w:val="21"/>
                      <w:szCs w:val="21"/>
                      <w:highlight w:val="none"/>
                    </w:rPr>
                    <w:t>电</w:t>
                  </w:r>
                </w:p>
              </w:tc>
              <w:tc>
                <w:tcPr>
                  <w:tcW w:w="829" w:type="pct"/>
                  <w:vAlign w:val="center"/>
                </w:tcPr>
                <w:p w14:paraId="6922AA59">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万kWh</w:t>
                  </w:r>
                </w:p>
              </w:tc>
              <w:tc>
                <w:tcPr>
                  <w:tcW w:w="562" w:type="pct"/>
                  <w:tcBorders>
                    <w:right w:val="single" w:color="auto" w:sz="4" w:space="0"/>
                  </w:tcBorders>
                  <w:vAlign w:val="center"/>
                </w:tcPr>
                <w:p w14:paraId="26189FF4">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50.99</w:t>
                  </w:r>
                </w:p>
              </w:tc>
              <w:tc>
                <w:tcPr>
                  <w:tcW w:w="2307" w:type="pct"/>
                  <w:tcBorders>
                    <w:right w:val="single" w:color="auto" w:sz="4" w:space="0"/>
                  </w:tcBorders>
                  <w:vAlign w:val="center"/>
                </w:tcPr>
                <w:p w14:paraId="49DACB7E">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color w:val="auto"/>
                      <w:highlight w:val="none"/>
                    </w:rPr>
                  </w:pPr>
                  <w:r>
                    <w:rPr>
                      <w:rFonts w:hint="eastAsia"/>
                      <w:color w:val="auto"/>
                      <w:highlight w:val="none"/>
                      <w:lang w:val="en-US" w:eastAsia="zh-CN"/>
                    </w:rPr>
                    <w:t>依托厂区现有供电系统</w:t>
                  </w:r>
                </w:p>
              </w:tc>
            </w:tr>
            <w:tr w14:paraId="7C38EF20">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46" w:type="pct"/>
                  <w:shd w:val="clear" w:color="auto" w:fill="auto"/>
                  <w:vAlign w:val="center"/>
                </w:tcPr>
                <w:p w14:paraId="6061FC35">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ascii="Times New Roman" w:hAnsi="Times New Roman" w:cs="Times New Roman" w:eastAsiaTheme="minorEastAsia"/>
                      <w:color w:val="auto"/>
                      <w:kern w:val="2"/>
                      <w:sz w:val="21"/>
                      <w:szCs w:val="21"/>
                      <w:highlight w:val="none"/>
                      <w:lang w:val="en-US" w:eastAsia="zh-CN" w:bidi="ar-SA"/>
                    </w:rPr>
                  </w:pPr>
                  <w:r>
                    <w:rPr>
                      <w:rFonts w:hint="eastAsia" w:cs="Times New Roman"/>
                      <w:color w:val="auto"/>
                      <w:sz w:val="21"/>
                      <w:szCs w:val="21"/>
                      <w:highlight w:val="none"/>
                      <w:lang w:val="en-US" w:eastAsia="zh-CN"/>
                    </w:rPr>
                    <w:t>6</w:t>
                  </w:r>
                </w:p>
              </w:tc>
              <w:tc>
                <w:tcPr>
                  <w:tcW w:w="954" w:type="pct"/>
                  <w:tcBorders>
                    <w:left w:val="single" w:color="auto" w:sz="4" w:space="0"/>
                  </w:tcBorders>
                  <w:shd w:val="clear" w:color="auto" w:fill="auto"/>
                  <w:vAlign w:val="center"/>
                </w:tcPr>
                <w:p w14:paraId="3AE8CEDD">
                  <w:pPr>
                    <w:widowControl/>
                    <w:adjustRightInd w:val="0"/>
                    <w:snapToGrid w:val="0"/>
                    <w:spacing w:line="240" w:lineRule="auto"/>
                    <w:ind w:firstLine="0" w:firstLineChars="0"/>
                    <w:jc w:val="center"/>
                    <w:rPr>
                      <w:rFonts w:hint="eastAsia" w:ascii="Times New Roman" w:hAnsi="Times New Roman" w:cs="Times New Roman" w:eastAsiaTheme="minorEastAsia"/>
                      <w:color w:val="auto"/>
                      <w:kern w:val="2"/>
                      <w:sz w:val="21"/>
                      <w:szCs w:val="21"/>
                      <w:highlight w:val="none"/>
                      <w:lang w:val="en-US" w:eastAsia="zh-CN" w:bidi="ar-SA"/>
                    </w:rPr>
                  </w:pPr>
                  <w:r>
                    <w:rPr>
                      <w:rFonts w:hint="eastAsia"/>
                      <w:color w:val="auto"/>
                      <w:sz w:val="21"/>
                      <w:szCs w:val="21"/>
                      <w:highlight w:val="none"/>
                    </w:rPr>
                    <w:t>润滑油</w:t>
                  </w:r>
                </w:p>
              </w:tc>
              <w:tc>
                <w:tcPr>
                  <w:tcW w:w="829" w:type="pct"/>
                  <w:vAlign w:val="center"/>
                </w:tcPr>
                <w:p w14:paraId="4A98B0B8">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吨</w:t>
                  </w:r>
                </w:p>
              </w:tc>
              <w:tc>
                <w:tcPr>
                  <w:tcW w:w="562" w:type="pct"/>
                  <w:tcBorders>
                    <w:right w:val="single" w:color="auto" w:sz="4" w:space="0"/>
                  </w:tcBorders>
                  <w:vAlign w:val="center"/>
                </w:tcPr>
                <w:p w14:paraId="26319C62">
                  <w:pPr>
                    <w:widowControl/>
                    <w:adjustRightInd w:val="0"/>
                    <w:snapToGrid w:val="0"/>
                    <w:spacing w:line="240" w:lineRule="auto"/>
                    <w:ind w:firstLine="0" w:firstLineChars="0"/>
                    <w:jc w:val="center"/>
                    <w:rPr>
                      <w:rFonts w:hint="eastAsia" w:cs="Times New Roman"/>
                      <w:color w:val="auto"/>
                      <w:sz w:val="21"/>
                      <w:szCs w:val="21"/>
                      <w:highlight w:val="none"/>
                      <w:lang w:val="en-US" w:eastAsia="zh-CN"/>
                    </w:rPr>
                  </w:pPr>
                  <w:r>
                    <w:rPr>
                      <w:rFonts w:hint="eastAsia"/>
                      <w:color w:val="auto"/>
                      <w:sz w:val="21"/>
                      <w:szCs w:val="21"/>
                      <w:highlight w:val="none"/>
                    </w:rPr>
                    <w:t>0.3</w:t>
                  </w:r>
                </w:p>
              </w:tc>
              <w:tc>
                <w:tcPr>
                  <w:tcW w:w="2307" w:type="pct"/>
                  <w:tcBorders>
                    <w:right w:val="single" w:color="auto" w:sz="4" w:space="0"/>
                  </w:tcBorders>
                  <w:vAlign w:val="center"/>
                </w:tcPr>
                <w:p w14:paraId="761AF9DE">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eastAsia="宋体"/>
                      <w:color w:val="auto"/>
                      <w:highlight w:val="none"/>
                      <w:lang w:val="en-US" w:eastAsia="zh-CN"/>
                    </w:rPr>
                  </w:pPr>
                  <w:r>
                    <w:rPr>
                      <w:rFonts w:hint="eastAsia"/>
                      <w:color w:val="auto"/>
                      <w:sz w:val="21"/>
                      <w:szCs w:val="21"/>
                      <w:highlight w:val="none"/>
                      <w:lang w:val="en-US" w:eastAsia="zh-CN"/>
                    </w:rPr>
                    <w:t>依托公司现有油库</w:t>
                  </w:r>
                </w:p>
              </w:tc>
            </w:tr>
            <w:tr w14:paraId="15A03D7C">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46" w:type="pct"/>
                  <w:shd w:val="clear" w:color="auto" w:fill="auto"/>
                  <w:vAlign w:val="center"/>
                </w:tcPr>
                <w:p w14:paraId="7550D048">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ascii="Times New Roman" w:hAnsi="Times New Roman" w:cs="Times New Roman" w:eastAsiaTheme="minorEastAsia"/>
                      <w:color w:val="auto"/>
                      <w:kern w:val="2"/>
                      <w:sz w:val="21"/>
                      <w:szCs w:val="21"/>
                      <w:highlight w:val="none"/>
                      <w:lang w:val="en-US" w:eastAsia="zh-CN" w:bidi="ar-SA"/>
                    </w:rPr>
                  </w:pPr>
                  <w:r>
                    <w:rPr>
                      <w:rFonts w:hint="eastAsia" w:cs="Times New Roman"/>
                      <w:color w:val="auto"/>
                      <w:sz w:val="21"/>
                      <w:szCs w:val="21"/>
                      <w:highlight w:val="none"/>
                      <w:lang w:val="en-US" w:eastAsia="zh-CN"/>
                    </w:rPr>
                    <w:t>7</w:t>
                  </w:r>
                </w:p>
              </w:tc>
              <w:tc>
                <w:tcPr>
                  <w:tcW w:w="954" w:type="pct"/>
                  <w:tcBorders>
                    <w:left w:val="single" w:color="auto" w:sz="4" w:space="0"/>
                  </w:tcBorders>
                  <w:shd w:val="clear" w:color="auto" w:fill="auto"/>
                  <w:vAlign w:val="center"/>
                </w:tcPr>
                <w:p w14:paraId="2EE486FD">
                  <w:pPr>
                    <w:widowControl/>
                    <w:adjustRightInd w:val="0"/>
                    <w:snapToGrid w:val="0"/>
                    <w:spacing w:line="240" w:lineRule="auto"/>
                    <w:ind w:firstLine="0" w:firstLineChars="0"/>
                    <w:jc w:val="center"/>
                    <w:rPr>
                      <w:rFonts w:hint="eastAsia" w:ascii="Times New Roman" w:hAnsi="Times New Roman" w:cs="Times New Roman" w:eastAsiaTheme="minorEastAsia"/>
                      <w:color w:val="auto"/>
                      <w:kern w:val="2"/>
                      <w:sz w:val="21"/>
                      <w:szCs w:val="21"/>
                      <w:highlight w:val="none"/>
                      <w:lang w:val="en-US" w:eastAsia="zh-CN" w:bidi="ar-SA"/>
                    </w:rPr>
                  </w:pPr>
                  <w:r>
                    <w:rPr>
                      <w:rFonts w:hint="eastAsia"/>
                      <w:color w:val="auto"/>
                      <w:sz w:val="21"/>
                      <w:szCs w:val="21"/>
                      <w:highlight w:val="none"/>
                    </w:rPr>
                    <w:t>液压油</w:t>
                  </w:r>
                </w:p>
              </w:tc>
              <w:tc>
                <w:tcPr>
                  <w:tcW w:w="829" w:type="pct"/>
                  <w:vAlign w:val="center"/>
                </w:tcPr>
                <w:p w14:paraId="20F5EC97">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吨</w:t>
                  </w:r>
                </w:p>
              </w:tc>
              <w:tc>
                <w:tcPr>
                  <w:tcW w:w="562" w:type="pct"/>
                  <w:tcBorders>
                    <w:bottom w:val="single" w:color="auto" w:sz="4" w:space="0"/>
                    <w:right w:val="single" w:color="auto" w:sz="4" w:space="0"/>
                  </w:tcBorders>
                  <w:vAlign w:val="center"/>
                </w:tcPr>
                <w:p w14:paraId="449D05F2">
                  <w:pPr>
                    <w:widowControl/>
                    <w:adjustRightInd w:val="0"/>
                    <w:snapToGrid w:val="0"/>
                    <w:spacing w:line="240" w:lineRule="auto"/>
                    <w:ind w:firstLine="0" w:firstLineChars="0"/>
                    <w:jc w:val="center"/>
                    <w:rPr>
                      <w:rFonts w:hint="eastAsia" w:cs="Times New Roman"/>
                      <w:color w:val="auto"/>
                      <w:sz w:val="21"/>
                      <w:szCs w:val="21"/>
                      <w:highlight w:val="none"/>
                      <w:lang w:val="en-US" w:eastAsia="zh-CN"/>
                    </w:rPr>
                  </w:pPr>
                  <w:r>
                    <w:rPr>
                      <w:rFonts w:hint="eastAsia"/>
                      <w:color w:val="auto"/>
                      <w:sz w:val="21"/>
                      <w:szCs w:val="21"/>
                      <w:highlight w:val="none"/>
                    </w:rPr>
                    <w:t>6</w:t>
                  </w:r>
                </w:p>
              </w:tc>
              <w:tc>
                <w:tcPr>
                  <w:tcW w:w="2307" w:type="pct"/>
                  <w:tcBorders>
                    <w:bottom w:val="single" w:color="auto" w:sz="4" w:space="0"/>
                    <w:right w:val="single" w:color="auto" w:sz="4" w:space="0"/>
                  </w:tcBorders>
                  <w:vAlign w:val="center"/>
                </w:tcPr>
                <w:p w14:paraId="5CD70503">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color w:val="auto"/>
                      <w:highlight w:val="none"/>
                    </w:rPr>
                  </w:pPr>
                  <w:r>
                    <w:rPr>
                      <w:rFonts w:hint="eastAsia"/>
                      <w:color w:val="auto"/>
                      <w:sz w:val="21"/>
                      <w:szCs w:val="21"/>
                      <w:highlight w:val="none"/>
                      <w:lang w:val="en-US" w:eastAsia="zh-CN"/>
                    </w:rPr>
                    <w:t>依托公司现有油库</w:t>
                  </w:r>
                </w:p>
              </w:tc>
            </w:tr>
          </w:tbl>
          <w:p w14:paraId="76A556E5">
            <w:pPr>
              <w:pStyle w:val="21"/>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2-</w:t>
            </w:r>
            <w:r>
              <w:rPr>
                <w:rFonts w:hint="eastAsia"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 xml:space="preserve">    </w:t>
            </w:r>
            <w:r>
              <w:rPr>
                <w:rFonts w:hint="eastAsia" w:cs="Times New Roman" w:eastAsiaTheme="minorEastAsia"/>
                <w:color w:val="auto"/>
                <w:sz w:val="21"/>
                <w:szCs w:val="21"/>
                <w:highlight w:val="none"/>
                <w:lang w:val="en-US" w:eastAsia="zh-CN"/>
              </w:rPr>
              <w:t>项目</w:t>
            </w:r>
            <w:r>
              <w:rPr>
                <w:rFonts w:hint="eastAsia" w:cs="Times New Roman"/>
                <w:color w:val="auto"/>
                <w:sz w:val="21"/>
                <w:szCs w:val="21"/>
                <w:highlight w:val="none"/>
                <w:lang w:val="en-US" w:eastAsia="zh-CN"/>
              </w:rPr>
              <w:t>物料平衡</w:t>
            </w:r>
          </w:p>
          <w:tbl>
            <w:tblPr>
              <w:tblStyle w:val="84"/>
              <w:tblW w:w="5000" w:type="pct"/>
              <w:jc w:val="center"/>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Layout w:type="fixed"/>
              <w:tblCellMar>
                <w:top w:w="0" w:type="dxa"/>
                <w:left w:w="0" w:type="dxa"/>
                <w:bottom w:w="0" w:type="dxa"/>
                <w:right w:w="0" w:type="dxa"/>
              </w:tblCellMar>
            </w:tblPr>
            <w:tblGrid>
              <w:gridCol w:w="1047"/>
              <w:gridCol w:w="1313"/>
              <w:gridCol w:w="963"/>
              <w:gridCol w:w="1037"/>
              <w:gridCol w:w="1727"/>
              <w:gridCol w:w="1269"/>
              <w:gridCol w:w="1060"/>
            </w:tblGrid>
            <w:tr w14:paraId="2CE8904F">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55" w:hRule="atLeast"/>
                <w:jc w:val="center"/>
              </w:trPr>
              <w:tc>
                <w:tcPr>
                  <w:tcW w:w="2590" w:type="pct"/>
                  <w:gridSpan w:val="4"/>
                  <w:tcBorders>
                    <w:right w:val="single" w:color="auto" w:sz="4" w:space="0"/>
                  </w:tcBorders>
                  <w:vAlign w:val="center"/>
                </w:tcPr>
                <w:p w14:paraId="0ACE02AE">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val="en-US" w:eastAsia="zh-CN"/>
                    </w:rPr>
                    <w:t>输入</w:t>
                  </w:r>
                </w:p>
              </w:tc>
              <w:tc>
                <w:tcPr>
                  <w:tcW w:w="2409" w:type="pct"/>
                  <w:gridSpan w:val="3"/>
                  <w:tcBorders>
                    <w:right w:val="single" w:color="auto" w:sz="4" w:space="0"/>
                  </w:tcBorders>
                  <w:vAlign w:val="center"/>
                </w:tcPr>
                <w:p w14:paraId="7CC582CE">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输出</w:t>
                  </w:r>
                </w:p>
              </w:tc>
            </w:tr>
            <w:tr w14:paraId="1077AE5A">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417" w:hRule="atLeast"/>
                <w:jc w:val="center"/>
              </w:trPr>
              <w:tc>
                <w:tcPr>
                  <w:tcW w:w="622" w:type="pct"/>
                  <w:vAlign w:val="center"/>
                </w:tcPr>
                <w:p w14:paraId="619350AC">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序号</w:t>
                  </w:r>
                </w:p>
              </w:tc>
              <w:tc>
                <w:tcPr>
                  <w:tcW w:w="780" w:type="pct"/>
                  <w:tcBorders>
                    <w:left w:val="single" w:color="auto" w:sz="4" w:space="0"/>
                  </w:tcBorders>
                  <w:vAlign w:val="center"/>
                </w:tcPr>
                <w:p w14:paraId="30F0FD85">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名称</w:t>
                  </w:r>
                </w:p>
              </w:tc>
              <w:tc>
                <w:tcPr>
                  <w:tcW w:w="572" w:type="pct"/>
                  <w:vAlign w:val="center"/>
                </w:tcPr>
                <w:p w14:paraId="786D4E7E">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单位</w:t>
                  </w:r>
                </w:p>
              </w:tc>
              <w:tc>
                <w:tcPr>
                  <w:tcW w:w="616" w:type="pct"/>
                  <w:tcBorders>
                    <w:bottom w:val="single" w:color="auto" w:sz="4" w:space="0"/>
                    <w:right w:val="single" w:color="auto" w:sz="4" w:space="0"/>
                  </w:tcBorders>
                  <w:vAlign w:val="center"/>
                </w:tcPr>
                <w:p w14:paraId="5B47D3D2">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数量</w:t>
                  </w:r>
                </w:p>
              </w:tc>
              <w:tc>
                <w:tcPr>
                  <w:tcW w:w="1026" w:type="pct"/>
                  <w:tcBorders>
                    <w:bottom w:val="single" w:color="auto" w:sz="4" w:space="0"/>
                    <w:right w:val="single" w:color="auto" w:sz="4" w:space="0"/>
                  </w:tcBorders>
                  <w:vAlign w:val="center"/>
                </w:tcPr>
                <w:p w14:paraId="1632B53D">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名称</w:t>
                  </w:r>
                </w:p>
              </w:tc>
              <w:tc>
                <w:tcPr>
                  <w:tcW w:w="754" w:type="pct"/>
                  <w:tcBorders>
                    <w:bottom w:val="single" w:color="auto" w:sz="4" w:space="0"/>
                    <w:right w:val="single" w:color="auto" w:sz="4" w:space="0"/>
                  </w:tcBorders>
                  <w:vAlign w:val="center"/>
                </w:tcPr>
                <w:p w14:paraId="0DB65FB7">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val="en-US" w:eastAsia="zh-CN"/>
                    </w:rPr>
                    <w:t>单位</w:t>
                  </w:r>
                </w:p>
              </w:tc>
              <w:tc>
                <w:tcPr>
                  <w:tcW w:w="629" w:type="pct"/>
                  <w:tcBorders>
                    <w:bottom w:val="single" w:color="auto" w:sz="4" w:space="0"/>
                    <w:right w:val="single" w:color="auto" w:sz="4" w:space="0"/>
                  </w:tcBorders>
                  <w:vAlign w:val="center"/>
                </w:tcPr>
                <w:p w14:paraId="66C2F9B2">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数量</w:t>
                  </w:r>
                </w:p>
              </w:tc>
            </w:tr>
            <w:tr w14:paraId="3D7361B5">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417" w:hRule="atLeast"/>
                <w:jc w:val="center"/>
              </w:trPr>
              <w:tc>
                <w:tcPr>
                  <w:tcW w:w="622" w:type="pct"/>
                  <w:shd w:val="clear" w:color="auto" w:fill="auto"/>
                  <w:vAlign w:val="center"/>
                </w:tcPr>
                <w:p w14:paraId="27584ADF">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1</w:t>
                  </w:r>
                </w:p>
              </w:tc>
              <w:tc>
                <w:tcPr>
                  <w:tcW w:w="780" w:type="pct"/>
                  <w:tcBorders>
                    <w:left w:val="single" w:color="auto" w:sz="4" w:space="0"/>
                  </w:tcBorders>
                  <w:shd w:val="clear" w:color="auto" w:fill="auto"/>
                  <w:vAlign w:val="center"/>
                </w:tcPr>
                <w:p w14:paraId="7C6EB342">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除尘灰</w:t>
                  </w:r>
                </w:p>
              </w:tc>
              <w:tc>
                <w:tcPr>
                  <w:tcW w:w="572" w:type="pct"/>
                  <w:tcBorders>
                    <w:bottom w:val="single" w:color="auto" w:sz="4" w:space="0"/>
                  </w:tcBorders>
                  <w:shd w:val="clear" w:color="auto" w:fill="auto"/>
                  <w:vAlign w:val="center"/>
                </w:tcPr>
                <w:p w14:paraId="2B0BE63A">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万吨</w:t>
                  </w:r>
                </w:p>
              </w:tc>
              <w:tc>
                <w:tcPr>
                  <w:tcW w:w="1037" w:type="dxa"/>
                  <w:tcBorders>
                    <w:bottom w:val="single" w:color="auto" w:sz="4" w:space="0"/>
                    <w:right w:val="single" w:color="auto" w:sz="4" w:space="0"/>
                  </w:tcBorders>
                  <w:shd w:val="clear" w:color="auto" w:fill="auto"/>
                  <w:vAlign w:val="center"/>
                </w:tcPr>
                <w:p w14:paraId="0AE2B9E6">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2.87</w:t>
                  </w:r>
                </w:p>
              </w:tc>
              <w:tc>
                <w:tcPr>
                  <w:tcW w:w="1026" w:type="pct"/>
                  <w:tcBorders>
                    <w:bottom w:val="single" w:color="auto" w:sz="4" w:space="0"/>
                    <w:right w:val="single" w:color="auto" w:sz="4" w:space="0"/>
                  </w:tcBorders>
                  <w:shd w:val="clear" w:color="auto" w:fill="auto"/>
                  <w:vAlign w:val="center"/>
                </w:tcPr>
                <w:p w14:paraId="3ACF3EF6">
                  <w:pPr>
                    <w:widowControl/>
                    <w:adjustRightInd w:val="0"/>
                    <w:snapToGrid w:val="0"/>
                    <w:spacing w:line="240" w:lineRule="auto"/>
                    <w:ind w:firstLine="0" w:firstLineChars="0"/>
                    <w:jc w:val="center"/>
                    <w:rPr>
                      <w:rFonts w:hint="default"/>
                      <w:color w:val="auto"/>
                      <w:sz w:val="21"/>
                      <w:szCs w:val="21"/>
                      <w:highlight w:val="none"/>
                      <w:lang w:val="en-US" w:eastAsia="zh-CN"/>
                    </w:rPr>
                  </w:pPr>
                  <w:r>
                    <w:rPr>
                      <w:rFonts w:hint="eastAsia"/>
                      <w:color w:val="auto"/>
                      <w:sz w:val="21"/>
                      <w:szCs w:val="21"/>
                      <w:highlight w:val="none"/>
                      <w:lang w:val="en-US" w:eastAsia="zh-CN"/>
                    </w:rPr>
                    <w:t>含铁废料压球</w:t>
                  </w:r>
                </w:p>
              </w:tc>
              <w:tc>
                <w:tcPr>
                  <w:tcW w:w="754" w:type="pct"/>
                  <w:tcBorders>
                    <w:bottom w:val="single" w:color="auto" w:sz="4" w:space="0"/>
                    <w:right w:val="single" w:color="auto" w:sz="4" w:space="0"/>
                  </w:tcBorders>
                  <w:shd w:val="clear" w:color="auto" w:fill="auto"/>
                  <w:vAlign w:val="center"/>
                </w:tcPr>
                <w:p w14:paraId="143F1A92">
                  <w:pPr>
                    <w:widowControl/>
                    <w:adjustRightInd w:val="0"/>
                    <w:snapToGrid w:val="0"/>
                    <w:spacing w:line="240" w:lineRule="auto"/>
                    <w:ind w:firstLine="0" w:firstLineChars="0"/>
                    <w:jc w:val="center"/>
                    <w:rPr>
                      <w:rFonts w:hint="default"/>
                      <w:color w:val="auto"/>
                      <w:sz w:val="21"/>
                      <w:szCs w:val="21"/>
                      <w:highlight w:val="none"/>
                      <w:lang w:val="en-US" w:eastAsia="zh-CN"/>
                    </w:rPr>
                  </w:pPr>
                  <w:r>
                    <w:rPr>
                      <w:rFonts w:hint="default"/>
                      <w:color w:val="auto"/>
                      <w:sz w:val="21"/>
                      <w:szCs w:val="21"/>
                      <w:highlight w:val="none"/>
                      <w:lang w:val="en-US" w:eastAsia="zh-CN"/>
                    </w:rPr>
                    <w:t>万吨</w:t>
                  </w:r>
                </w:p>
              </w:tc>
              <w:tc>
                <w:tcPr>
                  <w:tcW w:w="629" w:type="pct"/>
                  <w:tcBorders>
                    <w:bottom w:val="single" w:color="auto" w:sz="4" w:space="0"/>
                    <w:right w:val="single" w:color="auto" w:sz="4" w:space="0"/>
                  </w:tcBorders>
                  <w:vAlign w:val="center"/>
                </w:tcPr>
                <w:p w14:paraId="4F68179E">
                  <w:pPr>
                    <w:widowControl/>
                    <w:adjustRightInd w:val="0"/>
                    <w:snapToGrid w:val="0"/>
                    <w:spacing w:line="240" w:lineRule="auto"/>
                    <w:ind w:firstLine="0" w:firstLineChars="0"/>
                    <w:jc w:val="center"/>
                    <w:rPr>
                      <w:rFonts w:hint="default"/>
                      <w:color w:val="auto"/>
                      <w:sz w:val="21"/>
                      <w:szCs w:val="21"/>
                      <w:highlight w:val="none"/>
                      <w:lang w:val="en-US" w:eastAsia="zh-CN"/>
                    </w:rPr>
                  </w:pPr>
                  <w:r>
                    <w:rPr>
                      <w:rFonts w:hint="eastAsia"/>
                      <w:color w:val="auto"/>
                      <w:sz w:val="21"/>
                      <w:szCs w:val="21"/>
                      <w:highlight w:val="none"/>
                      <w:lang w:val="en-US" w:eastAsia="zh-CN"/>
                    </w:rPr>
                    <w:t>10.8</w:t>
                  </w:r>
                </w:p>
              </w:tc>
            </w:tr>
            <w:tr w14:paraId="2A57DDA7">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420" w:hRule="atLeast"/>
                <w:jc w:val="center"/>
              </w:trPr>
              <w:tc>
                <w:tcPr>
                  <w:tcW w:w="622" w:type="pct"/>
                  <w:vAlign w:val="center"/>
                </w:tcPr>
                <w:p w14:paraId="40B6EBB3">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w:t>
                  </w:r>
                </w:p>
              </w:tc>
              <w:tc>
                <w:tcPr>
                  <w:tcW w:w="780" w:type="pct"/>
                  <w:tcBorders>
                    <w:left w:val="single" w:color="auto" w:sz="4" w:space="0"/>
                  </w:tcBorders>
                  <w:vAlign w:val="center"/>
                </w:tcPr>
                <w:p w14:paraId="6A1AA0FD">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eastAsiaTheme="minorEastAsia"/>
                      <w:color w:val="auto"/>
                      <w:sz w:val="21"/>
                      <w:szCs w:val="21"/>
                      <w:highlight w:val="none"/>
                      <w:lang w:val="en-US" w:eastAsia="zh-CN"/>
                    </w:rPr>
                    <w:t>含铁沉泥</w:t>
                  </w:r>
                </w:p>
              </w:tc>
              <w:tc>
                <w:tcPr>
                  <w:tcW w:w="572" w:type="pct"/>
                  <w:tcBorders>
                    <w:top w:val="single" w:color="auto" w:sz="4" w:space="0"/>
                  </w:tcBorders>
                  <w:vAlign w:val="center"/>
                </w:tcPr>
                <w:p w14:paraId="6D32E976">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万吨</w:t>
                  </w:r>
                </w:p>
              </w:tc>
              <w:tc>
                <w:tcPr>
                  <w:tcW w:w="1037" w:type="dxa"/>
                  <w:tcBorders>
                    <w:top w:val="single" w:color="auto" w:sz="4" w:space="0"/>
                    <w:bottom w:val="single" w:color="auto" w:sz="4" w:space="0"/>
                    <w:right w:val="single" w:color="auto" w:sz="4" w:space="0"/>
                  </w:tcBorders>
                  <w:vAlign w:val="center"/>
                </w:tcPr>
                <w:p w14:paraId="24B32B99">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1.28</w:t>
                  </w:r>
                </w:p>
              </w:tc>
              <w:tc>
                <w:tcPr>
                  <w:tcW w:w="1026" w:type="pct"/>
                  <w:tcBorders>
                    <w:top w:val="single" w:color="auto" w:sz="4" w:space="0"/>
                    <w:bottom w:val="single" w:color="auto" w:sz="4" w:space="0"/>
                    <w:right w:val="single" w:color="auto" w:sz="4" w:space="0"/>
                  </w:tcBorders>
                  <w:vAlign w:val="center"/>
                </w:tcPr>
                <w:p w14:paraId="7818F1C8">
                  <w:pPr>
                    <w:widowControl/>
                    <w:adjustRightInd w:val="0"/>
                    <w:snapToGrid w:val="0"/>
                    <w:spacing w:line="240" w:lineRule="auto"/>
                    <w:ind w:firstLine="0" w:firstLineChars="0"/>
                    <w:jc w:val="center"/>
                    <w:rPr>
                      <w:rFonts w:hint="default"/>
                      <w:color w:val="auto"/>
                      <w:sz w:val="21"/>
                      <w:szCs w:val="21"/>
                      <w:highlight w:val="none"/>
                      <w:lang w:val="en-US" w:eastAsia="zh-CN"/>
                    </w:rPr>
                  </w:pPr>
                  <w:r>
                    <w:rPr>
                      <w:rFonts w:hint="eastAsia"/>
                      <w:color w:val="auto"/>
                      <w:sz w:val="21"/>
                      <w:szCs w:val="21"/>
                      <w:highlight w:val="none"/>
                      <w:lang w:val="en-US" w:eastAsia="zh-CN"/>
                    </w:rPr>
                    <w:t>大粒径</w:t>
                  </w:r>
                </w:p>
              </w:tc>
              <w:tc>
                <w:tcPr>
                  <w:tcW w:w="754" w:type="pct"/>
                  <w:tcBorders>
                    <w:top w:val="single" w:color="auto" w:sz="4" w:space="0"/>
                    <w:bottom w:val="single" w:color="auto" w:sz="4" w:space="0"/>
                    <w:right w:val="single" w:color="auto" w:sz="4" w:space="0"/>
                  </w:tcBorders>
                  <w:vAlign w:val="center"/>
                </w:tcPr>
                <w:p w14:paraId="501E3E84">
                  <w:pPr>
                    <w:widowControl/>
                    <w:adjustRightInd w:val="0"/>
                    <w:snapToGrid w:val="0"/>
                    <w:spacing w:line="240" w:lineRule="auto"/>
                    <w:ind w:firstLine="0" w:firstLineChars="0"/>
                    <w:jc w:val="center"/>
                    <w:rPr>
                      <w:rFonts w:hint="default"/>
                      <w:color w:val="auto"/>
                      <w:sz w:val="21"/>
                      <w:szCs w:val="21"/>
                      <w:highlight w:val="none"/>
                    </w:rPr>
                  </w:pPr>
                  <w:r>
                    <w:rPr>
                      <w:rFonts w:hint="default"/>
                      <w:color w:val="auto"/>
                      <w:sz w:val="21"/>
                      <w:szCs w:val="21"/>
                      <w:highlight w:val="none"/>
                      <w:lang w:val="en-US" w:eastAsia="zh-CN"/>
                    </w:rPr>
                    <w:t>万吨</w:t>
                  </w:r>
                </w:p>
              </w:tc>
              <w:tc>
                <w:tcPr>
                  <w:tcW w:w="629" w:type="pct"/>
                  <w:tcBorders>
                    <w:top w:val="single" w:color="auto" w:sz="4" w:space="0"/>
                    <w:bottom w:val="single" w:color="auto" w:sz="4" w:space="0"/>
                    <w:right w:val="single" w:color="auto" w:sz="4" w:space="0"/>
                  </w:tcBorders>
                  <w:vAlign w:val="center"/>
                </w:tcPr>
                <w:p w14:paraId="32AA03E0">
                  <w:pPr>
                    <w:widowControl/>
                    <w:adjustRightInd w:val="0"/>
                    <w:snapToGrid w:val="0"/>
                    <w:spacing w:line="240" w:lineRule="auto"/>
                    <w:ind w:firstLine="0" w:firstLineChars="0"/>
                    <w:jc w:val="center"/>
                    <w:rPr>
                      <w:rFonts w:hint="default"/>
                      <w:color w:val="auto"/>
                      <w:sz w:val="21"/>
                      <w:szCs w:val="21"/>
                      <w:highlight w:val="none"/>
                      <w:lang w:val="en-US" w:eastAsia="zh-CN"/>
                    </w:rPr>
                  </w:pPr>
                  <w:r>
                    <w:rPr>
                      <w:rFonts w:hint="eastAsia"/>
                      <w:color w:val="auto"/>
                      <w:sz w:val="21"/>
                      <w:szCs w:val="21"/>
                      <w:highlight w:val="none"/>
                      <w:lang w:val="en-US" w:eastAsia="zh-CN"/>
                    </w:rPr>
                    <w:t>0.1</w:t>
                  </w:r>
                </w:p>
              </w:tc>
            </w:tr>
            <w:tr w14:paraId="702F9A7A">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622" w:type="pct"/>
                  <w:vAlign w:val="center"/>
                </w:tcPr>
                <w:p w14:paraId="057FC187">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780" w:type="pct"/>
                  <w:tcBorders>
                    <w:left w:val="single" w:color="auto" w:sz="4" w:space="0"/>
                  </w:tcBorders>
                  <w:vAlign w:val="center"/>
                </w:tcPr>
                <w:p w14:paraId="2F65202D">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eastAsiaTheme="minorEastAsia"/>
                      <w:color w:val="auto"/>
                      <w:sz w:val="21"/>
                      <w:szCs w:val="21"/>
                      <w:highlight w:val="none"/>
                      <w:lang w:val="en-US" w:eastAsia="zh-CN"/>
                    </w:rPr>
                    <w:t>矿粉</w:t>
                  </w:r>
                </w:p>
              </w:tc>
              <w:tc>
                <w:tcPr>
                  <w:tcW w:w="572" w:type="pct"/>
                  <w:vAlign w:val="center"/>
                </w:tcPr>
                <w:p w14:paraId="6D7D6DB5">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万吨</w:t>
                  </w:r>
                </w:p>
              </w:tc>
              <w:tc>
                <w:tcPr>
                  <w:tcW w:w="616" w:type="pct"/>
                  <w:tcBorders>
                    <w:top w:val="single" w:color="auto" w:sz="4" w:space="0"/>
                    <w:bottom w:val="single" w:color="auto" w:sz="4" w:space="0"/>
                    <w:right w:val="single" w:color="auto" w:sz="4" w:space="0"/>
                  </w:tcBorders>
                  <w:vAlign w:val="center"/>
                </w:tcPr>
                <w:p w14:paraId="5D67B864">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4.81</w:t>
                  </w:r>
                </w:p>
              </w:tc>
              <w:tc>
                <w:tcPr>
                  <w:tcW w:w="1026" w:type="pct"/>
                  <w:tcBorders>
                    <w:top w:val="single" w:color="auto" w:sz="4" w:space="0"/>
                    <w:bottom w:val="single" w:color="auto" w:sz="4" w:space="0"/>
                    <w:right w:val="single" w:color="auto" w:sz="4" w:space="0"/>
                  </w:tcBorders>
                  <w:shd w:val="clear" w:color="auto" w:fill="auto"/>
                  <w:vAlign w:val="center"/>
                </w:tcPr>
                <w:p w14:paraId="1FC4F34B">
                  <w:pPr>
                    <w:widowControl/>
                    <w:adjustRightInd w:val="0"/>
                    <w:snapToGrid w:val="0"/>
                    <w:spacing w:line="240" w:lineRule="auto"/>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水蒸气</w:t>
                  </w:r>
                </w:p>
              </w:tc>
              <w:tc>
                <w:tcPr>
                  <w:tcW w:w="754" w:type="pct"/>
                  <w:tcBorders>
                    <w:top w:val="single" w:color="auto" w:sz="4" w:space="0"/>
                    <w:bottom w:val="single" w:color="auto" w:sz="4" w:space="0"/>
                    <w:right w:val="single" w:color="auto" w:sz="4" w:space="0"/>
                  </w:tcBorders>
                  <w:shd w:val="clear" w:color="auto" w:fill="auto"/>
                  <w:vAlign w:val="center"/>
                </w:tcPr>
                <w:p w14:paraId="63FFBE93">
                  <w:pPr>
                    <w:widowControl/>
                    <w:adjustRightInd w:val="0"/>
                    <w:snapToGrid w:val="0"/>
                    <w:spacing w:line="240" w:lineRule="auto"/>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color w:val="auto"/>
                      <w:sz w:val="21"/>
                      <w:szCs w:val="21"/>
                      <w:highlight w:val="none"/>
                      <w:lang w:val="en-US" w:eastAsia="zh-CN"/>
                    </w:rPr>
                    <w:t>万吨</w:t>
                  </w:r>
                </w:p>
              </w:tc>
              <w:tc>
                <w:tcPr>
                  <w:tcW w:w="629" w:type="pct"/>
                  <w:tcBorders>
                    <w:top w:val="single" w:color="auto" w:sz="4" w:space="0"/>
                    <w:bottom w:val="single" w:color="auto" w:sz="4" w:space="0"/>
                    <w:right w:val="single" w:color="auto" w:sz="4" w:space="0"/>
                  </w:tcBorders>
                  <w:shd w:val="clear" w:color="auto" w:fill="auto"/>
                  <w:vAlign w:val="center"/>
                </w:tcPr>
                <w:p w14:paraId="1EA5597A">
                  <w:pPr>
                    <w:widowControl/>
                    <w:adjustRightInd w:val="0"/>
                    <w:snapToGrid w:val="0"/>
                    <w:spacing w:line="240" w:lineRule="auto"/>
                    <w:ind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2.92</w:t>
                  </w:r>
                </w:p>
              </w:tc>
            </w:tr>
            <w:tr w14:paraId="1BD9D713">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622" w:type="pct"/>
                  <w:vAlign w:val="center"/>
                </w:tcPr>
                <w:p w14:paraId="476EA348">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4</w:t>
                  </w:r>
                </w:p>
              </w:tc>
              <w:tc>
                <w:tcPr>
                  <w:tcW w:w="780" w:type="pct"/>
                  <w:tcBorders>
                    <w:left w:val="single" w:color="auto" w:sz="4" w:space="0"/>
                  </w:tcBorders>
                  <w:vAlign w:val="center"/>
                </w:tcPr>
                <w:p w14:paraId="2E7DECFA">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eastAsiaTheme="minorEastAsia"/>
                      <w:color w:val="auto"/>
                      <w:sz w:val="21"/>
                      <w:szCs w:val="21"/>
                      <w:highlight w:val="none"/>
                      <w:lang w:val="en-US" w:eastAsia="zh-CN"/>
                    </w:rPr>
                    <w:t>粘合剂</w:t>
                  </w:r>
                </w:p>
              </w:tc>
              <w:tc>
                <w:tcPr>
                  <w:tcW w:w="572" w:type="pct"/>
                  <w:vAlign w:val="center"/>
                </w:tcPr>
                <w:p w14:paraId="02DAE387">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万吨</w:t>
                  </w:r>
                </w:p>
              </w:tc>
              <w:tc>
                <w:tcPr>
                  <w:tcW w:w="616" w:type="pct"/>
                  <w:tcBorders>
                    <w:top w:val="single" w:color="auto" w:sz="4" w:space="0"/>
                    <w:bottom w:val="single" w:color="auto" w:sz="4" w:space="0"/>
                    <w:right w:val="single" w:color="auto" w:sz="4" w:space="0"/>
                  </w:tcBorders>
                  <w:vAlign w:val="center"/>
                </w:tcPr>
                <w:p w14:paraId="240171E3">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1.62</w:t>
                  </w:r>
                </w:p>
              </w:tc>
              <w:tc>
                <w:tcPr>
                  <w:tcW w:w="1026" w:type="pct"/>
                  <w:tcBorders>
                    <w:top w:val="single" w:color="auto" w:sz="4" w:space="0"/>
                    <w:bottom w:val="single" w:color="auto" w:sz="4" w:space="0"/>
                    <w:right w:val="single" w:color="auto" w:sz="4" w:space="0"/>
                  </w:tcBorders>
                  <w:shd w:val="clear" w:color="auto" w:fill="auto"/>
                  <w:vAlign w:val="center"/>
                </w:tcPr>
                <w:p w14:paraId="6128EF6C">
                  <w:pPr>
                    <w:widowControl/>
                    <w:adjustRightInd w:val="0"/>
                    <w:snapToGrid w:val="0"/>
                    <w:spacing w:line="240" w:lineRule="auto"/>
                    <w:ind w:firstLine="0" w:firstLineChars="0"/>
                    <w:jc w:val="center"/>
                    <w:rPr>
                      <w:rFonts w:hint="default" w:ascii="Times New Roman" w:hAnsi="Times New Roman" w:eastAsia="宋体" w:cs="Times New Roman"/>
                      <w:color w:val="auto"/>
                      <w:kern w:val="2"/>
                      <w:sz w:val="21"/>
                      <w:szCs w:val="21"/>
                      <w:highlight w:val="none"/>
                      <w:lang w:val="en-US" w:eastAsia="zh-CN" w:bidi="ar-SA"/>
                    </w:rPr>
                  </w:pPr>
                </w:p>
              </w:tc>
              <w:tc>
                <w:tcPr>
                  <w:tcW w:w="754" w:type="pct"/>
                  <w:tcBorders>
                    <w:top w:val="single" w:color="auto" w:sz="4" w:space="0"/>
                    <w:bottom w:val="single" w:color="auto" w:sz="4" w:space="0"/>
                    <w:right w:val="single" w:color="auto" w:sz="4" w:space="0"/>
                  </w:tcBorders>
                  <w:shd w:val="clear" w:color="auto" w:fill="auto"/>
                  <w:vAlign w:val="center"/>
                </w:tcPr>
                <w:p w14:paraId="51B3D1DC">
                  <w:pPr>
                    <w:widowControl/>
                    <w:adjustRightInd w:val="0"/>
                    <w:snapToGrid w:val="0"/>
                    <w:spacing w:line="240" w:lineRule="auto"/>
                    <w:ind w:firstLine="0" w:firstLineChars="0"/>
                    <w:jc w:val="center"/>
                    <w:rPr>
                      <w:rFonts w:hint="default" w:ascii="Times New Roman" w:hAnsi="Times New Roman" w:eastAsia="宋体" w:cs="Times New Roman"/>
                      <w:color w:val="auto"/>
                      <w:kern w:val="2"/>
                      <w:sz w:val="21"/>
                      <w:szCs w:val="21"/>
                      <w:highlight w:val="none"/>
                      <w:lang w:val="en-US" w:eastAsia="zh-CN" w:bidi="ar-SA"/>
                    </w:rPr>
                  </w:pPr>
                </w:p>
              </w:tc>
              <w:tc>
                <w:tcPr>
                  <w:tcW w:w="629" w:type="pct"/>
                  <w:tcBorders>
                    <w:top w:val="single" w:color="auto" w:sz="4" w:space="0"/>
                    <w:bottom w:val="single" w:color="auto" w:sz="4" w:space="0"/>
                    <w:right w:val="single" w:color="auto" w:sz="4" w:space="0"/>
                  </w:tcBorders>
                  <w:shd w:val="clear" w:color="auto" w:fill="auto"/>
                  <w:vAlign w:val="center"/>
                </w:tcPr>
                <w:p w14:paraId="5877F8EC">
                  <w:pPr>
                    <w:widowControl/>
                    <w:adjustRightInd w:val="0"/>
                    <w:snapToGrid w:val="0"/>
                    <w:spacing w:line="240" w:lineRule="auto"/>
                    <w:ind w:firstLine="0" w:firstLineChars="0"/>
                    <w:jc w:val="center"/>
                    <w:rPr>
                      <w:rFonts w:hint="eastAsia" w:ascii="Times New Roman" w:hAnsi="Times New Roman" w:eastAsia="宋体" w:cs="Times New Roman"/>
                      <w:color w:val="auto"/>
                      <w:kern w:val="2"/>
                      <w:sz w:val="21"/>
                      <w:szCs w:val="21"/>
                      <w:highlight w:val="none"/>
                      <w:lang w:val="en-US" w:eastAsia="zh-CN" w:bidi="ar-SA"/>
                    </w:rPr>
                  </w:pPr>
                </w:p>
              </w:tc>
            </w:tr>
            <w:tr w14:paraId="061AF845">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622" w:type="pct"/>
                  <w:vAlign w:val="center"/>
                </w:tcPr>
                <w:p w14:paraId="67384BB3">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w:t>
                  </w:r>
                </w:p>
              </w:tc>
              <w:tc>
                <w:tcPr>
                  <w:tcW w:w="780" w:type="pct"/>
                  <w:tcBorders>
                    <w:left w:val="single" w:color="auto" w:sz="4" w:space="0"/>
                  </w:tcBorders>
                  <w:vAlign w:val="center"/>
                </w:tcPr>
                <w:p w14:paraId="238388D5">
                  <w:pPr>
                    <w:widowControl/>
                    <w:adjustRightInd w:val="0"/>
                    <w:snapToGrid w:val="0"/>
                    <w:spacing w:line="240" w:lineRule="auto"/>
                    <w:ind w:firstLine="0" w:firstLineChars="0"/>
                    <w:jc w:val="center"/>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rPr>
                    <w:t>水</w:t>
                  </w:r>
                </w:p>
              </w:tc>
              <w:tc>
                <w:tcPr>
                  <w:tcW w:w="572" w:type="pct"/>
                  <w:vAlign w:val="center"/>
                </w:tcPr>
                <w:p w14:paraId="3B4B5C66">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万吨</w:t>
                  </w:r>
                </w:p>
              </w:tc>
              <w:tc>
                <w:tcPr>
                  <w:tcW w:w="616" w:type="pct"/>
                  <w:tcBorders>
                    <w:top w:val="single" w:color="auto" w:sz="4" w:space="0"/>
                    <w:bottom w:val="single" w:color="auto" w:sz="4" w:space="0"/>
                    <w:right w:val="single" w:color="auto" w:sz="4" w:space="0"/>
                  </w:tcBorders>
                  <w:vAlign w:val="center"/>
                </w:tcPr>
                <w:p w14:paraId="277FE68A">
                  <w:pPr>
                    <w:keepNext w:val="0"/>
                    <w:keepLines w:val="0"/>
                    <w:pageBreakBefore w:val="0"/>
                    <w:widowControl/>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3.24</w:t>
                  </w:r>
                </w:p>
              </w:tc>
              <w:tc>
                <w:tcPr>
                  <w:tcW w:w="1026" w:type="pct"/>
                  <w:tcBorders>
                    <w:top w:val="single" w:color="auto" w:sz="4" w:space="0"/>
                    <w:bottom w:val="single" w:color="auto" w:sz="4" w:space="0"/>
                    <w:right w:val="single" w:color="auto" w:sz="4" w:space="0"/>
                  </w:tcBorders>
                  <w:vAlign w:val="center"/>
                </w:tcPr>
                <w:p w14:paraId="2F3B2504">
                  <w:pPr>
                    <w:widowControl/>
                    <w:adjustRightInd w:val="0"/>
                    <w:snapToGrid w:val="0"/>
                    <w:spacing w:line="240" w:lineRule="auto"/>
                    <w:ind w:firstLine="0" w:firstLineChars="0"/>
                    <w:jc w:val="center"/>
                    <w:rPr>
                      <w:rFonts w:hint="default"/>
                      <w:color w:val="auto"/>
                      <w:sz w:val="21"/>
                      <w:szCs w:val="21"/>
                      <w:highlight w:val="none"/>
                      <w:lang w:val="en-US" w:eastAsia="zh-CN"/>
                    </w:rPr>
                  </w:pPr>
                </w:p>
              </w:tc>
              <w:tc>
                <w:tcPr>
                  <w:tcW w:w="754" w:type="pct"/>
                  <w:tcBorders>
                    <w:top w:val="single" w:color="auto" w:sz="4" w:space="0"/>
                    <w:bottom w:val="single" w:color="auto" w:sz="4" w:space="0"/>
                    <w:right w:val="single" w:color="auto" w:sz="4" w:space="0"/>
                  </w:tcBorders>
                  <w:vAlign w:val="center"/>
                </w:tcPr>
                <w:p w14:paraId="5AAB899F">
                  <w:pPr>
                    <w:widowControl/>
                    <w:adjustRightInd w:val="0"/>
                    <w:snapToGrid w:val="0"/>
                    <w:spacing w:line="240" w:lineRule="auto"/>
                    <w:ind w:firstLine="0" w:firstLineChars="0"/>
                    <w:jc w:val="center"/>
                    <w:rPr>
                      <w:rFonts w:hint="default"/>
                      <w:color w:val="auto"/>
                      <w:sz w:val="21"/>
                      <w:szCs w:val="21"/>
                      <w:highlight w:val="none"/>
                      <w:lang w:val="en-US" w:eastAsia="zh-CN"/>
                    </w:rPr>
                  </w:pPr>
                </w:p>
              </w:tc>
              <w:tc>
                <w:tcPr>
                  <w:tcW w:w="629" w:type="pct"/>
                  <w:tcBorders>
                    <w:top w:val="single" w:color="auto" w:sz="4" w:space="0"/>
                    <w:bottom w:val="single" w:color="auto" w:sz="4" w:space="0"/>
                    <w:right w:val="single" w:color="auto" w:sz="4" w:space="0"/>
                  </w:tcBorders>
                  <w:vAlign w:val="center"/>
                </w:tcPr>
                <w:p w14:paraId="15730D56">
                  <w:pPr>
                    <w:widowControl/>
                    <w:adjustRightInd w:val="0"/>
                    <w:snapToGrid w:val="0"/>
                    <w:spacing w:line="240" w:lineRule="auto"/>
                    <w:ind w:firstLine="0" w:firstLineChars="0"/>
                    <w:jc w:val="center"/>
                    <w:rPr>
                      <w:rFonts w:hint="default"/>
                      <w:color w:val="auto"/>
                      <w:sz w:val="21"/>
                      <w:szCs w:val="21"/>
                      <w:highlight w:val="none"/>
                      <w:lang w:val="en-US" w:eastAsia="zh-CN"/>
                    </w:rPr>
                  </w:pPr>
                </w:p>
              </w:tc>
            </w:tr>
          </w:tbl>
          <w:p w14:paraId="78AFD1CD">
            <w:pPr>
              <w:keepNext w:val="0"/>
              <w:keepLines w:val="0"/>
              <w:pageBreakBefore w:val="0"/>
              <w:widowControl/>
              <w:kinsoku/>
              <w:wordWrap/>
              <w:overflowPunct/>
              <w:topLinePunct w:val="0"/>
              <w:autoSpaceDE w:val="0"/>
              <w:autoSpaceDN w:val="0"/>
              <w:bidi w:val="0"/>
              <w:adjustRightInd w:val="0"/>
              <w:snapToGrid w:val="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7、给排水</w:t>
            </w:r>
          </w:p>
          <w:p w14:paraId="359EE71F">
            <w:pPr>
              <w:keepNext w:val="0"/>
              <w:keepLines w:val="0"/>
              <w:pageBreakBefore w:val="0"/>
              <w:widowControl/>
              <w:kinsoku/>
              <w:wordWrap/>
              <w:overflowPunct/>
              <w:topLinePunct w:val="0"/>
              <w:autoSpaceDE w:val="0"/>
              <w:autoSpaceDN w:val="0"/>
              <w:bidi w:val="0"/>
              <w:adjustRightInd w:val="0"/>
              <w:snapToGrid w:val="0"/>
              <w:textAlignment w:val="auto"/>
              <w:rPr>
                <w:color w:val="auto"/>
                <w:sz w:val="21"/>
                <w:szCs w:val="21"/>
                <w:highlight w:val="none"/>
              </w:rPr>
            </w:pPr>
            <w:r>
              <w:rPr>
                <w:rFonts w:hint="default" w:ascii="Times New Roman" w:hAnsi="Times New Roman" w:cs="Times New Roman"/>
                <w:color w:val="auto"/>
                <w:sz w:val="21"/>
                <w:szCs w:val="21"/>
                <w:highlight w:val="none"/>
              </w:rPr>
              <w:t>(1)给水</w:t>
            </w:r>
          </w:p>
          <w:p w14:paraId="6CBCD2A0">
            <w:pPr>
              <w:widowControl/>
              <w:autoSpaceDE w:val="0"/>
              <w:autoSpaceDN w:val="0"/>
              <w:adjustRightInd w:val="0"/>
              <w:snapToGrid w:val="0"/>
              <w:ind w:firstLine="480"/>
              <w:jc w:val="both"/>
              <w:rPr>
                <w:color w:val="auto"/>
                <w:sz w:val="21"/>
                <w:szCs w:val="21"/>
                <w:highlight w:val="none"/>
              </w:rPr>
            </w:pPr>
            <w:r>
              <w:rPr>
                <w:rFonts w:hint="eastAsia"/>
                <w:color w:val="auto"/>
                <w:sz w:val="21"/>
                <w:szCs w:val="21"/>
                <w:highlight w:val="none"/>
                <w:lang w:val="en-US" w:eastAsia="zh-CN"/>
              </w:rPr>
              <w:t>项目用水由现有供水管网提供。</w:t>
            </w:r>
            <w:r>
              <w:rPr>
                <w:rFonts w:hint="default" w:ascii="Times New Roman" w:hAnsi="Times New Roman" w:cs="Times New Roman"/>
                <w:color w:val="auto"/>
                <w:kern w:val="0"/>
                <w:sz w:val="21"/>
                <w:szCs w:val="21"/>
                <w:highlight w:val="none"/>
                <w:lang w:bidi="ar"/>
              </w:rPr>
              <w:t>项目劳动人员由</w:t>
            </w:r>
            <w:r>
              <w:rPr>
                <w:rFonts w:hint="default" w:ascii="Times New Roman" w:hAnsi="Times New Roman" w:cs="Times New Roman"/>
                <w:color w:val="auto"/>
                <w:kern w:val="0"/>
                <w:sz w:val="21"/>
                <w:szCs w:val="21"/>
                <w:highlight w:val="none"/>
                <w:lang w:eastAsia="zh-CN" w:bidi="ar"/>
              </w:rPr>
              <w:t>唐山松汀钢铁有限公司</w:t>
            </w:r>
            <w:r>
              <w:rPr>
                <w:rFonts w:hint="default" w:ascii="Times New Roman" w:hAnsi="Times New Roman" w:cs="Times New Roman"/>
                <w:color w:val="auto"/>
                <w:kern w:val="0"/>
                <w:sz w:val="21"/>
                <w:szCs w:val="21"/>
                <w:highlight w:val="none"/>
                <w:lang w:bidi="ar"/>
              </w:rPr>
              <w:t>进行调剂，不新增劳动定员</w:t>
            </w:r>
            <w:r>
              <w:rPr>
                <w:rFonts w:hint="eastAsia" w:ascii="Times New Roman" w:hAnsi="Times New Roman" w:cs="Times New Roman"/>
                <w:color w:val="auto"/>
                <w:kern w:val="0"/>
                <w:sz w:val="21"/>
                <w:szCs w:val="21"/>
                <w:highlight w:val="none"/>
                <w:lang w:eastAsia="zh-CN" w:bidi="ar"/>
              </w:rPr>
              <w:t>。</w:t>
            </w:r>
            <w:r>
              <w:rPr>
                <w:rFonts w:hint="eastAsia"/>
                <w:color w:val="auto"/>
                <w:sz w:val="21"/>
                <w:szCs w:val="21"/>
                <w:highlight w:val="none"/>
              </w:rPr>
              <w:t>项目用水主要</w:t>
            </w:r>
            <w:r>
              <w:rPr>
                <w:rFonts w:hint="eastAsia"/>
                <w:color w:val="auto"/>
                <w:sz w:val="21"/>
                <w:szCs w:val="21"/>
                <w:highlight w:val="none"/>
                <w:lang w:val="en-US" w:eastAsia="zh-CN"/>
              </w:rPr>
              <w:t>为</w:t>
            </w:r>
            <w:r>
              <w:rPr>
                <w:rFonts w:hint="eastAsia"/>
                <w:color w:val="auto"/>
                <w:sz w:val="21"/>
                <w:szCs w:val="21"/>
                <w:highlight w:val="none"/>
              </w:rPr>
              <w:t>生产用水</w:t>
            </w:r>
            <w:r>
              <w:rPr>
                <w:rFonts w:hint="eastAsia"/>
                <w:color w:val="auto"/>
                <w:sz w:val="21"/>
                <w:szCs w:val="21"/>
                <w:highlight w:val="none"/>
                <w:lang w:eastAsia="zh-CN"/>
              </w:rPr>
              <w:t>，</w:t>
            </w:r>
            <w:r>
              <w:rPr>
                <w:rFonts w:hint="eastAsia"/>
                <w:color w:val="auto"/>
                <w:sz w:val="21"/>
                <w:szCs w:val="21"/>
                <w:highlight w:val="none"/>
              </w:rPr>
              <w:t>主要包括</w:t>
            </w:r>
            <w:r>
              <w:rPr>
                <w:rFonts w:hint="eastAsia"/>
                <w:color w:val="auto"/>
                <w:sz w:val="21"/>
                <w:szCs w:val="21"/>
                <w:highlight w:val="none"/>
                <w:lang w:val="en-US" w:eastAsia="zh-CN"/>
              </w:rPr>
              <w:t>搅拌加水、喷雾抑尘</w:t>
            </w:r>
            <w:r>
              <w:rPr>
                <w:rFonts w:hint="eastAsia"/>
                <w:color w:val="auto"/>
                <w:sz w:val="21"/>
                <w:szCs w:val="21"/>
                <w:highlight w:val="none"/>
              </w:rPr>
              <w:t>、洗车平台洗车用水。项目总用水量为</w:t>
            </w:r>
            <w:r>
              <w:rPr>
                <w:rFonts w:hint="eastAsia"/>
                <w:color w:val="auto"/>
                <w:sz w:val="21"/>
                <w:szCs w:val="21"/>
                <w:highlight w:val="none"/>
                <w:lang w:val="en-US" w:eastAsia="zh-CN"/>
              </w:rPr>
              <w:t>113.635</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/d</w:t>
            </w:r>
            <w:r>
              <w:rPr>
                <w:rFonts w:hint="eastAsia"/>
                <w:color w:val="auto"/>
                <w:sz w:val="21"/>
                <w:szCs w:val="21"/>
                <w:highlight w:val="none"/>
                <w:lang w:eastAsia="zh-CN"/>
              </w:rPr>
              <w:t>(</w:t>
            </w:r>
            <w:r>
              <w:rPr>
                <w:rFonts w:hint="eastAsia"/>
                <w:color w:val="auto"/>
                <w:sz w:val="21"/>
                <w:szCs w:val="21"/>
                <w:highlight w:val="none"/>
                <w:lang w:val="en-US" w:eastAsia="zh-CN"/>
              </w:rPr>
              <w:t>34090.5</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/a)，新鲜用量为</w:t>
            </w:r>
            <w:r>
              <w:rPr>
                <w:rFonts w:hint="eastAsia"/>
                <w:color w:val="auto"/>
                <w:sz w:val="21"/>
                <w:szCs w:val="21"/>
                <w:highlight w:val="none"/>
                <w:lang w:val="en-US" w:eastAsia="zh-CN"/>
              </w:rPr>
              <w:t>111.527</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/d</w:t>
            </w:r>
            <w:r>
              <w:rPr>
                <w:rFonts w:hint="eastAsia"/>
                <w:color w:val="auto"/>
                <w:sz w:val="21"/>
                <w:szCs w:val="21"/>
                <w:highlight w:val="none"/>
                <w:lang w:eastAsia="zh-CN"/>
              </w:rPr>
              <w:t>(</w:t>
            </w:r>
            <w:r>
              <w:rPr>
                <w:rFonts w:hint="eastAsia"/>
                <w:color w:val="auto"/>
                <w:sz w:val="21"/>
                <w:szCs w:val="21"/>
                <w:highlight w:val="none"/>
                <w:lang w:val="en-US" w:eastAsia="zh-CN"/>
              </w:rPr>
              <w:t>33458.1</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/a)。</w:t>
            </w:r>
          </w:p>
          <w:p w14:paraId="459A7D6C">
            <w:pPr>
              <w:ind w:firstLine="480"/>
              <w:jc w:val="both"/>
              <w:rPr>
                <w:rFonts w:hint="default"/>
                <w:color w:val="auto"/>
                <w:sz w:val="21"/>
                <w:szCs w:val="21"/>
                <w:highlight w:val="none"/>
                <w:lang w:val="en-US"/>
              </w:rPr>
            </w:pPr>
            <w:r>
              <w:rPr>
                <w:rFonts w:hint="eastAsia"/>
                <w:color w:val="auto"/>
                <w:sz w:val="21"/>
                <w:szCs w:val="21"/>
                <w:highlight w:val="none"/>
                <w:lang w:val="en-US" w:eastAsia="zh-CN"/>
              </w:rPr>
              <w:t>①搅拌加水：项目搅拌工序需加水，加水量按照0.3t/t-产品进行计算，则加水量为108</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/d</w:t>
            </w:r>
            <w:r>
              <w:rPr>
                <w:rFonts w:hint="eastAsia"/>
                <w:color w:val="auto"/>
                <w:sz w:val="21"/>
                <w:szCs w:val="21"/>
                <w:highlight w:val="none"/>
                <w:lang w:val="en-US" w:eastAsia="zh-CN"/>
              </w:rPr>
              <w:t>(32400</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lang w:val="en-US" w:eastAsia="zh-CN"/>
              </w:rPr>
              <w:t>/a)。</w:t>
            </w:r>
          </w:p>
          <w:p w14:paraId="0AF9387C">
            <w:pPr>
              <w:ind w:firstLine="480"/>
              <w:jc w:val="both"/>
              <w:rPr>
                <w:rFonts w:hint="eastAsia" w:eastAsia="宋体"/>
                <w:color w:val="auto"/>
                <w:sz w:val="21"/>
                <w:szCs w:val="21"/>
                <w:highlight w:val="none"/>
                <w:lang w:val="en-US" w:eastAsia="zh-CN"/>
              </w:rPr>
            </w:pPr>
            <w:r>
              <w:rPr>
                <w:rFonts w:hint="eastAsia"/>
                <w:color w:val="auto"/>
                <w:sz w:val="21"/>
                <w:szCs w:val="21"/>
                <w:highlight w:val="none"/>
                <w:lang w:val="en-US" w:eastAsia="zh-CN"/>
              </w:rPr>
              <w:t>②喷雾抑尘</w:t>
            </w:r>
            <w:r>
              <w:rPr>
                <w:rFonts w:hint="eastAsia"/>
                <w:color w:val="auto"/>
                <w:sz w:val="21"/>
                <w:szCs w:val="21"/>
                <w:highlight w:val="none"/>
                <w:lang w:eastAsia="zh-CN"/>
              </w:rPr>
              <w:t>：</w:t>
            </w:r>
            <w:r>
              <w:rPr>
                <w:rFonts w:hint="eastAsia"/>
                <w:color w:val="auto"/>
                <w:sz w:val="21"/>
                <w:szCs w:val="21"/>
                <w:highlight w:val="none"/>
                <w:lang w:val="en-US" w:eastAsia="zh-CN"/>
              </w:rPr>
              <w:t>项目喷雾抑尘</w:t>
            </w:r>
            <w:r>
              <w:rPr>
                <w:rFonts w:hint="eastAsia"/>
                <w:color w:val="auto"/>
                <w:sz w:val="21"/>
                <w:szCs w:val="21"/>
                <w:highlight w:val="none"/>
              </w:rPr>
              <w:t>用水为</w:t>
            </w:r>
            <w:r>
              <w:rPr>
                <w:rFonts w:hint="eastAsia"/>
                <w:color w:val="auto"/>
                <w:sz w:val="21"/>
                <w:szCs w:val="21"/>
                <w:highlight w:val="none"/>
                <w:lang w:val="en-US" w:eastAsia="zh-CN"/>
              </w:rPr>
              <w:t>3</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/d</w:t>
            </w:r>
            <w:r>
              <w:rPr>
                <w:rFonts w:hint="eastAsia"/>
                <w:color w:val="auto"/>
                <w:sz w:val="21"/>
                <w:szCs w:val="21"/>
                <w:highlight w:val="none"/>
                <w:lang w:eastAsia="zh-CN"/>
              </w:rPr>
              <w:t>(</w:t>
            </w:r>
            <w:r>
              <w:rPr>
                <w:rFonts w:hint="eastAsia"/>
                <w:color w:val="auto"/>
                <w:sz w:val="21"/>
                <w:szCs w:val="21"/>
                <w:highlight w:val="none"/>
                <w:lang w:val="en-US" w:eastAsia="zh-CN"/>
              </w:rPr>
              <w:t>900</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/a)</w:t>
            </w:r>
            <w:r>
              <w:rPr>
                <w:rFonts w:hint="eastAsia"/>
                <w:color w:val="auto"/>
                <w:sz w:val="21"/>
                <w:szCs w:val="21"/>
                <w:highlight w:val="none"/>
                <w:lang w:eastAsia="zh-CN"/>
              </w:rPr>
              <w:t>。</w:t>
            </w:r>
          </w:p>
          <w:p w14:paraId="1051954E">
            <w:pPr>
              <w:ind w:firstLine="480"/>
              <w:jc w:val="both"/>
              <w:rPr>
                <w:color w:val="auto"/>
                <w:sz w:val="21"/>
                <w:szCs w:val="21"/>
                <w:highlight w:val="none"/>
              </w:rPr>
            </w:pPr>
            <w:r>
              <w:rPr>
                <w:rFonts w:hint="eastAsia"/>
                <w:color w:val="auto"/>
                <w:sz w:val="21"/>
                <w:szCs w:val="21"/>
                <w:highlight w:val="none"/>
                <w:lang w:val="en-US" w:eastAsia="zh-CN"/>
              </w:rPr>
              <w:t>③</w:t>
            </w:r>
            <w:r>
              <w:rPr>
                <w:rFonts w:hint="eastAsia"/>
                <w:color w:val="auto"/>
                <w:sz w:val="21"/>
                <w:szCs w:val="21"/>
                <w:highlight w:val="none"/>
              </w:rPr>
              <w:t>洗车用水</w:t>
            </w:r>
            <w:r>
              <w:rPr>
                <w:bCs/>
                <w:color w:val="auto"/>
                <w:sz w:val="21"/>
                <w:szCs w:val="21"/>
                <w:highlight w:val="none"/>
              </w:rPr>
              <w:t>按80L/</w:t>
            </w:r>
            <w:r>
              <w:rPr>
                <w:rFonts w:hint="eastAsia"/>
                <w:bCs/>
                <w:color w:val="auto"/>
                <w:sz w:val="21"/>
                <w:szCs w:val="21"/>
                <w:highlight w:val="none"/>
                <w:lang w:eastAsia="zh-CN"/>
              </w:rPr>
              <w:t>(</w:t>
            </w:r>
            <w:r>
              <w:rPr>
                <w:bCs/>
                <w:color w:val="auto"/>
                <w:sz w:val="21"/>
                <w:szCs w:val="21"/>
                <w:highlight w:val="none"/>
              </w:rPr>
              <w:t>辆•次</w:t>
            </w:r>
            <w:r>
              <w:rPr>
                <w:rFonts w:hint="eastAsia"/>
                <w:bCs/>
                <w:color w:val="auto"/>
                <w:sz w:val="21"/>
                <w:szCs w:val="21"/>
                <w:highlight w:val="none"/>
              </w:rPr>
              <w:t>)</w:t>
            </w:r>
            <w:r>
              <w:rPr>
                <w:bCs/>
                <w:color w:val="auto"/>
                <w:sz w:val="21"/>
                <w:szCs w:val="21"/>
                <w:highlight w:val="none"/>
              </w:rPr>
              <w:t>计算，</w:t>
            </w:r>
            <w:r>
              <w:rPr>
                <w:rFonts w:hint="eastAsia"/>
                <w:bCs/>
                <w:color w:val="auto"/>
                <w:sz w:val="21"/>
                <w:szCs w:val="21"/>
                <w:highlight w:val="none"/>
              </w:rPr>
              <w:t>项目</w:t>
            </w:r>
            <w:r>
              <w:rPr>
                <w:bCs/>
                <w:color w:val="auto"/>
                <w:sz w:val="21"/>
                <w:szCs w:val="21"/>
                <w:highlight w:val="none"/>
              </w:rPr>
              <w:t>运输总车次</w:t>
            </w:r>
            <w:r>
              <w:rPr>
                <w:rFonts w:hint="eastAsia"/>
                <w:bCs/>
                <w:color w:val="auto"/>
                <w:sz w:val="21"/>
                <w:szCs w:val="21"/>
                <w:highlight w:val="none"/>
              </w:rPr>
              <w:t>约</w:t>
            </w:r>
            <w:r>
              <w:rPr>
                <w:rFonts w:hint="eastAsia"/>
                <w:bCs/>
                <w:color w:val="auto"/>
                <w:sz w:val="21"/>
                <w:szCs w:val="21"/>
                <w:highlight w:val="none"/>
                <w:lang w:val="en-US" w:eastAsia="zh-CN"/>
              </w:rPr>
              <w:t>9880</w:t>
            </w:r>
            <w:r>
              <w:rPr>
                <w:bCs/>
                <w:color w:val="auto"/>
                <w:sz w:val="21"/>
                <w:szCs w:val="21"/>
                <w:highlight w:val="none"/>
              </w:rPr>
              <w:t>辆/a，则洗车用水为</w:t>
            </w:r>
            <w:r>
              <w:rPr>
                <w:rFonts w:hint="eastAsia"/>
                <w:bCs/>
                <w:color w:val="auto"/>
                <w:sz w:val="21"/>
                <w:szCs w:val="21"/>
                <w:highlight w:val="none"/>
                <w:lang w:val="en-US" w:eastAsia="zh-CN"/>
              </w:rPr>
              <w:t>2.635</w:t>
            </w:r>
            <w:r>
              <w:rPr>
                <w:bCs/>
                <w:color w:val="auto"/>
                <w:sz w:val="21"/>
                <w:szCs w:val="21"/>
                <w:highlight w:val="none"/>
              </w:rPr>
              <w:t>m</w:t>
            </w:r>
            <w:r>
              <w:rPr>
                <w:bCs/>
                <w:color w:val="auto"/>
                <w:sz w:val="21"/>
                <w:szCs w:val="21"/>
                <w:highlight w:val="none"/>
                <w:vertAlign w:val="superscript"/>
              </w:rPr>
              <w:t>3</w:t>
            </w:r>
            <w:r>
              <w:rPr>
                <w:bCs/>
                <w:color w:val="auto"/>
                <w:sz w:val="21"/>
                <w:szCs w:val="21"/>
                <w:highlight w:val="none"/>
              </w:rPr>
              <w:t>/d</w:t>
            </w:r>
            <w:r>
              <w:rPr>
                <w:rFonts w:hint="eastAsia"/>
                <w:color w:val="auto"/>
                <w:sz w:val="21"/>
                <w:szCs w:val="21"/>
                <w:highlight w:val="none"/>
                <w:lang w:eastAsia="zh-CN"/>
              </w:rPr>
              <w:t>(</w:t>
            </w:r>
            <w:r>
              <w:rPr>
                <w:rFonts w:hint="eastAsia"/>
                <w:color w:val="auto"/>
                <w:sz w:val="21"/>
                <w:szCs w:val="21"/>
                <w:highlight w:val="none"/>
                <w:lang w:val="en-US" w:eastAsia="zh-CN"/>
              </w:rPr>
              <w:t>790.5</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/a)</w:t>
            </w:r>
            <w:r>
              <w:rPr>
                <w:bCs/>
                <w:color w:val="auto"/>
                <w:sz w:val="21"/>
                <w:szCs w:val="21"/>
                <w:highlight w:val="none"/>
              </w:rPr>
              <w:t>，其中新鲜水为</w:t>
            </w:r>
            <w:r>
              <w:rPr>
                <w:rFonts w:hint="eastAsia"/>
                <w:bCs/>
                <w:color w:val="auto"/>
                <w:sz w:val="21"/>
                <w:szCs w:val="21"/>
                <w:highlight w:val="none"/>
                <w:lang w:val="en-US" w:eastAsia="zh-CN"/>
              </w:rPr>
              <w:t>0.527</w:t>
            </w:r>
            <w:r>
              <w:rPr>
                <w:bCs/>
                <w:color w:val="auto"/>
                <w:sz w:val="21"/>
                <w:szCs w:val="21"/>
                <w:highlight w:val="none"/>
              </w:rPr>
              <w:t>m</w:t>
            </w:r>
            <w:r>
              <w:rPr>
                <w:bCs/>
                <w:color w:val="auto"/>
                <w:sz w:val="21"/>
                <w:szCs w:val="21"/>
                <w:highlight w:val="none"/>
                <w:vertAlign w:val="superscript"/>
              </w:rPr>
              <w:t>3</w:t>
            </w:r>
            <w:r>
              <w:rPr>
                <w:bCs/>
                <w:color w:val="auto"/>
                <w:sz w:val="21"/>
                <w:szCs w:val="21"/>
                <w:highlight w:val="none"/>
              </w:rPr>
              <w:t>/d</w:t>
            </w:r>
            <w:r>
              <w:rPr>
                <w:rFonts w:hint="eastAsia"/>
                <w:color w:val="auto"/>
                <w:sz w:val="21"/>
                <w:szCs w:val="21"/>
                <w:highlight w:val="none"/>
                <w:lang w:eastAsia="zh-CN"/>
              </w:rPr>
              <w:t>(</w:t>
            </w:r>
            <w:r>
              <w:rPr>
                <w:rFonts w:hint="eastAsia"/>
                <w:color w:val="auto"/>
                <w:sz w:val="21"/>
                <w:szCs w:val="21"/>
                <w:highlight w:val="none"/>
                <w:lang w:val="en-US" w:eastAsia="zh-CN"/>
              </w:rPr>
              <w:t>158.08</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/a)</w:t>
            </w:r>
            <w:r>
              <w:rPr>
                <w:bCs/>
                <w:color w:val="auto"/>
                <w:sz w:val="21"/>
                <w:szCs w:val="21"/>
                <w:highlight w:val="none"/>
              </w:rPr>
              <w:t>，循环用水为</w:t>
            </w:r>
            <w:r>
              <w:rPr>
                <w:rFonts w:hint="eastAsia"/>
                <w:bCs/>
                <w:color w:val="auto"/>
                <w:sz w:val="21"/>
                <w:szCs w:val="21"/>
                <w:highlight w:val="none"/>
                <w:lang w:val="en-US" w:eastAsia="zh-CN"/>
              </w:rPr>
              <w:t>2.108</w:t>
            </w:r>
            <w:r>
              <w:rPr>
                <w:bCs/>
                <w:color w:val="auto"/>
                <w:sz w:val="21"/>
                <w:szCs w:val="21"/>
                <w:highlight w:val="none"/>
              </w:rPr>
              <w:t>m</w:t>
            </w:r>
            <w:r>
              <w:rPr>
                <w:bCs/>
                <w:color w:val="auto"/>
                <w:sz w:val="21"/>
                <w:szCs w:val="21"/>
                <w:highlight w:val="none"/>
                <w:vertAlign w:val="superscript"/>
              </w:rPr>
              <w:t>3</w:t>
            </w:r>
            <w:r>
              <w:rPr>
                <w:bCs/>
                <w:color w:val="auto"/>
                <w:sz w:val="21"/>
                <w:szCs w:val="21"/>
                <w:highlight w:val="none"/>
              </w:rPr>
              <w:t>/d</w:t>
            </w:r>
            <w:r>
              <w:rPr>
                <w:rFonts w:hint="eastAsia"/>
                <w:color w:val="auto"/>
                <w:sz w:val="21"/>
                <w:szCs w:val="21"/>
                <w:highlight w:val="none"/>
                <w:lang w:eastAsia="zh-CN"/>
              </w:rPr>
              <w:t>(</w:t>
            </w:r>
            <w:r>
              <w:rPr>
                <w:rFonts w:hint="eastAsia"/>
                <w:color w:val="auto"/>
                <w:sz w:val="21"/>
                <w:szCs w:val="21"/>
                <w:highlight w:val="none"/>
                <w:lang w:val="en-US" w:eastAsia="zh-CN"/>
              </w:rPr>
              <w:t>632.32</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/a)。</w:t>
            </w:r>
          </w:p>
          <w:p w14:paraId="03EA8A2A">
            <w:pPr>
              <w:widowControl/>
              <w:autoSpaceDE w:val="0"/>
              <w:autoSpaceDN w:val="0"/>
              <w:adjustRightInd w:val="0"/>
              <w:snapToGrid w:val="0"/>
              <w:ind w:firstLine="480"/>
              <w:rPr>
                <w:color w:val="auto"/>
                <w:sz w:val="21"/>
                <w:szCs w:val="21"/>
                <w:highlight w:val="none"/>
              </w:rPr>
            </w:pPr>
            <w:r>
              <w:rPr>
                <w:rFonts w:hint="eastAsia"/>
                <w:color w:val="auto"/>
                <w:sz w:val="21"/>
                <w:szCs w:val="21"/>
                <w:highlight w:val="none"/>
                <w:lang w:eastAsia="zh-CN"/>
              </w:rPr>
              <w:t>(</w:t>
            </w:r>
            <w:r>
              <w:rPr>
                <w:rFonts w:hint="eastAsia"/>
                <w:color w:val="auto"/>
                <w:sz w:val="21"/>
                <w:szCs w:val="21"/>
                <w:highlight w:val="none"/>
              </w:rPr>
              <w:t>2)排水</w:t>
            </w:r>
          </w:p>
          <w:p w14:paraId="1C0083EC">
            <w:pPr>
              <w:widowControl/>
              <w:autoSpaceDE w:val="0"/>
              <w:autoSpaceDN w:val="0"/>
              <w:adjustRightInd w:val="0"/>
              <w:snapToGrid w:val="0"/>
              <w:ind w:firstLine="480"/>
              <w:jc w:val="both"/>
              <w:rPr>
                <w:color w:val="auto"/>
                <w:sz w:val="21"/>
                <w:szCs w:val="21"/>
                <w:highlight w:val="none"/>
              </w:rPr>
            </w:pPr>
            <w:r>
              <w:rPr>
                <w:rFonts w:hint="eastAsia"/>
                <w:color w:val="auto"/>
                <w:sz w:val="21"/>
                <w:szCs w:val="21"/>
                <w:highlight w:val="none"/>
              </w:rPr>
              <w:t>项目</w:t>
            </w:r>
            <w:r>
              <w:rPr>
                <w:color w:val="auto"/>
                <w:sz w:val="21"/>
                <w:szCs w:val="21"/>
                <w:highlight w:val="none"/>
              </w:rPr>
              <w:t>洗车废水按用水量的</w:t>
            </w:r>
            <w:r>
              <w:rPr>
                <w:rFonts w:hint="eastAsia"/>
                <w:color w:val="auto"/>
                <w:sz w:val="21"/>
                <w:szCs w:val="21"/>
                <w:highlight w:val="none"/>
                <w:lang w:val="en-US" w:eastAsia="zh-CN"/>
              </w:rPr>
              <w:t>2</w:t>
            </w:r>
            <w:r>
              <w:rPr>
                <w:color w:val="auto"/>
                <w:sz w:val="21"/>
                <w:szCs w:val="21"/>
                <w:highlight w:val="none"/>
              </w:rPr>
              <w:t>0%计算，洗车废水产生量为</w:t>
            </w:r>
            <w:r>
              <w:rPr>
                <w:rFonts w:hint="eastAsia"/>
                <w:bCs/>
                <w:color w:val="auto"/>
                <w:sz w:val="21"/>
                <w:szCs w:val="21"/>
                <w:highlight w:val="none"/>
                <w:lang w:val="en-US" w:eastAsia="zh-CN"/>
              </w:rPr>
              <w:t>0.527</w:t>
            </w:r>
            <w:r>
              <w:rPr>
                <w:bCs/>
                <w:color w:val="auto"/>
                <w:sz w:val="21"/>
                <w:szCs w:val="21"/>
                <w:highlight w:val="none"/>
              </w:rPr>
              <w:t>m</w:t>
            </w:r>
            <w:r>
              <w:rPr>
                <w:bCs/>
                <w:color w:val="auto"/>
                <w:sz w:val="21"/>
                <w:szCs w:val="21"/>
                <w:highlight w:val="none"/>
                <w:vertAlign w:val="superscript"/>
              </w:rPr>
              <w:t>3</w:t>
            </w:r>
            <w:r>
              <w:rPr>
                <w:bCs/>
                <w:color w:val="auto"/>
                <w:sz w:val="21"/>
                <w:szCs w:val="21"/>
                <w:highlight w:val="none"/>
              </w:rPr>
              <w:t>/d</w:t>
            </w:r>
            <w:r>
              <w:rPr>
                <w:rFonts w:hint="eastAsia"/>
                <w:color w:val="auto"/>
                <w:sz w:val="21"/>
                <w:szCs w:val="21"/>
                <w:highlight w:val="none"/>
                <w:lang w:eastAsia="zh-CN"/>
              </w:rPr>
              <w:t>(</w:t>
            </w:r>
            <w:r>
              <w:rPr>
                <w:rFonts w:hint="eastAsia"/>
                <w:color w:val="auto"/>
                <w:sz w:val="21"/>
                <w:szCs w:val="21"/>
                <w:highlight w:val="none"/>
                <w:lang w:val="en-US" w:eastAsia="zh-CN"/>
              </w:rPr>
              <w:t>158.08</w:t>
            </w:r>
            <w:r>
              <w:rPr>
                <w:rFonts w:hint="eastAsia"/>
                <w:color w:val="auto"/>
                <w:sz w:val="21"/>
                <w:szCs w:val="21"/>
                <w:highlight w:val="none"/>
              </w:rPr>
              <w:t>m</w:t>
            </w:r>
            <w:r>
              <w:rPr>
                <w:rFonts w:hint="eastAsia"/>
                <w:color w:val="auto"/>
                <w:sz w:val="21"/>
                <w:szCs w:val="21"/>
                <w:highlight w:val="none"/>
                <w:vertAlign w:val="superscript"/>
              </w:rPr>
              <w:t>3</w:t>
            </w:r>
            <w:r>
              <w:rPr>
                <w:rFonts w:hint="eastAsia"/>
                <w:color w:val="auto"/>
                <w:sz w:val="21"/>
                <w:szCs w:val="21"/>
                <w:highlight w:val="none"/>
              </w:rPr>
              <w:t>/a)</w:t>
            </w:r>
            <w:r>
              <w:rPr>
                <w:color w:val="auto"/>
                <w:sz w:val="21"/>
                <w:szCs w:val="21"/>
                <w:highlight w:val="none"/>
              </w:rPr>
              <w:t>，经沉淀后循环利用，不外排。</w:t>
            </w:r>
          </w:p>
          <w:p w14:paraId="0A3C180C">
            <w:pPr>
              <w:widowControl/>
              <w:autoSpaceDE w:val="0"/>
              <w:autoSpaceDN w:val="0"/>
              <w:adjustRightInd w:val="0"/>
              <w:snapToGrid w:val="0"/>
              <w:ind w:firstLine="480"/>
              <w:rPr>
                <w:color w:val="auto"/>
                <w:sz w:val="21"/>
                <w:szCs w:val="21"/>
                <w:highlight w:val="none"/>
              </w:rPr>
            </w:pPr>
            <w:r>
              <w:rPr>
                <w:rFonts w:hint="eastAsia"/>
                <w:color w:val="auto"/>
                <w:sz w:val="21"/>
                <w:szCs w:val="21"/>
                <w:highlight w:val="none"/>
              </w:rPr>
              <w:t>水平衡表见表</w:t>
            </w:r>
            <w:r>
              <w:rPr>
                <w:rFonts w:hint="eastAsia"/>
                <w:color w:val="auto"/>
                <w:sz w:val="21"/>
                <w:szCs w:val="21"/>
                <w:highlight w:val="none"/>
                <w:lang w:val="en-US" w:eastAsia="zh-CN"/>
              </w:rPr>
              <w:t>2-7</w:t>
            </w:r>
            <w:r>
              <w:rPr>
                <w:rFonts w:hint="eastAsia"/>
                <w:color w:val="auto"/>
                <w:sz w:val="21"/>
                <w:szCs w:val="21"/>
                <w:highlight w:val="none"/>
              </w:rPr>
              <w:t>，水平衡图见图</w:t>
            </w:r>
            <w:r>
              <w:rPr>
                <w:rFonts w:hint="eastAsia"/>
                <w:color w:val="auto"/>
                <w:sz w:val="21"/>
                <w:szCs w:val="21"/>
                <w:highlight w:val="none"/>
                <w:lang w:val="en-US" w:eastAsia="zh-CN"/>
              </w:rPr>
              <w:t>2-1</w:t>
            </w:r>
            <w:r>
              <w:rPr>
                <w:rFonts w:hint="eastAsia"/>
                <w:color w:val="auto"/>
                <w:sz w:val="21"/>
                <w:szCs w:val="21"/>
                <w:highlight w:val="none"/>
              </w:rPr>
              <w:t>。</w:t>
            </w:r>
          </w:p>
          <w:p w14:paraId="2BB4FCA2">
            <w:pPr>
              <w:pStyle w:val="21"/>
              <w:rPr>
                <w:rFonts w:hint="default" w:ascii="Times New Roman" w:hAnsi="Times New Roman" w:eastAsia="宋体" w:cs="Times New Roman"/>
                <w:color w:val="auto"/>
                <w:sz w:val="21"/>
                <w:szCs w:val="21"/>
                <w:highlight w:val="none"/>
                <w:lang w:eastAsia="zh-CN"/>
              </w:rPr>
            </w:pPr>
            <w:bookmarkStart w:id="21" w:name="_Ref9844"/>
            <w:r>
              <w:rPr>
                <w:rFonts w:hint="default" w:ascii="Times New Roman" w:hAnsi="Times New Roman" w:cs="Times New Roman"/>
                <w:color w:val="auto"/>
                <w:sz w:val="21"/>
                <w:szCs w:val="21"/>
                <w:highlight w:val="none"/>
              </w:rPr>
              <w:t>表</w:t>
            </w:r>
            <w:bookmarkEnd w:id="21"/>
            <w:r>
              <w:rPr>
                <w:rFonts w:hint="eastAsia" w:ascii="Times New Roman" w:hAnsi="Times New Roman" w:cs="Times New Roman"/>
                <w:color w:val="auto"/>
                <w:sz w:val="21"/>
                <w:szCs w:val="21"/>
                <w:highlight w:val="none"/>
                <w:lang w:val="en-US" w:eastAsia="zh-CN"/>
              </w:rPr>
              <w:t>2-</w:t>
            </w:r>
            <w:r>
              <w:rPr>
                <w:rFonts w:hint="eastAsia" w:cs="Times New Roman"/>
                <w:color w:val="auto"/>
                <w:sz w:val="21"/>
                <w:szCs w:val="21"/>
                <w:highlight w:val="none"/>
                <w:lang w:val="en-US" w:eastAsia="zh-CN"/>
              </w:rPr>
              <w:t>7</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t>水平衡表    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d</w:t>
            </w:r>
          </w:p>
          <w:tbl>
            <w:tblPr>
              <w:tblStyle w:val="84"/>
              <w:tblW w:w="4997"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36"/>
              <w:gridCol w:w="1136"/>
              <w:gridCol w:w="1363"/>
              <w:gridCol w:w="1136"/>
              <w:gridCol w:w="909"/>
              <w:gridCol w:w="1363"/>
              <w:gridCol w:w="1363"/>
            </w:tblGrid>
            <w:tr w14:paraId="14DA70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675" w:type="pct"/>
                  <w:tcBorders>
                    <w:tl2br w:val="nil"/>
                    <w:tr2bl w:val="nil"/>
                  </w:tcBorders>
                  <w:shd w:val="clear" w:color="auto" w:fill="auto"/>
                  <w:noWrap/>
                  <w:vAlign w:val="center"/>
                </w:tcPr>
                <w:p w14:paraId="35B9137E">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用水单元</w:t>
                  </w:r>
                </w:p>
              </w:tc>
              <w:tc>
                <w:tcPr>
                  <w:tcW w:w="675" w:type="pct"/>
                  <w:tcBorders>
                    <w:tl2br w:val="nil"/>
                    <w:tr2bl w:val="nil"/>
                  </w:tcBorders>
                  <w:shd w:val="clear" w:color="auto" w:fill="auto"/>
                  <w:noWrap/>
                  <w:vAlign w:val="center"/>
                </w:tcPr>
                <w:p w14:paraId="20A47CFE">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总用水量</w:t>
                  </w:r>
                </w:p>
              </w:tc>
              <w:tc>
                <w:tcPr>
                  <w:tcW w:w="810" w:type="pct"/>
                  <w:tcBorders>
                    <w:right w:val="single" w:color="auto" w:sz="4" w:space="0"/>
                    <w:tl2br w:val="nil"/>
                    <w:tr2bl w:val="nil"/>
                  </w:tcBorders>
                  <w:shd w:val="clear" w:color="auto" w:fill="auto"/>
                  <w:noWrap/>
                  <w:vAlign w:val="center"/>
                </w:tcPr>
                <w:p w14:paraId="6262023A">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新鲜用水量</w:t>
                  </w:r>
                </w:p>
              </w:tc>
              <w:tc>
                <w:tcPr>
                  <w:tcW w:w="675" w:type="pct"/>
                  <w:tcBorders>
                    <w:right w:val="single" w:color="auto" w:sz="4" w:space="0"/>
                    <w:tl2br w:val="nil"/>
                    <w:tr2bl w:val="nil"/>
                  </w:tcBorders>
                  <w:shd w:val="clear" w:color="auto" w:fill="auto"/>
                  <w:noWrap/>
                  <w:vAlign w:val="center"/>
                </w:tcPr>
                <w:p w14:paraId="35E1F331">
                  <w:pPr>
                    <w:spacing w:line="280" w:lineRule="exact"/>
                    <w:ind w:firstLine="0" w:firstLineChars="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循环用水</w:t>
                  </w:r>
                </w:p>
              </w:tc>
              <w:tc>
                <w:tcPr>
                  <w:tcW w:w="540" w:type="pct"/>
                  <w:tcBorders>
                    <w:tl2br w:val="nil"/>
                    <w:tr2bl w:val="nil"/>
                  </w:tcBorders>
                  <w:shd w:val="clear" w:color="auto" w:fill="auto"/>
                  <w:noWrap/>
                  <w:vAlign w:val="center"/>
                </w:tcPr>
                <w:p w14:paraId="41ADD3B9">
                  <w:pPr>
                    <w:spacing w:line="280" w:lineRule="exact"/>
                    <w:ind w:firstLine="0" w:firstLineChars="0"/>
                    <w:jc w:val="center"/>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损耗量</w:t>
                  </w:r>
                </w:p>
              </w:tc>
              <w:tc>
                <w:tcPr>
                  <w:tcW w:w="810" w:type="pct"/>
                  <w:tcBorders>
                    <w:tl2br w:val="nil"/>
                    <w:tr2bl w:val="nil"/>
                  </w:tcBorders>
                  <w:shd w:val="clear" w:color="auto" w:fill="auto"/>
                  <w:noWrap/>
                  <w:vAlign w:val="center"/>
                </w:tcPr>
                <w:p w14:paraId="7E0B397E">
                  <w:pPr>
                    <w:spacing w:line="28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进入产品</w:t>
                  </w:r>
                </w:p>
              </w:tc>
              <w:tc>
                <w:tcPr>
                  <w:tcW w:w="810" w:type="pct"/>
                  <w:tcBorders>
                    <w:tl2br w:val="nil"/>
                    <w:tr2bl w:val="nil"/>
                  </w:tcBorders>
                  <w:shd w:val="clear" w:color="auto" w:fill="auto"/>
                  <w:noWrap/>
                  <w:vAlign w:val="center"/>
                </w:tcPr>
                <w:p w14:paraId="7A5CD5EF">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废水产生量</w:t>
                  </w:r>
                </w:p>
              </w:tc>
            </w:tr>
            <w:tr w14:paraId="500EA3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675" w:type="pct"/>
                  <w:tcBorders>
                    <w:tl2br w:val="nil"/>
                    <w:tr2bl w:val="nil"/>
                  </w:tcBorders>
                  <w:shd w:val="clear" w:color="auto" w:fill="auto"/>
                  <w:noWrap/>
                  <w:vAlign w:val="center"/>
                </w:tcPr>
                <w:p w14:paraId="3045C2EE">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搅拌加水</w:t>
                  </w:r>
                </w:p>
              </w:tc>
              <w:tc>
                <w:tcPr>
                  <w:tcW w:w="675" w:type="pct"/>
                  <w:tcBorders>
                    <w:tl2br w:val="nil"/>
                    <w:tr2bl w:val="nil"/>
                  </w:tcBorders>
                  <w:shd w:val="clear" w:color="auto" w:fill="auto"/>
                  <w:noWrap/>
                  <w:vAlign w:val="center"/>
                </w:tcPr>
                <w:p w14:paraId="790BC7A7">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108</w:t>
                  </w:r>
                </w:p>
              </w:tc>
              <w:tc>
                <w:tcPr>
                  <w:tcW w:w="810" w:type="pct"/>
                  <w:tcBorders>
                    <w:top w:val="single" w:color="auto" w:sz="4" w:space="0"/>
                    <w:right w:val="single" w:color="auto" w:sz="4" w:space="0"/>
                    <w:tl2br w:val="nil"/>
                    <w:tr2bl w:val="nil"/>
                  </w:tcBorders>
                  <w:shd w:val="clear" w:color="auto" w:fill="auto"/>
                  <w:noWrap/>
                  <w:vAlign w:val="center"/>
                </w:tcPr>
                <w:p w14:paraId="6987CDFE">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108</w:t>
                  </w:r>
                </w:p>
              </w:tc>
              <w:tc>
                <w:tcPr>
                  <w:tcW w:w="675" w:type="pct"/>
                  <w:tcBorders>
                    <w:right w:val="single" w:color="auto" w:sz="4" w:space="0"/>
                    <w:tl2br w:val="nil"/>
                    <w:tr2bl w:val="nil"/>
                  </w:tcBorders>
                  <w:shd w:val="clear" w:color="auto" w:fill="auto"/>
                  <w:noWrap/>
                  <w:vAlign w:val="center"/>
                </w:tcPr>
                <w:p w14:paraId="1528DE1D">
                  <w:pPr>
                    <w:spacing w:line="28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540" w:type="pct"/>
                  <w:tcBorders>
                    <w:tl2br w:val="nil"/>
                    <w:tr2bl w:val="nil"/>
                  </w:tcBorders>
                  <w:shd w:val="clear" w:color="auto" w:fill="auto"/>
                  <w:noWrap/>
                  <w:vAlign w:val="center"/>
                </w:tcPr>
                <w:p w14:paraId="49306659">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97.2</w:t>
                  </w:r>
                </w:p>
              </w:tc>
              <w:tc>
                <w:tcPr>
                  <w:tcW w:w="810" w:type="pct"/>
                  <w:tcBorders>
                    <w:tl2br w:val="nil"/>
                    <w:tr2bl w:val="nil"/>
                  </w:tcBorders>
                  <w:shd w:val="clear" w:color="auto" w:fill="auto"/>
                  <w:noWrap/>
                  <w:vAlign w:val="center"/>
                </w:tcPr>
                <w:p w14:paraId="04AAC72E">
                  <w:pPr>
                    <w:spacing w:line="28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10.8</w:t>
                  </w:r>
                </w:p>
              </w:tc>
              <w:tc>
                <w:tcPr>
                  <w:tcW w:w="810" w:type="pct"/>
                  <w:tcBorders>
                    <w:tl2br w:val="nil"/>
                    <w:tr2bl w:val="nil"/>
                  </w:tcBorders>
                  <w:shd w:val="clear" w:color="auto" w:fill="auto"/>
                  <w:noWrap/>
                  <w:vAlign w:val="center"/>
                </w:tcPr>
                <w:p w14:paraId="10BF433A">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r>
            <w:tr w14:paraId="7B5410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675" w:type="pct"/>
                  <w:tcBorders>
                    <w:tl2br w:val="nil"/>
                    <w:tr2bl w:val="nil"/>
                  </w:tcBorders>
                  <w:shd w:val="clear" w:color="auto" w:fill="auto"/>
                  <w:noWrap/>
                  <w:vAlign w:val="center"/>
                </w:tcPr>
                <w:p w14:paraId="0F41099C">
                  <w:pPr>
                    <w:spacing w:line="280" w:lineRule="exact"/>
                    <w:ind w:firstLine="0" w:firstLineChars="0"/>
                    <w:jc w:val="center"/>
                    <w:rPr>
                      <w:rFonts w:hint="eastAsia" w:cs="Times New Roman"/>
                      <w:color w:val="auto"/>
                      <w:sz w:val="21"/>
                      <w:szCs w:val="21"/>
                      <w:highlight w:val="none"/>
                      <w:lang w:val="en-US" w:eastAsia="zh-CN"/>
                    </w:rPr>
                  </w:pPr>
                  <w:r>
                    <w:rPr>
                      <w:rFonts w:hint="eastAsia"/>
                      <w:color w:val="auto"/>
                      <w:sz w:val="21"/>
                      <w:szCs w:val="21"/>
                      <w:highlight w:val="none"/>
                      <w:lang w:val="en-US" w:eastAsia="zh-CN"/>
                    </w:rPr>
                    <w:t>喷雾抑尘</w:t>
                  </w:r>
                </w:p>
              </w:tc>
              <w:tc>
                <w:tcPr>
                  <w:tcW w:w="675" w:type="pct"/>
                  <w:tcBorders>
                    <w:tl2br w:val="nil"/>
                    <w:tr2bl w:val="nil"/>
                  </w:tcBorders>
                  <w:shd w:val="clear" w:color="auto" w:fill="auto"/>
                  <w:noWrap/>
                  <w:vAlign w:val="center"/>
                </w:tcPr>
                <w:p w14:paraId="6C9E6391">
                  <w:pPr>
                    <w:spacing w:line="28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810" w:type="pct"/>
                  <w:tcBorders>
                    <w:top w:val="single" w:color="auto" w:sz="4" w:space="0"/>
                    <w:right w:val="single" w:color="auto" w:sz="4" w:space="0"/>
                    <w:tl2br w:val="nil"/>
                    <w:tr2bl w:val="nil"/>
                  </w:tcBorders>
                  <w:shd w:val="clear" w:color="auto" w:fill="auto"/>
                  <w:noWrap/>
                  <w:vAlign w:val="center"/>
                </w:tcPr>
                <w:p w14:paraId="281DE289">
                  <w:pPr>
                    <w:spacing w:line="28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675" w:type="pct"/>
                  <w:tcBorders>
                    <w:right w:val="single" w:color="auto" w:sz="4" w:space="0"/>
                    <w:tl2br w:val="nil"/>
                    <w:tr2bl w:val="nil"/>
                  </w:tcBorders>
                  <w:shd w:val="clear" w:color="auto" w:fill="auto"/>
                  <w:noWrap/>
                  <w:vAlign w:val="center"/>
                </w:tcPr>
                <w:p w14:paraId="085D0E3D">
                  <w:pPr>
                    <w:spacing w:line="28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540" w:type="pct"/>
                  <w:tcBorders>
                    <w:tl2br w:val="nil"/>
                    <w:tr2bl w:val="nil"/>
                  </w:tcBorders>
                  <w:shd w:val="clear" w:color="auto" w:fill="auto"/>
                  <w:noWrap/>
                  <w:vAlign w:val="center"/>
                </w:tcPr>
                <w:p w14:paraId="507A9598">
                  <w:pPr>
                    <w:spacing w:line="28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810" w:type="pct"/>
                  <w:tcBorders>
                    <w:tl2br w:val="nil"/>
                    <w:tr2bl w:val="nil"/>
                  </w:tcBorders>
                  <w:shd w:val="clear" w:color="auto" w:fill="auto"/>
                  <w:noWrap/>
                  <w:vAlign w:val="center"/>
                </w:tcPr>
                <w:p w14:paraId="76521685">
                  <w:pPr>
                    <w:spacing w:line="28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810" w:type="pct"/>
                  <w:tcBorders>
                    <w:tl2br w:val="nil"/>
                    <w:tr2bl w:val="nil"/>
                  </w:tcBorders>
                  <w:shd w:val="clear" w:color="auto" w:fill="auto"/>
                  <w:noWrap/>
                  <w:vAlign w:val="center"/>
                </w:tcPr>
                <w:p w14:paraId="31578242">
                  <w:pPr>
                    <w:spacing w:line="28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r>
            <w:tr w14:paraId="381ADD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675" w:type="pct"/>
                  <w:tcBorders>
                    <w:tl2br w:val="nil"/>
                    <w:tr2bl w:val="nil"/>
                  </w:tcBorders>
                  <w:shd w:val="clear" w:color="auto" w:fill="auto"/>
                  <w:noWrap/>
                  <w:vAlign w:val="center"/>
                </w:tcPr>
                <w:p w14:paraId="359EEF32">
                  <w:pPr>
                    <w:spacing w:line="280" w:lineRule="exact"/>
                    <w:ind w:firstLine="0" w:firstLineChars="0"/>
                    <w:jc w:val="center"/>
                    <w:rPr>
                      <w:rFonts w:hint="eastAsia" w:cs="Times New Roman"/>
                      <w:color w:val="auto"/>
                      <w:sz w:val="21"/>
                      <w:szCs w:val="21"/>
                      <w:highlight w:val="none"/>
                      <w:lang w:val="en-US" w:eastAsia="zh-CN"/>
                    </w:rPr>
                  </w:pPr>
                  <w:r>
                    <w:rPr>
                      <w:rFonts w:hint="eastAsia"/>
                      <w:color w:val="auto"/>
                      <w:sz w:val="21"/>
                      <w:szCs w:val="21"/>
                      <w:highlight w:val="none"/>
                    </w:rPr>
                    <w:t>洗车用水</w:t>
                  </w:r>
                </w:p>
              </w:tc>
              <w:tc>
                <w:tcPr>
                  <w:tcW w:w="675" w:type="pct"/>
                  <w:tcBorders>
                    <w:tl2br w:val="nil"/>
                    <w:tr2bl w:val="nil"/>
                  </w:tcBorders>
                  <w:shd w:val="clear" w:color="auto" w:fill="auto"/>
                  <w:noWrap/>
                  <w:vAlign w:val="center"/>
                </w:tcPr>
                <w:p w14:paraId="7CAC3E78">
                  <w:pPr>
                    <w:spacing w:line="280" w:lineRule="exact"/>
                    <w:ind w:firstLine="0" w:firstLineChars="0"/>
                    <w:jc w:val="center"/>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2.635</w:t>
                  </w:r>
                </w:p>
              </w:tc>
              <w:tc>
                <w:tcPr>
                  <w:tcW w:w="810" w:type="pct"/>
                  <w:tcBorders>
                    <w:top w:val="single" w:color="auto" w:sz="4" w:space="0"/>
                    <w:bottom w:val="single" w:color="auto" w:sz="4" w:space="0"/>
                    <w:right w:val="single" w:color="auto" w:sz="4" w:space="0"/>
                    <w:tl2br w:val="nil"/>
                    <w:tr2bl w:val="nil"/>
                  </w:tcBorders>
                  <w:shd w:val="clear" w:color="auto" w:fill="auto"/>
                  <w:noWrap/>
                  <w:vAlign w:val="center"/>
                </w:tcPr>
                <w:p w14:paraId="5E95183E">
                  <w:pPr>
                    <w:spacing w:line="280" w:lineRule="exact"/>
                    <w:ind w:firstLine="0" w:firstLineChars="0"/>
                    <w:jc w:val="center"/>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0.527</w:t>
                  </w:r>
                </w:p>
              </w:tc>
              <w:tc>
                <w:tcPr>
                  <w:tcW w:w="675" w:type="pct"/>
                  <w:tcBorders>
                    <w:right w:val="single" w:color="auto" w:sz="4" w:space="0"/>
                    <w:tl2br w:val="nil"/>
                    <w:tr2bl w:val="nil"/>
                  </w:tcBorders>
                  <w:shd w:val="clear" w:color="auto" w:fill="auto"/>
                  <w:noWrap/>
                  <w:vAlign w:val="center"/>
                </w:tcPr>
                <w:p w14:paraId="460AB675">
                  <w:pPr>
                    <w:spacing w:line="280" w:lineRule="exact"/>
                    <w:ind w:firstLine="0" w:firstLineChars="0"/>
                    <w:jc w:val="center"/>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2.108</w:t>
                  </w:r>
                </w:p>
              </w:tc>
              <w:tc>
                <w:tcPr>
                  <w:tcW w:w="540" w:type="pct"/>
                  <w:tcBorders>
                    <w:tl2br w:val="nil"/>
                    <w:tr2bl w:val="nil"/>
                  </w:tcBorders>
                  <w:shd w:val="clear" w:color="auto" w:fill="auto"/>
                  <w:noWrap/>
                  <w:vAlign w:val="center"/>
                </w:tcPr>
                <w:p w14:paraId="48651B6D">
                  <w:pPr>
                    <w:spacing w:line="280" w:lineRule="exact"/>
                    <w:ind w:firstLine="0" w:firstLineChars="0"/>
                    <w:jc w:val="center"/>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0.527</w:t>
                  </w:r>
                </w:p>
              </w:tc>
              <w:tc>
                <w:tcPr>
                  <w:tcW w:w="810" w:type="pct"/>
                  <w:tcBorders>
                    <w:tl2br w:val="nil"/>
                    <w:tr2bl w:val="nil"/>
                  </w:tcBorders>
                  <w:shd w:val="clear" w:color="auto" w:fill="auto"/>
                  <w:noWrap/>
                  <w:vAlign w:val="center"/>
                </w:tcPr>
                <w:p w14:paraId="7A43E71B">
                  <w:pPr>
                    <w:spacing w:line="28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810" w:type="pct"/>
                  <w:tcBorders>
                    <w:tl2br w:val="nil"/>
                    <w:tr2bl w:val="nil"/>
                  </w:tcBorders>
                  <w:shd w:val="clear" w:color="auto" w:fill="auto"/>
                  <w:noWrap/>
                  <w:vAlign w:val="center"/>
                </w:tcPr>
                <w:p w14:paraId="345296CB">
                  <w:pPr>
                    <w:spacing w:line="280" w:lineRule="exact"/>
                    <w:ind w:firstLine="0" w:firstLineChars="0"/>
                    <w:jc w:val="center"/>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0</w:t>
                  </w:r>
                </w:p>
              </w:tc>
            </w:tr>
            <w:tr w14:paraId="6D4446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675" w:type="pct"/>
                  <w:tcBorders>
                    <w:tl2br w:val="nil"/>
                    <w:tr2bl w:val="nil"/>
                  </w:tcBorders>
                  <w:shd w:val="clear" w:color="auto" w:fill="auto"/>
                  <w:noWrap/>
                  <w:vAlign w:val="center"/>
                </w:tcPr>
                <w:p w14:paraId="3C74BE5E">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合计</w:t>
                  </w:r>
                </w:p>
              </w:tc>
              <w:tc>
                <w:tcPr>
                  <w:tcW w:w="675" w:type="pct"/>
                  <w:tcBorders>
                    <w:tl2br w:val="nil"/>
                    <w:tr2bl w:val="nil"/>
                  </w:tcBorders>
                  <w:shd w:val="clear" w:color="auto" w:fill="auto"/>
                  <w:noWrap/>
                  <w:vAlign w:val="center"/>
                </w:tcPr>
                <w:p w14:paraId="6FF63544">
                  <w:pPr>
                    <w:spacing w:line="28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113.635</w:t>
                  </w:r>
                </w:p>
              </w:tc>
              <w:tc>
                <w:tcPr>
                  <w:tcW w:w="810" w:type="pct"/>
                  <w:tcBorders>
                    <w:top w:val="single" w:color="auto" w:sz="4" w:space="0"/>
                    <w:right w:val="single" w:color="auto" w:sz="4" w:space="0"/>
                    <w:tl2br w:val="nil"/>
                    <w:tr2bl w:val="nil"/>
                  </w:tcBorders>
                  <w:shd w:val="clear" w:color="auto" w:fill="auto"/>
                  <w:noWrap/>
                  <w:vAlign w:val="center"/>
                </w:tcPr>
                <w:p w14:paraId="6AA2C7F7">
                  <w:pPr>
                    <w:spacing w:line="280" w:lineRule="exact"/>
                    <w:ind w:firstLine="0" w:firstLineChars="0"/>
                    <w:jc w:val="center"/>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111.527</w:t>
                  </w:r>
                </w:p>
              </w:tc>
              <w:tc>
                <w:tcPr>
                  <w:tcW w:w="675" w:type="pct"/>
                  <w:tcBorders>
                    <w:right w:val="single" w:color="auto" w:sz="4" w:space="0"/>
                    <w:tl2br w:val="nil"/>
                    <w:tr2bl w:val="nil"/>
                  </w:tcBorders>
                  <w:shd w:val="clear" w:color="auto" w:fill="auto"/>
                  <w:noWrap/>
                  <w:vAlign w:val="center"/>
                </w:tcPr>
                <w:p w14:paraId="5106BB29">
                  <w:pPr>
                    <w:spacing w:line="280" w:lineRule="exact"/>
                    <w:ind w:firstLine="0" w:firstLineChars="0"/>
                    <w:jc w:val="center"/>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2.108</w:t>
                  </w:r>
                </w:p>
              </w:tc>
              <w:tc>
                <w:tcPr>
                  <w:tcW w:w="540" w:type="pct"/>
                  <w:tcBorders>
                    <w:tl2br w:val="nil"/>
                    <w:tr2bl w:val="nil"/>
                  </w:tcBorders>
                  <w:shd w:val="clear" w:color="auto" w:fill="auto"/>
                  <w:noWrap/>
                  <w:vAlign w:val="center"/>
                </w:tcPr>
                <w:p w14:paraId="3E4D7A32">
                  <w:pPr>
                    <w:spacing w:line="280" w:lineRule="exact"/>
                    <w:ind w:firstLine="0" w:firstLineChars="0"/>
                    <w:jc w:val="center"/>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111.527</w:t>
                  </w:r>
                </w:p>
              </w:tc>
              <w:tc>
                <w:tcPr>
                  <w:tcW w:w="810" w:type="pct"/>
                  <w:tcBorders>
                    <w:tl2br w:val="nil"/>
                    <w:tr2bl w:val="nil"/>
                  </w:tcBorders>
                  <w:shd w:val="clear" w:color="auto" w:fill="auto"/>
                  <w:noWrap/>
                  <w:vAlign w:val="center"/>
                </w:tcPr>
                <w:p w14:paraId="1A7A4198">
                  <w:pPr>
                    <w:spacing w:line="28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10.8</w:t>
                  </w:r>
                </w:p>
              </w:tc>
              <w:tc>
                <w:tcPr>
                  <w:tcW w:w="810" w:type="pct"/>
                  <w:tcBorders>
                    <w:tl2br w:val="nil"/>
                    <w:tr2bl w:val="nil"/>
                  </w:tcBorders>
                  <w:shd w:val="clear" w:color="auto" w:fill="auto"/>
                  <w:noWrap/>
                  <w:vAlign w:val="center"/>
                </w:tcPr>
                <w:p w14:paraId="1EC5611C">
                  <w:pPr>
                    <w:spacing w:line="280" w:lineRule="exact"/>
                    <w:ind w:firstLine="0" w:firstLineChars="0"/>
                    <w:jc w:val="center"/>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0</w:t>
                  </w:r>
                </w:p>
              </w:tc>
            </w:tr>
          </w:tbl>
          <w:p w14:paraId="6DBBA809">
            <w:pPr>
              <w:pStyle w:val="2"/>
              <w:spacing w:line="240" w:lineRule="auto"/>
              <w:ind w:firstLine="0" w:firstLineChars="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object>
                <v:shape id="_x0000_i1031" o:spt="75" type="#_x0000_t75" style="height:137.25pt;width:264pt;" o:ole="t" filled="f" o:preferrelative="t" stroked="f" coordsize="21600,21600">
                  <v:path/>
                  <v:fill on="f" focussize="0,0"/>
                  <v:stroke on="f"/>
                  <v:imagedata r:id="rId25" o:title=""/>
                  <o:lock v:ext="edit" aspectratio="f"/>
                  <w10:wrap type="none"/>
                  <w10:anchorlock/>
                </v:shape>
                <o:OLEObject Type="Embed" ProgID="Visio.Drawing.11" ShapeID="_x0000_i1031" DrawAspect="Content" ObjectID="_1468075730" r:id="rId24">
                  <o:LockedField>false</o:LockedField>
                </o:OLEObject>
              </w:object>
            </w:r>
          </w:p>
          <w:p w14:paraId="4753237D">
            <w:pPr>
              <w:pStyle w:val="21"/>
              <w:rPr>
                <w:rFonts w:hint="default" w:ascii="Times New Roman" w:hAnsi="Times New Roman" w:eastAsia="宋体" w:cs="Times New Roman"/>
                <w:color w:val="auto"/>
                <w:sz w:val="21"/>
                <w:szCs w:val="21"/>
                <w:highlight w:val="none"/>
                <w:lang w:eastAsia="zh-CN"/>
              </w:rPr>
            </w:pPr>
            <w:bookmarkStart w:id="22" w:name="_Ref9649"/>
            <w:r>
              <w:rPr>
                <w:rFonts w:hint="default" w:ascii="Times New Roman" w:hAnsi="Times New Roman" w:cs="Times New Roman"/>
                <w:color w:val="auto"/>
                <w:sz w:val="21"/>
                <w:szCs w:val="21"/>
                <w:highlight w:val="none"/>
              </w:rPr>
              <w:t>图</w:t>
            </w:r>
            <w:bookmarkEnd w:id="22"/>
            <w:r>
              <w:rPr>
                <w:rFonts w:hint="eastAsia" w:ascii="Times New Roman" w:hAnsi="Times New Roman" w:cs="Times New Roman"/>
                <w:color w:val="auto"/>
                <w:sz w:val="21"/>
                <w:szCs w:val="21"/>
                <w:highlight w:val="none"/>
                <w:lang w:val="en-US" w:eastAsia="zh-CN"/>
              </w:rPr>
              <w:t>2-1</w:t>
            </w:r>
            <w:r>
              <w:rPr>
                <w:rFonts w:hint="default" w:ascii="Times New Roman" w:hAnsi="Times New Roman" w:cs="Times New Roman"/>
                <w:color w:val="auto"/>
                <w:sz w:val="21"/>
                <w:szCs w:val="21"/>
                <w:highlight w:val="none"/>
              </w:rPr>
              <w:t xml:space="preserve">  水平衡图    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vertAlign w:val="baseline"/>
                <w:lang w:val="en-US" w:eastAsia="zh-CN"/>
              </w:rPr>
              <w:t>/</w:t>
            </w:r>
            <w:r>
              <w:rPr>
                <w:rFonts w:hint="default" w:ascii="Times New Roman" w:hAnsi="Times New Roman" w:cs="Times New Roman"/>
                <w:color w:val="auto"/>
                <w:sz w:val="21"/>
                <w:szCs w:val="21"/>
                <w:highlight w:val="none"/>
                <w:lang w:val="en-US" w:eastAsia="zh-CN"/>
              </w:rPr>
              <w:t>d</w:t>
            </w:r>
          </w:p>
          <w:p w14:paraId="3F2DC8EA">
            <w:pPr>
              <w:rPr>
                <w:rFonts w:hint="default" w:ascii="Times New Roman" w:hAnsi="Times New Roman" w:cs="Times New Roman"/>
                <w:color w:val="auto"/>
                <w:kern w:val="0"/>
                <w:sz w:val="21"/>
                <w:szCs w:val="21"/>
                <w:highlight w:val="none"/>
                <w:lang w:bidi="ar"/>
              </w:rPr>
            </w:pPr>
            <w:r>
              <w:rPr>
                <w:rFonts w:hint="eastAsia"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、劳动定员及工作制度</w:t>
            </w:r>
          </w:p>
          <w:p w14:paraId="21C39652">
            <w:pP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本项目劳动人员由</w:t>
            </w:r>
            <w:r>
              <w:rPr>
                <w:rFonts w:hint="default" w:ascii="Times New Roman" w:hAnsi="Times New Roman" w:cs="Times New Roman"/>
                <w:color w:val="auto"/>
                <w:kern w:val="0"/>
                <w:sz w:val="21"/>
                <w:szCs w:val="21"/>
                <w:highlight w:val="none"/>
                <w:lang w:eastAsia="zh-CN" w:bidi="ar"/>
              </w:rPr>
              <w:t>唐山松汀钢铁有限公司</w:t>
            </w:r>
            <w:r>
              <w:rPr>
                <w:rFonts w:hint="default" w:ascii="Times New Roman" w:hAnsi="Times New Roman" w:cs="Times New Roman"/>
                <w:color w:val="auto"/>
                <w:kern w:val="0"/>
                <w:sz w:val="21"/>
                <w:szCs w:val="21"/>
                <w:highlight w:val="none"/>
                <w:lang w:bidi="ar"/>
              </w:rPr>
              <w:t>进行调剂，不新增劳动定员，年运行</w:t>
            </w:r>
            <w:r>
              <w:rPr>
                <w:rFonts w:hint="eastAsia" w:cs="Times New Roman"/>
                <w:color w:val="auto"/>
                <w:kern w:val="0"/>
                <w:sz w:val="21"/>
                <w:szCs w:val="21"/>
                <w:highlight w:val="none"/>
                <w:lang w:val="en-US" w:eastAsia="zh-CN" w:bidi="ar"/>
              </w:rPr>
              <w:t>300</w:t>
            </w:r>
            <w:r>
              <w:rPr>
                <w:rFonts w:hint="default" w:ascii="Times New Roman" w:hAnsi="Times New Roman" w:cs="Times New Roman"/>
                <w:color w:val="auto"/>
                <w:kern w:val="0"/>
                <w:sz w:val="21"/>
                <w:szCs w:val="21"/>
                <w:highlight w:val="none"/>
                <w:lang w:bidi="ar"/>
              </w:rPr>
              <w:t>天</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val="en-US" w:eastAsia="zh-CN" w:bidi="ar"/>
              </w:rPr>
              <w:t>实行三班作业，每班8小时</w:t>
            </w:r>
            <w:r>
              <w:rPr>
                <w:rFonts w:hint="default" w:ascii="Times New Roman" w:hAnsi="Times New Roman" w:cs="Times New Roman"/>
                <w:color w:val="auto"/>
                <w:kern w:val="0"/>
                <w:sz w:val="21"/>
                <w:szCs w:val="21"/>
                <w:highlight w:val="none"/>
                <w:lang w:bidi="ar"/>
              </w:rPr>
              <w:t>。</w:t>
            </w:r>
          </w:p>
          <w:p w14:paraId="6E8E5AE2">
            <w:pP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、周边关系及平面布置</w:t>
            </w:r>
          </w:p>
          <w:p w14:paraId="3709232C">
            <w:pPr>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本项目位于</w:t>
            </w:r>
            <w:r>
              <w:rPr>
                <w:rFonts w:hint="default" w:ascii="Times New Roman" w:hAnsi="Times New Roman" w:cs="Times New Roman" w:eastAsiaTheme="minorEastAsia"/>
                <w:color w:val="auto"/>
                <w:kern w:val="0"/>
                <w:szCs w:val="21"/>
                <w:highlight w:val="none"/>
                <w:lang w:val="en-US" w:eastAsia="zh-CN"/>
              </w:rPr>
              <w:t>河北迁安经济开发区，公司现有厂区内</w:t>
            </w:r>
            <w:r>
              <w:rPr>
                <w:rFonts w:hint="default" w:ascii="Times New Roman" w:hAnsi="Times New Roman" w:cs="Times New Roman"/>
                <w:color w:val="auto"/>
                <w:sz w:val="21"/>
                <w:szCs w:val="21"/>
                <w:highlight w:val="none"/>
              </w:rPr>
              <w:t>，</w:t>
            </w:r>
            <w:r>
              <w:rPr>
                <w:rFonts w:hint="eastAsia" w:cs="Times New Roman"/>
                <w:color w:val="auto"/>
                <w:sz w:val="21"/>
                <w:szCs w:val="21"/>
                <w:highlight w:val="none"/>
                <w:lang w:val="en-US" w:eastAsia="zh-CN"/>
              </w:rPr>
              <w:t>项目中心</w:t>
            </w:r>
            <w:r>
              <w:rPr>
                <w:rFonts w:hint="default" w:ascii="Times New Roman" w:hAnsi="Times New Roman" w:cs="Times New Roman"/>
                <w:color w:val="auto"/>
                <w:sz w:val="21"/>
                <w:szCs w:val="21"/>
                <w:highlight w:val="none"/>
              </w:rPr>
              <w:t>地理坐标：</w:t>
            </w:r>
            <w:r>
              <w:rPr>
                <w:rFonts w:hint="default" w:ascii="Times New Roman" w:hAnsi="Times New Roman" w:cs="Times New Roman" w:eastAsiaTheme="minorEastAsia"/>
                <w:color w:val="auto"/>
                <w:kern w:val="0"/>
                <w:sz w:val="21"/>
                <w:szCs w:val="21"/>
                <w:highlight w:val="none"/>
                <w:lang w:val="en-US" w:eastAsia="zh-CN"/>
              </w:rPr>
              <w:t>东经118°33′53.88</w:t>
            </w:r>
            <w:r>
              <w:rPr>
                <w:rFonts w:hint="eastAsia" w:cs="Times New Roman" w:eastAsiaTheme="minorEastAsia"/>
                <w:color w:val="auto"/>
                <w:kern w:val="0"/>
                <w:sz w:val="21"/>
                <w:szCs w:val="21"/>
                <w:highlight w:val="none"/>
                <w:lang w:val="en-US" w:eastAsia="zh-CN"/>
              </w:rPr>
              <w:t>0</w:t>
            </w:r>
            <w:r>
              <w:rPr>
                <w:rFonts w:hint="default" w:ascii="Times New Roman" w:hAnsi="Times New Roman" w:cs="Times New Roman" w:eastAsiaTheme="minorEastAsia"/>
                <w:color w:val="auto"/>
                <w:kern w:val="0"/>
                <w:sz w:val="21"/>
                <w:szCs w:val="21"/>
                <w:highlight w:val="none"/>
                <w:lang w:val="en-US" w:eastAsia="zh-CN"/>
              </w:rPr>
              <w:t>″，北纬39°56′34.86</w:t>
            </w:r>
            <w:r>
              <w:rPr>
                <w:rFonts w:hint="eastAsia" w:cs="Times New Roman" w:eastAsiaTheme="minorEastAsia"/>
                <w:color w:val="auto"/>
                <w:kern w:val="0"/>
                <w:sz w:val="21"/>
                <w:szCs w:val="21"/>
                <w:highlight w:val="none"/>
                <w:lang w:val="en-US" w:eastAsia="zh-CN"/>
              </w:rPr>
              <w:t>0</w:t>
            </w:r>
            <w:r>
              <w:rPr>
                <w:rFonts w:hint="default" w:ascii="Times New Roman" w:hAnsi="Times New Roman" w:cs="Times New Roman" w:eastAsiaTheme="minorEastAsia"/>
                <w:color w:val="auto"/>
                <w:kern w:val="0"/>
                <w:sz w:val="21"/>
                <w:szCs w:val="21"/>
                <w:highlight w:val="none"/>
                <w:lang w:val="en-US" w:eastAsia="zh-CN"/>
              </w:rPr>
              <w:t>″</w:t>
            </w:r>
            <w:r>
              <w:rPr>
                <w:rFonts w:hint="default" w:ascii="Times New Roman" w:hAnsi="Times New Roman" w:cs="Times New Roman" w:eastAsiaTheme="minorEastAsia"/>
                <w:color w:val="auto"/>
                <w:kern w:val="0"/>
                <w:sz w:val="21"/>
                <w:szCs w:val="21"/>
                <w:highlight w:val="none"/>
                <w:lang w:eastAsia="zh-CN"/>
              </w:rPr>
              <w:t>，</w:t>
            </w:r>
            <w:r>
              <w:rPr>
                <w:rFonts w:hint="eastAsia" w:cs="Times New Roman" w:eastAsiaTheme="minorEastAsia"/>
                <w:color w:val="auto"/>
                <w:kern w:val="0"/>
                <w:sz w:val="21"/>
                <w:szCs w:val="21"/>
                <w:highlight w:val="none"/>
                <w:lang w:val="en-US" w:eastAsia="zh-CN"/>
              </w:rPr>
              <w:t>项目利用现有厂房，位于</w:t>
            </w:r>
            <w:r>
              <w:rPr>
                <w:rFonts w:hint="eastAsia" w:cs="Times New Roman" w:eastAsiaTheme="minorEastAsia"/>
                <w:color w:val="auto"/>
                <w:kern w:val="0"/>
                <w:szCs w:val="21"/>
                <w:highlight w:val="none"/>
                <w:lang w:val="en-US" w:eastAsia="zh-CN"/>
              </w:rPr>
              <w:t>峪沟料库的南侧</w:t>
            </w:r>
            <w:r>
              <w:rPr>
                <w:rFonts w:hint="default" w:ascii="Times New Roman" w:hAnsi="Times New Roman" w:cs="Times New Roman" w:eastAsiaTheme="minorEastAsia"/>
                <w:color w:val="auto"/>
                <w:kern w:val="0"/>
                <w:sz w:val="21"/>
                <w:szCs w:val="21"/>
                <w:highlight w:val="none"/>
                <w:lang w:val="en-US" w:eastAsia="zh-CN"/>
              </w:rPr>
              <w:t>。</w:t>
            </w:r>
            <w:r>
              <w:rPr>
                <w:rFonts w:hint="default" w:ascii="Times New Roman" w:hAnsi="Times New Roman" w:cs="Times New Roman"/>
                <w:color w:val="auto"/>
                <w:sz w:val="21"/>
                <w:szCs w:val="21"/>
                <w:highlight w:val="none"/>
              </w:rPr>
              <w:t>项目周边关系见附图</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w:t>
            </w:r>
          </w:p>
          <w:p w14:paraId="1B2EE0C1">
            <w:pPr>
              <w:jc w:val="both"/>
              <w:rPr>
                <w:rFonts w:hint="default" w:ascii="Times New Roman" w:hAnsi="Times New Roman" w:cs="Times New Roman"/>
                <w:color w:val="auto"/>
                <w:sz w:val="21"/>
                <w:szCs w:val="21"/>
                <w:highlight w:val="yellow"/>
                <w:lang w:val="en-US"/>
              </w:rPr>
            </w:pPr>
            <w:r>
              <w:rPr>
                <w:rFonts w:hint="default" w:ascii="Times New Roman" w:hAnsi="Times New Roman" w:cs="Times New Roman"/>
                <w:color w:val="auto"/>
                <w:sz w:val="21"/>
                <w:szCs w:val="21"/>
                <w:highlight w:val="none"/>
              </w:rPr>
              <w:t>平面布置：</w:t>
            </w:r>
            <w:r>
              <w:rPr>
                <w:rFonts w:hint="eastAsia" w:cs="Times New Roman"/>
                <w:color w:val="auto"/>
                <w:sz w:val="21"/>
                <w:szCs w:val="21"/>
                <w:highlight w:val="none"/>
                <w:lang w:val="en-US" w:eastAsia="zh-CN"/>
              </w:rPr>
              <w:t>项目</w:t>
            </w:r>
            <w:r>
              <w:rPr>
                <w:rFonts w:hint="default" w:ascii="Times New Roman" w:hAnsi="Times New Roman" w:cs="Times New Roman"/>
                <w:color w:val="auto"/>
                <w:sz w:val="21"/>
                <w:szCs w:val="21"/>
                <w:highlight w:val="none"/>
                <w:lang w:val="en-US" w:eastAsia="zh-CN"/>
              </w:rPr>
              <w:t>位于</w:t>
            </w:r>
            <w:r>
              <w:rPr>
                <w:rFonts w:hint="eastAsia" w:cs="Times New Roman" w:eastAsiaTheme="minorEastAsia"/>
                <w:color w:val="auto"/>
                <w:kern w:val="0"/>
                <w:szCs w:val="21"/>
                <w:highlight w:val="none"/>
                <w:lang w:val="en-US" w:eastAsia="zh-CN"/>
              </w:rPr>
              <w:t>峪沟料库的南侧，</w:t>
            </w:r>
            <w:r>
              <w:rPr>
                <w:color w:val="auto"/>
                <w:sz w:val="21"/>
                <w:szCs w:val="21"/>
                <w:highlight w:val="none"/>
              </w:rPr>
              <w:t>在满足生产工艺流程的前提下，考虑运输、安全等要求，按各种设施不同功能进行分区和组合。</w:t>
            </w:r>
            <w:r>
              <w:rPr>
                <w:rFonts w:hint="eastAsia"/>
                <w:color w:val="auto"/>
                <w:sz w:val="21"/>
                <w:szCs w:val="21"/>
                <w:highlight w:val="none"/>
              </w:rPr>
              <w:t>项目</w:t>
            </w:r>
            <w:r>
              <w:rPr>
                <w:rFonts w:hint="eastAsia"/>
                <w:color w:val="auto"/>
                <w:sz w:val="21"/>
                <w:szCs w:val="21"/>
                <w:highlight w:val="none"/>
                <w:lang w:val="en-US" w:eastAsia="zh-CN"/>
              </w:rPr>
              <w:t>原料区位于西侧，东侧为生产区，成品区位于北侧。</w:t>
            </w:r>
            <w:r>
              <w:rPr>
                <w:color w:val="auto"/>
                <w:sz w:val="21"/>
                <w:szCs w:val="21"/>
                <w:highlight w:val="none"/>
              </w:rPr>
              <w:t>具体布置情况见厂区平面布置图</w:t>
            </w:r>
            <w:r>
              <w:rPr>
                <w:rFonts w:hint="eastAsia"/>
                <w:color w:val="auto"/>
                <w:sz w:val="21"/>
                <w:szCs w:val="21"/>
                <w:highlight w:val="none"/>
                <w:lang w:eastAsia="zh-CN"/>
              </w:rPr>
              <w:t>(</w:t>
            </w:r>
            <w:r>
              <w:rPr>
                <w:color w:val="auto"/>
                <w:sz w:val="21"/>
                <w:szCs w:val="21"/>
                <w:highlight w:val="none"/>
              </w:rPr>
              <w:t>附图2</w:t>
            </w:r>
            <w:r>
              <w:rPr>
                <w:rFonts w:hint="eastAsia"/>
                <w:color w:val="auto"/>
                <w:sz w:val="21"/>
                <w:szCs w:val="21"/>
                <w:highlight w:val="none"/>
              </w:rPr>
              <w:t>)</w:t>
            </w:r>
            <w:r>
              <w:rPr>
                <w:rFonts w:hint="default" w:ascii="Times New Roman" w:hAnsi="Times New Roman" w:cs="Times New Roman"/>
                <w:color w:val="auto"/>
                <w:sz w:val="21"/>
                <w:szCs w:val="21"/>
                <w:highlight w:val="none"/>
                <w:lang w:val="en-US" w:eastAsia="zh-CN"/>
              </w:rPr>
              <w:t>。</w:t>
            </w:r>
          </w:p>
        </w:tc>
      </w:tr>
      <w:tr w14:paraId="28C88C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04" w:hRule="atLeast"/>
          <w:jc w:val="center"/>
        </w:trPr>
        <w:tc>
          <w:tcPr>
            <w:tcW w:w="233" w:type="pct"/>
            <w:shd w:val="clear" w:color="auto" w:fill="auto"/>
            <w:vAlign w:val="center"/>
          </w:tcPr>
          <w:p w14:paraId="5FA7F009">
            <w:pPr>
              <w:pStyle w:val="77"/>
              <w:spacing w:before="0" w:beforeAutospacing="0" w:after="0" w:afterAutospacing="0" w:line="240" w:lineRule="auto"/>
              <w:ind w:firstLine="0" w:firstLineChars="0"/>
              <w:jc w:val="center"/>
              <w:rPr>
                <w:rFonts w:hint="default" w:ascii="Times New Roman" w:hAnsi="Times New Roman" w:cs="Times New Roman"/>
                <w:color w:val="auto"/>
                <w:sz w:val="21"/>
                <w:szCs w:val="21"/>
                <w:highlight w:val="yellow"/>
              </w:rPr>
            </w:pPr>
            <w:r>
              <w:rPr>
                <w:rFonts w:hint="default" w:ascii="Times New Roman" w:hAnsi="Times New Roman" w:cs="Times New Roman"/>
                <w:color w:val="auto"/>
                <w:spacing w:val="-8"/>
                <w:kern w:val="2"/>
                <w:sz w:val="21"/>
                <w:szCs w:val="21"/>
                <w:highlight w:val="none"/>
              </w:rPr>
              <w:t>工艺流程和产排污环</w:t>
            </w:r>
            <w:r>
              <w:rPr>
                <w:rFonts w:hint="default" w:ascii="Times New Roman" w:hAnsi="Times New Roman" w:cs="Times New Roman"/>
                <w:color w:val="auto"/>
                <w:sz w:val="21"/>
                <w:szCs w:val="21"/>
                <w:highlight w:val="none"/>
              </w:rPr>
              <w:t>节</w:t>
            </w:r>
          </w:p>
        </w:tc>
        <w:tc>
          <w:tcPr>
            <w:tcW w:w="4766" w:type="pct"/>
            <w:shd w:val="clear" w:color="auto" w:fill="auto"/>
          </w:tcPr>
          <w:p w14:paraId="48261784">
            <w:pPr>
              <w:ind w:firstLine="422"/>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1.工艺流程简述</w:t>
            </w:r>
          </w:p>
          <w:p w14:paraId="13B548EB">
            <w:pPr>
              <w:ind w:firstLine="422"/>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1.1施工期</w:t>
            </w:r>
          </w:p>
          <w:p w14:paraId="5EBF2EB0">
            <w:pPr>
              <w:ind w:firstLine="420"/>
              <w:rPr>
                <w:color w:val="auto"/>
              </w:rPr>
            </w:pPr>
            <w:r>
              <w:rPr>
                <w:rFonts w:hint="eastAsia"/>
                <w:color w:val="auto"/>
                <w:sz w:val="21"/>
                <w:szCs w:val="21"/>
                <w:highlight w:val="none"/>
              </w:rPr>
              <w:t>项目利用</w:t>
            </w:r>
            <w:r>
              <w:rPr>
                <w:rFonts w:hint="eastAsia"/>
                <w:color w:val="auto"/>
                <w:sz w:val="21"/>
                <w:szCs w:val="21"/>
                <w:highlight w:val="none"/>
                <w:lang w:eastAsia="zh-CN"/>
              </w:rPr>
              <w:t>现有</w:t>
            </w:r>
            <w:r>
              <w:rPr>
                <w:rFonts w:hint="eastAsia"/>
                <w:color w:val="auto"/>
                <w:sz w:val="21"/>
                <w:szCs w:val="21"/>
                <w:highlight w:val="none"/>
              </w:rPr>
              <w:t>的车间，施工期对环境的影响主要为设备安装过程产生的噪声</w:t>
            </w:r>
            <w:r>
              <w:rPr>
                <w:rFonts w:hint="eastAsia"/>
                <w:color w:val="auto"/>
                <w:sz w:val="21"/>
                <w:szCs w:val="21"/>
                <w:highlight w:val="none"/>
                <w:lang w:val="en-US" w:eastAsia="zh-CN"/>
              </w:rPr>
              <w:t>和安装过程中产生的固废</w:t>
            </w:r>
            <w:r>
              <w:rPr>
                <w:rFonts w:hint="eastAsia"/>
                <w:color w:val="auto"/>
                <w:sz w:val="21"/>
                <w:szCs w:val="21"/>
                <w:highlight w:val="none"/>
              </w:rPr>
              <w:t>，项目施工期短，施工期对周边环境影响很小</w:t>
            </w:r>
            <w:r>
              <w:rPr>
                <w:rFonts w:hint="eastAsia"/>
                <w:color w:val="auto"/>
                <w:sz w:val="21"/>
                <w:szCs w:val="21"/>
                <w:highlight w:val="none"/>
                <w:lang w:eastAsia="zh-CN"/>
              </w:rPr>
              <w:t>。</w:t>
            </w:r>
          </w:p>
          <w:p w14:paraId="04EDB496">
            <w:pPr>
              <w:ind w:firstLine="422"/>
              <w:rPr>
                <w:rFonts w:hint="default" w:ascii="Times New Roman" w:hAnsi="Times New Roman" w:cs="Times New Roman"/>
                <w:b/>
                <w:color w:val="auto"/>
                <w:sz w:val="21"/>
                <w:szCs w:val="21"/>
                <w:highlight w:val="none"/>
              </w:rPr>
            </w:pPr>
            <w:r>
              <w:rPr>
                <w:rFonts w:hint="default" w:ascii="Times New Roman" w:hAnsi="Times New Roman" w:cs="Times New Roman"/>
                <w:b/>
                <w:bCs/>
                <w:color w:val="auto"/>
                <w:sz w:val="21"/>
                <w:szCs w:val="21"/>
                <w:highlight w:val="none"/>
              </w:rPr>
              <w:t>1.2</w:t>
            </w:r>
            <w:r>
              <w:rPr>
                <w:rFonts w:hint="default" w:ascii="Times New Roman" w:hAnsi="Times New Roman" w:cs="Times New Roman"/>
                <w:b/>
                <w:color w:val="auto"/>
                <w:sz w:val="21"/>
                <w:szCs w:val="21"/>
                <w:highlight w:val="none"/>
              </w:rPr>
              <w:t>运营期</w:t>
            </w:r>
          </w:p>
          <w:p w14:paraId="46DA4D83">
            <w:pPr>
              <w:ind w:firstLine="480"/>
              <w:rPr>
                <w:rFonts w:hint="default" w:eastAsia="宋体"/>
                <w:color w:val="auto"/>
                <w:sz w:val="21"/>
                <w:szCs w:val="21"/>
                <w:highlight w:val="none"/>
                <w:lang w:val="en-US" w:eastAsia="zh-CN"/>
              </w:rPr>
            </w:pPr>
            <w:r>
              <w:rPr>
                <w:rFonts w:hint="eastAsia"/>
                <w:color w:val="auto"/>
                <w:sz w:val="21"/>
                <w:szCs w:val="21"/>
                <w:highlight w:val="none"/>
              </w:rPr>
              <w:t>项目建设</w:t>
            </w:r>
            <w:r>
              <w:rPr>
                <w:rFonts w:hint="default" w:ascii="Times New Roman" w:hAnsi="Times New Roman" w:cs="Times New Roman" w:eastAsiaTheme="minorEastAsia"/>
                <w:color w:val="auto"/>
                <w:sz w:val="21"/>
                <w:szCs w:val="21"/>
                <w:highlight w:val="none"/>
                <w:lang w:val="en-US" w:eastAsia="zh-CN"/>
              </w:rPr>
              <w:t>含铁废料压球生产线1条</w:t>
            </w:r>
            <w:r>
              <w:rPr>
                <w:rFonts w:hint="eastAsia"/>
                <w:color w:val="auto"/>
                <w:sz w:val="21"/>
                <w:szCs w:val="21"/>
                <w:highlight w:val="none"/>
              </w:rPr>
              <w:t>，采用入料→</w:t>
            </w:r>
            <w:r>
              <w:rPr>
                <w:rFonts w:hint="eastAsia"/>
                <w:color w:val="auto"/>
                <w:sz w:val="21"/>
                <w:szCs w:val="21"/>
                <w:highlight w:val="none"/>
                <w:lang w:val="en-US" w:eastAsia="zh-CN"/>
              </w:rPr>
              <w:t>筛分</w:t>
            </w:r>
            <w:r>
              <w:rPr>
                <w:rFonts w:hint="eastAsia"/>
                <w:color w:val="auto"/>
                <w:sz w:val="21"/>
                <w:szCs w:val="21"/>
                <w:highlight w:val="none"/>
              </w:rPr>
              <w:t>→</w:t>
            </w:r>
            <w:r>
              <w:rPr>
                <w:rFonts w:hint="eastAsia"/>
                <w:color w:val="auto"/>
                <w:sz w:val="21"/>
                <w:szCs w:val="21"/>
                <w:highlight w:val="none"/>
                <w:lang w:val="en-US" w:eastAsia="zh-CN"/>
              </w:rPr>
              <w:t>搅拌</w:t>
            </w:r>
            <w:r>
              <w:rPr>
                <w:rFonts w:hint="eastAsia"/>
                <w:color w:val="auto"/>
                <w:sz w:val="21"/>
                <w:szCs w:val="21"/>
                <w:highlight w:val="none"/>
              </w:rPr>
              <w:t>→成型等工序，</w:t>
            </w:r>
            <w:r>
              <w:rPr>
                <w:rFonts w:hint="default" w:ascii="Times New Roman" w:hAnsi="Times New Roman" w:cs="Times New Roman" w:eastAsiaTheme="minorEastAsia"/>
                <w:color w:val="auto"/>
                <w:sz w:val="21"/>
                <w:szCs w:val="21"/>
                <w:highlight w:val="none"/>
                <w:lang w:val="en-US" w:eastAsia="zh-CN"/>
              </w:rPr>
              <w:t>年产含铁废料压球10.8万吨</w:t>
            </w:r>
            <w:r>
              <w:rPr>
                <w:rFonts w:hint="eastAsia"/>
                <w:color w:val="auto"/>
                <w:sz w:val="21"/>
                <w:szCs w:val="21"/>
                <w:highlight w:val="none"/>
              </w:rPr>
              <w:t>。</w:t>
            </w:r>
            <w:r>
              <w:rPr>
                <w:rFonts w:hint="eastAsia"/>
                <w:color w:val="auto"/>
                <w:sz w:val="21"/>
                <w:szCs w:val="21"/>
                <w:highlight w:val="none"/>
                <w:lang w:val="en-US" w:eastAsia="zh-CN"/>
              </w:rPr>
              <w:t>本项目未建设前，原料除尘灰、含铁沉泥运输至烧结车间，作为原料回用。</w:t>
            </w:r>
          </w:p>
          <w:p w14:paraId="74A260BC">
            <w:pPr>
              <w:keepNext w:val="0"/>
              <w:keepLines w:val="0"/>
              <w:pageBreakBefore w:val="0"/>
              <w:widowControl/>
              <w:numPr>
                <w:ilvl w:val="0"/>
                <w:numId w:val="0"/>
              </w:numPr>
              <w:kinsoku/>
              <w:wordWrap/>
              <w:overflowPunct/>
              <w:topLinePunct w:val="0"/>
              <w:autoSpaceDE/>
              <w:autoSpaceDN/>
              <w:bidi w:val="0"/>
              <w:adjustRightInd/>
              <w:snapToGrid/>
              <w:ind w:firstLine="420" w:firstLineChars="200"/>
              <w:textAlignment w:val="auto"/>
              <w:rPr>
                <w:rFonts w:hint="eastAsia"/>
                <w:bCs/>
                <w:color w:val="auto"/>
                <w:sz w:val="21"/>
                <w:szCs w:val="21"/>
                <w:highlight w:val="none"/>
                <w:lang w:val="en-US" w:eastAsia="zh-CN"/>
              </w:rPr>
            </w:pPr>
            <w:r>
              <w:rPr>
                <w:rFonts w:hint="eastAsia"/>
                <w:bCs/>
                <w:color w:val="auto"/>
                <w:sz w:val="21"/>
                <w:szCs w:val="21"/>
                <w:highlight w:val="none"/>
                <w:lang w:val="en-US" w:eastAsia="zh-CN"/>
              </w:rPr>
              <w:t>(1)卸料</w:t>
            </w:r>
          </w:p>
          <w:p w14:paraId="5B40E954">
            <w:pPr>
              <w:keepNext w:val="0"/>
              <w:keepLines w:val="0"/>
              <w:widowControl/>
              <w:suppressLineNumbers w:val="0"/>
              <w:jc w:val="left"/>
              <w:rPr>
                <w:rFonts w:hint="eastAsia" w:eastAsia="宋体"/>
                <w:color w:val="auto"/>
                <w:sz w:val="21"/>
                <w:szCs w:val="21"/>
                <w:highlight w:val="none"/>
                <w:lang w:val="en-US" w:eastAsia="zh-CN"/>
              </w:rPr>
            </w:pPr>
            <w:r>
              <w:rPr>
                <w:rFonts w:hint="eastAsia"/>
                <w:color w:val="auto"/>
                <w:sz w:val="21"/>
                <w:szCs w:val="21"/>
                <w:highlight w:val="none"/>
                <w:lang w:val="en-US" w:eastAsia="zh-CN"/>
              </w:rPr>
              <w:t>除尘灰、含铁沉泥、矿粉、粘合剂</w:t>
            </w:r>
            <w:r>
              <w:rPr>
                <w:color w:val="auto"/>
                <w:sz w:val="21"/>
                <w:szCs w:val="21"/>
                <w:highlight w:val="none"/>
              </w:rPr>
              <w:t>经汽车运输至厂区，在</w:t>
            </w:r>
            <w:r>
              <w:rPr>
                <w:rFonts w:hint="eastAsia"/>
                <w:color w:val="auto"/>
                <w:sz w:val="21"/>
                <w:szCs w:val="21"/>
                <w:highlight w:val="none"/>
                <w:lang w:val="en-US" w:eastAsia="zh-CN"/>
              </w:rPr>
              <w:t>生产车间的原料区</w:t>
            </w:r>
            <w:r>
              <w:rPr>
                <w:color w:val="auto"/>
                <w:sz w:val="21"/>
                <w:szCs w:val="21"/>
                <w:highlight w:val="none"/>
              </w:rPr>
              <w:t>卸料、堆存，</w:t>
            </w:r>
            <w:r>
              <w:rPr>
                <w:rFonts w:hint="eastAsia"/>
                <w:color w:val="auto"/>
                <w:sz w:val="21"/>
                <w:szCs w:val="21"/>
                <w:highlight w:val="none"/>
                <w:lang w:val="en-US" w:eastAsia="zh-CN"/>
              </w:rPr>
              <w:t>粘合剂采用吨包袋包装，</w:t>
            </w:r>
            <w:r>
              <w:rPr>
                <w:color w:val="auto"/>
                <w:sz w:val="21"/>
                <w:szCs w:val="21"/>
                <w:highlight w:val="none"/>
              </w:rPr>
              <w:t>以备生产；</w:t>
            </w:r>
            <w:r>
              <w:rPr>
                <w:rFonts w:hint="eastAsia"/>
                <w:color w:val="auto"/>
                <w:sz w:val="21"/>
                <w:szCs w:val="21"/>
                <w:highlight w:val="none"/>
                <w:lang w:val="en-US" w:eastAsia="zh-CN"/>
              </w:rPr>
              <w:t>原料区</w:t>
            </w:r>
            <w:r>
              <w:rPr>
                <w:color w:val="auto"/>
                <w:sz w:val="21"/>
                <w:szCs w:val="21"/>
                <w:highlight w:val="none"/>
              </w:rPr>
              <w:t>设置</w:t>
            </w:r>
            <w:r>
              <w:rPr>
                <w:rFonts w:hint="eastAsia"/>
                <w:color w:val="auto"/>
                <w:sz w:val="21"/>
                <w:szCs w:val="21"/>
                <w:highlight w:val="none"/>
              </w:rPr>
              <w:t>喷雾</w:t>
            </w:r>
            <w:r>
              <w:rPr>
                <w:color w:val="auto"/>
                <w:sz w:val="21"/>
                <w:szCs w:val="21"/>
                <w:highlight w:val="none"/>
              </w:rPr>
              <w:t>装置，原料</w:t>
            </w:r>
            <w:r>
              <w:rPr>
                <w:rFonts w:hint="eastAsia"/>
                <w:color w:val="auto"/>
                <w:sz w:val="21"/>
                <w:szCs w:val="21"/>
                <w:highlight w:val="none"/>
                <w:lang w:val="en-US" w:eastAsia="zh-CN"/>
              </w:rPr>
              <w:t>堆存、</w:t>
            </w:r>
            <w:r>
              <w:rPr>
                <w:color w:val="auto"/>
                <w:sz w:val="21"/>
                <w:szCs w:val="21"/>
                <w:highlight w:val="none"/>
              </w:rPr>
              <w:t>卸料</w:t>
            </w:r>
            <w:r>
              <w:rPr>
                <w:rFonts w:hint="eastAsia"/>
                <w:color w:val="auto"/>
                <w:sz w:val="21"/>
                <w:szCs w:val="21"/>
                <w:highlight w:val="none"/>
                <w:lang w:val="en-US" w:eastAsia="zh-CN"/>
              </w:rPr>
              <w:t>过程中进行</w:t>
            </w:r>
            <w:r>
              <w:rPr>
                <w:rFonts w:hint="eastAsia"/>
                <w:color w:val="auto"/>
                <w:sz w:val="21"/>
                <w:szCs w:val="21"/>
                <w:highlight w:val="none"/>
              </w:rPr>
              <w:t>喷雾</w:t>
            </w:r>
            <w:r>
              <w:rPr>
                <w:color w:val="auto"/>
                <w:sz w:val="21"/>
                <w:szCs w:val="21"/>
                <w:highlight w:val="none"/>
              </w:rPr>
              <w:t>抑尘</w:t>
            </w:r>
            <w:r>
              <w:rPr>
                <w:rFonts w:hint="eastAsia"/>
                <w:color w:val="auto"/>
                <w:sz w:val="21"/>
                <w:szCs w:val="21"/>
                <w:highlight w:val="none"/>
                <w:lang w:val="en-US" w:eastAsia="zh-CN"/>
              </w:rPr>
              <w:t>。</w:t>
            </w:r>
            <w:r>
              <w:rPr>
                <w:color w:val="auto"/>
                <w:sz w:val="21"/>
                <w:szCs w:val="21"/>
                <w:highlight w:val="none"/>
              </w:rPr>
              <w:t>原料</w:t>
            </w:r>
            <w:r>
              <w:rPr>
                <w:rFonts w:hint="eastAsia" w:ascii="宋体" w:hAnsi="宋体" w:eastAsia="宋体" w:cs="宋体"/>
                <w:color w:val="auto"/>
                <w:kern w:val="0"/>
                <w:sz w:val="21"/>
                <w:szCs w:val="21"/>
                <w:lang w:val="en-US" w:eastAsia="zh-CN" w:bidi="ar"/>
              </w:rPr>
              <w:t>运输车辆应采用密闭车斗</w:t>
            </w:r>
            <w:r>
              <w:rPr>
                <w:rFonts w:hint="eastAsia"/>
                <w:color w:val="auto"/>
                <w:sz w:val="21"/>
                <w:szCs w:val="21"/>
                <w:highlight w:val="none"/>
                <w:lang w:val="en-US" w:eastAsia="zh-CN"/>
              </w:rPr>
              <w:t>。</w:t>
            </w:r>
          </w:p>
          <w:p w14:paraId="3B0DD1E4">
            <w:pPr>
              <w:adjustRightInd w:val="0"/>
              <w:snapToGrid w:val="0"/>
              <w:ind w:firstLine="480"/>
              <w:rPr>
                <w:bCs/>
                <w:color w:val="auto"/>
                <w:sz w:val="21"/>
                <w:szCs w:val="21"/>
                <w:highlight w:val="none"/>
              </w:rPr>
            </w:pPr>
            <w:r>
              <w:rPr>
                <w:color w:val="auto"/>
                <w:sz w:val="21"/>
                <w:szCs w:val="21"/>
                <w:highlight w:val="none"/>
              </w:rPr>
              <w:t>此过程排污节点为</w:t>
            </w:r>
            <w:r>
              <w:rPr>
                <w:rFonts w:hint="eastAsia"/>
                <w:color w:val="auto"/>
                <w:sz w:val="21"/>
                <w:szCs w:val="21"/>
                <w:highlight w:val="none"/>
              </w:rPr>
              <w:t>原料</w:t>
            </w:r>
            <w:r>
              <w:rPr>
                <w:color w:val="auto"/>
                <w:sz w:val="21"/>
                <w:szCs w:val="21"/>
                <w:highlight w:val="none"/>
              </w:rPr>
              <w:t>卸料</w:t>
            </w:r>
            <w:r>
              <w:rPr>
                <w:rFonts w:hint="eastAsia"/>
                <w:color w:val="auto"/>
                <w:sz w:val="21"/>
                <w:szCs w:val="21"/>
                <w:highlight w:val="none"/>
                <w:lang w:eastAsia="zh-CN"/>
              </w:rPr>
              <w:t>、</w:t>
            </w:r>
            <w:r>
              <w:rPr>
                <w:rFonts w:hint="eastAsia"/>
                <w:color w:val="auto"/>
                <w:sz w:val="21"/>
                <w:szCs w:val="21"/>
                <w:highlight w:val="none"/>
                <w:lang w:val="en-US" w:eastAsia="zh-CN"/>
              </w:rPr>
              <w:t>堆存</w:t>
            </w:r>
            <w:r>
              <w:rPr>
                <w:color w:val="auto"/>
                <w:sz w:val="21"/>
                <w:szCs w:val="21"/>
                <w:highlight w:val="none"/>
              </w:rPr>
              <w:t>时产生的颗粒物G1。</w:t>
            </w:r>
          </w:p>
          <w:p w14:paraId="4174D8EA">
            <w:pPr>
              <w:keepNext w:val="0"/>
              <w:keepLines w:val="0"/>
              <w:pageBreakBefore w:val="0"/>
              <w:widowControl/>
              <w:numPr>
                <w:ilvl w:val="0"/>
                <w:numId w:val="0"/>
              </w:numPr>
              <w:kinsoku/>
              <w:wordWrap/>
              <w:overflowPunct/>
              <w:topLinePunct w:val="0"/>
              <w:autoSpaceDE/>
              <w:autoSpaceDN/>
              <w:bidi w:val="0"/>
              <w:adjustRightInd/>
              <w:snapToGrid/>
              <w:ind w:firstLine="420" w:firstLineChars="200"/>
              <w:textAlignment w:val="auto"/>
              <w:rPr>
                <w:bCs/>
                <w:color w:val="auto"/>
                <w:sz w:val="21"/>
                <w:szCs w:val="21"/>
                <w:highlight w:val="none"/>
              </w:rPr>
            </w:pPr>
            <w:r>
              <w:rPr>
                <w:rFonts w:hint="eastAsia"/>
                <w:bCs/>
                <w:color w:val="auto"/>
                <w:sz w:val="21"/>
                <w:szCs w:val="21"/>
                <w:highlight w:val="none"/>
                <w:lang w:val="en-US" w:eastAsia="zh-CN"/>
              </w:rPr>
              <w:t>(2)原料</w:t>
            </w:r>
            <w:r>
              <w:rPr>
                <w:rFonts w:hint="eastAsia"/>
                <w:bCs/>
                <w:color w:val="auto"/>
                <w:sz w:val="21"/>
                <w:szCs w:val="21"/>
                <w:highlight w:val="none"/>
              </w:rPr>
              <w:t>入料</w:t>
            </w:r>
          </w:p>
          <w:p w14:paraId="0F1C1218">
            <w:pPr>
              <w:adjustRightInd w:val="0"/>
              <w:snapToGrid w:val="0"/>
              <w:ind w:firstLine="480"/>
              <w:rPr>
                <w:rFonts w:hint="default" w:eastAsia="宋体"/>
                <w:bCs/>
                <w:color w:val="auto"/>
                <w:sz w:val="21"/>
                <w:szCs w:val="21"/>
                <w:highlight w:val="none"/>
                <w:lang w:val="en-US" w:eastAsia="zh-CN"/>
              </w:rPr>
            </w:pPr>
            <w:r>
              <w:rPr>
                <w:rFonts w:hint="eastAsia"/>
                <w:color w:val="auto"/>
                <w:sz w:val="21"/>
                <w:szCs w:val="21"/>
                <w:highlight w:val="red"/>
                <w:lang w:val="en-US" w:eastAsia="zh-CN"/>
              </w:rPr>
              <w:t>除尘灰、</w:t>
            </w:r>
            <w:r>
              <w:rPr>
                <w:highlight w:val="red"/>
              </w:rPr>
              <w:commentReference w:id="10"/>
            </w:r>
            <w:r>
              <w:rPr>
                <w:rFonts w:hint="eastAsia"/>
                <w:color w:val="auto"/>
                <w:sz w:val="21"/>
                <w:szCs w:val="21"/>
                <w:highlight w:val="red"/>
                <w:lang w:val="en-US" w:eastAsia="zh-CN"/>
              </w:rPr>
              <w:t>含铁沉泥、矿粉、粘合剂的使用比例约为2.24:1:3.76:1.27，</w:t>
            </w:r>
            <w:r>
              <w:rPr>
                <w:rFonts w:hint="eastAsia"/>
                <w:color w:val="auto"/>
                <w:sz w:val="21"/>
                <w:szCs w:val="21"/>
                <w:highlight w:val="none"/>
                <w:lang w:val="en-US" w:eastAsia="zh-CN"/>
              </w:rPr>
              <w:t>除尘灰、含铁沉泥、矿粉</w:t>
            </w:r>
            <w:r>
              <w:rPr>
                <w:rFonts w:hint="eastAsia"/>
                <w:bCs/>
                <w:color w:val="auto"/>
                <w:sz w:val="21"/>
                <w:szCs w:val="21"/>
                <w:highlight w:val="none"/>
              </w:rPr>
              <w:t>由装载机运至</w:t>
            </w:r>
            <w:r>
              <w:rPr>
                <w:rFonts w:hint="eastAsia"/>
                <w:bCs/>
                <w:color w:val="auto"/>
                <w:sz w:val="21"/>
                <w:szCs w:val="21"/>
                <w:highlight w:val="none"/>
                <w:lang w:val="en-US" w:eastAsia="zh-CN"/>
              </w:rPr>
              <w:t>料仓</w:t>
            </w:r>
            <w:r>
              <w:rPr>
                <w:rFonts w:hint="eastAsia"/>
                <w:bCs/>
                <w:color w:val="auto"/>
                <w:sz w:val="21"/>
                <w:szCs w:val="21"/>
                <w:highlight w:val="none"/>
              </w:rPr>
              <w:t>，</w:t>
            </w:r>
            <w:r>
              <w:rPr>
                <w:rFonts w:hint="eastAsia"/>
                <w:bCs/>
                <w:color w:val="auto"/>
                <w:sz w:val="21"/>
                <w:szCs w:val="21"/>
                <w:highlight w:val="none"/>
                <w:lang w:val="en-US" w:eastAsia="zh-CN"/>
              </w:rPr>
              <w:t>由气动阀门控制放料，物料由底部出料，经</w:t>
            </w:r>
            <w:r>
              <w:rPr>
                <w:rFonts w:hint="eastAsia"/>
                <w:bCs/>
                <w:color w:val="auto"/>
                <w:sz w:val="21"/>
                <w:szCs w:val="21"/>
                <w:highlight w:val="none"/>
              </w:rPr>
              <w:t>皮带秤</w:t>
            </w:r>
            <w:r>
              <w:rPr>
                <w:rFonts w:hint="eastAsia"/>
                <w:bCs/>
                <w:color w:val="auto"/>
              </w:rPr>
              <w:t>称重</w:t>
            </w:r>
            <w:r>
              <w:rPr>
                <w:rFonts w:hint="eastAsia"/>
                <w:bCs/>
                <w:color w:val="auto"/>
                <w:sz w:val="21"/>
                <w:szCs w:val="21"/>
                <w:highlight w:val="none"/>
                <w:lang w:val="en-US" w:eastAsia="zh-CN"/>
              </w:rPr>
              <w:t>后</w:t>
            </w:r>
            <w:r>
              <w:rPr>
                <w:rFonts w:hint="eastAsia"/>
                <w:bCs/>
                <w:color w:val="auto"/>
                <w:sz w:val="21"/>
                <w:szCs w:val="21"/>
                <w:highlight w:val="none"/>
              </w:rPr>
              <w:t>由</w:t>
            </w:r>
            <w:r>
              <w:rPr>
                <w:rFonts w:hint="eastAsia"/>
                <w:bCs/>
                <w:color w:val="auto"/>
                <w:sz w:val="21"/>
                <w:szCs w:val="21"/>
                <w:highlight w:val="red"/>
                <w:lang w:val="en-US" w:eastAsia="zh-CN"/>
              </w:rPr>
              <w:t>封闭</w:t>
            </w:r>
            <w:r>
              <w:rPr>
                <w:rFonts w:hint="eastAsia"/>
                <w:bCs/>
                <w:color w:val="auto"/>
                <w:sz w:val="21"/>
                <w:szCs w:val="21"/>
                <w:highlight w:val="red"/>
              </w:rPr>
              <w:t>皮带输</w:t>
            </w:r>
            <w:r>
              <w:rPr>
                <w:rFonts w:hint="eastAsia"/>
                <w:bCs/>
                <w:color w:val="auto"/>
                <w:sz w:val="21"/>
                <w:szCs w:val="21"/>
                <w:highlight w:val="none"/>
              </w:rPr>
              <w:t>送</w:t>
            </w:r>
            <w:r>
              <w:rPr>
                <w:rFonts w:hint="eastAsia"/>
                <w:bCs/>
                <w:color w:val="auto"/>
                <w:sz w:val="21"/>
                <w:szCs w:val="21"/>
                <w:highlight w:val="none"/>
                <w:lang w:val="en-US" w:eastAsia="zh-CN"/>
              </w:rPr>
              <w:t>至筛分、搅拌工序。</w:t>
            </w:r>
          </w:p>
          <w:p w14:paraId="1BAEDF57">
            <w:pPr>
              <w:adjustRightInd w:val="0"/>
              <w:snapToGrid w:val="0"/>
              <w:ind w:firstLine="480"/>
              <w:rPr>
                <w:rFonts w:hint="eastAsia"/>
                <w:bCs/>
                <w:color w:val="auto"/>
                <w:sz w:val="21"/>
                <w:szCs w:val="21"/>
                <w:highlight w:val="none"/>
              </w:rPr>
            </w:pPr>
            <w:r>
              <w:rPr>
                <w:color w:val="auto"/>
                <w:sz w:val="21"/>
                <w:szCs w:val="21"/>
                <w:highlight w:val="none"/>
              </w:rPr>
              <w:t>此过程排污节点为</w:t>
            </w:r>
            <w:r>
              <w:rPr>
                <w:rFonts w:hint="eastAsia"/>
                <w:color w:val="auto"/>
                <w:sz w:val="21"/>
                <w:szCs w:val="21"/>
                <w:highlight w:val="none"/>
              </w:rPr>
              <w:t>原料</w:t>
            </w:r>
            <w:r>
              <w:rPr>
                <w:rFonts w:hint="eastAsia"/>
                <w:color w:val="auto"/>
                <w:sz w:val="21"/>
                <w:szCs w:val="21"/>
                <w:highlight w:val="none"/>
                <w:lang w:val="en-US" w:eastAsia="zh-CN"/>
              </w:rPr>
              <w:t>入料</w:t>
            </w:r>
            <w:r>
              <w:rPr>
                <w:color w:val="auto"/>
                <w:sz w:val="21"/>
                <w:szCs w:val="21"/>
                <w:highlight w:val="none"/>
              </w:rPr>
              <w:t>时产生的颗粒物G</w:t>
            </w:r>
            <w:r>
              <w:rPr>
                <w:rFonts w:hint="eastAsia"/>
                <w:color w:val="auto"/>
                <w:sz w:val="21"/>
                <w:szCs w:val="21"/>
                <w:highlight w:val="none"/>
                <w:lang w:val="en-US" w:eastAsia="zh-CN"/>
              </w:rPr>
              <w:t>2；</w:t>
            </w:r>
            <w:r>
              <w:rPr>
                <w:rFonts w:hint="eastAsia"/>
                <w:color w:val="auto"/>
                <w:sz w:val="21"/>
                <w:szCs w:val="21"/>
                <w:highlight w:val="none"/>
              </w:rPr>
              <w:t>装载机的噪声N</w:t>
            </w:r>
            <w:r>
              <w:rPr>
                <w:rFonts w:hint="eastAsia"/>
                <w:color w:val="auto"/>
                <w:sz w:val="21"/>
                <w:szCs w:val="21"/>
                <w:highlight w:val="none"/>
                <w:lang w:val="en-US" w:eastAsia="zh-CN"/>
              </w:rPr>
              <w:t>1</w:t>
            </w:r>
            <w:r>
              <w:rPr>
                <w:color w:val="auto"/>
                <w:sz w:val="21"/>
                <w:szCs w:val="21"/>
                <w:highlight w:val="none"/>
              </w:rPr>
              <w:t>。</w:t>
            </w:r>
          </w:p>
          <w:p w14:paraId="270A0EAF">
            <w:pPr>
              <w:adjustRightInd w:val="0"/>
              <w:snapToGrid w:val="0"/>
              <w:ind w:firstLine="480"/>
              <w:rPr>
                <w:rFonts w:hint="eastAsia" w:ascii="Times New Roman" w:hAnsi="Times New Roman" w:eastAsia="宋体" w:cs="Times New Roman"/>
                <w:bCs/>
                <w:color w:val="auto"/>
                <w:sz w:val="21"/>
                <w:szCs w:val="21"/>
                <w:highlight w:val="none"/>
                <w:lang w:val="en-US" w:eastAsia="zh-CN"/>
              </w:rPr>
            </w:pPr>
            <w:r>
              <w:rPr>
                <w:rFonts w:hint="eastAsia"/>
                <w:bCs/>
                <w:color w:val="auto"/>
                <w:sz w:val="21"/>
                <w:szCs w:val="21"/>
                <w:highlight w:val="none"/>
                <w:lang w:val="en-US" w:eastAsia="zh-CN"/>
              </w:rPr>
              <w:t>(3)</w:t>
            </w:r>
            <w:r>
              <w:rPr>
                <w:rFonts w:hint="eastAsia" w:ascii="Times New Roman" w:hAnsi="Times New Roman" w:eastAsia="宋体" w:cs="Times New Roman"/>
                <w:bCs/>
                <w:color w:val="auto"/>
                <w:sz w:val="21"/>
                <w:szCs w:val="21"/>
                <w:highlight w:val="none"/>
                <w:lang w:val="en-US" w:eastAsia="zh-CN"/>
              </w:rPr>
              <w:t>粘合剂入料</w:t>
            </w:r>
          </w:p>
          <w:p w14:paraId="640D1162">
            <w:pPr>
              <w:adjustRightInd w:val="0"/>
              <w:snapToGrid w:val="0"/>
              <w:ind w:firstLine="480"/>
              <w:rPr>
                <w:rFonts w:hint="eastAsia"/>
                <w:bCs/>
                <w:color w:val="auto"/>
                <w:sz w:val="21"/>
                <w:szCs w:val="21"/>
                <w:highlight w:val="none"/>
                <w:lang w:val="en-US" w:eastAsia="zh-CN"/>
              </w:rPr>
            </w:pPr>
            <w:r>
              <w:rPr>
                <w:rFonts w:hint="eastAsia"/>
                <w:bCs/>
                <w:color w:val="auto"/>
                <w:sz w:val="21"/>
                <w:szCs w:val="21"/>
                <w:highlight w:val="none"/>
                <w:lang w:val="en-US" w:eastAsia="zh-CN"/>
              </w:rPr>
              <w:t>粘合剂由龙门吊吊运至粘合剂仓上方，人工将粘合剂拆包后加入料仓中，料仓的下部由气动阀门控制放料，经下方的皮带秤称重后由螺旋输送至运输</w:t>
            </w:r>
            <w:r>
              <w:rPr>
                <w:rFonts w:hint="eastAsia"/>
                <w:color w:val="auto"/>
                <w:sz w:val="21"/>
                <w:szCs w:val="21"/>
                <w:highlight w:val="none"/>
                <w:lang w:val="en-US" w:eastAsia="zh-CN"/>
              </w:rPr>
              <w:t>除尘灰、含铁沉泥、矿粉的皮带上，所有原料</w:t>
            </w:r>
            <w:r>
              <w:rPr>
                <w:rFonts w:hint="eastAsia"/>
                <w:bCs/>
                <w:color w:val="auto"/>
                <w:sz w:val="21"/>
                <w:szCs w:val="21"/>
                <w:highlight w:val="none"/>
                <w:lang w:val="en-US" w:eastAsia="zh-CN"/>
              </w:rPr>
              <w:t>一起经皮带输送机运至搅拌工序。</w:t>
            </w:r>
          </w:p>
          <w:p w14:paraId="4B8C3C90">
            <w:pPr>
              <w:pStyle w:val="82"/>
              <w:rPr>
                <w:rFonts w:hint="eastAsia"/>
                <w:color w:val="auto"/>
                <w:sz w:val="21"/>
                <w:szCs w:val="21"/>
                <w:highlight w:val="none"/>
                <w:lang w:val="en-US" w:eastAsia="zh-CN"/>
              </w:rPr>
            </w:pPr>
            <w:r>
              <w:rPr>
                <w:color w:val="auto"/>
                <w:sz w:val="21"/>
                <w:szCs w:val="21"/>
                <w:highlight w:val="none"/>
              </w:rPr>
              <w:t>此过程排污节点为</w:t>
            </w:r>
            <w:r>
              <w:rPr>
                <w:rFonts w:hint="eastAsia"/>
                <w:color w:val="auto"/>
                <w:sz w:val="21"/>
                <w:szCs w:val="21"/>
                <w:highlight w:val="none"/>
                <w:lang w:val="en-US" w:eastAsia="zh-CN"/>
              </w:rPr>
              <w:t>粘合剂入料过程中产生的颗粒物G3；</w:t>
            </w:r>
          </w:p>
          <w:p w14:paraId="02B4AFC4">
            <w:pPr>
              <w:pStyle w:val="82"/>
              <w:rPr>
                <w:rFonts w:hint="default"/>
                <w:bCs/>
                <w:color w:val="auto"/>
                <w:sz w:val="21"/>
                <w:szCs w:val="21"/>
                <w:highlight w:val="none"/>
                <w:lang w:val="en-US" w:eastAsia="zh-CN"/>
              </w:rPr>
            </w:pPr>
            <w:r>
              <w:rPr>
                <w:rFonts w:hint="eastAsia"/>
                <w:bCs/>
                <w:color w:val="auto"/>
                <w:sz w:val="21"/>
                <w:szCs w:val="21"/>
                <w:highlight w:val="none"/>
                <w:lang w:val="en-US" w:eastAsia="zh-CN"/>
              </w:rPr>
              <w:t>(4)筛分、</w:t>
            </w:r>
            <w:r>
              <w:rPr>
                <w:rFonts w:hint="eastAsia" w:ascii="Times New Roman" w:hAnsi="Times New Roman" w:eastAsia="宋体" w:cs="Times New Roman"/>
                <w:bCs/>
                <w:color w:val="auto"/>
                <w:sz w:val="21"/>
                <w:szCs w:val="21"/>
                <w:highlight w:val="none"/>
                <w:lang w:val="en-US" w:eastAsia="zh-CN"/>
              </w:rPr>
              <w:t>一次搅拌</w:t>
            </w:r>
          </w:p>
          <w:p w14:paraId="4CB99EDD">
            <w:pPr>
              <w:adjustRightInd w:val="0"/>
              <w:snapToGrid w:val="0"/>
              <w:ind w:firstLine="480"/>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物料由皮带输送至双轴搅拌机</w:t>
            </w:r>
            <w:r>
              <w:rPr>
                <w:rFonts w:hint="eastAsia" w:cs="Times New Roman"/>
                <w:bCs/>
                <w:color w:val="auto"/>
                <w:sz w:val="21"/>
                <w:szCs w:val="21"/>
                <w:highlight w:val="none"/>
                <w:lang w:val="en-US" w:eastAsia="zh-CN"/>
              </w:rPr>
              <w:t>上方的棒筛上，物料经棒筛筛分，棒筛的筛棒间距为2cm，筛下物≤2cm进入双轴搅拌机进行搅拌混合</w:t>
            </w:r>
            <w:r>
              <w:rPr>
                <w:rFonts w:hint="eastAsia" w:ascii="Times New Roman" w:hAnsi="Times New Roman" w:eastAsia="宋体" w:cs="Times New Roman"/>
                <w:bCs/>
                <w:color w:val="auto"/>
                <w:sz w:val="21"/>
                <w:szCs w:val="21"/>
                <w:highlight w:val="none"/>
                <w:lang w:val="en-US" w:eastAsia="zh-CN"/>
              </w:rPr>
              <w:t>，</w:t>
            </w:r>
            <w:r>
              <w:rPr>
                <w:rFonts w:hint="eastAsia" w:cs="Times New Roman"/>
                <w:bCs/>
                <w:color w:val="auto"/>
                <w:sz w:val="21"/>
                <w:szCs w:val="21"/>
                <w:highlight w:val="none"/>
                <w:lang w:val="en-US" w:eastAsia="zh-CN"/>
              </w:rPr>
              <w:t>混合的过程中进行加水搅拌，</w:t>
            </w:r>
            <w:r>
              <w:rPr>
                <w:rFonts w:hint="eastAsia" w:ascii="Times New Roman" w:hAnsi="Times New Roman" w:eastAsia="宋体" w:cs="Times New Roman"/>
                <w:bCs/>
                <w:color w:val="auto"/>
                <w:sz w:val="21"/>
                <w:szCs w:val="21"/>
                <w:highlight w:val="none"/>
                <w:lang w:val="en-US" w:eastAsia="zh-CN"/>
              </w:rPr>
              <w:t>在两根呈对称状的螺旋轴的同步旋转的作用下</w:t>
            </w:r>
            <w:r>
              <w:rPr>
                <w:rFonts w:hint="eastAsia" w:cs="Times New Roman"/>
                <w:bCs/>
                <w:color w:val="auto"/>
                <w:sz w:val="21"/>
                <w:szCs w:val="21"/>
                <w:highlight w:val="none"/>
                <w:lang w:val="en-US" w:eastAsia="zh-CN"/>
              </w:rPr>
              <w:t>进行混合，物料下料</w:t>
            </w:r>
            <w:r>
              <w:rPr>
                <w:rFonts w:hint="eastAsia" w:ascii="Times New Roman" w:hAnsi="Times New Roman" w:eastAsia="宋体" w:cs="Times New Roman"/>
                <w:bCs/>
                <w:color w:val="auto"/>
                <w:sz w:val="21"/>
                <w:szCs w:val="21"/>
                <w:highlight w:val="none"/>
                <w:lang w:val="en-US" w:eastAsia="zh-CN"/>
              </w:rPr>
              <w:t>经过</w:t>
            </w:r>
            <w:r>
              <w:rPr>
                <w:rFonts w:hint="eastAsia" w:cs="Times New Roman"/>
                <w:bCs/>
                <w:color w:val="auto"/>
                <w:sz w:val="21"/>
                <w:szCs w:val="21"/>
                <w:highlight w:val="red"/>
                <w:lang w:val="en-US" w:eastAsia="zh-CN"/>
              </w:rPr>
              <w:t>封闭</w:t>
            </w:r>
            <w:r>
              <w:rPr>
                <w:rFonts w:hint="eastAsia" w:ascii="Times New Roman" w:hAnsi="Times New Roman" w:eastAsia="宋体" w:cs="Times New Roman"/>
                <w:bCs/>
                <w:color w:val="auto"/>
                <w:sz w:val="21"/>
                <w:szCs w:val="21"/>
                <w:highlight w:val="red"/>
                <w:lang w:val="en-US" w:eastAsia="zh-CN"/>
              </w:rPr>
              <w:t>皮带输送</w:t>
            </w:r>
            <w:r>
              <w:rPr>
                <w:rFonts w:hint="eastAsia" w:ascii="Times New Roman" w:hAnsi="Times New Roman" w:eastAsia="宋体" w:cs="Times New Roman"/>
                <w:bCs/>
                <w:color w:val="auto"/>
                <w:sz w:val="21"/>
                <w:szCs w:val="21"/>
                <w:highlight w:val="none"/>
                <w:lang w:val="en-US" w:eastAsia="zh-CN"/>
              </w:rPr>
              <w:t>机输送至</w:t>
            </w:r>
            <w:r>
              <w:rPr>
                <w:rFonts w:hint="eastAsia" w:cs="Times New Roman"/>
                <w:bCs/>
                <w:color w:val="auto"/>
                <w:sz w:val="21"/>
                <w:szCs w:val="21"/>
                <w:highlight w:val="none"/>
                <w:lang w:val="en-US" w:eastAsia="zh-CN"/>
              </w:rPr>
              <w:t>二次搅拌工序；筛上物＞2cm</w:t>
            </w:r>
            <w:r>
              <w:rPr>
                <w:rFonts w:hint="eastAsia"/>
                <w:bCs/>
                <w:color w:val="auto"/>
                <w:sz w:val="21"/>
                <w:szCs w:val="21"/>
                <w:highlight w:val="none"/>
                <w:lang w:val="en-US" w:eastAsia="zh-CN"/>
              </w:rPr>
              <w:t>由装载机的铲斗进行破碎后返回原料工序回用，如遇到未碾碎的</w:t>
            </w:r>
            <w:r>
              <w:rPr>
                <w:rFonts w:hint="eastAsia"/>
                <w:color w:val="auto"/>
                <w:sz w:val="21"/>
                <w:szCs w:val="21"/>
                <w:highlight w:val="none"/>
                <w:lang w:val="en-US" w:eastAsia="zh-CN"/>
              </w:rPr>
              <w:t>大粒径物料</w:t>
            </w:r>
            <w:r>
              <w:rPr>
                <w:rFonts w:hint="eastAsia"/>
                <w:bCs/>
                <w:color w:val="auto"/>
                <w:sz w:val="21"/>
                <w:szCs w:val="21"/>
                <w:highlight w:val="none"/>
                <w:lang w:val="en-US" w:eastAsia="zh-CN"/>
              </w:rPr>
              <w:t>，则人工分拣出来，在废料区进行暂存。铲斗破碎的物料量较小，且破碎过程主要为碾压，产尘量较小，产尘量忽略不计。</w:t>
            </w:r>
          </w:p>
          <w:p w14:paraId="15FBCBE8">
            <w:pPr>
              <w:pStyle w:val="82"/>
              <w:rPr>
                <w:rFonts w:hint="default"/>
                <w:color w:val="auto"/>
                <w:highlight w:val="none"/>
                <w:lang w:val="en-US" w:eastAsia="zh-CN"/>
              </w:rPr>
            </w:pPr>
            <w:r>
              <w:rPr>
                <w:color w:val="auto"/>
                <w:sz w:val="21"/>
                <w:szCs w:val="21"/>
                <w:highlight w:val="none"/>
              </w:rPr>
              <w:t>此过程排污节点</w:t>
            </w:r>
            <w:r>
              <w:rPr>
                <w:rFonts w:hint="eastAsia"/>
                <w:color w:val="auto"/>
                <w:sz w:val="21"/>
                <w:szCs w:val="21"/>
                <w:highlight w:val="none"/>
                <w:lang w:val="en-US" w:eastAsia="zh-CN"/>
              </w:rPr>
              <w:t>为筛分过程中的噪声N；物料落料及筛分</w:t>
            </w:r>
            <w:r>
              <w:rPr>
                <w:color w:val="auto"/>
                <w:sz w:val="21"/>
                <w:szCs w:val="21"/>
                <w:highlight w:val="none"/>
              </w:rPr>
              <w:t>时产生的颗粒物G</w:t>
            </w:r>
            <w:r>
              <w:rPr>
                <w:rFonts w:hint="eastAsia"/>
                <w:color w:val="auto"/>
                <w:sz w:val="21"/>
                <w:szCs w:val="21"/>
                <w:highlight w:val="none"/>
                <w:lang w:val="en-US" w:eastAsia="zh-CN"/>
              </w:rPr>
              <w:t>4；大粒径物料S1；大粒径物料</w:t>
            </w:r>
            <w:r>
              <w:rPr>
                <w:color w:val="auto"/>
                <w:sz w:val="21"/>
                <w:szCs w:val="21"/>
                <w:highlight w:val="none"/>
              </w:rPr>
              <w:t>卸料</w:t>
            </w:r>
            <w:r>
              <w:rPr>
                <w:rFonts w:hint="eastAsia"/>
                <w:color w:val="auto"/>
                <w:sz w:val="21"/>
                <w:szCs w:val="21"/>
                <w:highlight w:val="none"/>
                <w:lang w:eastAsia="zh-CN"/>
              </w:rPr>
              <w:t>、</w:t>
            </w:r>
            <w:r>
              <w:rPr>
                <w:rFonts w:hint="eastAsia"/>
                <w:color w:val="auto"/>
                <w:sz w:val="21"/>
                <w:szCs w:val="21"/>
                <w:highlight w:val="none"/>
                <w:lang w:val="en-US" w:eastAsia="zh-CN"/>
              </w:rPr>
              <w:t>堆存</w:t>
            </w:r>
            <w:r>
              <w:rPr>
                <w:color w:val="auto"/>
                <w:sz w:val="21"/>
                <w:szCs w:val="21"/>
                <w:highlight w:val="none"/>
              </w:rPr>
              <w:t>时产生的颗粒物G</w:t>
            </w:r>
            <w:r>
              <w:rPr>
                <w:rFonts w:hint="eastAsia"/>
                <w:color w:val="auto"/>
                <w:sz w:val="21"/>
                <w:szCs w:val="21"/>
                <w:highlight w:val="none"/>
                <w:lang w:val="en-US" w:eastAsia="zh-CN"/>
              </w:rPr>
              <w:t>5；搅拌过程中落料过程中产生的颗粒物G6，搅拌过程中产生的噪声N，破碎过程中的噪声N。</w:t>
            </w:r>
          </w:p>
          <w:p w14:paraId="2E59B69D">
            <w:pPr>
              <w:adjustRightInd w:val="0"/>
              <w:snapToGrid w:val="0"/>
              <w:ind w:firstLine="480"/>
              <w:rPr>
                <w:rFonts w:hint="default"/>
                <w:bCs/>
                <w:color w:val="auto"/>
                <w:sz w:val="21"/>
                <w:szCs w:val="21"/>
                <w:highlight w:val="none"/>
                <w:lang w:val="en-US" w:eastAsia="zh-CN"/>
              </w:rPr>
            </w:pPr>
            <w:r>
              <w:rPr>
                <w:rFonts w:hint="eastAsia"/>
                <w:bCs/>
                <w:color w:val="auto"/>
                <w:sz w:val="21"/>
                <w:szCs w:val="21"/>
                <w:highlight w:val="none"/>
                <w:lang w:val="en-US" w:eastAsia="zh-CN"/>
              </w:rPr>
              <w:t>(5)二次搅拌</w:t>
            </w:r>
          </w:p>
          <w:p w14:paraId="797167E2">
            <w:pPr>
              <w:adjustRightInd w:val="0"/>
              <w:snapToGrid w:val="0"/>
              <w:ind w:firstLine="480"/>
              <w:rPr>
                <w:rFonts w:hint="default"/>
                <w:bCs/>
                <w:color w:val="auto"/>
                <w:sz w:val="21"/>
                <w:szCs w:val="21"/>
                <w:highlight w:val="none"/>
                <w:lang w:val="en-US" w:eastAsia="zh-CN"/>
              </w:rPr>
            </w:pPr>
            <w:r>
              <w:rPr>
                <w:rFonts w:hint="eastAsia"/>
                <w:bCs/>
                <w:color w:val="auto"/>
                <w:sz w:val="21"/>
                <w:szCs w:val="21"/>
                <w:highlight w:val="none"/>
                <w:lang w:val="en-US" w:eastAsia="zh-CN"/>
              </w:rPr>
              <w:t>为了使物料进一步混合均匀，筛分后的物料由</w:t>
            </w:r>
            <w:r>
              <w:rPr>
                <w:rFonts w:hint="eastAsia"/>
                <w:bCs/>
                <w:color w:val="auto"/>
                <w:sz w:val="21"/>
                <w:szCs w:val="21"/>
                <w:highlight w:val="red"/>
                <w:lang w:val="en-US" w:eastAsia="zh-CN"/>
              </w:rPr>
              <w:t>封闭皮带</w:t>
            </w:r>
            <w:r>
              <w:rPr>
                <w:rFonts w:hint="eastAsia"/>
                <w:bCs/>
                <w:color w:val="auto"/>
                <w:sz w:val="21"/>
                <w:szCs w:val="21"/>
                <w:highlight w:val="none"/>
                <w:lang w:val="en-US" w:eastAsia="zh-CN"/>
              </w:rPr>
              <w:t>输送机输送至双轴搅拌机进行二次搅拌，搅拌混合过程中摩擦产生的热量会使粘合剂与物料胶结在一起，形成胶结状物料，搅拌的时长大约为5min，温度约为50℃，搅拌机出料由皮带输送至中转仓。一次搅拌后物料已基本形成胶结状物料，二次搅拌时物料几乎不产尘，产尘量忽略不计。</w:t>
            </w:r>
          </w:p>
          <w:p w14:paraId="2B29EA32">
            <w:pPr>
              <w:adjustRightInd w:val="0"/>
              <w:snapToGrid w:val="0"/>
              <w:ind w:firstLine="480"/>
              <w:rPr>
                <w:rFonts w:hint="eastAsia"/>
                <w:bCs/>
                <w:color w:val="auto"/>
                <w:sz w:val="21"/>
                <w:szCs w:val="21"/>
                <w:highlight w:val="none"/>
                <w:lang w:val="en-US" w:eastAsia="zh-CN"/>
              </w:rPr>
            </w:pPr>
            <w:r>
              <w:rPr>
                <w:color w:val="auto"/>
                <w:sz w:val="21"/>
                <w:szCs w:val="21"/>
                <w:highlight w:val="none"/>
              </w:rPr>
              <w:t>此过程排污节点为</w:t>
            </w:r>
            <w:r>
              <w:rPr>
                <w:rFonts w:hint="eastAsia"/>
                <w:color w:val="auto"/>
                <w:sz w:val="21"/>
                <w:szCs w:val="21"/>
                <w:highlight w:val="none"/>
                <w:lang w:val="en-US" w:eastAsia="zh-CN"/>
              </w:rPr>
              <w:t>搅拌机</w:t>
            </w:r>
            <w:r>
              <w:rPr>
                <w:rFonts w:hint="eastAsia"/>
                <w:color w:val="auto"/>
                <w:sz w:val="21"/>
                <w:szCs w:val="21"/>
                <w:highlight w:val="none"/>
              </w:rPr>
              <w:t>的噪声N</w:t>
            </w:r>
            <w:r>
              <w:rPr>
                <w:rFonts w:hint="eastAsia"/>
                <w:color w:val="auto"/>
                <w:sz w:val="21"/>
                <w:szCs w:val="21"/>
                <w:highlight w:val="none"/>
                <w:lang w:val="en-US" w:eastAsia="zh-CN"/>
              </w:rPr>
              <w:t>2</w:t>
            </w:r>
            <w:r>
              <w:rPr>
                <w:color w:val="auto"/>
                <w:sz w:val="21"/>
                <w:szCs w:val="21"/>
                <w:highlight w:val="none"/>
              </w:rPr>
              <w:t>。</w:t>
            </w:r>
          </w:p>
          <w:p w14:paraId="0126E368">
            <w:pPr>
              <w:adjustRightInd w:val="0"/>
              <w:snapToGrid w:val="0"/>
              <w:ind w:firstLine="480"/>
              <w:rPr>
                <w:rFonts w:hint="default"/>
                <w:bCs/>
                <w:color w:val="auto"/>
                <w:sz w:val="21"/>
                <w:szCs w:val="21"/>
                <w:highlight w:val="none"/>
                <w:lang w:val="en-US" w:eastAsia="zh-CN"/>
              </w:rPr>
            </w:pPr>
            <w:r>
              <w:rPr>
                <w:rFonts w:hint="eastAsia"/>
                <w:bCs/>
                <w:color w:val="auto"/>
                <w:sz w:val="21"/>
                <w:szCs w:val="21"/>
                <w:highlight w:val="none"/>
                <w:lang w:val="en-US" w:eastAsia="zh-CN"/>
              </w:rPr>
              <w:t>(6)中转</w:t>
            </w:r>
          </w:p>
          <w:p w14:paraId="1CB54B54">
            <w:pPr>
              <w:adjustRightInd w:val="0"/>
              <w:snapToGrid w:val="0"/>
              <w:ind w:firstLine="480"/>
              <w:rPr>
                <w:rFonts w:hint="eastAsia"/>
                <w:bCs/>
                <w:color w:val="auto"/>
                <w:sz w:val="21"/>
                <w:szCs w:val="21"/>
                <w:highlight w:val="none"/>
                <w:lang w:val="en-US" w:eastAsia="zh-CN"/>
              </w:rPr>
            </w:pPr>
            <w:r>
              <w:rPr>
                <w:rFonts w:hint="eastAsia"/>
                <w:bCs/>
                <w:color w:val="auto"/>
                <w:sz w:val="21"/>
                <w:szCs w:val="21"/>
                <w:highlight w:val="none"/>
                <w:lang w:val="en-US" w:eastAsia="zh-CN"/>
              </w:rPr>
              <w:t>物料经皮带输送机输送至中转仓，在中转仓的底部落料，再由皮带输送机输送至压球机上方。物料形成胶结状物料，转运时物料几乎不产尘，产尘量忽略不计。</w:t>
            </w:r>
          </w:p>
          <w:p w14:paraId="4D1DFFCA">
            <w:pPr>
              <w:adjustRightInd w:val="0"/>
              <w:snapToGrid w:val="0"/>
              <w:rPr>
                <w:rFonts w:hint="default" w:ascii="Times New Roman" w:hAnsi="Times New Roman" w:cs="Times New Roman"/>
                <w:color w:val="auto"/>
                <w:sz w:val="21"/>
                <w:szCs w:val="21"/>
                <w:highlight w:val="none"/>
                <w:lang w:val="en-US" w:eastAsia="zh-CN"/>
              </w:rPr>
            </w:pPr>
            <w:r>
              <w:rPr>
                <w:rFonts w:hint="eastAsia"/>
                <w:bCs/>
                <w:color w:val="auto"/>
                <w:sz w:val="21"/>
                <w:szCs w:val="21"/>
                <w:highlight w:val="none"/>
                <w:lang w:val="en-US" w:eastAsia="zh-CN"/>
              </w:rPr>
              <w:t>(7)</w:t>
            </w:r>
            <w:r>
              <w:rPr>
                <w:rFonts w:hint="eastAsia"/>
                <w:color w:val="auto"/>
                <w:sz w:val="21"/>
                <w:szCs w:val="21"/>
                <w:highlight w:val="none"/>
                <w:lang w:val="en-US" w:eastAsia="zh-CN"/>
              </w:rPr>
              <w:t>成型、筛分、晾晒</w:t>
            </w:r>
          </w:p>
          <w:p w14:paraId="574B1EA4">
            <w:pPr>
              <w:widowControl/>
              <w:ind w:firstLine="480"/>
              <w:rPr>
                <w:rFonts w:hint="default" w:ascii="宋体" w:hAnsi="宋体" w:cs="宋体"/>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落入</w:t>
            </w:r>
            <w:r>
              <w:rPr>
                <w:rFonts w:hint="eastAsia" w:ascii="Times New Roman" w:hAnsi="Times New Roman" w:cs="Times New Roman"/>
                <w:color w:val="auto"/>
                <w:kern w:val="0"/>
                <w:sz w:val="21"/>
                <w:szCs w:val="21"/>
                <w:highlight w:val="none"/>
                <w:lang w:val="en-US" w:eastAsia="zh-CN" w:bidi="ar"/>
              </w:rPr>
              <w:t>压球</w:t>
            </w:r>
            <w:r>
              <w:rPr>
                <w:rFonts w:hint="default" w:ascii="Times New Roman" w:hAnsi="Times New Roman" w:cs="Times New Roman"/>
                <w:color w:val="auto"/>
                <w:kern w:val="0"/>
                <w:sz w:val="21"/>
                <w:szCs w:val="21"/>
                <w:highlight w:val="none"/>
                <w:lang w:val="en-US" w:eastAsia="zh-CN" w:bidi="ar"/>
              </w:rPr>
              <w:t>机的物料在两个带凹槽的对辊相互咬合的过程中成型，</w:t>
            </w:r>
            <w:r>
              <w:rPr>
                <w:rFonts w:hint="eastAsia" w:ascii="Times New Roman" w:hAnsi="Times New Roman" w:cs="Times New Roman"/>
                <w:color w:val="auto"/>
                <w:kern w:val="0"/>
                <w:sz w:val="21"/>
                <w:szCs w:val="21"/>
                <w:highlight w:val="none"/>
                <w:lang w:val="en-US" w:eastAsia="zh-CN" w:bidi="ar"/>
              </w:rPr>
              <w:t>成型后的成品落入</w:t>
            </w:r>
            <w:r>
              <w:rPr>
                <w:rFonts w:hint="default" w:ascii="Times New Roman" w:hAnsi="Times New Roman" w:cs="Times New Roman" w:eastAsiaTheme="minorEastAsia"/>
                <w:color w:val="auto"/>
                <w:sz w:val="21"/>
                <w:szCs w:val="21"/>
                <w:highlight w:val="none"/>
                <w:lang w:val="en-US" w:eastAsia="zh-CN"/>
              </w:rPr>
              <w:t>棒条卸料筛</w:t>
            </w:r>
            <w:r>
              <w:rPr>
                <w:rFonts w:hint="eastAsia" w:ascii="宋体" w:hAnsi="宋体" w:cs="宋体"/>
                <w:color w:val="auto"/>
                <w:kern w:val="0"/>
                <w:sz w:val="21"/>
                <w:szCs w:val="21"/>
                <w:highlight w:val="none"/>
                <w:lang w:val="en-US" w:eastAsia="zh-CN" w:bidi="ar"/>
              </w:rPr>
              <w:t>，</w:t>
            </w:r>
            <w:r>
              <w:rPr>
                <w:rFonts w:hint="eastAsia" w:cs="Times New Roman"/>
                <w:bCs/>
                <w:color w:val="auto"/>
                <w:sz w:val="21"/>
                <w:szCs w:val="21"/>
                <w:highlight w:val="none"/>
                <w:lang w:val="en-US" w:eastAsia="zh-CN"/>
              </w:rPr>
              <w:t>棒条筛的筛棒间距为2cm，</w:t>
            </w:r>
            <w:r>
              <w:rPr>
                <w:rFonts w:hint="eastAsia" w:ascii="宋体" w:hAnsi="宋体" w:cs="宋体"/>
                <w:color w:val="auto"/>
                <w:kern w:val="0"/>
                <w:sz w:val="21"/>
                <w:szCs w:val="21"/>
                <w:highlight w:val="none"/>
                <w:lang w:val="en-US" w:eastAsia="zh-CN" w:bidi="ar"/>
              </w:rPr>
              <w:t>筛上物至晾晒区进行晾晒，晾晒时长约为12h，筛下物料为未成型的小颗粒物料，经皮带输送机返回中转仓。</w:t>
            </w:r>
            <w:r>
              <w:rPr>
                <w:rFonts w:hint="eastAsia"/>
                <w:bCs/>
                <w:color w:val="auto"/>
                <w:sz w:val="21"/>
                <w:szCs w:val="21"/>
                <w:highlight w:val="none"/>
                <w:lang w:val="en-US" w:eastAsia="zh-CN"/>
              </w:rPr>
              <w:t>物料形成胶结状物料，成型时物料几乎不产尘，产尘量忽略不计。</w:t>
            </w:r>
          </w:p>
          <w:p w14:paraId="21C2B1C5">
            <w:pPr>
              <w:adjustRightInd w:val="0"/>
              <w:snapToGrid w:val="0"/>
              <w:ind w:firstLine="480"/>
              <w:rPr>
                <w:rFonts w:hint="default" w:ascii="Times New Roman" w:hAnsi="Times New Roman" w:cs="Times New Roman"/>
                <w:b/>
                <w:bCs/>
                <w:color w:val="auto"/>
                <w:sz w:val="21"/>
                <w:szCs w:val="21"/>
                <w:highlight w:val="none"/>
              </w:rPr>
            </w:pPr>
            <w:r>
              <w:rPr>
                <w:color w:val="auto"/>
                <w:sz w:val="21"/>
                <w:szCs w:val="21"/>
                <w:highlight w:val="none"/>
              </w:rPr>
              <w:t>此过程排污节点为</w:t>
            </w:r>
            <w:r>
              <w:rPr>
                <w:rFonts w:hint="eastAsia"/>
                <w:bCs/>
                <w:color w:val="auto"/>
                <w:sz w:val="21"/>
                <w:szCs w:val="21"/>
                <w:highlight w:val="none"/>
                <w:lang w:val="en-US" w:eastAsia="zh-CN"/>
              </w:rPr>
              <w:t>压球机成型的噪声N5，</w:t>
            </w:r>
            <w:r>
              <w:rPr>
                <w:rFonts w:hint="eastAsia"/>
                <w:color w:val="auto"/>
                <w:sz w:val="21"/>
                <w:szCs w:val="21"/>
                <w:highlight w:val="none"/>
              </w:rPr>
              <w:t>未成形的不合格品S</w:t>
            </w:r>
            <w:r>
              <w:rPr>
                <w:rFonts w:hint="eastAsia"/>
                <w:color w:val="auto"/>
                <w:sz w:val="21"/>
                <w:szCs w:val="21"/>
                <w:highlight w:val="none"/>
                <w:lang w:val="en-US" w:eastAsia="zh-CN"/>
              </w:rPr>
              <w:t>2，半成品晾晒和堆存过程中产生的颗粒物G7</w:t>
            </w:r>
            <w:r>
              <w:rPr>
                <w:color w:val="auto"/>
                <w:sz w:val="21"/>
                <w:szCs w:val="21"/>
                <w:highlight w:val="none"/>
              </w:rPr>
              <w:t>。</w:t>
            </w:r>
          </w:p>
          <w:p w14:paraId="593B27F6">
            <w:pPr>
              <w:rPr>
                <w:rFonts w:hint="default" w:ascii="Times New Roman" w:hAnsi="Times New Roman" w:eastAsia="宋体" w:cs="Times New Roman"/>
                <w:color w:val="auto"/>
                <w:sz w:val="21"/>
                <w:szCs w:val="21"/>
                <w:highlight w:val="none"/>
                <w:lang w:val="en-US" w:eastAsia="zh-CN"/>
              </w:rPr>
            </w:pPr>
            <w:r>
              <w:rPr>
                <w:rFonts w:hint="eastAsia"/>
                <w:bCs/>
                <w:color w:val="auto"/>
                <w:sz w:val="21"/>
                <w:szCs w:val="21"/>
                <w:highlight w:val="none"/>
                <w:lang w:val="en-US" w:eastAsia="zh-CN"/>
              </w:rPr>
              <w:t>(8)</w:t>
            </w:r>
            <w:r>
              <w:rPr>
                <w:rFonts w:hint="eastAsia" w:cs="Times New Roman"/>
                <w:color w:val="auto"/>
                <w:sz w:val="21"/>
                <w:szCs w:val="21"/>
                <w:highlight w:val="none"/>
                <w:lang w:val="en-US" w:eastAsia="zh-CN"/>
              </w:rPr>
              <w:t>筛分上料</w:t>
            </w:r>
          </w:p>
          <w:p w14:paraId="3C23EA18">
            <w:pPr>
              <w:adjustRightInd w:val="0"/>
              <w:snapToGrid w:val="0"/>
              <w:ind w:firstLine="480"/>
              <w:rPr>
                <w:rFonts w:hint="eastAsia"/>
                <w:bCs/>
                <w:color w:val="auto"/>
                <w:sz w:val="21"/>
                <w:szCs w:val="21"/>
                <w:highlight w:val="none"/>
                <w:lang w:val="en-US" w:eastAsia="zh-CN"/>
              </w:rPr>
            </w:pPr>
            <w:r>
              <w:rPr>
                <w:rFonts w:hint="eastAsia"/>
                <w:color w:val="auto"/>
                <w:sz w:val="21"/>
                <w:szCs w:val="21"/>
                <w:highlight w:val="none"/>
                <w:lang w:val="en-US" w:eastAsia="zh-CN"/>
              </w:rPr>
              <w:t>晾晒后的含</w:t>
            </w:r>
            <w:r>
              <w:rPr>
                <w:rFonts w:hint="default" w:ascii="Times New Roman" w:hAnsi="Times New Roman" w:cs="Times New Roman" w:eastAsiaTheme="minorEastAsia"/>
                <w:color w:val="auto"/>
                <w:sz w:val="21"/>
                <w:szCs w:val="21"/>
                <w:highlight w:val="none"/>
                <w:lang w:val="en-US" w:eastAsia="zh-CN"/>
              </w:rPr>
              <w:t>铁废料压球</w:t>
            </w:r>
            <w:r>
              <w:rPr>
                <w:rFonts w:hint="eastAsia" w:cs="Times New Roman" w:eastAsiaTheme="minorEastAsia"/>
                <w:color w:val="auto"/>
                <w:sz w:val="21"/>
                <w:szCs w:val="21"/>
                <w:highlight w:val="none"/>
                <w:lang w:val="en-US" w:eastAsia="zh-CN"/>
              </w:rPr>
              <w:t>由装载机运至</w:t>
            </w:r>
            <w:r>
              <w:rPr>
                <w:rFonts w:hint="eastAsia"/>
                <w:bCs/>
                <w:color w:val="auto"/>
                <w:sz w:val="21"/>
                <w:szCs w:val="21"/>
                <w:highlight w:val="none"/>
                <w:lang w:val="en-US" w:eastAsia="zh-CN"/>
              </w:rPr>
              <w:t>料仓</w:t>
            </w:r>
            <w:r>
              <w:rPr>
                <w:rFonts w:hint="eastAsia"/>
                <w:bCs/>
                <w:color w:val="auto"/>
                <w:sz w:val="21"/>
                <w:szCs w:val="21"/>
                <w:highlight w:val="none"/>
              </w:rPr>
              <w:t>，</w:t>
            </w:r>
            <w:r>
              <w:rPr>
                <w:rFonts w:hint="eastAsia"/>
                <w:bCs/>
                <w:color w:val="auto"/>
                <w:sz w:val="21"/>
                <w:szCs w:val="21"/>
                <w:highlight w:val="none"/>
                <w:lang w:val="en-US" w:eastAsia="zh-CN"/>
              </w:rPr>
              <w:t>由气动阀门控制放料，物料由底部出料，</w:t>
            </w:r>
            <w:r>
              <w:rPr>
                <w:rFonts w:hint="eastAsia"/>
                <w:bCs/>
                <w:color w:val="auto"/>
                <w:sz w:val="21"/>
                <w:szCs w:val="21"/>
                <w:highlight w:val="none"/>
              </w:rPr>
              <w:t>由皮带输送</w:t>
            </w:r>
            <w:r>
              <w:rPr>
                <w:rFonts w:hint="eastAsia"/>
                <w:bCs/>
                <w:color w:val="auto"/>
                <w:sz w:val="21"/>
                <w:szCs w:val="21"/>
                <w:highlight w:val="none"/>
                <w:lang w:val="en-US" w:eastAsia="zh-CN"/>
              </w:rPr>
              <w:t>至筛分工序。</w:t>
            </w:r>
          </w:p>
          <w:p w14:paraId="762FB354">
            <w:pPr>
              <w:adjustRightInd w:val="0"/>
              <w:snapToGrid w:val="0"/>
              <w:ind w:firstLine="480"/>
              <w:rPr>
                <w:rFonts w:hint="default" w:ascii="Times New Roman" w:hAnsi="Times New Roman" w:cs="Times New Roman"/>
                <w:b/>
                <w:bCs/>
                <w:color w:val="auto"/>
                <w:sz w:val="21"/>
                <w:szCs w:val="21"/>
                <w:highlight w:val="none"/>
                <w:lang w:val="en-US"/>
              </w:rPr>
            </w:pPr>
            <w:r>
              <w:rPr>
                <w:color w:val="auto"/>
                <w:sz w:val="21"/>
                <w:szCs w:val="21"/>
                <w:highlight w:val="none"/>
              </w:rPr>
              <w:t>此过程排污节点为</w:t>
            </w:r>
            <w:r>
              <w:rPr>
                <w:rFonts w:hint="eastAsia"/>
                <w:color w:val="auto"/>
              </w:rPr>
              <w:t>半成品物料上料过程中产生的颗粒物G</w:t>
            </w:r>
            <w:r>
              <w:rPr>
                <w:color w:val="auto"/>
              </w:rPr>
              <w:t>8</w:t>
            </w:r>
            <w:r>
              <w:rPr>
                <w:rFonts w:hint="eastAsia"/>
                <w:color w:val="auto"/>
                <w:sz w:val="21"/>
                <w:szCs w:val="21"/>
                <w:highlight w:val="none"/>
                <w:lang w:val="en-US" w:eastAsia="zh-CN"/>
              </w:rPr>
              <w:t>。</w:t>
            </w:r>
          </w:p>
          <w:p w14:paraId="18E11BE5">
            <w:pPr>
              <w:rPr>
                <w:rFonts w:hint="default" w:ascii="Times New Roman" w:hAnsi="Times New Roman" w:eastAsia="宋体" w:cs="Times New Roman"/>
                <w:color w:val="auto"/>
                <w:sz w:val="21"/>
                <w:szCs w:val="21"/>
                <w:highlight w:val="none"/>
                <w:lang w:val="en-US" w:eastAsia="zh-CN"/>
              </w:rPr>
            </w:pPr>
            <w:r>
              <w:rPr>
                <w:rFonts w:hint="eastAsia"/>
                <w:bCs/>
                <w:color w:val="auto"/>
                <w:sz w:val="21"/>
                <w:szCs w:val="21"/>
                <w:highlight w:val="none"/>
                <w:lang w:val="en-US" w:eastAsia="zh-CN"/>
              </w:rPr>
              <w:t>(9)</w:t>
            </w:r>
            <w:r>
              <w:rPr>
                <w:rFonts w:hint="eastAsia" w:cs="Times New Roman"/>
                <w:color w:val="auto"/>
                <w:sz w:val="21"/>
                <w:szCs w:val="21"/>
                <w:highlight w:val="none"/>
                <w:lang w:val="en-US" w:eastAsia="zh-CN"/>
              </w:rPr>
              <w:t>筛分</w:t>
            </w:r>
          </w:p>
          <w:p w14:paraId="6D39D5D0">
            <w:pPr>
              <w:adjustRightInd w:val="0"/>
              <w:snapToGrid w:val="0"/>
              <w:ind w:firstLine="480"/>
              <w:rPr>
                <w:rFonts w:hint="default" w:eastAsia="宋体"/>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物料由皮带输送至</w:t>
            </w:r>
            <w:r>
              <w:rPr>
                <w:rFonts w:hint="eastAsia" w:cs="Times New Roman"/>
                <w:bCs/>
                <w:color w:val="auto"/>
                <w:sz w:val="21"/>
                <w:szCs w:val="21"/>
                <w:highlight w:val="none"/>
                <w:lang w:val="en-US" w:eastAsia="zh-CN"/>
              </w:rPr>
              <w:t>的振筛上，振筛的孔径为2cm，筛上物为最终成品，落入成品区堆存，筛</w:t>
            </w:r>
            <w:r>
              <w:rPr>
                <w:rFonts w:hint="eastAsia" w:ascii="宋体" w:hAnsi="宋体" w:cs="宋体"/>
                <w:color w:val="auto"/>
                <w:kern w:val="0"/>
                <w:sz w:val="21"/>
                <w:szCs w:val="21"/>
                <w:highlight w:val="none"/>
                <w:lang w:val="en-US" w:eastAsia="zh-CN" w:bidi="ar"/>
              </w:rPr>
              <w:t>网下物料为细碎的含铁颗粒物料，返回原料区作为</w:t>
            </w:r>
            <w:r>
              <w:rPr>
                <w:rFonts w:hint="eastAsia" w:cs="Times New Roman"/>
                <w:bCs/>
                <w:color w:val="auto"/>
                <w:sz w:val="21"/>
                <w:szCs w:val="21"/>
                <w:highlight w:val="none"/>
                <w:lang w:val="en-US" w:eastAsia="zh-CN"/>
              </w:rPr>
              <w:t>原料使用。</w:t>
            </w:r>
          </w:p>
          <w:p w14:paraId="0E704D59">
            <w:pPr>
              <w:rPr>
                <w:rFonts w:hint="default" w:ascii="Times New Roman" w:hAnsi="Times New Roman" w:eastAsia="宋体" w:cs="Times New Roman"/>
                <w:color w:val="auto"/>
                <w:sz w:val="21"/>
                <w:szCs w:val="21"/>
                <w:highlight w:val="none"/>
                <w:lang w:val="en-US" w:eastAsia="zh-CN"/>
              </w:rPr>
            </w:pPr>
            <w:r>
              <w:rPr>
                <w:color w:val="auto"/>
                <w:sz w:val="21"/>
                <w:szCs w:val="21"/>
                <w:highlight w:val="none"/>
              </w:rPr>
              <w:t>此过程排污节点为</w:t>
            </w:r>
            <w:r>
              <w:rPr>
                <w:rFonts w:hint="eastAsia"/>
                <w:color w:val="auto"/>
                <w:sz w:val="21"/>
                <w:szCs w:val="21"/>
                <w:highlight w:val="none"/>
                <w:lang w:val="en-US" w:eastAsia="zh-CN"/>
              </w:rPr>
              <w:t>筛分过程中产生的颗粒物G9，细碎的含铁颗粒物料装卸堆存过程中产生的颗粒物G10。</w:t>
            </w:r>
          </w:p>
          <w:p w14:paraId="2CFBC521">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工艺流程及排污位置见</w:t>
            </w:r>
            <w:r>
              <w:rPr>
                <w:rFonts w:hint="eastAsia" w:cs="Times New Roman"/>
                <w:color w:val="auto"/>
                <w:sz w:val="21"/>
                <w:szCs w:val="21"/>
                <w:highlight w:val="none"/>
                <w:lang w:val="en-US" w:eastAsia="zh-CN"/>
              </w:rPr>
              <w:t>图2-2</w:t>
            </w:r>
            <w:r>
              <w:rPr>
                <w:rFonts w:hint="default" w:ascii="Times New Roman" w:hAnsi="Times New Roman" w:cs="Times New Roman"/>
                <w:color w:val="auto"/>
                <w:sz w:val="21"/>
                <w:szCs w:val="21"/>
                <w:highlight w:val="none"/>
              </w:rPr>
              <w:t>。</w:t>
            </w:r>
          </w:p>
          <w:p w14:paraId="1D0C4D6B">
            <w:pPr>
              <w:ind w:firstLine="0" w:firstLineChars="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object>
                <v:shape id="_x0000_i1032" o:spt="75" type="#_x0000_t75" style="height:444.55pt;width:291.7pt;" o:ole="t" filled="f" o:preferrelative="t" stroked="f" coordsize="21600,21600">
                  <v:path/>
                  <v:fill on="f" focussize="0,0"/>
                  <v:stroke on="f"/>
                  <v:imagedata r:id="rId27" o:title=""/>
                  <o:lock v:ext="edit" aspectratio="f"/>
                  <w10:wrap type="none"/>
                  <w10:anchorlock/>
                </v:shape>
                <o:OLEObject Type="Embed" ProgID="Visio.Drawing.11" ShapeID="_x0000_i1032" DrawAspect="Content" ObjectID="_1468075731" r:id="rId26">
                  <o:LockedField>false</o:LockedField>
                </o:OLEObject>
              </w:object>
            </w:r>
          </w:p>
          <w:p w14:paraId="2AE6147A">
            <w:pPr>
              <w:pStyle w:val="21"/>
              <w:rPr>
                <w:rFonts w:hint="default" w:ascii="Times New Roman" w:hAnsi="Times New Roman" w:cs="Times New Roman"/>
                <w:color w:val="auto"/>
                <w:sz w:val="21"/>
                <w:szCs w:val="21"/>
                <w:highlight w:val="none"/>
              </w:rPr>
            </w:pPr>
            <w:bookmarkStart w:id="23" w:name="_Ref9757"/>
            <w:r>
              <w:rPr>
                <w:rFonts w:hint="default" w:ascii="Times New Roman" w:hAnsi="Times New Roman" w:cs="Times New Roman"/>
                <w:color w:val="auto"/>
                <w:sz w:val="21"/>
                <w:szCs w:val="21"/>
                <w:highlight w:val="none"/>
              </w:rPr>
              <w:t>图</w:t>
            </w:r>
            <w:bookmarkEnd w:id="23"/>
            <w:r>
              <w:rPr>
                <w:rFonts w:hint="default" w:ascii="Times New Roman" w:hAnsi="Times New Roman" w:cs="Times New Roman"/>
                <w:b/>
                <w:bCs/>
                <w:color w:val="auto"/>
                <w:sz w:val="21"/>
                <w:szCs w:val="21"/>
                <w:highlight w:val="none"/>
              </w:rPr>
              <w:t>2-</w:t>
            </w:r>
            <w:r>
              <w:rPr>
                <w:rFonts w:hint="eastAsia" w:cs="Times New Roman"/>
                <w:b/>
                <w:bCs/>
                <w:color w:val="auto"/>
                <w:sz w:val="21"/>
                <w:szCs w:val="21"/>
                <w:highlight w:val="none"/>
                <w:lang w:val="en-US" w:eastAsia="zh-CN"/>
              </w:rPr>
              <w:t>2</w:t>
            </w:r>
            <w:r>
              <w:rPr>
                <w:rFonts w:hint="default" w:ascii="Times New Roman" w:hAnsi="Times New Roman" w:cs="Times New Roman"/>
                <w:color w:val="auto"/>
                <w:sz w:val="21"/>
                <w:szCs w:val="21"/>
                <w:highlight w:val="none"/>
              </w:rPr>
              <w:t xml:space="preserve">  工艺流程图及排污位置图</w:t>
            </w:r>
          </w:p>
          <w:p w14:paraId="4FB41C7C">
            <w:pPr>
              <w:ind w:firstLine="422"/>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2.产排污环节</w:t>
            </w:r>
          </w:p>
          <w:p w14:paraId="288AFBF0">
            <w:pPr>
              <w:rPr>
                <w:rFonts w:hint="default" w:ascii="Times New Roman" w:hAnsi="Times New Roman" w:cs="Times New Roman"/>
                <w:b/>
                <w:color w:val="auto"/>
                <w:sz w:val="21"/>
                <w:szCs w:val="21"/>
                <w:highlight w:val="none"/>
              </w:rPr>
            </w:pPr>
            <w:r>
              <w:rPr>
                <w:rFonts w:hint="default" w:ascii="Times New Roman" w:hAnsi="Times New Roman" w:cs="Times New Roman"/>
                <w:color w:val="auto"/>
                <w:sz w:val="21"/>
                <w:szCs w:val="21"/>
                <w:highlight w:val="none"/>
              </w:rPr>
              <w:t>本项目营运期主要产排污节点见</w:t>
            </w:r>
            <w:r>
              <w:rPr>
                <w:rFonts w:hint="default" w:ascii="Times New Roman" w:hAnsi="Times New Roman" w:cs="Times New Roman"/>
                <w:color w:val="auto"/>
                <w:sz w:val="21"/>
                <w:szCs w:val="21"/>
                <w:highlight w:val="none"/>
              </w:rPr>
              <w:fldChar w:fldCharType="begin"/>
            </w:r>
            <w:r>
              <w:rPr>
                <w:color w:val="auto"/>
              </w:rPr>
              <w:instrText xml:space="preserve"> REF _Ref15461 \h  \* MERGEFORMAT</w:instrText>
            </w:r>
            <w:r>
              <w:rPr>
                <w:rFonts w:hint="default" w:ascii="Times New Roman" w:hAnsi="Times New Roman" w:cs="Times New Roman"/>
                <w:color w:val="auto"/>
                <w:sz w:val="21"/>
                <w:szCs w:val="21"/>
                <w:highlight w:val="none"/>
              </w:rPr>
              <w:fldChar w:fldCharType="separate"/>
            </w:r>
            <w:r>
              <w:rPr>
                <w:rFonts w:hint="default" w:ascii="Times New Roman" w:hAnsi="Times New Roman" w:cs="Times New Roman"/>
                <w:color w:val="auto"/>
                <w:sz w:val="21"/>
                <w:szCs w:val="21"/>
                <w:highlight w:val="none"/>
              </w:rPr>
              <w:t>表</w:t>
            </w:r>
            <w:r>
              <w:rPr>
                <w:rFonts w:hint="eastAsia"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fldChar w:fldCharType="end"/>
            </w:r>
            <w:r>
              <w:rPr>
                <w:rFonts w:hint="eastAsia"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w:t>
            </w:r>
          </w:p>
          <w:p w14:paraId="21E96A2F">
            <w:pPr>
              <w:pStyle w:val="21"/>
              <w:rPr>
                <w:rFonts w:hint="default" w:ascii="Times New Roman" w:hAnsi="Times New Roman" w:cs="Times New Roman"/>
                <w:color w:val="auto"/>
                <w:sz w:val="21"/>
                <w:szCs w:val="21"/>
                <w:highlight w:val="none"/>
              </w:rPr>
            </w:pPr>
            <w:bookmarkStart w:id="24" w:name="_Ref15461"/>
            <w:r>
              <w:rPr>
                <w:rFonts w:hint="default" w:ascii="Times New Roman" w:hAnsi="Times New Roman" w:cs="Times New Roman"/>
                <w:color w:val="auto"/>
                <w:sz w:val="21"/>
                <w:szCs w:val="21"/>
                <w:highlight w:val="none"/>
              </w:rPr>
              <w:t>表</w:t>
            </w:r>
            <w:bookmarkEnd w:id="24"/>
            <w:r>
              <w:rPr>
                <w:rFonts w:hint="eastAsia" w:cs="Times New Roman"/>
                <w:color w:val="auto"/>
                <w:sz w:val="21"/>
                <w:szCs w:val="21"/>
                <w:highlight w:val="none"/>
                <w:lang w:val="en-US" w:eastAsia="zh-CN"/>
              </w:rPr>
              <w:t>2-8</w:t>
            </w:r>
            <w:r>
              <w:rPr>
                <w:rFonts w:hint="default" w:ascii="Times New Roman" w:hAnsi="Times New Roman" w:cs="Times New Roman"/>
                <w:color w:val="auto"/>
                <w:sz w:val="21"/>
                <w:szCs w:val="21"/>
                <w:highlight w:val="none"/>
              </w:rPr>
              <w:t xml:space="preserve">    主要污染工序一览表</w:t>
            </w:r>
          </w:p>
          <w:tbl>
            <w:tblPr>
              <w:tblStyle w:val="8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2"/>
              <w:gridCol w:w="643"/>
              <w:gridCol w:w="1166"/>
              <w:gridCol w:w="1779"/>
              <w:gridCol w:w="880"/>
              <w:gridCol w:w="3518"/>
            </w:tblGrid>
            <w:tr w14:paraId="0A9FC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1" w:type="pct"/>
                  <w:vAlign w:val="center"/>
                </w:tcPr>
                <w:p w14:paraId="2DC3F6CB">
                  <w:pPr>
                    <w:pStyle w:val="135"/>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时期</w:t>
                  </w:r>
                </w:p>
              </w:tc>
              <w:tc>
                <w:tcPr>
                  <w:tcW w:w="382" w:type="pct"/>
                  <w:vAlign w:val="center"/>
                </w:tcPr>
                <w:p w14:paraId="725B9F53">
                  <w:pPr>
                    <w:pStyle w:val="135"/>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污染类型</w:t>
                  </w:r>
                </w:p>
              </w:tc>
              <w:tc>
                <w:tcPr>
                  <w:tcW w:w="693" w:type="pct"/>
                  <w:vAlign w:val="center"/>
                </w:tcPr>
                <w:p w14:paraId="6E662D29">
                  <w:pPr>
                    <w:pStyle w:val="135"/>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污染工序</w:t>
                  </w:r>
                </w:p>
              </w:tc>
              <w:tc>
                <w:tcPr>
                  <w:tcW w:w="1057" w:type="pct"/>
                  <w:vAlign w:val="center"/>
                </w:tcPr>
                <w:p w14:paraId="2024DE82">
                  <w:pPr>
                    <w:pStyle w:val="135"/>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523" w:type="pct"/>
                  <w:vAlign w:val="center"/>
                </w:tcPr>
                <w:p w14:paraId="155B2C36">
                  <w:pPr>
                    <w:pStyle w:val="135"/>
                    <w:spacing w:beforeLines="0" w:afterLines="0" w:line="280" w:lineRule="exact"/>
                    <w:ind w:firstLine="0" w:firstLineChars="0"/>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cs="Times New Roman"/>
                      <w:color w:val="auto"/>
                      <w:kern w:val="24"/>
                      <w:sz w:val="21"/>
                      <w:szCs w:val="21"/>
                      <w:highlight w:val="none"/>
                      <w:lang w:val="en-US" w:eastAsia="zh-CN"/>
                    </w:rPr>
                    <w:t>排放特征</w:t>
                  </w:r>
                </w:p>
              </w:tc>
              <w:tc>
                <w:tcPr>
                  <w:tcW w:w="2090" w:type="pct"/>
                  <w:vAlign w:val="center"/>
                </w:tcPr>
                <w:p w14:paraId="388F3F38">
                  <w:pPr>
                    <w:pStyle w:val="135"/>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kern w:val="24"/>
                      <w:sz w:val="21"/>
                      <w:szCs w:val="21"/>
                      <w:highlight w:val="none"/>
                    </w:rPr>
                    <w:t>治理措施</w:t>
                  </w:r>
                </w:p>
              </w:tc>
            </w:tr>
            <w:tr w14:paraId="78B63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51" w:type="pct"/>
                  <w:vMerge w:val="restart"/>
                  <w:vAlign w:val="center"/>
                </w:tcPr>
                <w:p w14:paraId="594E191F">
                  <w:pPr>
                    <w:pStyle w:val="135"/>
                    <w:spacing w:beforeLines="0" w:afterLines="0" w:line="280" w:lineRule="exact"/>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运营期</w:t>
                  </w:r>
                </w:p>
              </w:tc>
              <w:tc>
                <w:tcPr>
                  <w:tcW w:w="382" w:type="pct"/>
                  <w:vMerge w:val="restart"/>
                  <w:vAlign w:val="center"/>
                </w:tcPr>
                <w:p w14:paraId="4F0331CE">
                  <w:pPr>
                    <w:spacing w:line="280" w:lineRule="exact"/>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bCs/>
                      <w:color w:val="auto"/>
                      <w:sz w:val="21"/>
                      <w:szCs w:val="21"/>
                      <w:highlight w:val="none"/>
                      <w:lang w:val="en-US" w:eastAsia="zh-CN"/>
                    </w:rPr>
                    <w:t>废气</w:t>
                  </w:r>
                </w:p>
              </w:tc>
              <w:tc>
                <w:tcPr>
                  <w:tcW w:w="693" w:type="pct"/>
                  <w:vAlign w:val="center"/>
                </w:tcPr>
                <w:p w14:paraId="68C31FEE">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G2</w:t>
                  </w:r>
                  <w:r>
                    <w:rPr>
                      <w:rFonts w:hint="default" w:ascii="Times New Roman" w:hAnsi="Times New Roman" w:cs="Times New Roman"/>
                      <w:color w:val="auto"/>
                      <w:sz w:val="21"/>
                      <w:szCs w:val="21"/>
                      <w:highlight w:val="none"/>
                    </w:rPr>
                    <w:t>原料</w:t>
                  </w:r>
                  <w:r>
                    <w:rPr>
                      <w:rFonts w:hint="default" w:ascii="Times New Roman" w:hAnsi="Times New Roman" w:cs="Times New Roman"/>
                      <w:color w:val="auto"/>
                      <w:sz w:val="21"/>
                      <w:szCs w:val="21"/>
                      <w:highlight w:val="none"/>
                      <w:lang w:val="en-US" w:eastAsia="zh-CN"/>
                    </w:rPr>
                    <w:t>入料</w:t>
                  </w:r>
                </w:p>
              </w:tc>
              <w:tc>
                <w:tcPr>
                  <w:tcW w:w="1057" w:type="pct"/>
                  <w:vAlign w:val="center"/>
                </w:tcPr>
                <w:p w14:paraId="6CF58EEF">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ascii="Times New Roman"/>
                      <w:color w:val="auto"/>
                      <w:sz w:val="21"/>
                      <w:szCs w:val="21"/>
                      <w:highlight w:val="none"/>
                    </w:rPr>
                    <w:t>颗粒物</w:t>
                  </w:r>
                </w:p>
              </w:tc>
              <w:tc>
                <w:tcPr>
                  <w:tcW w:w="523" w:type="pct"/>
                  <w:vAlign w:val="center"/>
                </w:tcPr>
                <w:p w14:paraId="0819857A">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eastAsia" w:cs="Times New Roman"/>
                      <w:color w:val="auto"/>
                      <w:sz w:val="21"/>
                      <w:szCs w:val="21"/>
                      <w:highlight w:val="none"/>
                      <w:lang w:val="en-US" w:eastAsia="zh-CN"/>
                    </w:rPr>
                    <w:t>连续</w:t>
                  </w:r>
                </w:p>
              </w:tc>
              <w:tc>
                <w:tcPr>
                  <w:tcW w:w="2090" w:type="pct"/>
                  <w:vMerge w:val="restart"/>
                  <w:vAlign w:val="center"/>
                </w:tcPr>
                <w:p w14:paraId="21E3A89F">
                  <w:pPr>
                    <w:spacing w:line="28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color w:val="auto"/>
                      <w:sz w:val="21"/>
                      <w:szCs w:val="21"/>
                      <w:highlight w:val="none"/>
                      <w:lang w:val="en-US" w:eastAsia="zh-CN"/>
                    </w:rPr>
                    <w:t>集尘罩+</w:t>
                  </w:r>
                  <w:r>
                    <w:rPr>
                      <w:rFonts w:hint="eastAsia" w:ascii="Times New Roman" w:hAnsi="Times New Roman" w:eastAsia="宋体" w:cs="Times New Roman"/>
                      <w:color w:val="auto"/>
                      <w:sz w:val="21"/>
                      <w:szCs w:val="21"/>
                      <w:highlight w:val="none"/>
                      <w:lang w:val="en-US" w:eastAsia="zh-CN"/>
                    </w:rPr>
                    <w:t>依托厂区</w:t>
                  </w:r>
                  <w:r>
                    <w:rPr>
                      <w:rFonts w:hint="eastAsia" w:cs="Times New Roman"/>
                      <w:color w:val="auto"/>
                      <w:sz w:val="21"/>
                      <w:szCs w:val="21"/>
                      <w:highlight w:val="none"/>
                      <w:lang w:val="en-US" w:eastAsia="zh-CN"/>
                    </w:rPr>
                    <w:t>现有</w:t>
                  </w:r>
                  <w:r>
                    <w:rPr>
                      <w:rFonts w:hint="eastAsia" w:ascii="Times New Roman" w:hAnsi="Times New Roman" w:eastAsia="宋体" w:cs="Times New Roman"/>
                      <w:color w:val="auto"/>
                      <w:sz w:val="21"/>
                      <w:szCs w:val="21"/>
                      <w:highlight w:val="none"/>
                      <w:lang w:val="en-US" w:eastAsia="zh-CN"/>
                    </w:rPr>
                    <w:t>原料质检筛分除尘</w:t>
                  </w:r>
                  <w:r>
                    <w:rPr>
                      <w:rFonts w:hint="default" w:ascii="Times New Roman" w:hAnsi="Times New Roman" w:eastAsia="宋体" w:cs="Times New Roman"/>
                      <w:color w:val="auto"/>
                      <w:sz w:val="21"/>
                      <w:szCs w:val="21"/>
                      <w:highlight w:val="none"/>
                      <w:lang w:val="en-US" w:eastAsia="zh-CN"/>
                    </w:rPr>
                    <w:t>器+</w:t>
                  </w:r>
                  <w:r>
                    <w:rPr>
                      <w:rFonts w:hint="eastAsia" w:ascii="Times New Roman" w:hAnsi="Times New Roman" w:eastAsia="宋体" w:cs="Times New Roman"/>
                      <w:color w:val="auto"/>
                      <w:sz w:val="21"/>
                      <w:szCs w:val="21"/>
                      <w:highlight w:val="none"/>
                      <w:lang w:val="en-US" w:eastAsia="zh-CN"/>
                    </w:rPr>
                    <w:t>24</w:t>
                  </w:r>
                  <w:r>
                    <w:rPr>
                      <w:rFonts w:hint="default" w:ascii="Times New Roman" w:hAnsi="Times New Roman" w:eastAsia="宋体" w:cs="Times New Roman"/>
                      <w:color w:val="auto"/>
                      <w:sz w:val="21"/>
                      <w:szCs w:val="21"/>
                      <w:highlight w:val="none"/>
                      <w:lang w:val="en-US" w:eastAsia="zh-CN"/>
                    </w:rPr>
                    <w:t>m排气筒</w:t>
                  </w:r>
                  <w:r>
                    <w:rPr>
                      <w:rFonts w:hint="eastAsia" w:ascii="Times New Roman" w:hAnsi="Times New Roman" w:eastAsia="宋体" w:cs="Times New Roman"/>
                      <w:color w:val="auto"/>
                      <w:sz w:val="21"/>
                      <w:szCs w:val="21"/>
                      <w:highlight w:val="none"/>
                      <w:lang w:val="en-US" w:eastAsia="zh-CN"/>
                    </w:rPr>
                    <w:t>(内径2.4m</w:t>
                  </w:r>
                  <w:r>
                    <w:rPr>
                      <w:rFonts w:hint="eastAsia" w:cs="Times New Roman"/>
                      <w:color w:val="auto"/>
                      <w:sz w:val="21"/>
                      <w:szCs w:val="21"/>
                      <w:highlight w:val="none"/>
                      <w:lang w:val="en-US" w:eastAsia="zh-CN"/>
                    </w:rPr>
                    <w:t>)</w:t>
                  </w:r>
                </w:p>
              </w:tc>
            </w:tr>
            <w:tr w14:paraId="5BDE2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1" w:type="pct"/>
                  <w:vMerge w:val="continue"/>
                  <w:vAlign w:val="center"/>
                </w:tcPr>
                <w:p w14:paraId="48F4D6A8">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2124D19D">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429B245C">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G3粘合剂入料</w:t>
                  </w:r>
                </w:p>
              </w:tc>
              <w:tc>
                <w:tcPr>
                  <w:tcW w:w="1057" w:type="pct"/>
                  <w:vAlign w:val="center"/>
                </w:tcPr>
                <w:p w14:paraId="41F27889">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ascii="Times New Roman"/>
                      <w:color w:val="auto"/>
                      <w:sz w:val="21"/>
                      <w:szCs w:val="21"/>
                      <w:highlight w:val="none"/>
                    </w:rPr>
                    <w:t>颗粒物</w:t>
                  </w:r>
                </w:p>
              </w:tc>
              <w:tc>
                <w:tcPr>
                  <w:tcW w:w="523" w:type="pct"/>
                  <w:vAlign w:val="center"/>
                </w:tcPr>
                <w:p w14:paraId="4719CC8D">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eastAsia" w:cs="Times New Roman"/>
                      <w:color w:val="auto"/>
                      <w:sz w:val="21"/>
                      <w:szCs w:val="21"/>
                      <w:highlight w:val="none"/>
                      <w:lang w:val="en-US" w:eastAsia="zh-CN"/>
                    </w:rPr>
                    <w:t>连续</w:t>
                  </w:r>
                </w:p>
              </w:tc>
              <w:tc>
                <w:tcPr>
                  <w:tcW w:w="2090" w:type="pct"/>
                  <w:vMerge w:val="continue"/>
                  <w:vAlign w:val="center"/>
                </w:tcPr>
                <w:p w14:paraId="05678FAB">
                  <w:pPr>
                    <w:spacing w:line="280" w:lineRule="exact"/>
                    <w:ind w:firstLine="0" w:firstLineChars="0"/>
                    <w:jc w:val="center"/>
                    <w:rPr>
                      <w:rFonts w:hint="default" w:ascii="Times New Roman" w:hAnsi="Times New Roman" w:cs="Times New Roman"/>
                      <w:color w:val="auto"/>
                      <w:sz w:val="21"/>
                      <w:szCs w:val="21"/>
                      <w:highlight w:val="none"/>
                      <w:lang w:eastAsia="zh-CN"/>
                    </w:rPr>
                  </w:pPr>
                </w:p>
              </w:tc>
            </w:tr>
            <w:tr w14:paraId="21E01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1" w:type="pct"/>
                  <w:vMerge w:val="continue"/>
                  <w:vAlign w:val="center"/>
                </w:tcPr>
                <w:p w14:paraId="0949FFD8">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187C8221">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457F1C7D">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G4筛分、G6一次搅拌</w:t>
                  </w:r>
                </w:p>
              </w:tc>
              <w:tc>
                <w:tcPr>
                  <w:tcW w:w="1057" w:type="pct"/>
                  <w:vAlign w:val="center"/>
                </w:tcPr>
                <w:p w14:paraId="34910C3C">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ascii="Times New Roman"/>
                      <w:color w:val="auto"/>
                      <w:sz w:val="21"/>
                      <w:szCs w:val="21"/>
                      <w:highlight w:val="none"/>
                    </w:rPr>
                    <w:t>颗粒物</w:t>
                  </w:r>
                </w:p>
              </w:tc>
              <w:tc>
                <w:tcPr>
                  <w:tcW w:w="523" w:type="pct"/>
                  <w:vAlign w:val="center"/>
                </w:tcPr>
                <w:p w14:paraId="3D03FAD0">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eastAsia" w:cs="Times New Roman"/>
                      <w:color w:val="auto"/>
                      <w:sz w:val="21"/>
                      <w:szCs w:val="21"/>
                      <w:highlight w:val="none"/>
                      <w:lang w:val="en-US" w:eastAsia="zh-CN"/>
                    </w:rPr>
                    <w:t>连续</w:t>
                  </w:r>
                </w:p>
              </w:tc>
              <w:tc>
                <w:tcPr>
                  <w:tcW w:w="2090" w:type="pct"/>
                  <w:vMerge w:val="continue"/>
                  <w:vAlign w:val="center"/>
                </w:tcPr>
                <w:p w14:paraId="221EAAF4">
                  <w:pPr>
                    <w:spacing w:line="280" w:lineRule="exact"/>
                    <w:ind w:firstLine="0" w:firstLineChars="0"/>
                    <w:jc w:val="center"/>
                    <w:rPr>
                      <w:rFonts w:hint="default" w:ascii="Times New Roman" w:hAnsi="Times New Roman" w:cs="Times New Roman"/>
                      <w:color w:val="auto"/>
                      <w:sz w:val="21"/>
                      <w:szCs w:val="21"/>
                      <w:highlight w:val="none"/>
                      <w:lang w:eastAsia="zh-CN"/>
                    </w:rPr>
                  </w:pPr>
                </w:p>
              </w:tc>
            </w:tr>
            <w:tr w14:paraId="5E8CE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1" w:type="pct"/>
                  <w:vMerge w:val="continue"/>
                  <w:vAlign w:val="center"/>
                </w:tcPr>
                <w:p w14:paraId="1D2EC21E">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294F52F2">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140D0FD5">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G8筛分上料</w:t>
                  </w:r>
                </w:p>
              </w:tc>
              <w:tc>
                <w:tcPr>
                  <w:tcW w:w="1057" w:type="pct"/>
                  <w:vAlign w:val="center"/>
                </w:tcPr>
                <w:p w14:paraId="2085E29B">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ascii="Times New Roman"/>
                      <w:color w:val="auto"/>
                      <w:sz w:val="21"/>
                      <w:szCs w:val="21"/>
                      <w:highlight w:val="none"/>
                    </w:rPr>
                    <w:t>颗粒物</w:t>
                  </w:r>
                </w:p>
              </w:tc>
              <w:tc>
                <w:tcPr>
                  <w:tcW w:w="523" w:type="pct"/>
                  <w:vAlign w:val="center"/>
                </w:tcPr>
                <w:p w14:paraId="5E6EF238">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eastAsia" w:cs="Times New Roman"/>
                      <w:color w:val="auto"/>
                      <w:sz w:val="21"/>
                      <w:szCs w:val="21"/>
                      <w:highlight w:val="none"/>
                      <w:lang w:val="en-US" w:eastAsia="zh-CN"/>
                    </w:rPr>
                    <w:t>连续</w:t>
                  </w:r>
                </w:p>
              </w:tc>
              <w:tc>
                <w:tcPr>
                  <w:tcW w:w="2090" w:type="pct"/>
                  <w:vMerge w:val="continue"/>
                  <w:vAlign w:val="center"/>
                </w:tcPr>
                <w:p w14:paraId="2A08BF86">
                  <w:pPr>
                    <w:spacing w:line="280" w:lineRule="exact"/>
                    <w:ind w:firstLine="0" w:firstLineChars="0"/>
                    <w:jc w:val="center"/>
                    <w:rPr>
                      <w:rFonts w:hint="default" w:ascii="Times New Roman" w:hAnsi="Times New Roman" w:cs="Times New Roman"/>
                      <w:color w:val="auto"/>
                      <w:sz w:val="21"/>
                      <w:szCs w:val="21"/>
                      <w:highlight w:val="none"/>
                      <w:lang w:eastAsia="zh-CN"/>
                    </w:rPr>
                  </w:pPr>
                </w:p>
              </w:tc>
            </w:tr>
            <w:tr w14:paraId="1FB0D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1" w:type="pct"/>
                  <w:vMerge w:val="continue"/>
                  <w:vAlign w:val="center"/>
                </w:tcPr>
                <w:p w14:paraId="0D1951F4">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3BA1F66F">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0E072C34">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G9筛分</w:t>
                  </w:r>
                </w:p>
              </w:tc>
              <w:tc>
                <w:tcPr>
                  <w:tcW w:w="1057" w:type="pct"/>
                  <w:vAlign w:val="center"/>
                </w:tcPr>
                <w:p w14:paraId="31867ED7">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ascii="Times New Roman"/>
                      <w:color w:val="auto"/>
                      <w:sz w:val="21"/>
                      <w:szCs w:val="21"/>
                      <w:highlight w:val="none"/>
                    </w:rPr>
                    <w:t>颗粒物</w:t>
                  </w:r>
                </w:p>
              </w:tc>
              <w:tc>
                <w:tcPr>
                  <w:tcW w:w="523" w:type="pct"/>
                  <w:vAlign w:val="center"/>
                </w:tcPr>
                <w:p w14:paraId="44BD7667">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eastAsia" w:cs="Times New Roman"/>
                      <w:color w:val="auto"/>
                      <w:sz w:val="21"/>
                      <w:szCs w:val="21"/>
                      <w:highlight w:val="none"/>
                      <w:lang w:val="en-US" w:eastAsia="zh-CN"/>
                    </w:rPr>
                    <w:t>连续</w:t>
                  </w:r>
                </w:p>
              </w:tc>
              <w:tc>
                <w:tcPr>
                  <w:tcW w:w="2090" w:type="pct"/>
                  <w:vMerge w:val="continue"/>
                  <w:vAlign w:val="center"/>
                </w:tcPr>
                <w:p w14:paraId="7CEE76C6">
                  <w:pPr>
                    <w:spacing w:line="280" w:lineRule="exact"/>
                    <w:ind w:firstLine="0" w:firstLineChars="0"/>
                    <w:jc w:val="center"/>
                    <w:rPr>
                      <w:rFonts w:hint="default" w:ascii="Times New Roman" w:hAnsi="Times New Roman" w:cs="Times New Roman"/>
                      <w:color w:val="auto"/>
                      <w:sz w:val="21"/>
                      <w:szCs w:val="21"/>
                      <w:highlight w:val="none"/>
                      <w:lang w:eastAsia="zh-CN"/>
                    </w:rPr>
                  </w:pPr>
                </w:p>
              </w:tc>
            </w:tr>
            <w:tr w14:paraId="150E5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1" w:type="pct"/>
                  <w:vMerge w:val="continue"/>
                  <w:vAlign w:val="center"/>
                </w:tcPr>
                <w:p w14:paraId="7A9FE625">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5AD1683A">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5EB93CCA">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G1、</w:t>
                  </w:r>
                  <w:r>
                    <w:rPr>
                      <w:rFonts w:hint="eastAsia" w:ascii="Times New Roman" w:hAnsi="Times New Roman" w:cs="Times New Roman"/>
                      <w:color w:val="auto"/>
                      <w:sz w:val="21"/>
                      <w:szCs w:val="21"/>
                      <w:highlight w:val="none"/>
                      <w:lang w:val="en-US" w:eastAsia="zh-CN"/>
                    </w:rPr>
                    <w:t>G5、</w:t>
                  </w:r>
                  <w:r>
                    <w:rPr>
                      <w:rFonts w:hint="default" w:ascii="Times New Roman" w:hAnsi="Times New Roman" w:cs="Times New Roman"/>
                      <w:color w:val="auto"/>
                      <w:sz w:val="21"/>
                      <w:szCs w:val="21"/>
                      <w:highlight w:val="none"/>
                      <w:lang w:val="en-US" w:eastAsia="zh-CN"/>
                    </w:rPr>
                    <w:t>G6、G7</w:t>
                  </w:r>
                  <w:r>
                    <w:rPr>
                      <w:rFonts w:hint="default" w:ascii="Times New Roman" w:hAnsi="Times New Roman" w:cs="Times New Roman"/>
                      <w:color w:val="auto"/>
                      <w:sz w:val="21"/>
                      <w:szCs w:val="21"/>
                      <w:highlight w:val="none"/>
                    </w:rPr>
                    <w:t>物料装卸、堆存</w:t>
                  </w:r>
                </w:p>
              </w:tc>
              <w:tc>
                <w:tcPr>
                  <w:tcW w:w="1057" w:type="pct"/>
                  <w:vAlign w:val="center"/>
                </w:tcPr>
                <w:p w14:paraId="393D6825">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ascii="Times New Roman"/>
                      <w:color w:val="auto"/>
                      <w:sz w:val="21"/>
                      <w:szCs w:val="21"/>
                      <w:highlight w:val="none"/>
                    </w:rPr>
                    <w:t>颗粒物</w:t>
                  </w:r>
                </w:p>
              </w:tc>
              <w:tc>
                <w:tcPr>
                  <w:tcW w:w="523" w:type="pct"/>
                  <w:vAlign w:val="center"/>
                </w:tcPr>
                <w:p w14:paraId="0B4DC327">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eastAsia" w:cs="Times New Roman"/>
                      <w:color w:val="auto"/>
                      <w:sz w:val="21"/>
                      <w:szCs w:val="21"/>
                      <w:highlight w:val="none"/>
                      <w:lang w:val="en-US" w:eastAsia="zh-CN"/>
                    </w:rPr>
                    <w:t>连续</w:t>
                  </w:r>
                </w:p>
              </w:tc>
              <w:tc>
                <w:tcPr>
                  <w:tcW w:w="2090" w:type="pct"/>
                  <w:vAlign w:val="center"/>
                </w:tcPr>
                <w:p w14:paraId="48B2DFAA">
                  <w:pPr>
                    <w:spacing w:line="280" w:lineRule="exact"/>
                    <w:ind w:firstLine="0" w:firstLineChars="0"/>
                    <w:jc w:val="center"/>
                    <w:rPr>
                      <w:rFonts w:hint="default" w:ascii="Times New Roman" w:hAnsi="Times New Roman" w:cs="Times New Roman"/>
                      <w:color w:val="auto"/>
                      <w:sz w:val="21"/>
                      <w:szCs w:val="21"/>
                      <w:highlight w:val="none"/>
                      <w:lang w:eastAsia="zh-CN"/>
                    </w:rPr>
                  </w:pPr>
                  <w:r>
                    <w:rPr>
                      <w:rFonts w:hint="eastAsia"/>
                      <w:color w:val="auto"/>
                      <w:kern w:val="2"/>
                      <w:sz w:val="21"/>
                      <w:szCs w:val="21"/>
                      <w:highlight w:val="none"/>
                    </w:rPr>
                    <w:t>封闭库房</w:t>
                  </w:r>
                  <w:r>
                    <w:rPr>
                      <w:rFonts w:hint="eastAsia"/>
                      <w:color w:val="auto"/>
                      <w:kern w:val="2"/>
                      <w:sz w:val="21"/>
                      <w:szCs w:val="21"/>
                      <w:highlight w:val="none"/>
                      <w:lang w:val="en-US" w:eastAsia="zh-CN"/>
                    </w:rPr>
                    <w:t>+</w:t>
                  </w:r>
                  <w:r>
                    <w:rPr>
                      <w:rFonts w:hint="eastAsia"/>
                      <w:color w:val="auto"/>
                      <w:kern w:val="2"/>
                      <w:sz w:val="21"/>
                      <w:szCs w:val="21"/>
                      <w:highlight w:val="red"/>
                      <w:lang w:val="en-US" w:eastAsia="zh-CN"/>
                    </w:rPr>
                    <w:t>自动感应门</w:t>
                  </w:r>
                  <w:r>
                    <w:rPr>
                      <w:rFonts w:hint="eastAsia"/>
                      <w:color w:val="auto"/>
                      <w:kern w:val="2"/>
                      <w:sz w:val="21"/>
                      <w:szCs w:val="21"/>
                      <w:highlight w:val="none"/>
                    </w:rPr>
                    <w:t>+喷雾抑尘</w:t>
                  </w:r>
                </w:p>
              </w:tc>
            </w:tr>
            <w:tr w14:paraId="678C8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251" w:type="pct"/>
                  <w:vMerge w:val="continue"/>
                  <w:vAlign w:val="center"/>
                </w:tcPr>
                <w:p w14:paraId="05DB3D78">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Align w:val="center"/>
                </w:tcPr>
                <w:p w14:paraId="0F4E1AEC">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废水</w:t>
                  </w:r>
                </w:p>
              </w:tc>
              <w:tc>
                <w:tcPr>
                  <w:tcW w:w="693" w:type="pct"/>
                  <w:vAlign w:val="center"/>
                </w:tcPr>
                <w:p w14:paraId="1454D3BC">
                  <w:pPr>
                    <w:spacing w:line="28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ascii="Times New Roman"/>
                      <w:color w:val="auto"/>
                      <w:kern w:val="2"/>
                      <w:sz w:val="21"/>
                      <w:szCs w:val="21"/>
                      <w:highlight w:val="none"/>
                    </w:rPr>
                    <w:t>洗车废水</w:t>
                  </w:r>
                </w:p>
              </w:tc>
              <w:tc>
                <w:tcPr>
                  <w:tcW w:w="1057" w:type="pct"/>
                  <w:vAlign w:val="center"/>
                </w:tcPr>
                <w:p w14:paraId="63ED85CF">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rPr>
                    <w:t>SS、COD</w:t>
                  </w:r>
                </w:p>
              </w:tc>
              <w:tc>
                <w:tcPr>
                  <w:tcW w:w="523" w:type="pct"/>
                  <w:vAlign w:val="center"/>
                </w:tcPr>
                <w:p w14:paraId="328D2630">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eastAsia" w:ascii="Times New Roman"/>
                      <w:color w:val="auto"/>
                      <w:sz w:val="21"/>
                      <w:szCs w:val="21"/>
                      <w:highlight w:val="none"/>
                      <w:lang w:val="en-US" w:eastAsia="zh-CN"/>
                    </w:rPr>
                    <w:t>间断</w:t>
                  </w:r>
                </w:p>
              </w:tc>
              <w:tc>
                <w:tcPr>
                  <w:tcW w:w="2090" w:type="pct"/>
                  <w:vAlign w:val="center"/>
                </w:tcPr>
                <w:p w14:paraId="3E505633">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color w:val="auto"/>
                      <w:kern w:val="2"/>
                      <w:sz w:val="21"/>
                      <w:szCs w:val="21"/>
                      <w:highlight w:val="none"/>
                    </w:rPr>
                    <w:t>沉淀后循环利用不外排</w:t>
                  </w:r>
                </w:p>
              </w:tc>
            </w:tr>
            <w:tr w14:paraId="78E4B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1" w:type="pct"/>
                  <w:vMerge w:val="continue"/>
                  <w:vAlign w:val="center"/>
                </w:tcPr>
                <w:p w14:paraId="22B44C1B">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Align w:val="center"/>
                </w:tcPr>
                <w:p w14:paraId="608ECE42">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噪声</w:t>
                  </w:r>
                </w:p>
              </w:tc>
              <w:tc>
                <w:tcPr>
                  <w:tcW w:w="693" w:type="pct"/>
                  <w:vAlign w:val="center"/>
                </w:tcPr>
                <w:p w14:paraId="1D28F72E">
                  <w:pPr>
                    <w:spacing w:line="280" w:lineRule="exact"/>
                    <w:ind w:firstLine="0" w:firstLineChars="0"/>
                    <w:jc w:val="both"/>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设备噪声</w:t>
                  </w:r>
                </w:p>
              </w:tc>
              <w:tc>
                <w:tcPr>
                  <w:tcW w:w="1057" w:type="pct"/>
                  <w:vAlign w:val="center"/>
                </w:tcPr>
                <w:p w14:paraId="51F03D16">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A声级</w:t>
                  </w:r>
                </w:p>
              </w:tc>
              <w:tc>
                <w:tcPr>
                  <w:tcW w:w="523" w:type="pct"/>
                  <w:vAlign w:val="center"/>
                </w:tcPr>
                <w:p w14:paraId="36AEE2ED">
                  <w:pPr>
                    <w:keepNext w:val="0"/>
                    <w:keepLines w:val="0"/>
                    <w:pageBreakBefore w:val="0"/>
                    <w:kinsoku/>
                    <w:wordWrap/>
                    <w:overflowPunct/>
                    <w:topLinePunct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连续</w:t>
                  </w:r>
                </w:p>
              </w:tc>
              <w:tc>
                <w:tcPr>
                  <w:tcW w:w="2090" w:type="pct"/>
                  <w:vAlign w:val="center"/>
                </w:tcPr>
                <w:p w14:paraId="600A3B7E">
                  <w:pPr>
                    <w:spacing w:line="280" w:lineRule="exact"/>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color w:val="auto"/>
                      <w:sz w:val="21"/>
                      <w:szCs w:val="21"/>
                      <w:highlight w:val="none"/>
                    </w:rPr>
                    <w:t>低噪声设备+基础</w:t>
                  </w:r>
                  <w:r>
                    <w:rPr>
                      <w:rFonts w:hint="eastAsia" w:cs="Times New Roman"/>
                      <w:color w:val="auto"/>
                      <w:sz w:val="21"/>
                      <w:szCs w:val="21"/>
                      <w:highlight w:val="none"/>
                      <w:lang w:eastAsia="zh-CN"/>
                    </w:rPr>
                    <w:t>减振</w:t>
                  </w:r>
                  <w:r>
                    <w:rPr>
                      <w:rFonts w:hint="default" w:ascii="Times New Roman" w:hAnsi="Times New Roman" w:cs="Times New Roman"/>
                      <w:color w:val="auto"/>
                      <w:sz w:val="21"/>
                      <w:szCs w:val="21"/>
                      <w:highlight w:val="none"/>
                    </w:rPr>
                    <w:t>+厂房隔声</w:t>
                  </w:r>
                </w:p>
              </w:tc>
            </w:tr>
            <w:tr w14:paraId="20B37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251" w:type="pct"/>
                  <w:vMerge w:val="continue"/>
                  <w:vAlign w:val="center"/>
                </w:tcPr>
                <w:p w14:paraId="6F7309DF">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restart"/>
                  <w:vAlign w:val="center"/>
                </w:tcPr>
                <w:p w14:paraId="738FBEE2">
                  <w:pPr>
                    <w:spacing w:line="28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固废</w:t>
                  </w:r>
                </w:p>
              </w:tc>
              <w:tc>
                <w:tcPr>
                  <w:tcW w:w="693" w:type="pct"/>
                  <w:vAlign w:val="center"/>
                </w:tcPr>
                <w:p w14:paraId="577D3D97">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olor w:val="auto"/>
                      <w:sz w:val="21"/>
                      <w:szCs w:val="21"/>
                      <w:highlight w:val="none"/>
                      <w:lang w:val="en-US" w:eastAsia="zh-CN"/>
                    </w:rPr>
                    <w:t>筛分</w:t>
                  </w:r>
                </w:p>
              </w:tc>
              <w:tc>
                <w:tcPr>
                  <w:tcW w:w="1057" w:type="pct"/>
                  <w:vAlign w:val="center"/>
                </w:tcPr>
                <w:p w14:paraId="2C60D015">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color w:val="auto"/>
                      <w:sz w:val="21"/>
                      <w:szCs w:val="21"/>
                      <w:highlight w:val="none"/>
                      <w:lang w:val="en-US" w:eastAsia="zh-CN"/>
                    </w:rPr>
                    <w:t>大粒径物料</w:t>
                  </w:r>
                </w:p>
              </w:tc>
              <w:tc>
                <w:tcPr>
                  <w:tcW w:w="523" w:type="pct"/>
                  <w:vAlign w:val="center"/>
                </w:tcPr>
                <w:p w14:paraId="7355A174">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ascii="Times New Roman" w:cs="Times New Roman"/>
                      <w:bCs/>
                      <w:color w:val="auto"/>
                      <w:sz w:val="21"/>
                      <w:szCs w:val="21"/>
                      <w:highlight w:val="none"/>
                      <w:lang w:val="en-US" w:eastAsia="zh-CN"/>
                    </w:rPr>
                    <w:t>间断</w:t>
                  </w:r>
                </w:p>
              </w:tc>
              <w:tc>
                <w:tcPr>
                  <w:tcW w:w="2090" w:type="pct"/>
                  <w:vAlign w:val="center"/>
                </w:tcPr>
                <w:p w14:paraId="4A231E77">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eastAsia" w:ascii="Times New Roman"/>
                      <w:color w:val="auto"/>
                      <w:sz w:val="21"/>
                      <w:szCs w:val="21"/>
                      <w:highlight w:val="none"/>
                      <w:lang w:val="en-US" w:eastAsia="zh-CN"/>
                    </w:rPr>
                    <w:t>收集后回烧结配料</w:t>
                  </w:r>
                </w:p>
              </w:tc>
            </w:tr>
            <w:tr w14:paraId="3A366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51" w:type="pct"/>
                  <w:vMerge w:val="continue"/>
                  <w:vAlign w:val="center"/>
                </w:tcPr>
                <w:p w14:paraId="74F71D33">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39095367">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09EBBBBA">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rPr>
                    <w:t>除尘</w:t>
                  </w:r>
                </w:p>
              </w:tc>
              <w:tc>
                <w:tcPr>
                  <w:tcW w:w="1057" w:type="pct"/>
                  <w:vAlign w:val="center"/>
                </w:tcPr>
                <w:p w14:paraId="7DDABCB9">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eastAsia" w:ascii="Times New Roman"/>
                      <w:color w:val="auto"/>
                      <w:sz w:val="21"/>
                      <w:szCs w:val="21"/>
                      <w:highlight w:val="none"/>
                      <w:lang w:bidi="ar"/>
                    </w:rPr>
                    <w:t>除尘灰</w:t>
                  </w:r>
                </w:p>
              </w:tc>
              <w:tc>
                <w:tcPr>
                  <w:tcW w:w="523" w:type="pct"/>
                  <w:vAlign w:val="center"/>
                </w:tcPr>
                <w:p w14:paraId="56353C34">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ascii="Times New Roman"/>
                      <w:color w:val="auto"/>
                      <w:sz w:val="21"/>
                      <w:szCs w:val="21"/>
                      <w:highlight w:val="none"/>
                    </w:rPr>
                    <w:t>间断</w:t>
                  </w:r>
                </w:p>
              </w:tc>
              <w:tc>
                <w:tcPr>
                  <w:tcW w:w="2090" w:type="pct"/>
                  <w:vAlign w:val="center"/>
                </w:tcPr>
                <w:p w14:paraId="696A0657">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rPr>
                    <w:t>收集后</w:t>
                  </w:r>
                  <w:r>
                    <w:rPr>
                      <w:rFonts w:hint="eastAsia" w:ascii="Times New Roman"/>
                      <w:color w:val="auto"/>
                      <w:sz w:val="21"/>
                      <w:szCs w:val="21"/>
                      <w:highlight w:val="none"/>
                      <w:lang w:val="en-US" w:eastAsia="zh-CN"/>
                    </w:rPr>
                    <w:t>作为原料回用</w:t>
                  </w:r>
                </w:p>
              </w:tc>
            </w:tr>
            <w:tr w14:paraId="08F53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1" w:type="pct"/>
                  <w:vMerge w:val="continue"/>
                  <w:vAlign w:val="center"/>
                </w:tcPr>
                <w:p w14:paraId="724FCA54">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4F492798">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7095765C">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rPr>
                    <w:t>除尘</w:t>
                  </w:r>
                </w:p>
              </w:tc>
              <w:tc>
                <w:tcPr>
                  <w:tcW w:w="1057" w:type="pct"/>
                  <w:vAlign w:val="center"/>
                </w:tcPr>
                <w:p w14:paraId="771E0BD9">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eastAsia" w:ascii="Times New Roman"/>
                      <w:color w:val="auto"/>
                      <w:sz w:val="21"/>
                      <w:szCs w:val="21"/>
                      <w:highlight w:val="none"/>
                    </w:rPr>
                    <w:t>废布袋</w:t>
                  </w:r>
                </w:p>
              </w:tc>
              <w:tc>
                <w:tcPr>
                  <w:tcW w:w="523" w:type="pct"/>
                  <w:vAlign w:val="center"/>
                </w:tcPr>
                <w:p w14:paraId="7BFC0B60">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ascii="Times New Roman"/>
                      <w:color w:val="auto"/>
                      <w:sz w:val="21"/>
                      <w:szCs w:val="21"/>
                      <w:highlight w:val="none"/>
                    </w:rPr>
                    <w:t>间断</w:t>
                  </w:r>
                </w:p>
              </w:tc>
              <w:tc>
                <w:tcPr>
                  <w:tcW w:w="2090" w:type="pct"/>
                  <w:vAlign w:val="center"/>
                </w:tcPr>
                <w:p w14:paraId="7289CA02">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rPr>
                    <w:t>收集后</w:t>
                  </w:r>
                  <w:r>
                    <w:rPr>
                      <w:rFonts w:hint="eastAsia"/>
                      <w:color w:val="auto"/>
                      <w:sz w:val="21"/>
                      <w:szCs w:val="21"/>
                      <w:highlight w:val="none"/>
                      <w:lang w:val="en-US" w:eastAsia="zh-CN"/>
                    </w:rPr>
                    <w:t>由</w:t>
                  </w:r>
                  <w:r>
                    <w:rPr>
                      <w:rFonts w:hint="eastAsia" w:ascii="Times New Roman"/>
                      <w:color w:val="auto"/>
                      <w:sz w:val="21"/>
                      <w:szCs w:val="21"/>
                      <w:highlight w:val="none"/>
                    </w:rPr>
                    <w:t>厂家回收利用</w:t>
                  </w:r>
                </w:p>
              </w:tc>
            </w:tr>
            <w:tr w14:paraId="3DBE6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jc w:val="center"/>
              </w:trPr>
              <w:tc>
                <w:tcPr>
                  <w:tcW w:w="251" w:type="pct"/>
                  <w:vMerge w:val="continue"/>
                  <w:vAlign w:val="center"/>
                </w:tcPr>
                <w:p w14:paraId="5791179D">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717AFC43">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23892584">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lang w:val="en-US" w:eastAsia="zh-CN"/>
                    </w:rPr>
                    <w:t>包装</w:t>
                  </w:r>
                </w:p>
              </w:tc>
              <w:tc>
                <w:tcPr>
                  <w:tcW w:w="1057" w:type="pct"/>
                  <w:vAlign w:val="center"/>
                </w:tcPr>
                <w:p w14:paraId="5542887E">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eastAsia"/>
                      <w:color w:val="auto"/>
                      <w:sz w:val="21"/>
                      <w:szCs w:val="21"/>
                      <w:highlight w:val="none"/>
                    </w:rPr>
                    <w:t>粘合剂废包装袋</w:t>
                  </w:r>
                </w:p>
              </w:tc>
              <w:tc>
                <w:tcPr>
                  <w:tcW w:w="523" w:type="pct"/>
                  <w:vAlign w:val="center"/>
                </w:tcPr>
                <w:p w14:paraId="2F26B028">
                  <w:pPr>
                    <w:pStyle w:val="135"/>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ascii="Times New Roman"/>
                      <w:color w:val="auto"/>
                      <w:sz w:val="21"/>
                      <w:szCs w:val="21"/>
                      <w:highlight w:val="none"/>
                    </w:rPr>
                    <w:t>间断</w:t>
                  </w:r>
                </w:p>
              </w:tc>
              <w:tc>
                <w:tcPr>
                  <w:tcW w:w="2090" w:type="pct"/>
                  <w:vAlign w:val="center"/>
                </w:tcPr>
                <w:p w14:paraId="374F9476">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rPr>
                    <w:t>收集后</w:t>
                  </w:r>
                  <w:r>
                    <w:rPr>
                      <w:rFonts w:hint="eastAsia" w:ascii="Times New Roman"/>
                      <w:color w:val="auto"/>
                      <w:sz w:val="21"/>
                      <w:szCs w:val="21"/>
                      <w:highlight w:val="none"/>
                    </w:rPr>
                    <w:t>由厂家回收利用</w:t>
                  </w:r>
                </w:p>
              </w:tc>
            </w:tr>
            <w:tr w14:paraId="003C6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1" w:type="pct"/>
                  <w:vMerge w:val="continue"/>
                  <w:vAlign w:val="center"/>
                </w:tcPr>
                <w:p w14:paraId="05CCA977">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7F6FB3D8">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688D2DCC">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rPr>
                    <w:t>成型</w:t>
                  </w:r>
                </w:p>
              </w:tc>
              <w:tc>
                <w:tcPr>
                  <w:tcW w:w="1057" w:type="pct"/>
                  <w:vAlign w:val="center"/>
                </w:tcPr>
                <w:p w14:paraId="654BC3ED">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eastAsia" w:ascii="Times New Roman"/>
                      <w:color w:val="auto"/>
                      <w:sz w:val="21"/>
                      <w:szCs w:val="21"/>
                      <w:highlight w:val="none"/>
                    </w:rPr>
                    <w:t>不合格品</w:t>
                  </w:r>
                </w:p>
              </w:tc>
              <w:tc>
                <w:tcPr>
                  <w:tcW w:w="523" w:type="pct"/>
                  <w:vAlign w:val="center"/>
                </w:tcPr>
                <w:p w14:paraId="6D2AC387">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ascii="Times New Roman"/>
                      <w:color w:val="auto"/>
                      <w:sz w:val="21"/>
                      <w:szCs w:val="21"/>
                      <w:highlight w:val="none"/>
                    </w:rPr>
                    <w:t>间断</w:t>
                  </w:r>
                </w:p>
              </w:tc>
              <w:tc>
                <w:tcPr>
                  <w:tcW w:w="2090" w:type="pct"/>
                  <w:vAlign w:val="center"/>
                </w:tcPr>
                <w:p w14:paraId="47D5EBDA">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eastAsia" w:ascii="Times New Roman"/>
                      <w:color w:val="auto"/>
                      <w:sz w:val="21"/>
                      <w:szCs w:val="21"/>
                      <w:highlight w:val="none"/>
                      <w:lang w:val="en-US" w:eastAsia="zh-CN"/>
                    </w:rPr>
                    <w:t>直接由皮带</w:t>
                  </w:r>
                  <w:r>
                    <w:rPr>
                      <w:rFonts w:hint="eastAsia" w:ascii="Times New Roman"/>
                      <w:color w:val="auto"/>
                      <w:sz w:val="21"/>
                      <w:szCs w:val="21"/>
                      <w:highlight w:val="none"/>
                    </w:rPr>
                    <w:t>返回</w:t>
                  </w:r>
                  <w:r>
                    <w:rPr>
                      <w:rFonts w:hint="eastAsia" w:ascii="Times New Roman"/>
                      <w:color w:val="auto"/>
                      <w:sz w:val="21"/>
                      <w:szCs w:val="21"/>
                      <w:highlight w:val="none"/>
                      <w:lang w:val="en-US" w:eastAsia="zh-CN"/>
                    </w:rPr>
                    <w:t>中转</w:t>
                  </w:r>
                  <w:r>
                    <w:rPr>
                      <w:rFonts w:hint="eastAsia" w:ascii="Times New Roman"/>
                      <w:color w:val="auto"/>
                      <w:sz w:val="21"/>
                      <w:szCs w:val="21"/>
                      <w:highlight w:val="none"/>
                    </w:rPr>
                    <w:t>工序回用</w:t>
                  </w:r>
                </w:p>
              </w:tc>
            </w:tr>
            <w:tr w14:paraId="3B28B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1" w:type="pct"/>
                  <w:vMerge w:val="continue"/>
                  <w:vAlign w:val="center"/>
                </w:tcPr>
                <w:p w14:paraId="482FCD19">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65FDF909">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6DCE3BDF">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eastAsia="宋体"/>
                      <w:color w:val="auto"/>
                      <w:sz w:val="21"/>
                      <w:szCs w:val="21"/>
                      <w:highlight w:val="none"/>
                      <w:lang w:val="en-US" w:eastAsia="zh-CN"/>
                    </w:rPr>
                  </w:pPr>
                  <w:r>
                    <w:rPr>
                      <w:rFonts w:hint="eastAsia" w:ascii="Times New Roman"/>
                      <w:color w:val="auto"/>
                      <w:sz w:val="21"/>
                      <w:szCs w:val="21"/>
                      <w:highlight w:val="none"/>
                      <w:lang w:val="en-US" w:eastAsia="zh-CN"/>
                    </w:rPr>
                    <w:t>半成品筛分</w:t>
                  </w:r>
                </w:p>
              </w:tc>
              <w:tc>
                <w:tcPr>
                  <w:tcW w:w="1057" w:type="pct"/>
                  <w:vAlign w:val="center"/>
                </w:tcPr>
                <w:p w14:paraId="515C08EF">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eastAsia="宋体"/>
                      <w:color w:val="auto"/>
                      <w:sz w:val="21"/>
                      <w:szCs w:val="21"/>
                      <w:highlight w:val="none"/>
                      <w:lang w:val="en-US" w:eastAsia="zh-CN"/>
                    </w:rPr>
                  </w:pPr>
                  <w:r>
                    <w:rPr>
                      <w:rFonts w:hint="eastAsia" w:ascii="Times New Roman"/>
                      <w:color w:val="auto"/>
                      <w:sz w:val="21"/>
                      <w:szCs w:val="21"/>
                      <w:highlight w:val="none"/>
                      <w:lang w:val="en-US" w:eastAsia="zh-CN"/>
                    </w:rPr>
                    <w:t>筛下物</w:t>
                  </w:r>
                </w:p>
              </w:tc>
              <w:tc>
                <w:tcPr>
                  <w:tcW w:w="523" w:type="pct"/>
                  <w:vAlign w:val="center"/>
                </w:tcPr>
                <w:p w14:paraId="573D2C10">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eastAsia="宋体"/>
                      <w:color w:val="auto"/>
                      <w:sz w:val="21"/>
                      <w:szCs w:val="21"/>
                      <w:highlight w:val="none"/>
                      <w:lang w:val="en-US" w:eastAsia="zh-CN"/>
                    </w:rPr>
                  </w:pPr>
                  <w:r>
                    <w:rPr>
                      <w:rFonts w:hint="eastAsia" w:ascii="Times New Roman"/>
                      <w:color w:val="auto"/>
                      <w:sz w:val="21"/>
                      <w:szCs w:val="21"/>
                      <w:highlight w:val="none"/>
                      <w:lang w:val="en-US" w:eastAsia="zh-CN"/>
                    </w:rPr>
                    <w:t>间断</w:t>
                  </w:r>
                </w:p>
              </w:tc>
              <w:tc>
                <w:tcPr>
                  <w:tcW w:w="2090" w:type="pct"/>
                  <w:vAlign w:val="center"/>
                </w:tcPr>
                <w:p w14:paraId="6122CAAD">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eastAsia" w:ascii="Times New Roman"/>
                      <w:color w:val="auto"/>
                      <w:sz w:val="21"/>
                      <w:szCs w:val="21"/>
                      <w:highlight w:val="none"/>
                    </w:rPr>
                  </w:pPr>
                  <w:r>
                    <w:rPr>
                      <w:rFonts w:hint="eastAsia" w:hAnsi="宋体" w:cs="宋体"/>
                      <w:color w:val="auto"/>
                      <w:kern w:val="0"/>
                      <w:sz w:val="21"/>
                      <w:szCs w:val="21"/>
                      <w:highlight w:val="none"/>
                      <w:lang w:val="en-US" w:eastAsia="zh-CN" w:bidi="ar"/>
                    </w:rPr>
                    <w:t>返回原料区作为原料使用</w:t>
                  </w:r>
                </w:p>
              </w:tc>
            </w:tr>
            <w:tr w14:paraId="7B066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1" w:type="pct"/>
                  <w:vMerge w:val="continue"/>
                  <w:vAlign w:val="center"/>
                </w:tcPr>
                <w:p w14:paraId="1DC967C2">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08129CE4">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2286D345">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eastAsia" w:ascii="Times New Roman"/>
                      <w:color w:val="auto"/>
                      <w:sz w:val="21"/>
                      <w:szCs w:val="21"/>
                      <w:highlight w:val="none"/>
                      <w:lang w:val="en-US" w:eastAsia="zh-CN"/>
                    </w:rPr>
                  </w:pPr>
                  <w:r>
                    <w:rPr>
                      <w:rFonts w:hint="eastAsia"/>
                      <w:color w:val="auto"/>
                      <w:sz w:val="21"/>
                      <w:szCs w:val="21"/>
                      <w:highlight w:val="none"/>
                      <w:lang w:val="en-US" w:eastAsia="zh-CN"/>
                    </w:rPr>
                    <w:t>洗车</w:t>
                  </w:r>
                </w:p>
              </w:tc>
              <w:tc>
                <w:tcPr>
                  <w:tcW w:w="1057" w:type="pct"/>
                  <w:vAlign w:val="center"/>
                </w:tcPr>
                <w:p w14:paraId="21E022B0">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eastAsia" w:ascii="Times New Roman"/>
                      <w:color w:val="auto"/>
                      <w:sz w:val="21"/>
                      <w:szCs w:val="21"/>
                      <w:highlight w:val="none"/>
                      <w:lang w:val="en-US" w:eastAsia="zh-CN"/>
                    </w:rPr>
                  </w:pPr>
                  <w:r>
                    <w:rPr>
                      <w:rFonts w:hint="eastAsia"/>
                      <w:color w:val="auto"/>
                      <w:sz w:val="21"/>
                      <w:szCs w:val="21"/>
                      <w:highlight w:val="none"/>
                      <w:lang w:val="en-US" w:eastAsia="zh-CN"/>
                    </w:rPr>
                    <w:t>洗车沉泥</w:t>
                  </w:r>
                </w:p>
              </w:tc>
              <w:tc>
                <w:tcPr>
                  <w:tcW w:w="523" w:type="pct"/>
                  <w:vAlign w:val="center"/>
                </w:tcPr>
                <w:p w14:paraId="0770CA5C">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eastAsia" w:ascii="Times New Roman"/>
                      <w:color w:val="auto"/>
                      <w:sz w:val="21"/>
                      <w:szCs w:val="21"/>
                      <w:highlight w:val="none"/>
                      <w:lang w:val="en-US" w:eastAsia="zh-CN"/>
                    </w:rPr>
                  </w:pPr>
                  <w:r>
                    <w:rPr>
                      <w:rFonts w:hint="eastAsia" w:ascii="Times New Roman"/>
                      <w:color w:val="auto"/>
                      <w:sz w:val="21"/>
                      <w:szCs w:val="21"/>
                      <w:highlight w:val="none"/>
                      <w:lang w:val="en-US" w:eastAsia="zh-CN"/>
                    </w:rPr>
                    <w:t>间断</w:t>
                  </w:r>
                </w:p>
              </w:tc>
              <w:tc>
                <w:tcPr>
                  <w:tcW w:w="2090" w:type="pct"/>
                  <w:vAlign w:val="center"/>
                </w:tcPr>
                <w:p w14:paraId="25A3CAE6">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eastAsia" w:ascii="宋体" w:hAnsi="宋体" w:cs="宋体"/>
                      <w:color w:val="auto"/>
                      <w:kern w:val="0"/>
                      <w:sz w:val="21"/>
                      <w:szCs w:val="21"/>
                      <w:highlight w:val="none"/>
                      <w:lang w:val="en-US" w:eastAsia="zh-CN" w:bidi="ar"/>
                    </w:rPr>
                  </w:pPr>
                  <w:r>
                    <w:rPr>
                      <w:rFonts w:hint="eastAsia"/>
                      <w:color w:val="auto"/>
                      <w:sz w:val="21"/>
                      <w:szCs w:val="21"/>
                      <w:highlight w:val="none"/>
                      <w:lang w:val="en-US" w:eastAsia="zh-CN"/>
                    </w:rPr>
                    <w:t>收集作为原料回用</w:t>
                  </w:r>
                </w:p>
              </w:tc>
            </w:tr>
            <w:tr w14:paraId="6E4D4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1" w:type="pct"/>
                  <w:vMerge w:val="continue"/>
                  <w:vAlign w:val="center"/>
                </w:tcPr>
                <w:p w14:paraId="2C5BE86E">
                  <w:pPr>
                    <w:pStyle w:val="135"/>
                    <w:spacing w:beforeLines="0" w:afterLines="0" w:line="280" w:lineRule="exact"/>
                    <w:ind w:firstLine="0" w:firstLineChars="0"/>
                    <w:rPr>
                      <w:rFonts w:hint="default" w:ascii="Times New Roman" w:hAnsi="Times New Roman" w:cs="Times New Roman"/>
                      <w:color w:val="auto"/>
                      <w:sz w:val="21"/>
                      <w:szCs w:val="21"/>
                      <w:highlight w:val="none"/>
                    </w:rPr>
                  </w:pPr>
                </w:p>
              </w:tc>
              <w:tc>
                <w:tcPr>
                  <w:tcW w:w="382" w:type="pct"/>
                  <w:vMerge w:val="continue"/>
                  <w:vAlign w:val="center"/>
                </w:tcPr>
                <w:p w14:paraId="213FCE34">
                  <w:pPr>
                    <w:spacing w:line="280" w:lineRule="exact"/>
                    <w:ind w:firstLine="0" w:firstLineChars="0"/>
                    <w:jc w:val="center"/>
                    <w:rPr>
                      <w:rFonts w:hint="default" w:ascii="Times New Roman" w:hAnsi="Times New Roman" w:cs="Times New Roman"/>
                      <w:bCs/>
                      <w:color w:val="auto"/>
                      <w:sz w:val="21"/>
                      <w:szCs w:val="21"/>
                      <w:highlight w:val="none"/>
                      <w:lang w:val="en-US" w:eastAsia="zh-CN"/>
                    </w:rPr>
                  </w:pPr>
                </w:p>
              </w:tc>
              <w:tc>
                <w:tcPr>
                  <w:tcW w:w="693" w:type="pct"/>
                  <w:vAlign w:val="center"/>
                </w:tcPr>
                <w:p w14:paraId="5904279F">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color w:val="auto"/>
                      <w:sz w:val="21"/>
                      <w:szCs w:val="21"/>
                      <w:highlight w:val="none"/>
                      <w:lang w:val="en-US" w:eastAsia="zh-CN"/>
                    </w:rPr>
                    <w:t>机械</w:t>
                  </w:r>
                </w:p>
              </w:tc>
              <w:tc>
                <w:tcPr>
                  <w:tcW w:w="1057" w:type="pct"/>
                  <w:vAlign w:val="center"/>
                </w:tcPr>
                <w:p w14:paraId="31A092FA">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color w:val="auto"/>
                      <w:sz w:val="21"/>
                      <w:szCs w:val="21"/>
                      <w:highlight w:val="none"/>
                    </w:rPr>
                    <w:t>废润滑油、废液压油</w:t>
                  </w:r>
                  <w:r>
                    <w:rPr>
                      <w:rFonts w:hint="eastAsia"/>
                      <w:color w:val="auto"/>
                      <w:sz w:val="21"/>
                      <w:szCs w:val="21"/>
                      <w:highlight w:val="none"/>
                      <w:lang w:eastAsia="zh-CN"/>
                    </w:rPr>
                    <w:t>、</w:t>
                  </w:r>
                  <w:r>
                    <w:rPr>
                      <w:rFonts w:hint="eastAsia"/>
                      <w:color w:val="auto"/>
                      <w:sz w:val="21"/>
                      <w:szCs w:val="21"/>
                      <w:highlight w:val="none"/>
                    </w:rPr>
                    <w:t>废油桶</w:t>
                  </w:r>
                  <w:r>
                    <w:rPr>
                      <w:rFonts w:hint="eastAsia"/>
                      <w:color w:val="auto"/>
                      <w:sz w:val="21"/>
                      <w:szCs w:val="21"/>
                      <w:highlight w:val="none"/>
                      <w:lang w:eastAsia="zh-CN"/>
                    </w:rPr>
                    <w:t>、</w:t>
                  </w:r>
                  <w:r>
                    <w:rPr>
                      <w:rFonts w:hint="eastAsia"/>
                      <w:color w:val="auto"/>
                      <w:sz w:val="21"/>
                      <w:szCs w:val="21"/>
                      <w:highlight w:val="red"/>
                      <w:lang w:val="en-US" w:eastAsia="zh-CN"/>
                    </w:rPr>
                    <w:t>废电瓶</w:t>
                  </w:r>
                </w:p>
              </w:tc>
              <w:tc>
                <w:tcPr>
                  <w:tcW w:w="523" w:type="pct"/>
                  <w:vAlign w:val="center"/>
                </w:tcPr>
                <w:p w14:paraId="41BD44D8">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ascii="Times New Roman"/>
                      <w:color w:val="auto"/>
                      <w:sz w:val="21"/>
                      <w:szCs w:val="21"/>
                      <w:highlight w:val="none"/>
                    </w:rPr>
                    <w:t>间断</w:t>
                  </w:r>
                </w:p>
              </w:tc>
              <w:tc>
                <w:tcPr>
                  <w:tcW w:w="2090" w:type="pct"/>
                  <w:vAlign w:val="center"/>
                </w:tcPr>
                <w:p w14:paraId="48BFF736">
                  <w:pPr>
                    <w:pStyle w:val="135"/>
                    <w:keepNext w:val="0"/>
                    <w:keepLines w:val="0"/>
                    <w:pageBreakBefore w:val="0"/>
                    <w:widowControl w:val="0"/>
                    <w:kinsoku/>
                    <w:wordWrap/>
                    <w:overflowPunct/>
                    <w:topLinePunct w:val="0"/>
                    <w:autoSpaceDE/>
                    <w:autoSpaceDN/>
                    <w:bidi w:val="0"/>
                    <w:spacing w:beforeLines="0" w:afterLines="0" w:line="280" w:lineRule="atLeas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eastAsia"/>
                      <w:color w:val="auto"/>
                      <w:sz w:val="21"/>
                      <w:szCs w:val="21"/>
                      <w:highlight w:val="none"/>
                    </w:rPr>
                    <w:t>在危废间暂存，</w:t>
                  </w:r>
                  <w:r>
                    <w:rPr>
                      <w:rFonts w:ascii="Times New Roman"/>
                      <w:color w:val="auto"/>
                      <w:sz w:val="21"/>
                      <w:szCs w:val="21"/>
                      <w:highlight w:val="none"/>
                    </w:rPr>
                    <w:t>定期</w:t>
                  </w:r>
                  <w:r>
                    <w:rPr>
                      <w:rFonts w:hint="eastAsia" w:ascii="Times New Roman"/>
                      <w:color w:val="auto"/>
                      <w:sz w:val="21"/>
                      <w:szCs w:val="21"/>
                      <w:highlight w:val="none"/>
                      <w:lang w:eastAsia="zh-CN"/>
                    </w:rPr>
                    <w:t>交</w:t>
                  </w:r>
                  <w:r>
                    <w:rPr>
                      <w:rFonts w:ascii="Times New Roman"/>
                      <w:color w:val="auto"/>
                      <w:sz w:val="21"/>
                      <w:szCs w:val="21"/>
                      <w:highlight w:val="none"/>
                    </w:rPr>
                    <w:t>有资质的单位处置。</w:t>
                  </w:r>
                </w:p>
              </w:tc>
            </w:tr>
          </w:tbl>
          <w:p w14:paraId="29799CB6">
            <w:pPr>
              <w:ind w:firstLine="0" w:firstLineChars="0"/>
              <w:jc w:val="both"/>
              <w:rPr>
                <w:rFonts w:hint="default" w:ascii="Times New Roman" w:hAnsi="Times New Roman" w:cs="Times New Roman"/>
                <w:bCs/>
                <w:color w:val="auto"/>
                <w:sz w:val="21"/>
                <w:szCs w:val="21"/>
                <w:highlight w:val="yellow"/>
              </w:rPr>
            </w:pPr>
          </w:p>
        </w:tc>
      </w:tr>
      <w:tr w14:paraId="30775E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24" w:hRule="atLeast"/>
          <w:jc w:val="center"/>
        </w:trPr>
        <w:tc>
          <w:tcPr>
            <w:tcW w:w="233" w:type="pct"/>
            <w:shd w:val="clear" w:color="auto" w:fill="auto"/>
            <w:vAlign w:val="center"/>
          </w:tcPr>
          <w:p w14:paraId="2E02F4F0">
            <w:pPr>
              <w:pStyle w:val="77"/>
              <w:spacing w:before="0" w:beforeAutospacing="0" w:after="0" w:afterAutospacing="0" w:line="240" w:lineRule="auto"/>
              <w:ind w:firstLine="0" w:firstLineChars="0"/>
              <w:jc w:val="center"/>
              <w:rPr>
                <w:rFonts w:hint="default" w:ascii="Times New Roman" w:hAnsi="Times New Roman" w:cs="Times New Roman"/>
                <w:color w:val="auto"/>
                <w:sz w:val="21"/>
                <w:szCs w:val="21"/>
                <w:highlight w:val="yellow"/>
              </w:rPr>
            </w:pPr>
            <w:r>
              <w:rPr>
                <w:rFonts w:hint="default" w:ascii="Times New Roman" w:hAnsi="Times New Roman" w:cs="Times New Roman"/>
                <w:bCs/>
                <w:color w:val="auto"/>
                <w:kern w:val="2"/>
                <w:sz w:val="21"/>
                <w:szCs w:val="21"/>
                <w:highlight w:val="none"/>
              </w:rPr>
              <w:t>与项目有关的原有环境污染问题</w:t>
            </w:r>
          </w:p>
        </w:tc>
        <w:tc>
          <w:tcPr>
            <w:tcW w:w="4766" w:type="pct"/>
            <w:shd w:val="clear" w:color="auto" w:fill="auto"/>
          </w:tcPr>
          <w:p w14:paraId="3BC2577B">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1、现有工程环保手续履行情况</w:t>
            </w:r>
          </w:p>
          <w:p w14:paraId="4A47F070">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唐山松汀钢铁有限公司始建于1969年，厂址位于河北迁安经济开发区，迁安市木厂口镇西北侧，</w:t>
            </w:r>
            <w:r>
              <w:rPr>
                <w:rFonts w:hint="default" w:ascii="Times New Roman" w:hAnsi="Times New Roman" w:eastAsia="宋体" w:cs="Times New Roman"/>
                <w:color w:val="auto"/>
                <w:sz w:val="21"/>
                <w:szCs w:val="21"/>
                <w:highlight w:val="none"/>
              </w:rPr>
              <w:t>经多年发展，</w:t>
            </w:r>
            <w:r>
              <w:rPr>
                <w:rFonts w:hint="default" w:ascii="Times New Roman" w:hAnsi="Times New Roman" w:eastAsia="宋体" w:cs="Times New Roman"/>
                <w:color w:val="auto"/>
                <w:sz w:val="21"/>
                <w:szCs w:val="21"/>
                <w:highlight w:val="none"/>
                <w:lang w:val="en-US" w:eastAsia="zh-CN"/>
              </w:rPr>
              <w:t>松汀</w:t>
            </w:r>
            <w:r>
              <w:rPr>
                <w:rFonts w:hint="default" w:ascii="Times New Roman" w:hAnsi="Times New Roman" w:eastAsia="宋体" w:cs="Times New Roman"/>
                <w:color w:val="auto"/>
                <w:sz w:val="21"/>
                <w:szCs w:val="21"/>
                <w:highlight w:val="none"/>
              </w:rPr>
              <w:t>公司现已成为集烧结、球团、炼铁、炼钢、轧钢等为一体的钢铁联合企业</w:t>
            </w:r>
            <w:r>
              <w:rPr>
                <w:rFonts w:hint="default" w:ascii="Times New Roman" w:hAnsi="Times New Roman" w:eastAsia="宋体" w:cs="Times New Roman"/>
                <w:color w:val="auto"/>
                <w:kern w:val="0"/>
                <w:sz w:val="21"/>
                <w:szCs w:val="21"/>
                <w:highlight w:val="none"/>
                <w:lang w:val="en-US" w:eastAsia="zh-CN"/>
              </w:rPr>
              <w:t>。</w:t>
            </w:r>
          </w:p>
          <w:p w14:paraId="29F81FBC">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松汀公司于2017年9月按照《排污许可证申请与核发技术规范 钢铁工业》(HJ846-2017)中要求完成河北省排放污染物许可证网上申报工作并通过审查，于2017年9月7日首次取得唐山市生态环境局核发的排污许可证，证书编号：91130283715804184L001P，</w:t>
            </w:r>
            <w:r>
              <w:rPr>
                <w:rFonts w:hint="default" w:ascii="Times New Roman" w:hAnsi="Times New Roman" w:eastAsia="宋体" w:cs="Times New Roman"/>
                <w:color w:val="auto"/>
                <w:sz w:val="21"/>
                <w:szCs w:val="21"/>
                <w:highlight w:val="none"/>
                <w:lang w:val="en-US" w:eastAsia="zh-CN"/>
              </w:rPr>
              <w:t>松汀</w:t>
            </w:r>
            <w:r>
              <w:rPr>
                <w:rFonts w:hint="default" w:ascii="Times New Roman" w:hAnsi="Times New Roman" w:eastAsia="宋体" w:cs="Times New Roman"/>
                <w:color w:val="auto"/>
                <w:sz w:val="21"/>
                <w:szCs w:val="21"/>
                <w:highlight w:val="none"/>
              </w:rPr>
              <w:t>公司自取得排污许可证以来，随着钢铁行业污染物排放标准的提高，企业进行了一系列环保提标改造工程，截止目前，公司各排放点位各项污染物均能满足超低排放及唐山</w:t>
            </w:r>
            <w:r>
              <w:rPr>
                <w:rFonts w:hint="default" w:ascii="Times New Roman" w:hAnsi="Times New Roman" w:eastAsia="宋体" w:cs="Times New Roman"/>
                <w:color w:val="auto"/>
                <w:sz w:val="21"/>
                <w:szCs w:val="21"/>
                <w:highlight w:val="none"/>
                <w:lang w:val="en-US" w:eastAsia="zh-CN"/>
              </w:rPr>
              <w:t>文件</w:t>
            </w:r>
            <w:r>
              <w:rPr>
                <w:rFonts w:hint="default" w:ascii="Times New Roman" w:hAnsi="Times New Roman" w:eastAsia="宋体" w:cs="Times New Roman"/>
                <w:color w:val="auto"/>
                <w:sz w:val="21"/>
                <w:szCs w:val="21"/>
                <w:highlight w:val="none"/>
              </w:rPr>
              <w:t>要求</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排污许可证</w:t>
            </w:r>
            <w:r>
              <w:rPr>
                <w:rFonts w:hint="default" w:ascii="Times New Roman" w:hAnsi="Times New Roman" w:eastAsia="宋体" w:cs="Times New Roman"/>
                <w:color w:val="auto"/>
                <w:kern w:val="0"/>
                <w:sz w:val="21"/>
                <w:szCs w:val="21"/>
                <w:highlight w:val="none"/>
                <w:lang w:val="en-US" w:eastAsia="zh-CN"/>
              </w:rPr>
              <w:t>经过多次变更及重新申请，目前，松汀公司持有唐山市行政审批局核发的排污许可证，证书编号：91130283715804184L001P，有效期限至2031年2月3日。</w:t>
            </w:r>
          </w:p>
          <w:p w14:paraId="2572BEDF">
            <w:pPr>
              <w:pStyle w:val="161"/>
              <w:spacing w:line="360" w:lineRule="auto"/>
              <w:ind w:firstLine="420"/>
              <w:jc w:val="both"/>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根据公司排污许可证及验收报告，现有工程主要装备及环保手续履行情况见表</w:t>
            </w:r>
            <w:r>
              <w:rPr>
                <w:rFonts w:hint="eastAsia" w:ascii="Times New Roman" w:hAnsi="Times New Roman" w:cs="Times New Roman"/>
                <w:color w:val="auto"/>
                <w:sz w:val="21"/>
                <w:szCs w:val="21"/>
                <w:highlight w:val="none"/>
                <w:lang w:val="en-US" w:eastAsia="zh-CN"/>
              </w:rPr>
              <w:t>2-9</w:t>
            </w:r>
            <w:r>
              <w:rPr>
                <w:rFonts w:hint="default" w:ascii="Times New Roman" w:hAnsi="Times New Roman" w:eastAsia="宋体" w:cs="Times New Roman"/>
                <w:color w:val="auto"/>
                <w:sz w:val="21"/>
                <w:szCs w:val="21"/>
                <w:highlight w:val="none"/>
                <w:lang w:val="en-US" w:eastAsia="zh-CN"/>
              </w:rPr>
              <w:t>。</w:t>
            </w:r>
          </w:p>
          <w:p w14:paraId="00B9AE41">
            <w:pPr>
              <w:pStyle w:val="21"/>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表</w:t>
            </w:r>
            <w:r>
              <w:rPr>
                <w:rFonts w:hint="eastAsia" w:cs="Times New Roman"/>
                <w:color w:val="auto"/>
                <w:sz w:val="21"/>
                <w:szCs w:val="21"/>
                <w:highlight w:val="none"/>
                <w:lang w:val="en-US" w:eastAsia="zh-CN"/>
              </w:rPr>
              <w:t>2-9</w:t>
            </w:r>
            <w:r>
              <w:rPr>
                <w:rFonts w:hint="default" w:ascii="Times New Roman" w:hAnsi="Times New Roman" w:cs="Times New Roman"/>
                <w:color w:val="auto"/>
                <w:sz w:val="21"/>
                <w:szCs w:val="21"/>
                <w:highlight w:val="none"/>
              </w:rPr>
              <w:t xml:space="preserve">    </w:t>
            </w:r>
            <w:r>
              <w:rPr>
                <w:rFonts w:hint="default" w:ascii="Times New Roman" w:hAnsi="Times New Roman" w:eastAsia="宋体" w:cs="Times New Roman"/>
                <w:color w:val="auto"/>
                <w:sz w:val="21"/>
                <w:szCs w:val="21"/>
                <w:highlight w:val="none"/>
                <w:lang w:val="en-US" w:eastAsia="zh-CN"/>
              </w:rPr>
              <w:t>现有工程主要装备及环保手续履行情况</w:t>
            </w:r>
          </w:p>
          <w:tbl>
            <w:tblPr>
              <w:tblStyle w:val="84"/>
              <w:tblW w:w="498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296"/>
              <w:gridCol w:w="408"/>
              <w:gridCol w:w="1661"/>
              <w:gridCol w:w="490"/>
              <w:gridCol w:w="700"/>
              <w:gridCol w:w="951"/>
              <w:gridCol w:w="682"/>
              <w:gridCol w:w="1142"/>
              <w:gridCol w:w="966"/>
              <w:gridCol w:w="652"/>
              <w:gridCol w:w="443"/>
            </w:tblGrid>
            <w:tr w14:paraId="30AF8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blHeader/>
              </w:trPr>
              <w:tc>
                <w:tcPr>
                  <w:tcW w:w="419" w:type="pct"/>
                  <w:gridSpan w:val="2"/>
                  <w:noWrap w:val="0"/>
                  <w:vAlign w:val="center"/>
                </w:tcPr>
                <w:p w14:paraId="57391B58">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工程内容</w:t>
                  </w:r>
                </w:p>
              </w:tc>
              <w:tc>
                <w:tcPr>
                  <w:tcW w:w="989" w:type="pct"/>
                  <w:noWrap w:val="0"/>
                  <w:vAlign w:val="center"/>
                </w:tcPr>
                <w:p w14:paraId="543BCEE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主要装备</w:t>
                  </w:r>
                </w:p>
              </w:tc>
              <w:tc>
                <w:tcPr>
                  <w:tcW w:w="292" w:type="pct"/>
                  <w:tcBorders>
                    <w:bottom w:val="single" w:color="auto" w:sz="4" w:space="0"/>
                  </w:tcBorders>
                  <w:noWrap w:val="0"/>
                  <w:vAlign w:val="center"/>
                </w:tcPr>
                <w:p w14:paraId="3EAC940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bidi="ar"/>
                    </w:rPr>
                    <w:t>数量</w:t>
                  </w:r>
                </w:p>
                <w:p w14:paraId="3BFFA19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bidi="ar"/>
                    </w:rPr>
                    <w:t>(台/套)</w:t>
                  </w:r>
                </w:p>
              </w:tc>
              <w:tc>
                <w:tcPr>
                  <w:tcW w:w="417" w:type="pct"/>
                  <w:tcBorders>
                    <w:bottom w:val="single" w:color="auto" w:sz="4" w:space="0"/>
                  </w:tcBorders>
                  <w:noWrap w:val="0"/>
                  <w:vAlign w:val="center"/>
                </w:tcPr>
                <w:p w14:paraId="2CD9124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bidi="ar"/>
                    </w:rPr>
                  </w:pPr>
                  <w:r>
                    <w:rPr>
                      <w:rFonts w:hint="default" w:ascii="Times New Roman" w:hAnsi="Times New Roman" w:eastAsia="宋体" w:cs="Times New Roman"/>
                      <w:color w:val="auto"/>
                      <w:sz w:val="21"/>
                      <w:szCs w:val="21"/>
                      <w:highlight w:val="none"/>
                      <w:lang w:bidi="ar"/>
                    </w:rPr>
                    <w:t>建设</w:t>
                  </w:r>
                </w:p>
                <w:p w14:paraId="349E262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bidi="ar"/>
                    </w:rPr>
                    <w:t>时间</w:t>
                  </w:r>
                </w:p>
              </w:tc>
              <w:tc>
                <w:tcPr>
                  <w:tcW w:w="566" w:type="pct"/>
                  <w:noWrap w:val="0"/>
                  <w:vAlign w:val="center"/>
                </w:tcPr>
                <w:p w14:paraId="6C958A4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环评手续</w:t>
                  </w:r>
                </w:p>
              </w:tc>
              <w:tc>
                <w:tcPr>
                  <w:tcW w:w="406" w:type="pct"/>
                  <w:noWrap w:val="0"/>
                  <w:vAlign w:val="center"/>
                </w:tcPr>
                <w:p w14:paraId="4A6437E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产品</w:t>
                  </w:r>
                </w:p>
              </w:tc>
              <w:tc>
                <w:tcPr>
                  <w:tcW w:w="680" w:type="pct"/>
                  <w:noWrap w:val="0"/>
                  <w:vAlign w:val="center"/>
                </w:tcPr>
                <w:p w14:paraId="2B7A0A8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bidi="ar"/>
                    </w:rPr>
                    <w:t>设计</w:t>
                  </w:r>
                  <w:r>
                    <w:rPr>
                      <w:rFonts w:hint="default" w:ascii="Times New Roman" w:hAnsi="Times New Roman" w:eastAsia="宋体" w:cs="Times New Roman"/>
                      <w:color w:val="auto"/>
                      <w:sz w:val="21"/>
                      <w:szCs w:val="21"/>
                      <w:highlight w:val="none"/>
                      <w:lang w:bidi="ar"/>
                    </w:rPr>
                    <w:t>产能(万t/a)</w:t>
                  </w:r>
                </w:p>
              </w:tc>
              <w:tc>
                <w:tcPr>
                  <w:tcW w:w="575" w:type="pct"/>
                  <w:noWrap w:val="0"/>
                  <w:vAlign w:val="center"/>
                </w:tcPr>
                <w:p w14:paraId="38BC077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基准年产量(t/a)</w:t>
                  </w:r>
                </w:p>
              </w:tc>
              <w:tc>
                <w:tcPr>
                  <w:tcW w:w="388" w:type="pct"/>
                  <w:noWrap w:val="0"/>
                  <w:vAlign w:val="center"/>
                </w:tcPr>
                <w:p w14:paraId="7412E42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bidi="ar"/>
                    </w:rPr>
                    <w:t>排污许可情况</w:t>
                  </w:r>
                </w:p>
              </w:tc>
              <w:tc>
                <w:tcPr>
                  <w:tcW w:w="264" w:type="pct"/>
                  <w:noWrap w:val="0"/>
                  <w:vAlign w:val="center"/>
                </w:tcPr>
                <w:p w14:paraId="0538732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bidi="ar"/>
                    </w:rPr>
                  </w:pPr>
                  <w:r>
                    <w:rPr>
                      <w:rFonts w:hint="default" w:ascii="Times New Roman" w:hAnsi="Times New Roman" w:eastAsia="宋体" w:cs="Times New Roman"/>
                      <w:color w:val="auto"/>
                      <w:w w:val="90"/>
                      <w:sz w:val="21"/>
                      <w:szCs w:val="21"/>
                      <w:highlight w:val="none"/>
                      <w:lang w:val="en-US" w:eastAsia="zh-CN" w:bidi="ar"/>
                    </w:rPr>
                    <w:t>生产工况</w:t>
                  </w:r>
                </w:p>
              </w:tc>
            </w:tr>
            <w:tr w14:paraId="0DA7D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restart"/>
                  <w:noWrap w:val="0"/>
                  <w:vAlign w:val="center"/>
                </w:tcPr>
                <w:p w14:paraId="0E6C9B27">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w:t>
                  </w:r>
                </w:p>
                <w:p w14:paraId="268A656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体</w:t>
                  </w:r>
                </w:p>
                <w:p w14:paraId="16D0174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w:t>
                  </w:r>
                </w:p>
                <w:p w14:paraId="1C242EC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程</w:t>
                  </w:r>
                </w:p>
              </w:tc>
              <w:tc>
                <w:tcPr>
                  <w:tcW w:w="242" w:type="pct"/>
                  <w:vMerge w:val="restart"/>
                  <w:noWrap w:val="0"/>
                  <w:vAlign w:val="center"/>
                </w:tcPr>
                <w:p w14:paraId="787C3FF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烧结</w:t>
                  </w:r>
                  <w:r>
                    <w:rPr>
                      <w:rFonts w:hint="default" w:ascii="Times New Roman" w:hAnsi="Times New Roman" w:eastAsia="宋体" w:cs="Times New Roman"/>
                      <w:color w:val="auto"/>
                      <w:sz w:val="21"/>
                      <w:szCs w:val="21"/>
                      <w:highlight w:val="none"/>
                      <w:lang w:val="en-US" w:eastAsia="zh-CN"/>
                    </w:rPr>
                    <w:t>工序</w:t>
                  </w:r>
                </w:p>
              </w:tc>
              <w:tc>
                <w:tcPr>
                  <w:tcW w:w="989" w:type="pct"/>
                  <w:noWrap w:val="0"/>
                  <w:vAlign w:val="center"/>
                </w:tcPr>
                <w:p w14:paraId="4849B74E">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198</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带式</w:t>
                  </w:r>
                </w:p>
                <w:p w14:paraId="1A425FB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烧结机</w:t>
                  </w:r>
                </w:p>
              </w:tc>
              <w:tc>
                <w:tcPr>
                  <w:tcW w:w="292" w:type="pct"/>
                  <w:noWrap w:val="0"/>
                  <w:vAlign w:val="center"/>
                </w:tcPr>
                <w:p w14:paraId="1E0543E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2DF401AC">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2003年</w:t>
                  </w:r>
                </w:p>
              </w:tc>
              <w:tc>
                <w:tcPr>
                  <w:tcW w:w="566" w:type="pct"/>
                  <w:noWrap w:val="0"/>
                  <w:vAlign w:val="center"/>
                </w:tcPr>
                <w:p w14:paraId="33A1514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5163BF62">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烧结矿</w:t>
                  </w:r>
                </w:p>
              </w:tc>
              <w:tc>
                <w:tcPr>
                  <w:tcW w:w="680" w:type="pct"/>
                  <w:noWrap w:val="0"/>
                  <w:vAlign w:val="center"/>
                </w:tcPr>
                <w:p w14:paraId="56B25AA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2</w:t>
                  </w:r>
                  <w:r>
                    <w:rPr>
                      <w:rFonts w:hint="default" w:ascii="Times New Roman" w:hAnsi="Times New Roman" w:eastAsia="宋体" w:cs="Times New Roman"/>
                      <w:color w:val="auto"/>
                      <w:sz w:val="21"/>
                      <w:szCs w:val="21"/>
                      <w:highlight w:val="none"/>
                      <w:lang w:val="en-US" w:eastAsia="zh-CN"/>
                    </w:rPr>
                    <w:t>0</w:t>
                  </w:r>
                </w:p>
              </w:tc>
              <w:tc>
                <w:tcPr>
                  <w:tcW w:w="575" w:type="pct"/>
                  <w:vMerge w:val="restart"/>
                  <w:noWrap w:val="0"/>
                  <w:vAlign w:val="center"/>
                </w:tcPr>
                <w:p w14:paraId="1C625EB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520</w:t>
                  </w:r>
                </w:p>
              </w:tc>
              <w:tc>
                <w:tcPr>
                  <w:tcW w:w="388" w:type="pct"/>
                  <w:noWrap w:val="0"/>
                  <w:vAlign w:val="center"/>
                </w:tcPr>
                <w:p w14:paraId="5607D03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454126D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0282B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36D225C2">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noWrap w:val="0"/>
                  <w:vAlign w:val="center"/>
                </w:tcPr>
                <w:p w14:paraId="081ECCC0">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noWrap w:val="0"/>
                  <w:vAlign w:val="center"/>
                </w:tcPr>
                <w:p w14:paraId="5FA67DBF">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300</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带式</w:t>
                  </w:r>
                </w:p>
                <w:p w14:paraId="6EF31262">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烧结机</w:t>
                  </w:r>
                </w:p>
              </w:tc>
              <w:tc>
                <w:tcPr>
                  <w:tcW w:w="292" w:type="pct"/>
                  <w:noWrap w:val="0"/>
                  <w:vAlign w:val="center"/>
                </w:tcPr>
                <w:p w14:paraId="45BD04B8">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27E750F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2011年</w:t>
                  </w:r>
                </w:p>
              </w:tc>
              <w:tc>
                <w:tcPr>
                  <w:tcW w:w="566" w:type="pct"/>
                  <w:noWrap w:val="0"/>
                  <w:vAlign w:val="center"/>
                </w:tcPr>
                <w:p w14:paraId="33E5C30E">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57812C4D">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烧结矿</w:t>
                  </w:r>
                </w:p>
              </w:tc>
              <w:tc>
                <w:tcPr>
                  <w:tcW w:w="680" w:type="pct"/>
                  <w:noWrap w:val="0"/>
                  <w:vAlign w:val="center"/>
                </w:tcPr>
                <w:p w14:paraId="3DB4E76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300</w:t>
                  </w:r>
                </w:p>
              </w:tc>
              <w:tc>
                <w:tcPr>
                  <w:tcW w:w="575" w:type="pct"/>
                  <w:vMerge w:val="continue"/>
                  <w:noWrap w:val="0"/>
                  <w:vAlign w:val="center"/>
                </w:tcPr>
                <w:p w14:paraId="7D759EF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388" w:type="pct"/>
                  <w:noWrap w:val="0"/>
                  <w:vAlign w:val="center"/>
                </w:tcPr>
                <w:p w14:paraId="20547DA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4BF2590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1BB10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72F2846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restart"/>
                  <w:noWrap w:val="0"/>
                  <w:vAlign w:val="center"/>
                </w:tcPr>
                <w:p w14:paraId="2FCE5BB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球团</w:t>
                  </w:r>
                  <w:r>
                    <w:rPr>
                      <w:rFonts w:hint="default" w:ascii="Times New Roman" w:hAnsi="Times New Roman" w:eastAsia="宋体" w:cs="Times New Roman"/>
                      <w:color w:val="auto"/>
                      <w:sz w:val="21"/>
                      <w:szCs w:val="21"/>
                      <w:highlight w:val="none"/>
                      <w:lang w:val="en-US" w:eastAsia="zh-CN"/>
                    </w:rPr>
                    <w:t>工序</w:t>
                  </w:r>
                </w:p>
              </w:tc>
              <w:tc>
                <w:tcPr>
                  <w:tcW w:w="989" w:type="pct"/>
                  <w:noWrap w:val="0"/>
                  <w:vAlign w:val="center"/>
                </w:tcPr>
                <w:p w14:paraId="18A87F8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10</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竖炉</w:t>
                  </w:r>
                </w:p>
              </w:tc>
              <w:tc>
                <w:tcPr>
                  <w:tcW w:w="292" w:type="pct"/>
                  <w:noWrap w:val="0"/>
                  <w:vAlign w:val="center"/>
                </w:tcPr>
                <w:p w14:paraId="7B23E47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64EC911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2009年</w:t>
                  </w:r>
                </w:p>
              </w:tc>
              <w:tc>
                <w:tcPr>
                  <w:tcW w:w="566" w:type="pct"/>
                  <w:noWrap w:val="0"/>
                  <w:vAlign w:val="center"/>
                </w:tcPr>
                <w:p w14:paraId="4A69C54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57558C5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烧结矿</w:t>
                  </w:r>
                </w:p>
              </w:tc>
              <w:tc>
                <w:tcPr>
                  <w:tcW w:w="680" w:type="pct"/>
                  <w:noWrap w:val="0"/>
                  <w:vAlign w:val="center"/>
                </w:tcPr>
                <w:p w14:paraId="6C66E90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rPr>
                    <w:t>0</w:t>
                  </w:r>
                </w:p>
              </w:tc>
              <w:tc>
                <w:tcPr>
                  <w:tcW w:w="575" w:type="pct"/>
                  <w:vMerge w:val="restart"/>
                  <w:noWrap w:val="0"/>
                  <w:vAlign w:val="center"/>
                </w:tcPr>
                <w:p w14:paraId="57FE4E2F">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120</w:t>
                  </w:r>
                </w:p>
              </w:tc>
              <w:tc>
                <w:tcPr>
                  <w:tcW w:w="388" w:type="pct"/>
                  <w:vMerge w:val="restart"/>
                  <w:noWrap w:val="0"/>
                  <w:vAlign w:val="center"/>
                </w:tcPr>
                <w:p w14:paraId="1283A410">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已纳入</w:t>
                  </w:r>
                </w:p>
              </w:tc>
              <w:tc>
                <w:tcPr>
                  <w:tcW w:w="264" w:type="pct"/>
                  <w:vMerge w:val="restart"/>
                  <w:noWrap w:val="0"/>
                  <w:vAlign w:val="center"/>
                </w:tcPr>
                <w:p w14:paraId="3DB0FF5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在产</w:t>
                  </w:r>
                </w:p>
              </w:tc>
            </w:tr>
            <w:tr w14:paraId="7C630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14AE127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noWrap w:val="0"/>
                  <w:vAlign w:val="center"/>
                </w:tcPr>
                <w:p w14:paraId="0C4894F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noWrap w:val="0"/>
                  <w:vAlign w:val="center"/>
                </w:tcPr>
                <w:p w14:paraId="1086F3BC">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10</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竖炉</w:t>
                  </w:r>
                </w:p>
              </w:tc>
              <w:tc>
                <w:tcPr>
                  <w:tcW w:w="292" w:type="pct"/>
                  <w:noWrap w:val="0"/>
                  <w:vAlign w:val="center"/>
                </w:tcPr>
                <w:p w14:paraId="6FEE601C">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446E8A6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2009年</w:t>
                  </w:r>
                </w:p>
              </w:tc>
              <w:tc>
                <w:tcPr>
                  <w:tcW w:w="566" w:type="pct"/>
                  <w:noWrap w:val="0"/>
                  <w:vAlign w:val="center"/>
                </w:tcPr>
                <w:p w14:paraId="6D6C4B50">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0A95845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烧结矿</w:t>
                  </w:r>
                </w:p>
              </w:tc>
              <w:tc>
                <w:tcPr>
                  <w:tcW w:w="680" w:type="pct"/>
                  <w:noWrap w:val="0"/>
                  <w:vAlign w:val="center"/>
                </w:tcPr>
                <w:p w14:paraId="44A40B6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rPr>
                    <w:t>0</w:t>
                  </w:r>
                </w:p>
              </w:tc>
              <w:tc>
                <w:tcPr>
                  <w:tcW w:w="575" w:type="pct"/>
                  <w:vMerge w:val="continue"/>
                  <w:noWrap w:val="0"/>
                  <w:vAlign w:val="center"/>
                </w:tcPr>
                <w:p w14:paraId="639A311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388" w:type="pct"/>
                  <w:vMerge w:val="continue"/>
                  <w:noWrap w:val="0"/>
                  <w:vAlign w:val="center"/>
                </w:tcPr>
                <w:p w14:paraId="36D20CF0">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64" w:type="pct"/>
                  <w:vMerge w:val="continue"/>
                  <w:noWrap w:val="0"/>
                  <w:vAlign w:val="center"/>
                </w:tcPr>
                <w:p w14:paraId="538CEFFC">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r>
            <w:tr w14:paraId="2A0AF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shd w:val="clear" w:color="auto" w:fill="auto"/>
                  <w:noWrap w:val="0"/>
                  <w:vAlign w:val="center"/>
                </w:tcPr>
                <w:p w14:paraId="554E8B8D">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restart"/>
                  <w:shd w:val="clear" w:color="auto" w:fill="auto"/>
                  <w:noWrap w:val="0"/>
                  <w:vAlign w:val="center"/>
                </w:tcPr>
                <w:p w14:paraId="1E00C4D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炼铁</w:t>
                  </w:r>
                  <w:r>
                    <w:rPr>
                      <w:rFonts w:hint="default" w:ascii="Times New Roman" w:hAnsi="Times New Roman" w:eastAsia="宋体" w:cs="Times New Roman"/>
                      <w:color w:val="auto"/>
                      <w:sz w:val="21"/>
                      <w:szCs w:val="21"/>
                      <w:highlight w:val="none"/>
                      <w:lang w:val="en-US" w:eastAsia="zh-CN"/>
                    </w:rPr>
                    <w:t>工序</w:t>
                  </w:r>
                </w:p>
              </w:tc>
              <w:tc>
                <w:tcPr>
                  <w:tcW w:w="989" w:type="pct"/>
                  <w:noWrap w:val="0"/>
                  <w:vAlign w:val="center"/>
                </w:tcPr>
                <w:p w14:paraId="4279D67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rPr>
                    <w:t>1080m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高炉</w:t>
                  </w:r>
                </w:p>
              </w:tc>
              <w:tc>
                <w:tcPr>
                  <w:tcW w:w="292" w:type="pct"/>
                  <w:noWrap w:val="0"/>
                  <w:vAlign w:val="center"/>
                </w:tcPr>
                <w:p w14:paraId="205245E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7A4DFDAF">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2004年</w:t>
                  </w:r>
                </w:p>
              </w:tc>
              <w:tc>
                <w:tcPr>
                  <w:tcW w:w="566" w:type="pct"/>
                  <w:noWrap w:val="0"/>
                  <w:vAlign w:val="center"/>
                </w:tcPr>
                <w:p w14:paraId="53760E1D">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773C155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铁水</w:t>
                  </w:r>
                </w:p>
              </w:tc>
              <w:tc>
                <w:tcPr>
                  <w:tcW w:w="680" w:type="pct"/>
                  <w:noWrap w:val="0"/>
                  <w:vAlign w:val="center"/>
                </w:tcPr>
                <w:p w14:paraId="1392EC92">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91</w:t>
                  </w:r>
                </w:p>
              </w:tc>
              <w:tc>
                <w:tcPr>
                  <w:tcW w:w="575" w:type="pct"/>
                  <w:vMerge w:val="restart"/>
                  <w:noWrap w:val="0"/>
                  <w:vAlign w:val="center"/>
                </w:tcPr>
                <w:p w14:paraId="04EB7FA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180</w:t>
                  </w:r>
                </w:p>
              </w:tc>
              <w:tc>
                <w:tcPr>
                  <w:tcW w:w="388" w:type="pct"/>
                  <w:noWrap w:val="0"/>
                  <w:vAlign w:val="center"/>
                </w:tcPr>
                <w:p w14:paraId="378317C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143D7C9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09686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25BD13F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noWrap w:val="0"/>
                  <w:vAlign w:val="center"/>
                </w:tcPr>
                <w:p w14:paraId="2E37F022">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noWrap w:val="0"/>
                  <w:vAlign w:val="center"/>
                </w:tcPr>
                <w:p w14:paraId="0470CAB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rPr>
                    <w:t>1080m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高炉</w:t>
                  </w:r>
                </w:p>
              </w:tc>
              <w:tc>
                <w:tcPr>
                  <w:tcW w:w="292" w:type="pct"/>
                  <w:noWrap w:val="0"/>
                  <w:vAlign w:val="center"/>
                </w:tcPr>
                <w:p w14:paraId="7B38C30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52B745C7">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2004年</w:t>
                  </w:r>
                </w:p>
              </w:tc>
              <w:tc>
                <w:tcPr>
                  <w:tcW w:w="566" w:type="pct"/>
                  <w:noWrap w:val="0"/>
                  <w:vAlign w:val="center"/>
                </w:tcPr>
                <w:p w14:paraId="5600AB8E">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22253D8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铁水</w:t>
                  </w:r>
                </w:p>
              </w:tc>
              <w:tc>
                <w:tcPr>
                  <w:tcW w:w="680" w:type="pct"/>
                  <w:noWrap w:val="0"/>
                  <w:vAlign w:val="center"/>
                </w:tcPr>
                <w:p w14:paraId="05CDF49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91</w:t>
                  </w:r>
                </w:p>
              </w:tc>
              <w:tc>
                <w:tcPr>
                  <w:tcW w:w="575" w:type="pct"/>
                  <w:vMerge w:val="continue"/>
                  <w:noWrap w:val="0"/>
                  <w:vAlign w:val="center"/>
                </w:tcPr>
                <w:p w14:paraId="1C4DB15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388" w:type="pct"/>
                  <w:noWrap w:val="0"/>
                  <w:vAlign w:val="center"/>
                </w:tcPr>
                <w:p w14:paraId="1DA84DD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2344634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22833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52B883F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restart"/>
                  <w:noWrap w:val="0"/>
                  <w:vAlign w:val="center"/>
                </w:tcPr>
                <w:p w14:paraId="3310259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炼钢</w:t>
                  </w:r>
                  <w:r>
                    <w:rPr>
                      <w:rFonts w:hint="default" w:ascii="Times New Roman" w:hAnsi="Times New Roman" w:eastAsia="宋体" w:cs="Times New Roman"/>
                      <w:color w:val="auto"/>
                      <w:sz w:val="21"/>
                      <w:szCs w:val="21"/>
                      <w:highlight w:val="none"/>
                      <w:lang w:val="en-US" w:eastAsia="zh-CN"/>
                    </w:rPr>
                    <w:t>工序</w:t>
                  </w:r>
                </w:p>
              </w:tc>
              <w:tc>
                <w:tcPr>
                  <w:tcW w:w="989" w:type="pct"/>
                  <w:noWrap w:val="0"/>
                  <w:vAlign w:val="center"/>
                </w:tcPr>
                <w:p w14:paraId="6CE7FD1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2#100t转炉</w:t>
                  </w:r>
                </w:p>
              </w:tc>
              <w:tc>
                <w:tcPr>
                  <w:tcW w:w="292" w:type="pct"/>
                  <w:noWrap w:val="0"/>
                  <w:vAlign w:val="center"/>
                </w:tcPr>
                <w:p w14:paraId="4A4C987E">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0674D38D">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2004年</w:t>
                  </w:r>
                </w:p>
              </w:tc>
              <w:tc>
                <w:tcPr>
                  <w:tcW w:w="566" w:type="pct"/>
                  <w:noWrap w:val="0"/>
                  <w:vAlign w:val="center"/>
                </w:tcPr>
                <w:p w14:paraId="26D57632">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243EE4DD">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粗钢</w:t>
                  </w:r>
                </w:p>
              </w:tc>
              <w:tc>
                <w:tcPr>
                  <w:tcW w:w="680" w:type="pct"/>
                  <w:noWrap w:val="0"/>
                  <w:vAlign w:val="center"/>
                </w:tcPr>
                <w:p w14:paraId="42CC1EF8">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00</w:t>
                  </w:r>
                </w:p>
              </w:tc>
              <w:tc>
                <w:tcPr>
                  <w:tcW w:w="575" w:type="pct"/>
                  <w:vMerge w:val="restart"/>
                  <w:noWrap w:val="0"/>
                  <w:vAlign w:val="center"/>
                </w:tcPr>
                <w:p w14:paraId="6B189CB3">
                  <w:pPr>
                    <w:keepNext w:val="0"/>
                    <w:keepLines w:val="0"/>
                    <w:pageBreakBefore w:val="0"/>
                    <w:widowControl w:val="0"/>
                    <w:suppressLineNumbers w:val="0"/>
                    <w:tabs>
                      <w:tab w:val="left" w:pos="244"/>
                    </w:tabs>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340</w:t>
                  </w:r>
                </w:p>
              </w:tc>
              <w:tc>
                <w:tcPr>
                  <w:tcW w:w="388" w:type="pct"/>
                  <w:noWrap w:val="0"/>
                  <w:vAlign w:val="center"/>
                </w:tcPr>
                <w:p w14:paraId="600A6465">
                  <w:pPr>
                    <w:keepNext w:val="0"/>
                    <w:keepLines w:val="0"/>
                    <w:pageBreakBefore w:val="0"/>
                    <w:widowControl w:val="0"/>
                    <w:suppressLineNumbers w:val="0"/>
                    <w:tabs>
                      <w:tab w:val="left" w:pos="244"/>
                    </w:tabs>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6F66E876">
                  <w:pPr>
                    <w:keepNext w:val="0"/>
                    <w:keepLines w:val="0"/>
                    <w:pageBreakBefore w:val="0"/>
                    <w:widowControl w:val="0"/>
                    <w:suppressLineNumbers w:val="0"/>
                    <w:tabs>
                      <w:tab w:val="left" w:pos="244"/>
                    </w:tabs>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254E3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0355949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noWrap w:val="0"/>
                  <w:vAlign w:val="center"/>
                </w:tcPr>
                <w:p w14:paraId="68B206D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noWrap w:val="0"/>
                  <w:vAlign w:val="center"/>
                </w:tcPr>
                <w:p w14:paraId="2D725177">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120t转炉</w:t>
                  </w:r>
                </w:p>
              </w:tc>
              <w:tc>
                <w:tcPr>
                  <w:tcW w:w="292" w:type="pct"/>
                  <w:noWrap w:val="0"/>
                  <w:vAlign w:val="center"/>
                </w:tcPr>
                <w:p w14:paraId="6EABC388">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6209DA9C">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2010年</w:t>
                  </w:r>
                </w:p>
              </w:tc>
              <w:tc>
                <w:tcPr>
                  <w:tcW w:w="566" w:type="pct"/>
                  <w:noWrap w:val="0"/>
                  <w:vAlign w:val="center"/>
                </w:tcPr>
                <w:p w14:paraId="6CEAE74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1A50BFF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粗钢</w:t>
                  </w:r>
                </w:p>
              </w:tc>
              <w:tc>
                <w:tcPr>
                  <w:tcW w:w="680" w:type="pct"/>
                  <w:noWrap w:val="0"/>
                  <w:vAlign w:val="center"/>
                </w:tcPr>
                <w:p w14:paraId="0AF3902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120</w:t>
                  </w:r>
                </w:p>
              </w:tc>
              <w:tc>
                <w:tcPr>
                  <w:tcW w:w="575" w:type="pct"/>
                  <w:vMerge w:val="continue"/>
                  <w:noWrap w:val="0"/>
                  <w:vAlign w:val="center"/>
                </w:tcPr>
                <w:p w14:paraId="7EDBAB7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388" w:type="pct"/>
                  <w:noWrap w:val="0"/>
                  <w:vAlign w:val="center"/>
                </w:tcPr>
                <w:p w14:paraId="0DAE326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276A5D8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2FE0C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05E281B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noWrap w:val="0"/>
                  <w:vAlign w:val="center"/>
                </w:tcPr>
                <w:p w14:paraId="49B37A8C">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noWrap w:val="0"/>
                  <w:vAlign w:val="center"/>
                </w:tcPr>
                <w:p w14:paraId="68FF5C5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2#1</w:t>
                  </w:r>
                  <w:r>
                    <w:rPr>
                      <w:rFonts w:hint="default" w:ascii="Times New Roman" w:hAnsi="Times New Roman" w:eastAsia="宋体" w:cs="Times New Roman"/>
                      <w:color w:val="auto"/>
                      <w:sz w:val="21"/>
                      <w:szCs w:val="21"/>
                      <w:highlight w:val="none"/>
                    </w:rPr>
                    <w:t>20t转炉</w:t>
                  </w:r>
                </w:p>
              </w:tc>
              <w:tc>
                <w:tcPr>
                  <w:tcW w:w="292" w:type="pct"/>
                  <w:noWrap w:val="0"/>
                  <w:vAlign w:val="center"/>
                </w:tcPr>
                <w:p w14:paraId="7DAD076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4F19E2B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2011年</w:t>
                  </w:r>
                </w:p>
              </w:tc>
              <w:tc>
                <w:tcPr>
                  <w:tcW w:w="566" w:type="pct"/>
                  <w:noWrap w:val="0"/>
                  <w:vAlign w:val="center"/>
                </w:tcPr>
                <w:p w14:paraId="0D3443D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3F7B84F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粗钢</w:t>
                  </w:r>
                </w:p>
              </w:tc>
              <w:tc>
                <w:tcPr>
                  <w:tcW w:w="680" w:type="pct"/>
                  <w:noWrap w:val="0"/>
                  <w:vAlign w:val="center"/>
                </w:tcPr>
                <w:p w14:paraId="3971A6C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120</w:t>
                  </w:r>
                </w:p>
              </w:tc>
              <w:tc>
                <w:tcPr>
                  <w:tcW w:w="575" w:type="pct"/>
                  <w:vMerge w:val="continue"/>
                  <w:noWrap w:val="0"/>
                  <w:vAlign w:val="center"/>
                </w:tcPr>
                <w:p w14:paraId="348513C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388" w:type="pct"/>
                  <w:noWrap w:val="0"/>
                  <w:vAlign w:val="center"/>
                </w:tcPr>
                <w:p w14:paraId="2E266AD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2FC6064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2F3B6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155438C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noWrap w:val="0"/>
                  <w:vAlign w:val="center"/>
                </w:tcPr>
                <w:p w14:paraId="1F32CB38">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石灰</w:t>
                  </w:r>
                  <w:r>
                    <w:rPr>
                      <w:rFonts w:hint="default" w:ascii="Times New Roman" w:hAnsi="Times New Roman" w:eastAsia="宋体" w:cs="Times New Roman"/>
                      <w:color w:val="auto"/>
                      <w:sz w:val="21"/>
                      <w:szCs w:val="21"/>
                      <w:highlight w:val="none"/>
                      <w:lang w:val="en-US" w:eastAsia="zh-CN"/>
                    </w:rPr>
                    <w:t>工序</w:t>
                  </w:r>
                </w:p>
              </w:tc>
              <w:tc>
                <w:tcPr>
                  <w:tcW w:w="989" w:type="pct"/>
                  <w:noWrap w:val="0"/>
                  <w:vAlign w:val="center"/>
                </w:tcPr>
                <w:p w14:paraId="43F248A1">
                  <w:pPr>
                    <w:keepNext w:val="0"/>
                    <w:keepLines w:val="0"/>
                    <w:pageBreakBefore w:val="0"/>
                    <w:widowControl/>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lang w:val="en-US" w:eastAsia="zh-CN"/>
                    </w:rPr>
                    <w:t>3-5#</w:t>
                  </w:r>
                  <w:r>
                    <w:rPr>
                      <w:rFonts w:hint="default" w:ascii="Times New Roman" w:hAnsi="Times New Roman" w:eastAsia="宋体" w:cs="Times New Roman"/>
                      <w:color w:val="auto"/>
                      <w:kern w:val="0"/>
                      <w:sz w:val="21"/>
                      <w:szCs w:val="21"/>
                      <w:highlight w:val="none"/>
                    </w:rPr>
                    <w:t>480m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vertAlign w:val="baseline"/>
                      <w:lang w:val="en-US" w:eastAsia="zh-CN"/>
                    </w:rPr>
                    <w:t>石灰窑</w:t>
                  </w:r>
                </w:p>
              </w:tc>
              <w:tc>
                <w:tcPr>
                  <w:tcW w:w="292" w:type="pct"/>
                  <w:noWrap w:val="0"/>
                  <w:vAlign w:val="center"/>
                </w:tcPr>
                <w:p w14:paraId="7C3EDA7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417" w:type="pct"/>
                  <w:noWrap w:val="0"/>
                  <w:vAlign w:val="center"/>
                </w:tcPr>
                <w:p w14:paraId="52E32EC7">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2009年</w:t>
                  </w:r>
                </w:p>
              </w:tc>
              <w:tc>
                <w:tcPr>
                  <w:tcW w:w="566" w:type="pct"/>
                  <w:noWrap w:val="0"/>
                  <w:vAlign w:val="center"/>
                </w:tcPr>
                <w:p w14:paraId="088C3B0B">
                  <w:pPr>
                    <w:keepNext w:val="0"/>
                    <w:keepLines w:val="0"/>
                    <w:pageBreakBefore w:val="0"/>
                    <w:widowControl/>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noWrap w:val="0"/>
                  <w:vAlign w:val="center"/>
                </w:tcPr>
                <w:p w14:paraId="09C45502">
                  <w:pPr>
                    <w:keepNext w:val="0"/>
                    <w:keepLines w:val="0"/>
                    <w:pageBreakBefore w:val="0"/>
                    <w:widowControl/>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lang w:val="en-US" w:eastAsia="zh-CN"/>
                    </w:rPr>
                    <w:t>活性白灰</w:t>
                  </w:r>
                </w:p>
              </w:tc>
              <w:tc>
                <w:tcPr>
                  <w:tcW w:w="680" w:type="pct"/>
                  <w:noWrap w:val="0"/>
                  <w:vAlign w:val="center"/>
                </w:tcPr>
                <w:p w14:paraId="42883E8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rPr>
                    <w:t>3</w:t>
                  </w:r>
                  <w:r>
                    <w:rPr>
                      <w:rFonts w:hint="default" w:ascii="Times New Roman" w:hAnsi="Times New Roman" w:eastAsia="宋体" w:cs="Times New Roman"/>
                      <w:color w:val="auto"/>
                      <w:kern w:val="0"/>
                      <w:sz w:val="21"/>
                      <w:szCs w:val="21"/>
                      <w:highlight w:val="none"/>
                    </w:rPr>
                    <w:t>0</w:t>
                  </w:r>
                </w:p>
              </w:tc>
              <w:tc>
                <w:tcPr>
                  <w:tcW w:w="575" w:type="pct"/>
                  <w:noWrap w:val="0"/>
                  <w:vAlign w:val="center"/>
                </w:tcPr>
                <w:p w14:paraId="23DD100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388" w:type="pct"/>
                  <w:noWrap w:val="0"/>
                  <w:vAlign w:val="center"/>
                </w:tcPr>
                <w:p w14:paraId="785FE90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5B79C51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24450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shd w:val="clear" w:color="auto" w:fill="auto"/>
                  <w:noWrap w:val="0"/>
                  <w:vAlign w:val="center"/>
                </w:tcPr>
                <w:p w14:paraId="73A85F30">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shd w:val="clear" w:color="auto" w:fill="auto"/>
                  <w:noWrap w:val="0"/>
                  <w:vAlign w:val="center"/>
                </w:tcPr>
                <w:p w14:paraId="6966AA17">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轧钢</w:t>
                  </w:r>
                  <w:r>
                    <w:rPr>
                      <w:rFonts w:hint="default" w:ascii="Times New Roman" w:hAnsi="Times New Roman" w:eastAsia="宋体" w:cs="Times New Roman"/>
                      <w:color w:val="auto"/>
                      <w:sz w:val="21"/>
                      <w:szCs w:val="21"/>
                      <w:highlight w:val="none"/>
                      <w:lang w:val="en-US" w:eastAsia="zh-CN"/>
                    </w:rPr>
                    <w:t>工序</w:t>
                  </w:r>
                </w:p>
              </w:tc>
              <w:tc>
                <w:tcPr>
                  <w:tcW w:w="989" w:type="pct"/>
                  <w:shd w:val="clear" w:color="auto" w:fill="auto"/>
                  <w:noWrap w:val="0"/>
                  <w:vAlign w:val="center"/>
                </w:tcPr>
                <w:p w14:paraId="5668959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850mm中宽带</w:t>
                  </w:r>
                </w:p>
              </w:tc>
              <w:tc>
                <w:tcPr>
                  <w:tcW w:w="292" w:type="pct"/>
                  <w:shd w:val="clear" w:color="auto" w:fill="auto"/>
                  <w:noWrap w:val="0"/>
                  <w:vAlign w:val="center"/>
                </w:tcPr>
                <w:p w14:paraId="4ED32BB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417" w:type="pct"/>
                  <w:shd w:val="clear" w:color="auto" w:fill="auto"/>
                  <w:noWrap w:val="0"/>
                  <w:vAlign w:val="center"/>
                </w:tcPr>
                <w:p w14:paraId="0E2E587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2005年</w:t>
                  </w:r>
                </w:p>
              </w:tc>
              <w:tc>
                <w:tcPr>
                  <w:tcW w:w="566" w:type="pct"/>
                  <w:shd w:val="clear" w:color="auto" w:fill="auto"/>
                  <w:noWrap w:val="0"/>
                  <w:vAlign w:val="center"/>
                </w:tcPr>
                <w:p w14:paraId="421943A0">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406" w:type="pct"/>
                  <w:shd w:val="clear" w:color="auto" w:fill="auto"/>
                  <w:noWrap w:val="0"/>
                  <w:vAlign w:val="center"/>
                </w:tcPr>
                <w:p w14:paraId="7DF842CD">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热轧钢材</w:t>
                  </w:r>
                </w:p>
              </w:tc>
              <w:tc>
                <w:tcPr>
                  <w:tcW w:w="680" w:type="pct"/>
                  <w:shd w:val="clear" w:color="auto" w:fill="auto"/>
                  <w:noWrap w:val="0"/>
                  <w:vAlign w:val="center"/>
                </w:tcPr>
                <w:p w14:paraId="1940909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80</w:t>
                  </w:r>
                </w:p>
              </w:tc>
              <w:tc>
                <w:tcPr>
                  <w:tcW w:w="575" w:type="pct"/>
                  <w:shd w:val="clear" w:color="auto" w:fill="auto"/>
                  <w:noWrap w:val="0"/>
                  <w:vAlign w:val="center"/>
                </w:tcPr>
                <w:p w14:paraId="4661DA1F">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80</w:t>
                  </w:r>
                </w:p>
              </w:tc>
              <w:tc>
                <w:tcPr>
                  <w:tcW w:w="388" w:type="pct"/>
                  <w:shd w:val="clear" w:color="auto" w:fill="auto"/>
                  <w:noWrap w:val="0"/>
                  <w:vAlign w:val="center"/>
                </w:tcPr>
                <w:p w14:paraId="2DD8740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已纳入</w:t>
                  </w:r>
                </w:p>
              </w:tc>
              <w:tc>
                <w:tcPr>
                  <w:tcW w:w="264" w:type="pct"/>
                  <w:shd w:val="clear" w:color="auto" w:fill="auto"/>
                  <w:noWrap w:val="0"/>
                  <w:vAlign w:val="center"/>
                </w:tcPr>
                <w:p w14:paraId="0343EF3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082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shd w:val="clear" w:color="auto" w:fill="auto"/>
                  <w:noWrap w:val="0"/>
                  <w:vAlign w:val="center"/>
                </w:tcPr>
                <w:p w14:paraId="1175AB27">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restart"/>
                  <w:shd w:val="clear" w:color="auto" w:fill="auto"/>
                  <w:noWrap w:val="0"/>
                  <w:vAlign w:val="center"/>
                </w:tcPr>
                <w:p w14:paraId="540D1E0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动力</w:t>
                  </w:r>
                  <w:r>
                    <w:rPr>
                      <w:rFonts w:hint="default" w:ascii="Times New Roman" w:hAnsi="Times New Roman" w:eastAsia="宋体" w:cs="Times New Roman"/>
                      <w:color w:val="auto"/>
                      <w:sz w:val="21"/>
                      <w:szCs w:val="21"/>
                      <w:highlight w:val="none"/>
                      <w:lang w:val="en-US" w:eastAsia="zh-CN"/>
                    </w:rPr>
                    <w:t>工序</w:t>
                  </w:r>
                </w:p>
              </w:tc>
              <w:tc>
                <w:tcPr>
                  <w:tcW w:w="989" w:type="pct"/>
                  <w:shd w:val="clear" w:color="auto" w:fill="auto"/>
                  <w:noWrap w:val="0"/>
                  <w:vAlign w:val="center"/>
                </w:tcPr>
                <w:p w14:paraId="782D405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2×8MW高炉TRT发电机组</w:t>
                  </w:r>
                </w:p>
              </w:tc>
              <w:tc>
                <w:tcPr>
                  <w:tcW w:w="292" w:type="pct"/>
                  <w:shd w:val="clear" w:color="auto" w:fill="auto"/>
                  <w:noWrap w:val="0"/>
                  <w:vAlign w:val="center"/>
                </w:tcPr>
                <w:p w14:paraId="1F51A03D">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417" w:type="pct"/>
                  <w:shd w:val="clear" w:color="auto" w:fill="auto"/>
                  <w:noWrap w:val="0"/>
                  <w:vAlign w:val="center"/>
                </w:tcPr>
                <w:p w14:paraId="5B348A2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2014年</w:t>
                  </w:r>
                </w:p>
              </w:tc>
              <w:tc>
                <w:tcPr>
                  <w:tcW w:w="566" w:type="pct"/>
                  <w:shd w:val="clear" w:color="auto" w:fill="auto"/>
                  <w:noWrap w:val="0"/>
                  <w:vAlign w:val="center"/>
                </w:tcPr>
                <w:p w14:paraId="4C53876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现状评估</w:t>
                  </w:r>
                </w:p>
              </w:tc>
              <w:tc>
                <w:tcPr>
                  <w:tcW w:w="406" w:type="pct"/>
                  <w:shd w:val="clear" w:color="auto" w:fill="auto"/>
                  <w:noWrap w:val="0"/>
                  <w:vAlign w:val="center"/>
                </w:tcPr>
                <w:p w14:paraId="1D778D4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电力</w:t>
                  </w:r>
                </w:p>
              </w:tc>
              <w:tc>
                <w:tcPr>
                  <w:tcW w:w="680" w:type="pct"/>
                  <w:shd w:val="clear" w:color="auto" w:fill="auto"/>
                  <w:noWrap w:val="0"/>
                  <w:vAlign w:val="center"/>
                </w:tcPr>
                <w:p w14:paraId="0A4D60C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2×8MW</w:t>
                  </w:r>
                </w:p>
              </w:tc>
              <w:tc>
                <w:tcPr>
                  <w:tcW w:w="575" w:type="pct"/>
                  <w:shd w:val="clear" w:color="auto" w:fill="auto"/>
                  <w:noWrap w:val="0"/>
                  <w:vAlign w:val="center"/>
                </w:tcPr>
                <w:p w14:paraId="5E583647">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16</w:t>
                  </w:r>
                  <w:r>
                    <w:rPr>
                      <w:rFonts w:hint="default" w:ascii="Times New Roman" w:hAnsi="Times New Roman" w:eastAsia="宋体" w:cs="Times New Roman"/>
                      <w:color w:val="auto"/>
                      <w:sz w:val="21"/>
                      <w:szCs w:val="21"/>
                      <w:highlight w:val="none"/>
                    </w:rPr>
                    <w:t>MW</w:t>
                  </w:r>
                </w:p>
              </w:tc>
              <w:tc>
                <w:tcPr>
                  <w:tcW w:w="388" w:type="pct"/>
                  <w:shd w:val="clear" w:color="auto" w:fill="auto"/>
                  <w:noWrap w:val="0"/>
                  <w:vAlign w:val="center"/>
                </w:tcPr>
                <w:p w14:paraId="4F864E9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已纳入</w:t>
                  </w:r>
                </w:p>
              </w:tc>
              <w:tc>
                <w:tcPr>
                  <w:tcW w:w="264" w:type="pct"/>
                  <w:shd w:val="clear" w:color="auto" w:fill="auto"/>
                  <w:noWrap w:val="0"/>
                  <w:vAlign w:val="center"/>
                </w:tcPr>
                <w:p w14:paraId="6046BBB8">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136F6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shd w:val="clear" w:color="auto" w:fill="auto"/>
                  <w:noWrap w:val="0"/>
                  <w:vAlign w:val="center"/>
                </w:tcPr>
                <w:p w14:paraId="320C88C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shd w:val="clear" w:color="auto" w:fill="auto"/>
                  <w:noWrap w:val="0"/>
                  <w:vAlign w:val="center"/>
                </w:tcPr>
                <w:p w14:paraId="1D65349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shd w:val="clear" w:color="auto" w:fill="auto"/>
                  <w:noWrap w:val="0"/>
                  <w:vAlign w:val="center"/>
                </w:tcPr>
                <w:p w14:paraId="4B79EBF9">
                  <w:pPr>
                    <w:keepNext w:val="0"/>
                    <w:keepLines w:val="0"/>
                    <w:pageBreakBefore w:val="0"/>
                    <w:widowControl/>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rPr>
                    <w:t>22MW烧结余热发电机组</w:t>
                  </w:r>
                </w:p>
              </w:tc>
              <w:tc>
                <w:tcPr>
                  <w:tcW w:w="292" w:type="pct"/>
                  <w:shd w:val="clear" w:color="auto" w:fill="auto"/>
                  <w:noWrap w:val="0"/>
                  <w:vAlign w:val="center"/>
                </w:tcPr>
                <w:p w14:paraId="72532BA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417" w:type="pct"/>
                  <w:shd w:val="clear" w:color="auto" w:fill="auto"/>
                  <w:noWrap w:val="0"/>
                  <w:vAlign w:val="center"/>
                </w:tcPr>
                <w:p w14:paraId="0758DA4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2018年</w:t>
                  </w:r>
                </w:p>
              </w:tc>
              <w:tc>
                <w:tcPr>
                  <w:tcW w:w="566" w:type="pct"/>
                  <w:shd w:val="clear" w:color="auto" w:fill="auto"/>
                  <w:noWrap w:val="0"/>
                  <w:vAlign w:val="center"/>
                </w:tcPr>
                <w:p w14:paraId="41CF941D">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06" w:type="pct"/>
                  <w:shd w:val="clear" w:color="auto" w:fill="auto"/>
                  <w:noWrap w:val="0"/>
                  <w:vAlign w:val="center"/>
                </w:tcPr>
                <w:p w14:paraId="64BBAA8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电力</w:t>
                  </w:r>
                </w:p>
              </w:tc>
              <w:tc>
                <w:tcPr>
                  <w:tcW w:w="680" w:type="pct"/>
                  <w:shd w:val="clear" w:color="auto" w:fill="auto"/>
                  <w:noWrap w:val="0"/>
                  <w:vAlign w:val="center"/>
                </w:tcPr>
                <w:p w14:paraId="4BADBE26">
                  <w:pPr>
                    <w:keepNext w:val="0"/>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22MW</w:t>
                  </w:r>
                </w:p>
              </w:tc>
              <w:tc>
                <w:tcPr>
                  <w:tcW w:w="575" w:type="pct"/>
                  <w:shd w:val="clear" w:color="auto" w:fill="auto"/>
                  <w:noWrap w:val="0"/>
                  <w:vAlign w:val="center"/>
                </w:tcPr>
                <w:p w14:paraId="0F604C88">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22MW</w:t>
                  </w:r>
                </w:p>
              </w:tc>
              <w:tc>
                <w:tcPr>
                  <w:tcW w:w="388" w:type="pct"/>
                  <w:shd w:val="clear" w:color="auto" w:fill="auto"/>
                  <w:noWrap w:val="0"/>
                  <w:vAlign w:val="center"/>
                </w:tcPr>
                <w:p w14:paraId="1837EA6C">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已纳入</w:t>
                  </w:r>
                </w:p>
              </w:tc>
              <w:tc>
                <w:tcPr>
                  <w:tcW w:w="264" w:type="pct"/>
                  <w:shd w:val="clear" w:color="auto" w:fill="auto"/>
                  <w:noWrap w:val="0"/>
                  <w:vAlign w:val="center"/>
                </w:tcPr>
                <w:p w14:paraId="25C98E1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4A32A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shd w:val="clear" w:color="auto" w:fill="auto"/>
                  <w:noWrap w:val="0"/>
                  <w:vAlign w:val="center"/>
                </w:tcPr>
                <w:p w14:paraId="4E89AD3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shd w:val="clear" w:color="auto" w:fill="auto"/>
                  <w:noWrap w:val="0"/>
                  <w:vAlign w:val="center"/>
                </w:tcPr>
                <w:p w14:paraId="4EED299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shd w:val="clear" w:color="auto" w:fill="auto"/>
                  <w:noWrap w:val="0"/>
                  <w:vAlign w:val="center"/>
                </w:tcPr>
                <w:p w14:paraId="6886080B">
                  <w:pPr>
                    <w:keepNext w:val="0"/>
                    <w:keepLines w:val="0"/>
                    <w:pageBreakBefore w:val="0"/>
                    <w:widowControl/>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rPr>
                    <w:t>2</w:t>
                  </w:r>
                  <w:r>
                    <w:rPr>
                      <w:rFonts w:hint="default" w:ascii="Times New Roman" w:hAnsi="Times New Roman" w:eastAsia="宋体" w:cs="Times New Roman"/>
                      <w:bCs/>
                      <w:color w:val="auto"/>
                      <w:spacing w:val="-8"/>
                      <w:sz w:val="21"/>
                      <w:szCs w:val="21"/>
                      <w:highlight w:val="none"/>
                    </w:rPr>
                    <w:t>×</w:t>
                  </w:r>
                  <w:r>
                    <w:rPr>
                      <w:rFonts w:hint="default" w:ascii="Times New Roman" w:hAnsi="Times New Roman" w:eastAsia="宋体" w:cs="Times New Roman"/>
                      <w:bCs/>
                      <w:color w:val="auto"/>
                      <w:spacing w:val="-8"/>
                      <w:sz w:val="21"/>
                      <w:szCs w:val="21"/>
                      <w:highlight w:val="none"/>
                      <w:lang w:val="en-US" w:eastAsia="zh-CN"/>
                    </w:rPr>
                    <w:t>50MW双超发电</w:t>
                  </w:r>
                </w:p>
              </w:tc>
              <w:tc>
                <w:tcPr>
                  <w:tcW w:w="292" w:type="pct"/>
                  <w:shd w:val="clear" w:color="auto" w:fill="auto"/>
                  <w:noWrap w:val="0"/>
                  <w:vAlign w:val="center"/>
                </w:tcPr>
                <w:p w14:paraId="6C422F42">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17" w:type="pct"/>
                  <w:shd w:val="clear" w:color="auto" w:fill="auto"/>
                  <w:noWrap w:val="0"/>
                  <w:vAlign w:val="center"/>
                </w:tcPr>
                <w:p w14:paraId="0BE145E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2018年</w:t>
                  </w:r>
                </w:p>
              </w:tc>
              <w:tc>
                <w:tcPr>
                  <w:tcW w:w="566" w:type="pct"/>
                  <w:shd w:val="clear" w:color="auto" w:fill="auto"/>
                  <w:noWrap w:val="0"/>
                  <w:vAlign w:val="center"/>
                </w:tcPr>
                <w:p w14:paraId="1389921A">
                  <w:pPr>
                    <w:keepNext w:val="0"/>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迁环表[2018]75号</w:t>
                  </w:r>
                </w:p>
              </w:tc>
              <w:tc>
                <w:tcPr>
                  <w:tcW w:w="406" w:type="pct"/>
                  <w:shd w:val="clear" w:color="auto" w:fill="auto"/>
                  <w:noWrap w:val="0"/>
                  <w:vAlign w:val="center"/>
                </w:tcPr>
                <w:p w14:paraId="371AE57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电力</w:t>
                  </w:r>
                </w:p>
              </w:tc>
              <w:tc>
                <w:tcPr>
                  <w:tcW w:w="680" w:type="pct"/>
                  <w:shd w:val="clear" w:color="auto" w:fill="auto"/>
                  <w:noWrap w:val="0"/>
                  <w:vAlign w:val="center"/>
                </w:tcPr>
                <w:p w14:paraId="6621055C">
                  <w:pPr>
                    <w:keepNext w:val="0"/>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rPr>
                    <w:t>2</w:t>
                  </w:r>
                  <w:r>
                    <w:rPr>
                      <w:rFonts w:hint="default" w:ascii="Times New Roman" w:hAnsi="Times New Roman" w:eastAsia="宋体" w:cs="Times New Roman"/>
                      <w:bCs/>
                      <w:color w:val="auto"/>
                      <w:spacing w:val="-8"/>
                      <w:sz w:val="21"/>
                      <w:szCs w:val="21"/>
                      <w:highlight w:val="none"/>
                    </w:rPr>
                    <w:t>×</w:t>
                  </w:r>
                  <w:r>
                    <w:rPr>
                      <w:rFonts w:hint="default" w:ascii="Times New Roman" w:hAnsi="Times New Roman" w:eastAsia="宋体" w:cs="Times New Roman"/>
                      <w:bCs/>
                      <w:color w:val="auto"/>
                      <w:spacing w:val="-8"/>
                      <w:sz w:val="21"/>
                      <w:szCs w:val="21"/>
                      <w:highlight w:val="none"/>
                      <w:lang w:val="en-US" w:eastAsia="zh-CN"/>
                    </w:rPr>
                    <w:t>50MW</w:t>
                  </w:r>
                </w:p>
              </w:tc>
              <w:tc>
                <w:tcPr>
                  <w:tcW w:w="575" w:type="pct"/>
                  <w:shd w:val="clear" w:color="auto" w:fill="auto"/>
                  <w:noWrap w:val="0"/>
                  <w:vAlign w:val="center"/>
                </w:tcPr>
                <w:p w14:paraId="467B67FF">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100</w:t>
                  </w:r>
                  <w:r>
                    <w:rPr>
                      <w:rFonts w:hint="default" w:ascii="Times New Roman" w:hAnsi="Times New Roman" w:eastAsia="宋体" w:cs="Times New Roman"/>
                      <w:bCs/>
                      <w:color w:val="auto"/>
                      <w:spacing w:val="-8"/>
                      <w:sz w:val="21"/>
                      <w:szCs w:val="21"/>
                      <w:highlight w:val="none"/>
                      <w:lang w:val="en-US" w:eastAsia="zh-CN"/>
                    </w:rPr>
                    <w:t>MW</w:t>
                  </w:r>
                </w:p>
              </w:tc>
              <w:tc>
                <w:tcPr>
                  <w:tcW w:w="388" w:type="pct"/>
                  <w:shd w:val="clear" w:color="auto" w:fill="auto"/>
                  <w:noWrap w:val="0"/>
                  <w:vAlign w:val="center"/>
                </w:tcPr>
                <w:p w14:paraId="0EC38D0A">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已纳入</w:t>
                  </w:r>
                </w:p>
              </w:tc>
              <w:tc>
                <w:tcPr>
                  <w:tcW w:w="264" w:type="pct"/>
                  <w:shd w:val="clear" w:color="auto" w:fill="auto"/>
                  <w:noWrap w:val="0"/>
                  <w:vAlign w:val="center"/>
                </w:tcPr>
                <w:p w14:paraId="767FB37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74ED1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00D3991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restart"/>
                  <w:noWrap w:val="0"/>
                  <w:vAlign w:val="center"/>
                </w:tcPr>
                <w:p w14:paraId="0C614D0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制氧</w:t>
                  </w:r>
                  <w:r>
                    <w:rPr>
                      <w:rFonts w:hint="default" w:ascii="Times New Roman" w:hAnsi="Times New Roman" w:eastAsia="宋体" w:cs="Times New Roman"/>
                      <w:color w:val="auto"/>
                      <w:sz w:val="21"/>
                      <w:szCs w:val="21"/>
                      <w:highlight w:val="none"/>
                      <w:lang w:val="en-US" w:eastAsia="zh-CN"/>
                    </w:rPr>
                    <w:t>工序</w:t>
                  </w:r>
                </w:p>
              </w:tc>
              <w:tc>
                <w:tcPr>
                  <w:tcW w:w="989" w:type="pct"/>
                  <w:noWrap w:val="0"/>
                  <w:vAlign w:val="center"/>
                </w:tcPr>
                <w:p w14:paraId="2ECDCA5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bCs/>
                      <w:color w:val="auto"/>
                      <w:spacing w:val="-8"/>
                      <w:sz w:val="21"/>
                      <w:szCs w:val="21"/>
                      <w:highlight w:val="none"/>
                    </w:rPr>
                  </w:pPr>
                  <w:r>
                    <w:rPr>
                      <w:rFonts w:hint="default" w:ascii="Times New Roman" w:hAnsi="Times New Roman" w:eastAsia="宋体" w:cs="Times New Roman"/>
                      <w:bCs/>
                      <w:color w:val="auto"/>
                      <w:spacing w:val="-8"/>
                      <w:sz w:val="21"/>
                      <w:szCs w:val="21"/>
                      <w:highlight w:val="none"/>
                    </w:rPr>
                    <w:t>1×</w:t>
                  </w:r>
                  <w:r>
                    <w:rPr>
                      <w:rFonts w:hint="default" w:ascii="Times New Roman" w:hAnsi="Times New Roman" w:eastAsia="宋体" w:cs="Times New Roman"/>
                      <w:color w:val="auto"/>
                      <w:kern w:val="0"/>
                      <w:sz w:val="21"/>
                      <w:szCs w:val="21"/>
                      <w:highlight w:val="none"/>
                    </w:rPr>
                    <w:t>6000m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r>
                    <w:rPr>
                      <w:rFonts w:hint="default" w:ascii="Times New Roman" w:hAnsi="Times New Roman" w:eastAsia="宋体" w:cs="Times New Roman"/>
                      <w:bCs/>
                      <w:color w:val="auto"/>
                      <w:spacing w:val="-8"/>
                      <w:sz w:val="21"/>
                      <w:szCs w:val="21"/>
                      <w:highlight w:val="none"/>
                    </w:rPr>
                    <w:t>制氧机</w:t>
                  </w:r>
                </w:p>
              </w:tc>
              <w:tc>
                <w:tcPr>
                  <w:tcW w:w="292" w:type="pct"/>
                  <w:noWrap w:val="0"/>
                  <w:vAlign w:val="center"/>
                </w:tcPr>
                <w:p w14:paraId="70B9CBA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410DAA3E">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2014年</w:t>
                  </w:r>
                </w:p>
              </w:tc>
              <w:tc>
                <w:tcPr>
                  <w:tcW w:w="566" w:type="pct"/>
                  <w:noWrap w:val="0"/>
                  <w:vAlign w:val="center"/>
                </w:tcPr>
                <w:p w14:paraId="0E23A3C3">
                  <w:pPr>
                    <w:keepNext w:val="0"/>
                    <w:keepLines w:val="0"/>
                    <w:pageBreakBefore w:val="0"/>
                    <w:widowControl/>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1086" w:type="pct"/>
                  <w:gridSpan w:val="2"/>
                  <w:noWrap w:val="0"/>
                  <w:vAlign w:val="center"/>
                </w:tcPr>
                <w:p w14:paraId="0319027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rPr>
                    <w:t>6000m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p>
              </w:tc>
              <w:tc>
                <w:tcPr>
                  <w:tcW w:w="575" w:type="pct"/>
                  <w:noWrap w:val="0"/>
                  <w:vAlign w:val="center"/>
                </w:tcPr>
                <w:p w14:paraId="45472C1D">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rPr>
                    <w:t>6000m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p>
              </w:tc>
              <w:tc>
                <w:tcPr>
                  <w:tcW w:w="388" w:type="pct"/>
                  <w:noWrap w:val="0"/>
                  <w:vAlign w:val="center"/>
                </w:tcPr>
                <w:p w14:paraId="4F8E5CE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10CAADA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3AD90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194C4D5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noWrap w:val="0"/>
                  <w:vAlign w:val="center"/>
                </w:tcPr>
                <w:p w14:paraId="6C4760E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noWrap w:val="0"/>
                  <w:vAlign w:val="center"/>
                </w:tcPr>
                <w:p w14:paraId="37FBEDB0">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bCs/>
                      <w:color w:val="auto"/>
                      <w:spacing w:val="-8"/>
                      <w:sz w:val="21"/>
                      <w:szCs w:val="21"/>
                      <w:highlight w:val="none"/>
                    </w:rPr>
                  </w:pPr>
                  <w:r>
                    <w:rPr>
                      <w:rFonts w:hint="default" w:ascii="Times New Roman" w:hAnsi="Times New Roman" w:eastAsia="宋体" w:cs="Times New Roman"/>
                      <w:bCs/>
                      <w:color w:val="auto"/>
                      <w:spacing w:val="-8"/>
                      <w:sz w:val="21"/>
                      <w:szCs w:val="21"/>
                      <w:highlight w:val="none"/>
                    </w:rPr>
                    <w:t>1×</w:t>
                  </w:r>
                  <w:r>
                    <w:rPr>
                      <w:rFonts w:hint="default" w:ascii="Times New Roman" w:hAnsi="Times New Roman" w:eastAsia="宋体" w:cs="Times New Roman"/>
                      <w:color w:val="auto"/>
                      <w:kern w:val="0"/>
                      <w:sz w:val="21"/>
                      <w:szCs w:val="21"/>
                      <w:highlight w:val="none"/>
                    </w:rPr>
                    <w:t>10000m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r>
                    <w:rPr>
                      <w:rFonts w:hint="default" w:ascii="Times New Roman" w:hAnsi="Times New Roman" w:eastAsia="宋体" w:cs="Times New Roman"/>
                      <w:bCs/>
                      <w:color w:val="auto"/>
                      <w:spacing w:val="-8"/>
                      <w:sz w:val="21"/>
                      <w:szCs w:val="21"/>
                      <w:highlight w:val="none"/>
                    </w:rPr>
                    <w:t>制氧机</w:t>
                  </w:r>
                </w:p>
              </w:tc>
              <w:tc>
                <w:tcPr>
                  <w:tcW w:w="292" w:type="pct"/>
                  <w:noWrap w:val="0"/>
                  <w:vAlign w:val="center"/>
                </w:tcPr>
                <w:p w14:paraId="2957DFA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523328F8">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2014年</w:t>
                  </w:r>
                </w:p>
              </w:tc>
              <w:tc>
                <w:tcPr>
                  <w:tcW w:w="566" w:type="pct"/>
                  <w:noWrap w:val="0"/>
                  <w:vAlign w:val="center"/>
                </w:tcPr>
                <w:p w14:paraId="114FADC3">
                  <w:pPr>
                    <w:keepNext w:val="0"/>
                    <w:keepLines w:val="0"/>
                    <w:pageBreakBefore w:val="0"/>
                    <w:widowControl/>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现状评估</w:t>
                  </w:r>
                </w:p>
              </w:tc>
              <w:tc>
                <w:tcPr>
                  <w:tcW w:w="1086" w:type="pct"/>
                  <w:gridSpan w:val="2"/>
                  <w:noWrap w:val="0"/>
                  <w:vAlign w:val="center"/>
                </w:tcPr>
                <w:p w14:paraId="7929312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rPr>
                    <w:t>10000m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p>
              </w:tc>
              <w:tc>
                <w:tcPr>
                  <w:tcW w:w="575" w:type="pct"/>
                  <w:noWrap w:val="0"/>
                  <w:vAlign w:val="center"/>
                </w:tcPr>
                <w:p w14:paraId="42C96160">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rPr>
                    <w:t>10000m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p>
              </w:tc>
              <w:tc>
                <w:tcPr>
                  <w:tcW w:w="388" w:type="pct"/>
                  <w:noWrap w:val="0"/>
                  <w:vAlign w:val="center"/>
                </w:tcPr>
                <w:p w14:paraId="5DD14127">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6790CD1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3D495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35E13E8C">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noWrap w:val="0"/>
                  <w:vAlign w:val="center"/>
                </w:tcPr>
                <w:p w14:paraId="423DE20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noWrap w:val="0"/>
                  <w:vAlign w:val="center"/>
                </w:tcPr>
                <w:p w14:paraId="26DB1CF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bCs/>
                      <w:color w:val="auto"/>
                      <w:spacing w:val="-8"/>
                      <w:sz w:val="21"/>
                      <w:szCs w:val="21"/>
                      <w:highlight w:val="none"/>
                    </w:rPr>
                  </w:pPr>
                  <w:r>
                    <w:rPr>
                      <w:rFonts w:hint="default" w:ascii="Times New Roman" w:hAnsi="Times New Roman" w:eastAsia="宋体" w:cs="Times New Roman"/>
                      <w:bCs/>
                      <w:color w:val="auto"/>
                      <w:spacing w:val="-8"/>
                      <w:sz w:val="21"/>
                      <w:szCs w:val="21"/>
                      <w:highlight w:val="none"/>
                      <w:lang w:val="en-US" w:eastAsia="zh-CN"/>
                    </w:rPr>
                    <w:t>1</w:t>
                  </w:r>
                  <w:r>
                    <w:rPr>
                      <w:rFonts w:hint="default" w:ascii="Times New Roman" w:hAnsi="Times New Roman" w:eastAsia="宋体" w:cs="Times New Roman"/>
                      <w:bCs/>
                      <w:color w:val="auto"/>
                      <w:spacing w:val="-8"/>
                      <w:sz w:val="21"/>
                      <w:szCs w:val="21"/>
                      <w:highlight w:val="none"/>
                    </w:rPr>
                    <w:t>×</w:t>
                  </w:r>
                  <w:r>
                    <w:rPr>
                      <w:rFonts w:hint="default" w:ascii="Times New Roman" w:hAnsi="Times New Roman" w:eastAsia="宋体" w:cs="Times New Roman"/>
                      <w:color w:val="auto"/>
                      <w:kern w:val="0"/>
                      <w:sz w:val="21"/>
                      <w:szCs w:val="21"/>
                      <w:highlight w:val="none"/>
                    </w:rPr>
                    <w:t>20000m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r>
                    <w:rPr>
                      <w:rFonts w:hint="default" w:ascii="Times New Roman" w:hAnsi="Times New Roman" w:eastAsia="宋体" w:cs="Times New Roman"/>
                      <w:bCs/>
                      <w:color w:val="auto"/>
                      <w:spacing w:val="-8"/>
                      <w:sz w:val="21"/>
                      <w:szCs w:val="21"/>
                      <w:highlight w:val="none"/>
                    </w:rPr>
                    <w:t>制氧机</w:t>
                  </w:r>
                </w:p>
              </w:tc>
              <w:tc>
                <w:tcPr>
                  <w:tcW w:w="292" w:type="pct"/>
                  <w:noWrap w:val="0"/>
                  <w:vAlign w:val="center"/>
                </w:tcPr>
                <w:p w14:paraId="4FCAE2E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417" w:type="pct"/>
                  <w:noWrap w:val="0"/>
                  <w:vAlign w:val="center"/>
                </w:tcPr>
                <w:p w14:paraId="7D764BCF">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2014年</w:t>
                  </w:r>
                </w:p>
              </w:tc>
              <w:tc>
                <w:tcPr>
                  <w:tcW w:w="566" w:type="pct"/>
                  <w:noWrap w:val="0"/>
                  <w:vAlign w:val="center"/>
                </w:tcPr>
                <w:p w14:paraId="71416FA2">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现状评估</w:t>
                  </w:r>
                </w:p>
              </w:tc>
              <w:tc>
                <w:tcPr>
                  <w:tcW w:w="1086" w:type="pct"/>
                  <w:gridSpan w:val="2"/>
                  <w:noWrap w:val="0"/>
                  <w:vAlign w:val="center"/>
                </w:tcPr>
                <w:p w14:paraId="45707B3F">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bCs/>
                      <w:color w:val="auto"/>
                      <w:spacing w:val="-8"/>
                      <w:sz w:val="21"/>
                      <w:szCs w:val="21"/>
                      <w:highlight w:val="none"/>
                      <w:lang w:val="en-US" w:eastAsia="zh-CN"/>
                    </w:rPr>
                    <w:t>1</w:t>
                  </w:r>
                  <w:r>
                    <w:rPr>
                      <w:rFonts w:hint="default" w:ascii="Times New Roman" w:hAnsi="Times New Roman" w:eastAsia="宋体" w:cs="Times New Roman"/>
                      <w:bCs/>
                      <w:color w:val="auto"/>
                      <w:spacing w:val="-8"/>
                      <w:sz w:val="21"/>
                      <w:szCs w:val="21"/>
                      <w:highlight w:val="none"/>
                    </w:rPr>
                    <w:t>×</w:t>
                  </w:r>
                  <w:r>
                    <w:rPr>
                      <w:rFonts w:hint="default" w:ascii="Times New Roman" w:hAnsi="Times New Roman" w:eastAsia="宋体" w:cs="Times New Roman"/>
                      <w:color w:val="auto"/>
                      <w:kern w:val="0"/>
                      <w:sz w:val="21"/>
                      <w:szCs w:val="21"/>
                      <w:highlight w:val="none"/>
                    </w:rPr>
                    <w:t>20000m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p>
              </w:tc>
              <w:tc>
                <w:tcPr>
                  <w:tcW w:w="575" w:type="pct"/>
                  <w:noWrap w:val="0"/>
                  <w:vAlign w:val="center"/>
                </w:tcPr>
                <w:p w14:paraId="0C83310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2</w:t>
                  </w:r>
                  <w:r>
                    <w:rPr>
                      <w:rFonts w:hint="default" w:ascii="Times New Roman" w:hAnsi="Times New Roman" w:eastAsia="宋体" w:cs="Times New Roman"/>
                      <w:color w:val="auto"/>
                      <w:kern w:val="0"/>
                      <w:sz w:val="21"/>
                      <w:szCs w:val="21"/>
                      <w:highlight w:val="none"/>
                    </w:rPr>
                    <w:t>000</w:t>
                  </w:r>
                  <w:r>
                    <w:rPr>
                      <w:rFonts w:hint="default" w:ascii="Times New Roman" w:hAnsi="Times New Roman" w:eastAsia="宋体" w:cs="Times New Roman"/>
                      <w:color w:val="auto"/>
                      <w:kern w:val="0"/>
                      <w:sz w:val="21"/>
                      <w:szCs w:val="21"/>
                      <w:highlight w:val="none"/>
                      <w:lang w:val="en-US" w:eastAsia="zh-CN"/>
                    </w:rPr>
                    <w:t>0</w:t>
                  </w:r>
                  <w:r>
                    <w:rPr>
                      <w:rFonts w:hint="default" w:ascii="Times New Roman" w:hAnsi="Times New Roman" w:eastAsia="宋体" w:cs="Times New Roman"/>
                      <w:color w:val="auto"/>
                      <w:kern w:val="0"/>
                      <w:sz w:val="21"/>
                      <w:szCs w:val="21"/>
                      <w:highlight w:val="none"/>
                    </w:rPr>
                    <w:t>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p>
              </w:tc>
              <w:tc>
                <w:tcPr>
                  <w:tcW w:w="388" w:type="pct"/>
                  <w:noWrap w:val="0"/>
                  <w:vAlign w:val="center"/>
                </w:tcPr>
                <w:p w14:paraId="2A0DDB36">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356A8D1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r w14:paraId="28D8A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6" w:hRule="atLeast"/>
              </w:trPr>
              <w:tc>
                <w:tcPr>
                  <w:tcW w:w="176" w:type="pct"/>
                  <w:vMerge w:val="continue"/>
                  <w:noWrap w:val="0"/>
                  <w:vAlign w:val="center"/>
                </w:tcPr>
                <w:p w14:paraId="3E1B38D1">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242" w:type="pct"/>
                  <w:vMerge w:val="continue"/>
                  <w:noWrap w:val="0"/>
                  <w:vAlign w:val="center"/>
                </w:tcPr>
                <w:p w14:paraId="4A8F3F49">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989" w:type="pct"/>
                  <w:noWrap w:val="0"/>
                  <w:vAlign w:val="center"/>
                </w:tcPr>
                <w:p w14:paraId="79BA32F3">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bCs/>
                      <w:color w:val="auto"/>
                      <w:spacing w:val="-8"/>
                      <w:sz w:val="21"/>
                      <w:szCs w:val="21"/>
                      <w:highlight w:val="none"/>
                    </w:rPr>
                  </w:pPr>
                  <w:r>
                    <w:rPr>
                      <w:rFonts w:hint="default" w:ascii="Times New Roman" w:hAnsi="Times New Roman" w:eastAsia="宋体" w:cs="Times New Roman"/>
                      <w:bCs/>
                      <w:color w:val="auto"/>
                      <w:spacing w:val="-8"/>
                      <w:sz w:val="21"/>
                      <w:szCs w:val="21"/>
                      <w:highlight w:val="none"/>
                      <w:lang w:val="en-US" w:eastAsia="zh-CN"/>
                    </w:rPr>
                    <w:t>1×40000</w:t>
                  </w:r>
                  <w:r>
                    <w:rPr>
                      <w:rFonts w:hint="default" w:ascii="Times New Roman" w:hAnsi="Times New Roman" w:eastAsia="宋体" w:cs="Times New Roman"/>
                      <w:color w:val="auto"/>
                      <w:kern w:val="0"/>
                      <w:sz w:val="21"/>
                      <w:szCs w:val="21"/>
                      <w:highlight w:val="none"/>
                    </w:rPr>
                    <w:t>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bCs/>
                      <w:color w:val="auto"/>
                      <w:spacing w:val="-8"/>
                      <w:sz w:val="21"/>
                      <w:szCs w:val="21"/>
                      <w:highlight w:val="none"/>
                      <w:lang w:val="en-US" w:eastAsia="zh-CN"/>
                    </w:rPr>
                    <w:t>/h制氧机</w:t>
                  </w:r>
                </w:p>
              </w:tc>
              <w:tc>
                <w:tcPr>
                  <w:tcW w:w="292" w:type="pct"/>
                  <w:noWrap w:val="0"/>
                  <w:vAlign w:val="center"/>
                </w:tcPr>
                <w:p w14:paraId="253C5F5B">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bCs/>
                      <w:color w:val="auto"/>
                      <w:spacing w:val="-8"/>
                      <w:sz w:val="21"/>
                      <w:szCs w:val="21"/>
                      <w:highlight w:val="none"/>
                    </w:rPr>
                  </w:pPr>
                  <w:r>
                    <w:rPr>
                      <w:rFonts w:hint="default" w:ascii="Times New Roman" w:hAnsi="Times New Roman" w:eastAsia="宋体" w:cs="Times New Roman"/>
                      <w:bCs/>
                      <w:color w:val="auto"/>
                      <w:spacing w:val="-8"/>
                      <w:sz w:val="21"/>
                      <w:szCs w:val="21"/>
                      <w:highlight w:val="none"/>
                      <w:lang w:val="en-US" w:eastAsia="zh-CN"/>
                    </w:rPr>
                    <w:t>1</w:t>
                  </w:r>
                </w:p>
              </w:tc>
              <w:tc>
                <w:tcPr>
                  <w:tcW w:w="417" w:type="pct"/>
                  <w:noWrap w:val="0"/>
                  <w:vAlign w:val="center"/>
                </w:tcPr>
                <w:p w14:paraId="5C71D5FE">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bCs/>
                      <w:color w:val="auto"/>
                      <w:spacing w:val="-8"/>
                      <w:sz w:val="21"/>
                      <w:szCs w:val="21"/>
                      <w:highlight w:val="none"/>
                    </w:rPr>
                  </w:pPr>
                  <w:r>
                    <w:rPr>
                      <w:rFonts w:hint="default" w:ascii="Times New Roman" w:hAnsi="Times New Roman" w:eastAsia="宋体" w:cs="Times New Roman"/>
                      <w:bCs/>
                      <w:color w:val="auto"/>
                      <w:spacing w:val="-8"/>
                      <w:sz w:val="21"/>
                      <w:szCs w:val="21"/>
                      <w:highlight w:val="none"/>
                      <w:lang w:val="en-US" w:eastAsia="zh-CN"/>
                    </w:rPr>
                    <w:t>2012年</w:t>
                  </w:r>
                </w:p>
              </w:tc>
              <w:tc>
                <w:tcPr>
                  <w:tcW w:w="566" w:type="pct"/>
                  <w:noWrap w:val="0"/>
                  <w:vAlign w:val="center"/>
                </w:tcPr>
                <w:p w14:paraId="37A1C0A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bCs/>
                      <w:color w:val="auto"/>
                      <w:spacing w:val="-8"/>
                      <w:sz w:val="21"/>
                      <w:szCs w:val="21"/>
                      <w:highlight w:val="none"/>
                    </w:rPr>
                  </w:pPr>
                  <w:r>
                    <w:rPr>
                      <w:rFonts w:hint="default" w:ascii="Times New Roman" w:hAnsi="Times New Roman" w:eastAsia="宋体" w:cs="Times New Roman"/>
                      <w:bCs/>
                      <w:color w:val="auto"/>
                      <w:spacing w:val="-8"/>
                      <w:sz w:val="21"/>
                      <w:szCs w:val="21"/>
                      <w:highlight w:val="none"/>
                      <w:lang w:val="en-US" w:eastAsia="zh-CN"/>
                    </w:rPr>
                    <w:t>迁环评</w:t>
                  </w:r>
                  <w:r>
                    <w:rPr>
                      <w:rFonts w:hint="default" w:ascii="Times New Roman" w:hAnsi="Times New Roman" w:eastAsia="宋体" w:cs="Times New Roman"/>
                      <w:color w:val="auto"/>
                      <w:kern w:val="0"/>
                      <w:sz w:val="21"/>
                      <w:szCs w:val="21"/>
                      <w:highlight w:val="none"/>
                      <w:lang w:val="en-US" w:eastAsia="zh-CN"/>
                    </w:rPr>
                    <w:t>[2011]</w:t>
                  </w:r>
                  <w:r>
                    <w:rPr>
                      <w:rFonts w:hint="default" w:ascii="Times New Roman" w:hAnsi="Times New Roman" w:eastAsia="宋体" w:cs="Times New Roman"/>
                      <w:bCs/>
                      <w:color w:val="auto"/>
                      <w:spacing w:val="-8"/>
                      <w:sz w:val="21"/>
                      <w:szCs w:val="21"/>
                      <w:highlight w:val="none"/>
                      <w:lang w:val="en-US" w:eastAsia="zh-CN"/>
                    </w:rPr>
                    <w:t>23号</w:t>
                  </w:r>
                </w:p>
              </w:tc>
              <w:tc>
                <w:tcPr>
                  <w:tcW w:w="1086" w:type="pct"/>
                  <w:gridSpan w:val="2"/>
                  <w:noWrap w:val="0"/>
                  <w:vAlign w:val="center"/>
                </w:tcPr>
                <w:p w14:paraId="34C88A1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bCs/>
                      <w:color w:val="auto"/>
                      <w:spacing w:val="-8"/>
                      <w:sz w:val="21"/>
                      <w:szCs w:val="21"/>
                      <w:highlight w:val="none"/>
                    </w:rPr>
                  </w:pPr>
                  <w:r>
                    <w:rPr>
                      <w:rFonts w:hint="default" w:ascii="Times New Roman" w:hAnsi="Times New Roman" w:eastAsia="宋体" w:cs="Times New Roman"/>
                      <w:bCs/>
                      <w:color w:val="auto"/>
                      <w:spacing w:val="-8"/>
                      <w:sz w:val="21"/>
                      <w:szCs w:val="21"/>
                      <w:highlight w:val="none"/>
                      <w:lang w:val="en-US" w:eastAsia="zh-CN"/>
                    </w:rPr>
                    <w:t>1×40000</w:t>
                  </w:r>
                  <w:r>
                    <w:rPr>
                      <w:rFonts w:hint="default" w:ascii="Times New Roman" w:hAnsi="Times New Roman" w:eastAsia="宋体" w:cs="Times New Roman"/>
                      <w:color w:val="auto"/>
                      <w:kern w:val="0"/>
                      <w:sz w:val="21"/>
                      <w:szCs w:val="21"/>
                      <w:highlight w:val="none"/>
                    </w:rPr>
                    <w:t>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bCs/>
                      <w:color w:val="auto"/>
                      <w:spacing w:val="-8"/>
                      <w:sz w:val="21"/>
                      <w:szCs w:val="21"/>
                      <w:highlight w:val="none"/>
                      <w:lang w:val="en-US" w:eastAsia="zh-CN"/>
                    </w:rPr>
                    <w:t>/h</w:t>
                  </w:r>
                </w:p>
              </w:tc>
              <w:tc>
                <w:tcPr>
                  <w:tcW w:w="575" w:type="pct"/>
                  <w:noWrap w:val="0"/>
                  <w:vAlign w:val="center"/>
                </w:tcPr>
                <w:p w14:paraId="1CBBD4E4">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4</w:t>
                  </w:r>
                  <w:r>
                    <w:rPr>
                      <w:rFonts w:hint="default" w:ascii="Times New Roman" w:hAnsi="Times New Roman" w:eastAsia="宋体" w:cs="Times New Roman"/>
                      <w:color w:val="auto"/>
                      <w:kern w:val="0"/>
                      <w:sz w:val="21"/>
                      <w:szCs w:val="21"/>
                      <w:highlight w:val="none"/>
                    </w:rPr>
                    <w:t>0000m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/h</w:t>
                  </w:r>
                </w:p>
              </w:tc>
              <w:tc>
                <w:tcPr>
                  <w:tcW w:w="388" w:type="pct"/>
                  <w:noWrap w:val="0"/>
                  <w:vAlign w:val="center"/>
                </w:tcPr>
                <w:p w14:paraId="5B50177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bCs/>
                      <w:color w:val="auto"/>
                      <w:spacing w:val="-8"/>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已纳入</w:t>
                  </w:r>
                </w:p>
              </w:tc>
              <w:tc>
                <w:tcPr>
                  <w:tcW w:w="264" w:type="pct"/>
                  <w:noWrap w:val="0"/>
                  <w:vAlign w:val="center"/>
                </w:tcPr>
                <w:p w14:paraId="43FBFCE5">
                  <w:pPr>
                    <w:keepNext w:val="0"/>
                    <w:keepLines w:val="0"/>
                    <w:pageBreakBefore w:val="0"/>
                    <w:suppressLineNumbers w:val="0"/>
                    <w:kinsoku/>
                    <w:wordWrap/>
                    <w:overflowPunct/>
                    <w:topLinePunct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在产</w:t>
                  </w:r>
                </w:p>
              </w:tc>
            </w:tr>
          </w:tbl>
          <w:p w14:paraId="5564D7B5">
            <w:pPr>
              <w:pStyle w:val="161"/>
              <w:spacing w:line="360" w:lineRule="auto"/>
              <w:ind w:firstLine="420"/>
              <w:jc w:val="both"/>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2、现有工艺流程</w:t>
            </w:r>
          </w:p>
          <w:p w14:paraId="5AC97271">
            <w:pPr>
              <w:pageBreakBefore w:val="0"/>
              <w:widowControl w:val="0"/>
              <w:wordWrap/>
              <w:bidi w:val="0"/>
              <w:adjustRightInd w:val="0"/>
              <w:snapToGrid w:val="0"/>
              <w:spacing w:line="360" w:lineRule="auto"/>
              <w:ind w:firstLine="420" w:firstLineChars="200"/>
              <w:jc w:val="both"/>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松汀公司现有工程全厂工艺线路见图</w:t>
            </w:r>
            <w:r>
              <w:rPr>
                <w:rFonts w:hint="eastAsia" w:cs="Times New Roman"/>
                <w:color w:val="auto"/>
                <w:kern w:val="2"/>
                <w:sz w:val="21"/>
                <w:szCs w:val="21"/>
                <w:highlight w:val="none"/>
                <w:lang w:val="en-US" w:eastAsia="zh-CN" w:bidi="ar-SA"/>
              </w:rPr>
              <w:t>2</w:t>
            </w:r>
            <w:r>
              <w:rPr>
                <w:rFonts w:hint="default" w:ascii="Times New Roman" w:hAnsi="Times New Roman" w:eastAsia="宋体" w:cs="Times New Roman"/>
                <w:color w:val="auto"/>
                <w:kern w:val="2"/>
                <w:sz w:val="21"/>
                <w:szCs w:val="21"/>
                <w:highlight w:val="none"/>
                <w:lang w:val="en-US" w:eastAsia="zh-CN" w:bidi="ar-SA"/>
              </w:rPr>
              <w:t>-3。</w:t>
            </w:r>
          </w:p>
          <w:p w14:paraId="22D288C8">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object>
                <v:shape id="_x0000_i1033" o:spt="75" type="#_x0000_t75" style="height:293.1pt;width:382.9pt;" o:ole="t" filled="f" o:preferrelative="t" stroked="f" coordsize="21600,21600">
                  <v:path/>
                  <v:fill on="f" focussize="0,0"/>
                  <v:stroke on="f"/>
                  <v:imagedata r:id="rId29" o:title=""/>
                  <o:lock v:ext="edit" aspectratio="t"/>
                  <w10:wrap type="none"/>
                  <w10:anchorlock/>
                </v:shape>
                <o:OLEObject Type="Embed" ProgID="Visio.Drawing.11" ShapeID="_x0000_i1033" DrawAspect="Content" ObjectID="_1468075732" r:id="rId28">
                  <o:LockedField>false</o:LockedField>
                </o:OLEObject>
              </w:object>
            </w:r>
          </w:p>
          <w:p w14:paraId="1AD2A1FE">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图</w:t>
            </w:r>
            <w:r>
              <w:rPr>
                <w:rFonts w:hint="eastAsia" w:cs="Times New Roman"/>
                <w:b/>
                <w:color w:val="auto"/>
                <w:sz w:val="21"/>
                <w:szCs w:val="21"/>
                <w:highlight w:val="none"/>
                <w:lang w:val="en-US" w:eastAsia="zh-CN"/>
              </w:rPr>
              <w:t>2</w:t>
            </w:r>
            <w:r>
              <w:rPr>
                <w:rFonts w:hint="default" w:ascii="Times New Roman" w:hAnsi="Times New Roman" w:eastAsia="宋体" w:cs="Times New Roman"/>
                <w:b/>
                <w:color w:val="auto"/>
                <w:sz w:val="21"/>
                <w:szCs w:val="21"/>
                <w:highlight w:val="none"/>
              </w:rPr>
              <w:t xml:space="preserve">-3    </w:t>
            </w:r>
            <w:r>
              <w:rPr>
                <w:rFonts w:hint="default" w:ascii="Times New Roman" w:hAnsi="Times New Roman" w:eastAsia="宋体" w:cs="Times New Roman"/>
                <w:b/>
                <w:color w:val="auto"/>
                <w:sz w:val="21"/>
                <w:szCs w:val="21"/>
                <w:highlight w:val="none"/>
                <w:lang w:val="en-US" w:eastAsia="zh-CN"/>
              </w:rPr>
              <w:t>松汀</w:t>
            </w:r>
            <w:r>
              <w:rPr>
                <w:rFonts w:hint="default" w:ascii="Times New Roman" w:hAnsi="Times New Roman" w:eastAsia="宋体" w:cs="Times New Roman"/>
                <w:b/>
                <w:color w:val="auto"/>
                <w:sz w:val="21"/>
                <w:szCs w:val="21"/>
                <w:highlight w:val="none"/>
              </w:rPr>
              <w:t>公司现有工程全厂工艺线路图</w:t>
            </w:r>
          </w:p>
          <w:p w14:paraId="60B9D5F5">
            <w:pPr>
              <w:pStyle w:val="161"/>
              <w:spacing w:line="360" w:lineRule="auto"/>
              <w:ind w:firstLine="420"/>
              <w:jc w:val="both"/>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3、现有工程污染物排放情况</w:t>
            </w:r>
          </w:p>
          <w:p w14:paraId="71BA1619">
            <w:pPr>
              <w:pStyle w:val="161"/>
              <w:spacing w:line="360" w:lineRule="auto"/>
              <w:ind w:firstLine="420"/>
              <w:jc w:val="both"/>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3.1废气</w:t>
            </w:r>
          </w:p>
          <w:p w14:paraId="55282A6B">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3.1.1有组织废气</w:t>
            </w:r>
          </w:p>
          <w:p w14:paraId="1045AE8A">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根据企业自行检测报告(DYJC自行监测[2025]003-</w:t>
            </w:r>
            <w:r>
              <w:rPr>
                <w:rFonts w:hint="eastAsia" w:ascii="Times New Roman" w:hAnsi="Times New Roman" w:cs="Times New Roman"/>
                <w:color w:val="auto"/>
                <w:kern w:val="0"/>
                <w:sz w:val="21"/>
                <w:szCs w:val="21"/>
                <w:highlight w:val="none"/>
                <w:lang w:val="en-US" w:eastAsia="zh-CN"/>
              </w:rPr>
              <w:t>3</w:t>
            </w:r>
            <w:r>
              <w:rPr>
                <w:rFonts w:hint="default" w:ascii="Times New Roman" w:hAnsi="Times New Roman" w:eastAsia="宋体" w:cs="Times New Roman"/>
                <w:color w:val="auto"/>
                <w:kern w:val="0"/>
                <w:sz w:val="21"/>
                <w:szCs w:val="21"/>
                <w:highlight w:val="none"/>
                <w:lang w:val="en-US" w:eastAsia="zh-CN"/>
              </w:rPr>
              <w:t>)，唐山松汀钢铁有限公司有组织废气检测结果</w:t>
            </w:r>
            <w:r>
              <w:rPr>
                <w:rFonts w:hint="eastAsia" w:ascii="Times New Roman" w:hAnsi="Times New Roman" w:cs="Times New Roman"/>
                <w:color w:val="auto"/>
                <w:kern w:val="0"/>
                <w:sz w:val="21"/>
                <w:szCs w:val="21"/>
                <w:highlight w:val="none"/>
                <w:lang w:val="en-US" w:eastAsia="zh-CN"/>
              </w:rPr>
              <w:t>满足</w:t>
            </w:r>
            <w:r>
              <w:rPr>
                <w:rFonts w:hint="default" w:ascii="Times New Roman" w:hAnsi="Times New Roman" w:eastAsia="宋体" w:cs="Times New Roman"/>
                <w:color w:val="auto"/>
                <w:kern w:val="0"/>
                <w:sz w:val="21"/>
                <w:szCs w:val="21"/>
                <w:highlight w:val="none"/>
                <w:lang w:val="en-US" w:eastAsia="zh-CN"/>
              </w:rPr>
              <w:t>《钢铁工业大气污染物超低排放标准》</w:t>
            </w:r>
            <w:r>
              <w:rPr>
                <w:rFonts w:hint="eastAsia" w:ascii="Times New Roman" w:hAnsi="Times New Roman" w:cs="Times New Roman"/>
                <w:color w:val="auto"/>
                <w:kern w:val="0"/>
                <w:sz w:val="21"/>
                <w:szCs w:val="21"/>
                <w:highlight w:val="none"/>
                <w:lang w:val="en-US" w:eastAsia="zh-CN"/>
              </w:rPr>
              <w:t>(</w:t>
            </w:r>
            <w:r>
              <w:rPr>
                <w:rFonts w:hint="default" w:ascii="Times New Roman" w:hAnsi="Times New Roman" w:eastAsia="宋体" w:cs="Times New Roman"/>
                <w:color w:val="auto"/>
                <w:kern w:val="0"/>
                <w:sz w:val="21"/>
                <w:szCs w:val="21"/>
                <w:highlight w:val="none"/>
                <w:lang w:val="en-US" w:eastAsia="zh-CN"/>
              </w:rPr>
              <w:t>DB13/2169-2018</w:t>
            </w:r>
            <w:r>
              <w:rPr>
                <w:rFonts w:hint="eastAsia" w:ascii="Times New Roman" w:hAnsi="Times New Roman" w:cs="Times New Roman"/>
                <w:color w:val="auto"/>
                <w:kern w:val="0"/>
                <w:sz w:val="21"/>
                <w:szCs w:val="21"/>
                <w:highlight w:val="none"/>
                <w:lang w:val="en-US" w:eastAsia="zh-CN"/>
              </w:rPr>
              <w:t>)、《火电厂大气污染物排放标准》(GB13223-2011)限值要求</w:t>
            </w:r>
            <w:r>
              <w:rPr>
                <w:rFonts w:hint="default" w:ascii="Times New Roman" w:hAnsi="Times New Roman" w:eastAsia="宋体" w:cs="Times New Roman"/>
                <w:color w:val="auto"/>
                <w:kern w:val="0"/>
                <w:sz w:val="21"/>
                <w:szCs w:val="21"/>
                <w:highlight w:val="none"/>
                <w:lang w:val="en-US" w:eastAsia="zh-CN"/>
              </w:rPr>
              <w:t>。</w:t>
            </w:r>
          </w:p>
          <w:p w14:paraId="20F28C74">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3.1.2无组织废气</w:t>
            </w:r>
          </w:p>
          <w:p w14:paraId="422E485E">
            <w:pPr>
              <w:pStyle w:val="161"/>
              <w:spacing w:line="360" w:lineRule="auto"/>
              <w:ind w:firstLine="420"/>
              <w:jc w:val="both"/>
              <w:rPr>
                <w:rFonts w:hint="default" w:ascii="Times New Roman" w:hAnsi="Times New Roman" w:eastAsia="宋体" w:cs="Times New Roman"/>
                <w:color w:val="auto"/>
                <w:highlight w:val="none"/>
              </w:rPr>
            </w:pPr>
            <w:r>
              <w:rPr>
                <w:rFonts w:hint="eastAsia" w:ascii="Times New Roman" w:hAnsi="Times New Roman" w:cs="Times New Roman"/>
                <w:color w:val="auto"/>
                <w:highlight w:val="red"/>
                <w:lang w:val="en-US" w:eastAsia="zh-CN"/>
              </w:rPr>
              <w:t>厂区现有4台洒水车，对厂区内的道路进行洒水抑尘。</w:t>
            </w:r>
            <w:r>
              <w:rPr>
                <w:rFonts w:hint="default" w:ascii="Times New Roman" w:hAnsi="Times New Roman" w:eastAsia="宋体" w:cs="Times New Roman"/>
                <w:color w:val="auto"/>
                <w:kern w:val="0"/>
                <w:sz w:val="21"/>
                <w:szCs w:val="21"/>
                <w:highlight w:val="none"/>
                <w:lang w:val="en-US" w:eastAsia="zh-CN"/>
              </w:rPr>
              <w:t>根据企业自行检测报告(</w:t>
            </w:r>
            <w:r>
              <w:rPr>
                <w:rFonts w:hint="eastAsia" w:ascii="Times New Roman" w:hAnsi="Times New Roman" w:cs="Times New Roman"/>
                <w:color w:val="auto"/>
                <w:kern w:val="0"/>
                <w:sz w:val="21"/>
                <w:szCs w:val="21"/>
                <w:highlight w:val="none"/>
                <w:lang w:val="en-US" w:eastAsia="zh-CN"/>
              </w:rPr>
              <w:t>DYJC自行监测[2025]003-2</w:t>
            </w:r>
            <w:r>
              <w:rPr>
                <w:rFonts w:hint="default" w:ascii="Times New Roman" w:hAnsi="Times New Roman" w:eastAsia="宋体" w:cs="Times New Roman"/>
                <w:color w:val="auto"/>
                <w:kern w:val="0"/>
                <w:sz w:val="21"/>
                <w:szCs w:val="21"/>
                <w:highlight w:val="none"/>
                <w:lang w:val="en-US" w:eastAsia="zh-CN"/>
              </w:rPr>
              <w:t>)，唐山松汀钢铁有限公司厂界无组织废气检测结果</w:t>
            </w:r>
            <w:r>
              <w:rPr>
                <w:rFonts w:hint="eastAsia" w:ascii="Times New Roman" w:hAnsi="Times New Roman" w:cs="Times New Roman"/>
                <w:color w:val="auto"/>
                <w:kern w:val="0"/>
                <w:sz w:val="21"/>
                <w:szCs w:val="21"/>
                <w:highlight w:val="none"/>
                <w:lang w:val="en-US" w:eastAsia="zh-CN"/>
              </w:rPr>
              <w:t>满足</w:t>
            </w:r>
            <w:r>
              <w:rPr>
                <w:rFonts w:hint="default" w:ascii="Times New Roman" w:hAnsi="Times New Roman" w:eastAsia="宋体" w:cs="Times New Roman"/>
                <w:color w:val="auto"/>
                <w:kern w:val="0"/>
                <w:sz w:val="21"/>
                <w:szCs w:val="21"/>
                <w:highlight w:val="none"/>
                <w:lang w:val="en-US" w:eastAsia="zh-CN"/>
              </w:rPr>
              <w:t>《钢铁工业大气污染物超低排放标准》</w:t>
            </w:r>
            <w:r>
              <w:rPr>
                <w:rFonts w:hint="eastAsia" w:ascii="Times New Roman" w:hAnsi="Times New Roman" w:cs="Times New Roman"/>
                <w:color w:val="auto"/>
                <w:kern w:val="0"/>
                <w:sz w:val="21"/>
                <w:szCs w:val="21"/>
                <w:highlight w:val="none"/>
                <w:lang w:val="en-US" w:eastAsia="zh-CN"/>
              </w:rPr>
              <w:t>(</w:t>
            </w:r>
            <w:r>
              <w:rPr>
                <w:rFonts w:hint="default" w:ascii="Times New Roman" w:hAnsi="Times New Roman" w:eastAsia="宋体" w:cs="Times New Roman"/>
                <w:color w:val="auto"/>
                <w:kern w:val="0"/>
                <w:sz w:val="21"/>
                <w:szCs w:val="21"/>
                <w:highlight w:val="none"/>
                <w:lang w:val="en-US" w:eastAsia="zh-CN"/>
              </w:rPr>
              <w:t>DB132169-2018</w:t>
            </w:r>
            <w:r>
              <w:rPr>
                <w:rFonts w:hint="eastAsia" w:ascii="Times New Roman" w:hAnsi="Times New Roman" w:cs="Times New Roman"/>
                <w:color w:val="auto"/>
                <w:kern w:val="0"/>
                <w:sz w:val="21"/>
                <w:szCs w:val="21"/>
                <w:highlight w:val="none"/>
                <w:lang w:val="en-US" w:eastAsia="zh-CN"/>
              </w:rPr>
              <w:t>)及《恶臭污染物排放标准》(GB14554-1993)限值的要求</w:t>
            </w:r>
            <w:r>
              <w:rPr>
                <w:rFonts w:hint="default" w:ascii="Times New Roman" w:hAnsi="Times New Roman" w:cs="Times New Roman"/>
                <w:color w:val="auto"/>
                <w:kern w:val="0"/>
                <w:sz w:val="21"/>
                <w:szCs w:val="21"/>
                <w:highlight w:val="none"/>
                <w:lang w:val="en-US" w:eastAsia="zh-CN"/>
              </w:rPr>
              <w:t>，</w:t>
            </w:r>
            <w:r>
              <w:rPr>
                <w:rFonts w:hint="default" w:ascii="Times New Roman" w:hAnsi="Times New Roman" w:eastAsia="宋体" w:cs="Times New Roman"/>
                <w:color w:val="auto"/>
                <w:highlight w:val="none"/>
              </w:rPr>
              <w:t>同时满足《唐山市人民政府关于执行重点行业大气污染物排放特别要求的通知》(唐政字[2021]82号)中厂界无组织排放浓度限值要求。</w:t>
            </w:r>
          </w:p>
          <w:p w14:paraId="769F4DDB">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3.2废水</w:t>
            </w:r>
          </w:p>
          <w:p w14:paraId="3479FC33">
            <w:pPr>
              <w:pageBreakBefore w:val="0"/>
              <w:widowControl w:val="0"/>
              <w:wordWrap/>
              <w:bidi w:val="0"/>
              <w:adjustRightInd w:val="0"/>
              <w:snapToGrid w:val="0"/>
              <w:spacing w:line="360" w:lineRule="auto"/>
              <w:ind w:firstLine="420" w:firstLineChars="200"/>
              <w:jc w:val="both"/>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松汀公司现有</w:t>
            </w:r>
            <w:r>
              <w:rPr>
                <w:rFonts w:hint="eastAsia" w:cs="Times New Roman"/>
                <w:color w:val="auto"/>
                <w:kern w:val="2"/>
                <w:sz w:val="21"/>
                <w:szCs w:val="21"/>
                <w:highlight w:val="none"/>
                <w:lang w:val="en-US" w:eastAsia="zh-CN" w:bidi="ar-SA"/>
              </w:rPr>
              <w:t>综合</w:t>
            </w:r>
            <w:r>
              <w:rPr>
                <w:rFonts w:hint="default" w:ascii="Times New Roman" w:hAnsi="Times New Roman" w:eastAsia="宋体" w:cs="Times New Roman"/>
                <w:color w:val="auto"/>
                <w:kern w:val="2"/>
                <w:sz w:val="21"/>
                <w:szCs w:val="21"/>
                <w:highlight w:val="none"/>
                <w:lang w:val="en-US" w:eastAsia="zh-CN" w:bidi="ar-SA"/>
              </w:rPr>
              <w:t>污水处理站</w:t>
            </w:r>
            <w:r>
              <w:rPr>
                <w:rFonts w:hint="eastAsia" w:cs="Times New Roman"/>
                <w:color w:val="auto"/>
                <w:kern w:val="2"/>
                <w:sz w:val="21"/>
                <w:szCs w:val="21"/>
                <w:highlight w:val="none"/>
                <w:lang w:val="en-US" w:eastAsia="zh-CN" w:bidi="ar-SA"/>
              </w:rPr>
              <w:t>两</w:t>
            </w:r>
            <w:r>
              <w:rPr>
                <w:rFonts w:hint="default" w:ascii="Times New Roman" w:hAnsi="Times New Roman" w:eastAsia="宋体" w:cs="Times New Roman"/>
                <w:color w:val="auto"/>
                <w:kern w:val="2"/>
                <w:sz w:val="21"/>
                <w:szCs w:val="21"/>
                <w:highlight w:val="none"/>
                <w:lang w:val="en-US" w:eastAsia="zh-CN" w:bidi="ar-SA"/>
              </w:rPr>
              <w:t>座，处理规模</w:t>
            </w:r>
            <w:r>
              <w:rPr>
                <w:rFonts w:hint="eastAsia" w:cs="Times New Roman"/>
                <w:color w:val="auto"/>
                <w:kern w:val="2"/>
                <w:sz w:val="21"/>
                <w:szCs w:val="21"/>
                <w:highlight w:val="none"/>
                <w:lang w:val="en-US" w:eastAsia="zh-CN" w:bidi="ar-SA"/>
              </w:rPr>
              <w:t>分别为</w:t>
            </w:r>
            <w:r>
              <w:rPr>
                <w:rFonts w:hint="default" w:ascii="Times New Roman" w:hAnsi="Times New Roman" w:eastAsia="宋体" w:cs="Times New Roman"/>
                <w:color w:val="auto"/>
                <w:kern w:val="2"/>
                <w:sz w:val="21"/>
                <w:szCs w:val="21"/>
                <w:highlight w:val="none"/>
                <w:lang w:val="en-US" w:eastAsia="zh-CN" w:bidi="ar-SA"/>
              </w:rPr>
              <w:t>250m</w:t>
            </w:r>
            <w:r>
              <w:rPr>
                <w:rFonts w:hint="default" w:ascii="Times New Roman" w:hAnsi="Times New Roman" w:eastAsia="宋体" w:cs="Times New Roman"/>
                <w:color w:val="auto"/>
                <w:kern w:val="2"/>
                <w:sz w:val="21"/>
                <w:szCs w:val="21"/>
                <w:highlight w:val="none"/>
                <w:vertAlign w:val="superscript"/>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/h</w:t>
            </w:r>
            <w:r>
              <w:rPr>
                <w:rFonts w:hint="eastAsia" w:cs="Times New Roman"/>
                <w:color w:val="auto"/>
                <w:kern w:val="2"/>
                <w:sz w:val="21"/>
                <w:szCs w:val="21"/>
                <w:highlight w:val="none"/>
                <w:lang w:val="en-US" w:eastAsia="zh-CN" w:bidi="ar-SA"/>
              </w:rPr>
              <w:t>和</w:t>
            </w:r>
            <w:r>
              <w:rPr>
                <w:rFonts w:hint="default" w:ascii="Times New Roman" w:hAnsi="Times New Roman" w:eastAsia="宋体" w:cs="Times New Roman"/>
                <w:color w:val="auto"/>
                <w:kern w:val="2"/>
                <w:sz w:val="21"/>
                <w:szCs w:val="21"/>
                <w:highlight w:val="none"/>
                <w:lang w:val="en-US" w:eastAsia="zh-CN" w:bidi="ar-SA"/>
              </w:rPr>
              <w:t>600m</w:t>
            </w:r>
            <w:r>
              <w:rPr>
                <w:rFonts w:hint="default" w:ascii="Times New Roman" w:hAnsi="Times New Roman" w:eastAsia="宋体" w:cs="Times New Roman"/>
                <w:color w:val="auto"/>
                <w:kern w:val="2"/>
                <w:sz w:val="21"/>
                <w:szCs w:val="21"/>
                <w:highlight w:val="none"/>
                <w:vertAlign w:val="superscript"/>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/h</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250m</w:t>
            </w:r>
            <w:r>
              <w:rPr>
                <w:rFonts w:hint="default" w:ascii="Times New Roman" w:hAnsi="Times New Roman" w:eastAsia="宋体" w:cs="Times New Roman"/>
                <w:color w:val="auto"/>
                <w:kern w:val="2"/>
                <w:sz w:val="21"/>
                <w:szCs w:val="21"/>
                <w:highlight w:val="none"/>
                <w:vertAlign w:val="superscript"/>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/h</w:t>
            </w:r>
            <w:r>
              <w:rPr>
                <w:rFonts w:hint="eastAsia" w:cs="Times New Roman"/>
                <w:color w:val="auto"/>
                <w:kern w:val="2"/>
                <w:sz w:val="21"/>
                <w:szCs w:val="21"/>
                <w:highlight w:val="none"/>
                <w:lang w:val="en-US" w:eastAsia="zh-CN" w:bidi="ar-SA"/>
              </w:rPr>
              <w:t>污水处理站处理工艺为“调节池-反应池1（加药剂石灰）-反应池2（加药剂碳酸钠）-反应池3（加药剂PAC）-絮凝池（药剂PAM）-平流沉淀池进行沉淀-斜管沉淀池-石英砂过滤器进行过滤-中间水池-多介质过滤器-清水池”，处理后的出水用于</w:t>
            </w:r>
            <w:r>
              <w:rPr>
                <w:rFonts w:hint="default" w:ascii="Times New Roman" w:hAnsi="Times New Roman" w:eastAsia="宋体" w:cs="Times New Roman"/>
                <w:color w:val="auto"/>
                <w:kern w:val="2"/>
                <w:sz w:val="21"/>
                <w:szCs w:val="21"/>
                <w:highlight w:val="none"/>
                <w:lang w:val="en-US" w:eastAsia="zh-CN" w:bidi="ar-SA"/>
              </w:rPr>
              <w:t>高炉冲渣等用水工序</w:t>
            </w:r>
            <w:r>
              <w:rPr>
                <w:rFonts w:hint="eastAsia" w:cs="Times New Roman"/>
                <w:color w:val="auto"/>
                <w:kern w:val="2"/>
                <w:sz w:val="21"/>
                <w:szCs w:val="21"/>
                <w:highlight w:val="none"/>
                <w:lang w:val="en-US" w:eastAsia="zh-CN" w:bidi="ar-SA"/>
              </w:rPr>
              <w:t>；6</w:t>
            </w:r>
            <w:r>
              <w:rPr>
                <w:rFonts w:hint="default" w:ascii="Times New Roman" w:hAnsi="Times New Roman" w:eastAsia="宋体" w:cs="Times New Roman"/>
                <w:color w:val="auto"/>
                <w:kern w:val="2"/>
                <w:sz w:val="21"/>
                <w:szCs w:val="21"/>
                <w:highlight w:val="none"/>
                <w:lang w:val="en-US" w:eastAsia="zh-CN" w:bidi="ar-SA"/>
              </w:rPr>
              <w:t>00m</w:t>
            </w:r>
            <w:r>
              <w:rPr>
                <w:rFonts w:hint="default" w:ascii="Times New Roman" w:hAnsi="Times New Roman" w:eastAsia="宋体" w:cs="Times New Roman"/>
                <w:color w:val="auto"/>
                <w:kern w:val="2"/>
                <w:sz w:val="21"/>
                <w:szCs w:val="21"/>
                <w:highlight w:val="none"/>
                <w:vertAlign w:val="superscript"/>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h污水处理工艺采用预处理系统+深度处理系统，其中预处理系统工艺为“格栅+调节池+前混凝+高密度沉淀池+后混凝+V型过滤池”，出水中水用于高炉冲渣等用水工序，深度处理系统工艺为“多介质过滤+超滤+保安过滤+反渗透”，深度处理系统出水分为浓盐水和脱盐水，浓盐水返回高炉冲渣等工序用水，脱盐水用于制氧设备冷却系统补水。</w:t>
            </w:r>
          </w:p>
          <w:p w14:paraId="634B7C2F">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3.3噪声</w:t>
            </w:r>
          </w:p>
          <w:p w14:paraId="094F4571">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松汀</w:t>
            </w:r>
            <w:r>
              <w:rPr>
                <w:rFonts w:hint="default" w:ascii="Times New Roman" w:hAnsi="Times New Roman" w:eastAsia="宋体" w:cs="Times New Roman"/>
                <w:color w:val="auto"/>
                <w:sz w:val="21"/>
                <w:szCs w:val="21"/>
                <w:highlight w:val="none"/>
              </w:rPr>
              <w:t>公司现有工程噪声源主要分为两类，一类是给料机、破碎机、振动筛、混料机等机械设备噪声，另一类是主抽风机、助燃风机、循环风机、冷却风机、除尘风机等风动设备噪声，针对不同噪声源，采取了基础</w:t>
            </w:r>
            <w:r>
              <w:rPr>
                <w:rFonts w:hint="eastAsia" w:cs="Times New Roman"/>
                <w:color w:val="auto"/>
                <w:sz w:val="21"/>
                <w:szCs w:val="21"/>
                <w:highlight w:val="none"/>
                <w:lang w:eastAsia="zh-CN"/>
              </w:rPr>
              <w:t>减振</w:t>
            </w:r>
            <w:r>
              <w:rPr>
                <w:rFonts w:hint="default" w:ascii="Times New Roman" w:hAnsi="Times New Roman" w:eastAsia="宋体" w:cs="Times New Roman"/>
                <w:color w:val="auto"/>
                <w:sz w:val="21"/>
                <w:szCs w:val="21"/>
                <w:highlight w:val="none"/>
              </w:rPr>
              <w:t>、厂房隔声，风动设备加装消声器等降噪措施。</w:t>
            </w:r>
          </w:p>
          <w:p w14:paraId="42BEA426">
            <w:pPr>
              <w:keepNext w:val="0"/>
              <w:keepLines w:val="0"/>
              <w:pageBreakBefore w:val="0"/>
              <w:widowControl w:val="0"/>
              <w:kinsoku/>
              <w:wordWrap/>
              <w:overflowPunct/>
              <w:topLinePunct w:val="0"/>
              <w:autoSpaceDE/>
              <w:autoSpaceDN/>
              <w:bidi w:val="0"/>
              <w:adjustRightInd w:val="0"/>
              <w:snapToGrid w:val="0"/>
              <w:spacing w:line="360" w:lineRule="auto"/>
              <w:ind w:firstLine="48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根据松汀公司自行监测报告(</w:t>
            </w:r>
            <w:r>
              <w:rPr>
                <w:rFonts w:hint="eastAsia" w:cs="Times New Roman"/>
                <w:color w:val="auto"/>
                <w:sz w:val="21"/>
                <w:szCs w:val="21"/>
                <w:highlight w:val="none"/>
                <w:lang w:val="en-US" w:eastAsia="zh-CN"/>
              </w:rPr>
              <w:t>DYJC自行监测[2025]003-2</w:t>
            </w:r>
            <w:r>
              <w:rPr>
                <w:rFonts w:hint="default" w:ascii="Times New Roman" w:hAnsi="Times New Roman" w:eastAsia="宋体" w:cs="Times New Roman"/>
                <w:color w:val="auto"/>
                <w:sz w:val="21"/>
                <w:szCs w:val="21"/>
                <w:highlight w:val="none"/>
                <w:lang w:val="en-US" w:eastAsia="zh-CN"/>
              </w:rPr>
              <w:t>)，噪声检测结果见表</w:t>
            </w:r>
            <w:r>
              <w:rPr>
                <w:rFonts w:hint="eastAsia" w:cs="Times New Roman"/>
                <w:color w:val="auto"/>
                <w:sz w:val="21"/>
                <w:szCs w:val="21"/>
                <w:highlight w:val="none"/>
                <w:lang w:val="en-US" w:eastAsia="zh-CN"/>
              </w:rPr>
              <w:t>2-10</w:t>
            </w:r>
            <w:r>
              <w:rPr>
                <w:rFonts w:hint="default" w:ascii="Times New Roman" w:hAnsi="Times New Roman" w:eastAsia="宋体" w:cs="Times New Roman"/>
                <w:color w:val="auto"/>
                <w:sz w:val="21"/>
                <w:szCs w:val="21"/>
                <w:highlight w:val="none"/>
                <w:lang w:val="en-US" w:eastAsia="zh-CN"/>
              </w:rPr>
              <w:t>。</w:t>
            </w:r>
          </w:p>
          <w:p w14:paraId="58989EB9">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表</w:t>
            </w:r>
            <w:r>
              <w:rPr>
                <w:rFonts w:hint="eastAsia" w:cs="Times New Roman"/>
                <w:b/>
                <w:color w:val="auto"/>
                <w:sz w:val="21"/>
                <w:szCs w:val="21"/>
                <w:highlight w:val="none"/>
                <w:lang w:val="en-US" w:eastAsia="zh-CN"/>
              </w:rPr>
              <w:t>2-10</w:t>
            </w:r>
            <w:r>
              <w:rPr>
                <w:rFonts w:hint="default" w:ascii="Times New Roman" w:hAnsi="Times New Roman" w:eastAsia="宋体" w:cs="Times New Roman"/>
                <w:b/>
                <w:color w:val="auto"/>
                <w:sz w:val="21"/>
                <w:szCs w:val="21"/>
                <w:highlight w:val="none"/>
              </w:rPr>
              <w:t xml:space="preserve">    厂界噪声达标排放分析</w:t>
            </w:r>
          </w:p>
          <w:tbl>
            <w:tblPr>
              <w:tblStyle w:val="84"/>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71"/>
              <w:gridCol w:w="1124"/>
              <w:gridCol w:w="1125"/>
              <w:gridCol w:w="1124"/>
              <w:gridCol w:w="1125"/>
              <w:gridCol w:w="1124"/>
              <w:gridCol w:w="1125"/>
            </w:tblGrid>
            <w:tr w14:paraId="3550E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blHeader/>
              </w:trPr>
              <w:tc>
                <w:tcPr>
                  <w:tcW w:w="99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38DF3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监测点位</w:t>
                  </w:r>
                </w:p>
              </w:tc>
              <w:tc>
                <w:tcPr>
                  <w:tcW w:w="13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F97C4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监测值dB(A)</w:t>
                  </w:r>
                </w:p>
              </w:tc>
              <w:tc>
                <w:tcPr>
                  <w:tcW w:w="13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9C31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标准值dB(A)</w:t>
                  </w:r>
                </w:p>
              </w:tc>
              <w:tc>
                <w:tcPr>
                  <w:tcW w:w="13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7A4F3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达标分析</w:t>
                  </w:r>
                </w:p>
              </w:tc>
            </w:tr>
            <w:tr w14:paraId="4A1F3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blHeader/>
              </w:trPr>
              <w:tc>
                <w:tcPr>
                  <w:tcW w:w="99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C2672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i w:val="0"/>
                      <w:iCs w:val="0"/>
                      <w:color w:val="auto"/>
                      <w:sz w:val="21"/>
                      <w:szCs w:val="21"/>
                      <w:highlight w:val="none"/>
                      <w:u w:val="none"/>
                    </w:rPr>
                  </w:pP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D37F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昼间</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84C8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夜间</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A45F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昼间</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EE99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夜间</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C2E5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昼间</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CD7B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夜间</w:t>
                  </w:r>
                </w:p>
              </w:tc>
            </w:tr>
            <w:tr w14:paraId="5683C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C8DF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1#南厂界</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70AF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58</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59F4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52</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74B6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65</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AB51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55</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A3FF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975D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r>
            <w:tr w14:paraId="19665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CAF9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3</w:t>
                  </w:r>
                  <w:r>
                    <w:rPr>
                      <w:rFonts w:hint="default" w:ascii="Times New Roman" w:hAnsi="Times New Roman" w:eastAsia="宋体" w:cs="Times New Roman"/>
                      <w:i w:val="0"/>
                      <w:iCs w:val="0"/>
                      <w:color w:val="auto"/>
                      <w:kern w:val="0"/>
                      <w:sz w:val="21"/>
                      <w:szCs w:val="21"/>
                      <w:highlight w:val="none"/>
                      <w:u w:val="none"/>
                      <w:lang w:val="en-US" w:eastAsia="zh-CN" w:bidi="ar"/>
                    </w:rPr>
                    <w:t>#南厂界</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F1E6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57</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8BCD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52</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C9AB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65</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7F4F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55</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737F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10A3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r>
            <w:tr w14:paraId="50CC3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DD20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4</w:t>
                  </w:r>
                  <w:r>
                    <w:rPr>
                      <w:rFonts w:hint="default" w:ascii="Times New Roman" w:hAnsi="Times New Roman" w:eastAsia="宋体" w:cs="Times New Roman"/>
                      <w:i w:val="0"/>
                      <w:iCs w:val="0"/>
                      <w:color w:val="auto"/>
                      <w:kern w:val="0"/>
                      <w:sz w:val="21"/>
                      <w:szCs w:val="21"/>
                      <w:highlight w:val="none"/>
                      <w:u w:val="none"/>
                      <w:lang w:val="en-US" w:eastAsia="zh-CN" w:bidi="ar"/>
                    </w:rPr>
                    <w:t>#东厂界</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8DAD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default" w:ascii="Times New Roman" w:hAnsi="Times New Roman" w:eastAsia="宋体" w:cs="Times New Roman"/>
                      <w:i w:val="0"/>
                      <w:iCs w:val="0"/>
                      <w:color w:val="auto"/>
                      <w:sz w:val="21"/>
                      <w:szCs w:val="21"/>
                      <w:highlight w:val="none"/>
                      <w:u w:val="none"/>
                      <w:lang w:val="en-US" w:eastAsia="zh-CN"/>
                    </w:rPr>
                    <w:t>55</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DB28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default" w:ascii="Times New Roman" w:hAnsi="Times New Roman" w:eastAsia="宋体" w:cs="Times New Roman"/>
                      <w:i w:val="0"/>
                      <w:iCs w:val="0"/>
                      <w:color w:val="auto"/>
                      <w:sz w:val="21"/>
                      <w:szCs w:val="21"/>
                      <w:highlight w:val="none"/>
                      <w:u w:val="none"/>
                      <w:lang w:val="en-US" w:eastAsia="zh-CN"/>
                    </w:rPr>
                    <w:t>5</w:t>
                  </w:r>
                  <w:r>
                    <w:rPr>
                      <w:rFonts w:hint="eastAsia" w:cs="Times New Roman"/>
                      <w:i w:val="0"/>
                      <w:iCs w:val="0"/>
                      <w:color w:val="auto"/>
                      <w:sz w:val="21"/>
                      <w:szCs w:val="21"/>
                      <w:highlight w:val="none"/>
                      <w:u w:val="none"/>
                      <w:lang w:val="en-US" w:eastAsia="zh-CN"/>
                    </w:rPr>
                    <w:t>3</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2F34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65</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50B7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55</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9832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46C4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r>
            <w:tr w14:paraId="30FD6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C5BA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5</w:t>
                  </w:r>
                  <w:r>
                    <w:rPr>
                      <w:rFonts w:hint="default" w:ascii="Times New Roman" w:hAnsi="Times New Roman" w:eastAsia="宋体" w:cs="Times New Roman"/>
                      <w:i w:val="0"/>
                      <w:iCs w:val="0"/>
                      <w:color w:val="auto"/>
                      <w:kern w:val="0"/>
                      <w:sz w:val="21"/>
                      <w:szCs w:val="21"/>
                      <w:highlight w:val="none"/>
                      <w:u w:val="none"/>
                      <w:lang w:val="en-US" w:eastAsia="zh-CN" w:bidi="ar"/>
                    </w:rPr>
                    <w:t>#东厂界</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FF04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default" w:ascii="Times New Roman" w:hAnsi="Times New Roman" w:eastAsia="宋体" w:cs="Times New Roman"/>
                      <w:i w:val="0"/>
                      <w:iCs w:val="0"/>
                      <w:color w:val="auto"/>
                      <w:sz w:val="21"/>
                      <w:szCs w:val="21"/>
                      <w:highlight w:val="none"/>
                      <w:u w:val="none"/>
                      <w:lang w:val="en-US" w:eastAsia="zh-CN"/>
                    </w:rPr>
                    <w:t>5</w:t>
                  </w:r>
                  <w:r>
                    <w:rPr>
                      <w:rFonts w:hint="eastAsia" w:cs="Times New Roman"/>
                      <w:i w:val="0"/>
                      <w:iCs w:val="0"/>
                      <w:color w:val="auto"/>
                      <w:sz w:val="21"/>
                      <w:szCs w:val="21"/>
                      <w:highlight w:val="none"/>
                      <w:u w:val="none"/>
                      <w:lang w:val="en-US" w:eastAsia="zh-CN"/>
                    </w:rPr>
                    <w:t>4</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7C56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default" w:ascii="Times New Roman" w:hAnsi="Times New Roman" w:eastAsia="宋体" w:cs="Times New Roman"/>
                      <w:i w:val="0"/>
                      <w:iCs w:val="0"/>
                      <w:color w:val="auto"/>
                      <w:sz w:val="21"/>
                      <w:szCs w:val="21"/>
                      <w:highlight w:val="none"/>
                      <w:u w:val="none"/>
                      <w:lang w:val="en-US" w:eastAsia="zh-CN"/>
                    </w:rPr>
                    <w:t>5</w:t>
                  </w:r>
                  <w:r>
                    <w:rPr>
                      <w:rFonts w:hint="eastAsia" w:cs="Times New Roman"/>
                      <w:i w:val="0"/>
                      <w:iCs w:val="0"/>
                      <w:color w:val="auto"/>
                      <w:sz w:val="21"/>
                      <w:szCs w:val="21"/>
                      <w:highlight w:val="none"/>
                      <w:u w:val="none"/>
                      <w:lang w:val="en-US" w:eastAsia="zh-CN"/>
                    </w:rPr>
                    <w:t>1</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BBD1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65</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EB86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55</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70E9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EF27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r>
            <w:tr w14:paraId="1E087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79E6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w:t>
                  </w:r>
                  <w:r>
                    <w:rPr>
                      <w:rFonts w:hint="default" w:ascii="Times New Roman" w:hAnsi="Times New Roman" w:eastAsia="宋体" w:cs="Times New Roman"/>
                      <w:i w:val="0"/>
                      <w:iCs w:val="0"/>
                      <w:color w:val="auto"/>
                      <w:kern w:val="0"/>
                      <w:sz w:val="21"/>
                      <w:szCs w:val="21"/>
                      <w:highlight w:val="none"/>
                      <w:u w:val="none"/>
                      <w:lang w:val="en-US" w:eastAsia="zh-CN" w:bidi="ar"/>
                    </w:rPr>
                    <w:t>#曹庄子</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E90F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55</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80A2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default" w:ascii="Times New Roman" w:hAnsi="Times New Roman" w:eastAsia="宋体" w:cs="Times New Roman"/>
                      <w:i w:val="0"/>
                      <w:iCs w:val="0"/>
                      <w:color w:val="auto"/>
                      <w:kern w:val="0"/>
                      <w:sz w:val="21"/>
                      <w:szCs w:val="21"/>
                      <w:highlight w:val="none"/>
                      <w:u w:val="none"/>
                      <w:lang w:val="en-US" w:eastAsia="zh-CN" w:bidi="ar"/>
                    </w:rPr>
                    <w:t>48</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13A3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58BC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50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70EA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EFC4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r>
            <w:tr w14:paraId="5EF25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DC81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6</w:t>
                  </w:r>
                  <w:r>
                    <w:rPr>
                      <w:rFonts w:hint="default" w:ascii="Times New Roman" w:hAnsi="Times New Roman" w:eastAsia="宋体" w:cs="Times New Roman"/>
                      <w:i w:val="0"/>
                      <w:iCs w:val="0"/>
                      <w:color w:val="auto"/>
                      <w:kern w:val="0"/>
                      <w:sz w:val="21"/>
                      <w:szCs w:val="21"/>
                      <w:highlight w:val="none"/>
                      <w:u w:val="none"/>
                      <w:lang w:val="en-US" w:eastAsia="zh-CN" w:bidi="ar"/>
                    </w:rPr>
                    <w:t>#木厂口村</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8F0E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51</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AED9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49</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7ACA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3776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50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7D65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42DC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达标</w:t>
                  </w:r>
                </w:p>
              </w:tc>
            </w:tr>
          </w:tbl>
          <w:p w14:paraId="517D7990">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2"/>
                <w:sz w:val="21"/>
                <w:szCs w:val="21"/>
                <w:highlight w:val="none"/>
                <w:lang w:val="en-US" w:eastAsia="zh-CN" w:bidi="ar-SA"/>
              </w:rPr>
              <w:t>根据监测结果统计分析，松汀公司东、南厂界噪声满足《工业企业厂界噪声排放标准》(GB12348-2008)3类标准限值要求。周边敏感点曹庄子村和木厂口村监测点</w:t>
            </w:r>
            <w:r>
              <w:rPr>
                <w:rFonts w:hint="default" w:ascii="Times New Roman" w:hAnsi="Times New Roman" w:eastAsia="宋体" w:cs="Times New Roman"/>
                <w:color w:val="auto"/>
                <w:kern w:val="2"/>
                <w:sz w:val="21"/>
                <w:szCs w:val="21"/>
                <w:highlight w:val="none"/>
              </w:rPr>
              <w:t>满足《声环境质量标准》(GB3096-2008)2类标准要求。</w:t>
            </w:r>
          </w:p>
          <w:p w14:paraId="473F7F4E">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3.4固废</w:t>
            </w:r>
          </w:p>
          <w:p w14:paraId="218E0F7A">
            <w:pPr>
              <w:pStyle w:val="161"/>
              <w:spacing w:line="360" w:lineRule="auto"/>
              <w:ind w:firstLine="420"/>
              <w:jc w:val="both"/>
              <w:rPr>
                <w:rFonts w:hint="default" w:ascii="Times New Roman" w:hAnsi="Times New Roman" w:eastAsia="宋体" w:cs="Times New Roman"/>
                <w:b w:val="0"/>
                <w:bCs/>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现有</w:t>
            </w:r>
            <w:r>
              <w:rPr>
                <w:rFonts w:hint="default" w:ascii="Times New Roman" w:hAnsi="Times New Roman" w:eastAsia="宋体" w:cs="Times New Roman"/>
                <w:b w:val="0"/>
                <w:bCs/>
                <w:color w:val="auto"/>
                <w:kern w:val="0"/>
                <w:sz w:val="21"/>
                <w:szCs w:val="21"/>
                <w:highlight w:val="none"/>
                <w:lang w:val="en-US" w:eastAsia="zh-CN"/>
              </w:rPr>
              <w:t>固体</w:t>
            </w:r>
            <w:r>
              <w:rPr>
                <w:rFonts w:hint="default" w:ascii="Times New Roman" w:hAnsi="Times New Roman" w:eastAsia="宋体" w:cs="Times New Roman"/>
                <w:b w:val="0"/>
                <w:bCs/>
                <w:color w:val="auto"/>
                <w:sz w:val="21"/>
                <w:szCs w:val="21"/>
                <w:highlight w:val="none"/>
              </w:rPr>
              <w:t>废物产生及处置一览</w:t>
            </w:r>
            <w:r>
              <w:rPr>
                <w:rFonts w:hint="default" w:ascii="Times New Roman" w:hAnsi="Times New Roman" w:eastAsia="宋体" w:cs="Times New Roman"/>
                <w:b w:val="0"/>
                <w:bCs/>
                <w:color w:val="auto"/>
                <w:sz w:val="21"/>
                <w:szCs w:val="21"/>
                <w:highlight w:val="none"/>
                <w:lang w:val="en-US" w:eastAsia="zh-CN"/>
              </w:rPr>
              <w:t>表见下表。</w:t>
            </w:r>
          </w:p>
          <w:p w14:paraId="610B13F2">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表</w:t>
            </w:r>
            <w:r>
              <w:rPr>
                <w:rFonts w:hint="eastAsia" w:cs="Times New Roman"/>
                <w:b/>
                <w:color w:val="auto"/>
                <w:sz w:val="21"/>
                <w:szCs w:val="21"/>
                <w:highlight w:val="none"/>
                <w:lang w:val="en-US" w:eastAsia="zh-CN"/>
              </w:rPr>
              <w:t>2-11</w:t>
            </w:r>
            <w:r>
              <w:rPr>
                <w:rFonts w:hint="default" w:ascii="Times New Roman" w:hAnsi="Times New Roman" w:eastAsia="宋体" w:cs="Times New Roman"/>
                <w:b/>
                <w:color w:val="auto"/>
                <w:sz w:val="21"/>
                <w:szCs w:val="21"/>
                <w:highlight w:val="none"/>
              </w:rPr>
              <w:t xml:space="preserve">    现有工程固体废物产生及处置一览表</w:t>
            </w:r>
          </w:p>
          <w:tbl>
            <w:tblPr>
              <w:tblStyle w:val="84"/>
              <w:tblW w:w="4997"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97"/>
              <w:gridCol w:w="299"/>
              <w:gridCol w:w="922"/>
              <w:gridCol w:w="1294"/>
              <w:gridCol w:w="1094"/>
              <w:gridCol w:w="973"/>
              <w:gridCol w:w="2226"/>
              <w:gridCol w:w="1301"/>
            </w:tblGrid>
            <w:tr w14:paraId="7A895E1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77" w:type="pct"/>
                  <w:noWrap w:val="0"/>
                  <w:tcMar>
                    <w:left w:w="28" w:type="dxa"/>
                    <w:right w:w="28" w:type="dxa"/>
                  </w:tcMar>
                  <w:vAlign w:val="center"/>
                </w:tcPr>
                <w:p w14:paraId="44A804B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工序</w:t>
                  </w:r>
                </w:p>
              </w:tc>
              <w:tc>
                <w:tcPr>
                  <w:tcW w:w="178" w:type="pct"/>
                  <w:noWrap w:val="0"/>
                  <w:tcMar>
                    <w:left w:w="28" w:type="dxa"/>
                    <w:right w:w="28" w:type="dxa"/>
                  </w:tcMar>
                  <w:vAlign w:val="center"/>
                </w:tcPr>
                <w:p w14:paraId="2D3B5E6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548" w:type="pct"/>
                  <w:noWrap w:val="0"/>
                  <w:vAlign w:val="center"/>
                </w:tcPr>
                <w:p w14:paraId="38E6129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固废</w:t>
                  </w:r>
                </w:p>
                <w:p w14:paraId="2852911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名称</w:t>
                  </w:r>
                </w:p>
              </w:tc>
              <w:tc>
                <w:tcPr>
                  <w:tcW w:w="769" w:type="pct"/>
                  <w:noWrap w:val="0"/>
                  <w:vAlign w:val="center"/>
                </w:tcPr>
                <w:p w14:paraId="233783C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固废类别</w:t>
                  </w:r>
                </w:p>
              </w:tc>
              <w:tc>
                <w:tcPr>
                  <w:tcW w:w="650" w:type="pct"/>
                  <w:noWrap w:val="0"/>
                  <w:tcMar>
                    <w:left w:w="28" w:type="dxa"/>
                    <w:right w:w="28" w:type="dxa"/>
                  </w:tcMar>
                  <w:vAlign w:val="center"/>
                </w:tcPr>
                <w:p w14:paraId="57BE6FD0">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产生量</w:t>
                  </w:r>
                </w:p>
                <w:p w14:paraId="435933C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(万t/a)</w:t>
                  </w:r>
                </w:p>
              </w:tc>
              <w:tc>
                <w:tcPr>
                  <w:tcW w:w="578" w:type="pct"/>
                  <w:noWrap w:val="0"/>
                  <w:vAlign w:val="center"/>
                </w:tcPr>
                <w:p w14:paraId="593D9F7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储存</w:t>
                  </w:r>
                </w:p>
                <w:p w14:paraId="7EC6897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方式</w:t>
                  </w:r>
                </w:p>
              </w:tc>
              <w:tc>
                <w:tcPr>
                  <w:tcW w:w="1323" w:type="pct"/>
                  <w:noWrap w:val="0"/>
                  <w:vAlign w:val="center"/>
                </w:tcPr>
                <w:p w14:paraId="11C392E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处置措施</w:t>
                  </w:r>
                </w:p>
              </w:tc>
              <w:tc>
                <w:tcPr>
                  <w:tcW w:w="773" w:type="pct"/>
                  <w:noWrap w:val="0"/>
                  <w:vAlign w:val="center"/>
                </w:tcPr>
                <w:p w14:paraId="6131C2C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转移方式</w:t>
                  </w:r>
                </w:p>
              </w:tc>
            </w:tr>
            <w:tr w14:paraId="5B2D301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restart"/>
                  <w:noWrap w:val="0"/>
                  <w:tcMar>
                    <w:left w:w="28" w:type="dxa"/>
                    <w:right w:w="28" w:type="dxa"/>
                  </w:tcMar>
                  <w:vAlign w:val="center"/>
                </w:tcPr>
                <w:p w14:paraId="1265F28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烧结</w:t>
                  </w:r>
                </w:p>
              </w:tc>
              <w:tc>
                <w:tcPr>
                  <w:tcW w:w="178" w:type="pct"/>
                  <w:noWrap w:val="0"/>
                  <w:tcMar>
                    <w:left w:w="28" w:type="dxa"/>
                    <w:right w:w="28" w:type="dxa"/>
                  </w:tcMar>
                  <w:vAlign w:val="center"/>
                </w:tcPr>
                <w:p w14:paraId="0B00419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548" w:type="pct"/>
                  <w:noWrap w:val="0"/>
                  <w:vAlign w:val="center"/>
                </w:tcPr>
                <w:p w14:paraId="1E71374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除尘灰</w:t>
                  </w:r>
                </w:p>
              </w:tc>
              <w:tc>
                <w:tcPr>
                  <w:tcW w:w="769" w:type="pct"/>
                  <w:noWrap w:val="0"/>
                  <w:vAlign w:val="center"/>
                </w:tcPr>
                <w:p w14:paraId="3DC71D6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1F2BDFC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2.226</w:t>
                  </w:r>
                </w:p>
              </w:tc>
              <w:tc>
                <w:tcPr>
                  <w:tcW w:w="578" w:type="pct"/>
                  <w:noWrap w:val="0"/>
                  <w:vAlign w:val="center"/>
                </w:tcPr>
                <w:p w14:paraId="33B04DF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灰仓</w:t>
                  </w:r>
                </w:p>
              </w:tc>
              <w:tc>
                <w:tcPr>
                  <w:tcW w:w="1323" w:type="pct"/>
                  <w:noWrap w:val="0"/>
                  <w:vAlign w:val="center"/>
                </w:tcPr>
                <w:p w14:paraId="0E49563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返回烧结配料工序</w:t>
                  </w:r>
                </w:p>
                <w:p w14:paraId="7F5EC780">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利用</w:t>
                  </w:r>
                </w:p>
              </w:tc>
              <w:tc>
                <w:tcPr>
                  <w:tcW w:w="773" w:type="pct"/>
                  <w:noWrap w:val="0"/>
                  <w:vAlign w:val="center"/>
                </w:tcPr>
                <w:p w14:paraId="706EC51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汽车</w:t>
                  </w:r>
                </w:p>
              </w:tc>
            </w:tr>
            <w:tr w14:paraId="71543F0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5F899B2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6C76CA7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548" w:type="pct"/>
                  <w:noWrap w:val="0"/>
                  <w:vAlign w:val="center"/>
                </w:tcPr>
                <w:p w14:paraId="012B1CF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脱硫</w:t>
                  </w:r>
                </w:p>
                <w:p w14:paraId="230656D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产物</w:t>
                  </w:r>
                </w:p>
              </w:tc>
              <w:tc>
                <w:tcPr>
                  <w:tcW w:w="769" w:type="pct"/>
                  <w:noWrap w:val="0"/>
                  <w:vAlign w:val="center"/>
                </w:tcPr>
                <w:p w14:paraId="7638064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2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709B151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1.717</w:t>
                  </w:r>
                </w:p>
              </w:tc>
              <w:tc>
                <w:tcPr>
                  <w:tcW w:w="578" w:type="pct"/>
                  <w:noWrap w:val="0"/>
                  <w:vAlign w:val="center"/>
                </w:tcPr>
                <w:p w14:paraId="396C506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石膏间</w:t>
                  </w:r>
                </w:p>
              </w:tc>
              <w:tc>
                <w:tcPr>
                  <w:tcW w:w="1323" w:type="pct"/>
                  <w:noWrap w:val="0"/>
                  <w:vAlign w:val="center"/>
                </w:tcPr>
                <w:p w14:paraId="04F78F5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外售建材企业综合</w:t>
                  </w:r>
                </w:p>
                <w:p w14:paraId="692AD8A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利用</w:t>
                  </w:r>
                </w:p>
              </w:tc>
              <w:tc>
                <w:tcPr>
                  <w:tcW w:w="773" w:type="pct"/>
                  <w:noWrap w:val="0"/>
                  <w:vAlign w:val="center"/>
                </w:tcPr>
                <w:p w14:paraId="5E9B6EA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r w14:paraId="557851B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restart"/>
                  <w:noWrap w:val="0"/>
                  <w:tcMar>
                    <w:left w:w="28" w:type="dxa"/>
                    <w:right w:w="28" w:type="dxa"/>
                  </w:tcMar>
                  <w:vAlign w:val="center"/>
                </w:tcPr>
                <w:p w14:paraId="772C9B5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球团</w:t>
                  </w:r>
                </w:p>
              </w:tc>
              <w:tc>
                <w:tcPr>
                  <w:tcW w:w="178" w:type="pct"/>
                  <w:noWrap w:val="0"/>
                  <w:tcMar>
                    <w:left w:w="28" w:type="dxa"/>
                    <w:right w:w="28" w:type="dxa"/>
                  </w:tcMar>
                  <w:vAlign w:val="center"/>
                </w:tcPr>
                <w:p w14:paraId="5681752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548" w:type="pct"/>
                  <w:noWrap w:val="0"/>
                  <w:vAlign w:val="center"/>
                </w:tcPr>
                <w:p w14:paraId="76FA6F0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除尘灰</w:t>
                  </w:r>
                </w:p>
              </w:tc>
              <w:tc>
                <w:tcPr>
                  <w:tcW w:w="769" w:type="pct"/>
                  <w:noWrap w:val="0"/>
                  <w:vAlign w:val="center"/>
                </w:tcPr>
                <w:p w14:paraId="27B842F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79982AE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1.393</w:t>
                  </w:r>
                </w:p>
              </w:tc>
              <w:tc>
                <w:tcPr>
                  <w:tcW w:w="578" w:type="pct"/>
                  <w:noWrap w:val="0"/>
                  <w:vAlign w:val="center"/>
                </w:tcPr>
                <w:p w14:paraId="6AE4C9C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灰仓</w:t>
                  </w:r>
                </w:p>
              </w:tc>
              <w:tc>
                <w:tcPr>
                  <w:tcW w:w="1323" w:type="pct"/>
                  <w:noWrap w:val="0"/>
                  <w:vAlign w:val="center"/>
                </w:tcPr>
                <w:p w14:paraId="027B45E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744C5DB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r w14:paraId="4BD5A45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2B7ACBF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274D222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548" w:type="pct"/>
                  <w:noWrap w:val="0"/>
                  <w:vAlign w:val="center"/>
                </w:tcPr>
                <w:p w14:paraId="5A8AC41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脱硫</w:t>
                  </w:r>
                </w:p>
                <w:p w14:paraId="35619CB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产物</w:t>
                  </w:r>
                </w:p>
              </w:tc>
              <w:tc>
                <w:tcPr>
                  <w:tcW w:w="769" w:type="pct"/>
                  <w:noWrap w:val="0"/>
                  <w:vAlign w:val="center"/>
                </w:tcPr>
                <w:p w14:paraId="717CA18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58C3FD1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0.214</w:t>
                  </w:r>
                </w:p>
              </w:tc>
              <w:tc>
                <w:tcPr>
                  <w:tcW w:w="578" w:type="pct"/>
                  <w:noWrap w:val="0"/>
                  <w:vAlign w:val="center"/>
                </w:tcPr>
                <w:p w14:paraId="3897757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石膏间</w:t>
                  </w:r>
                </w:p>
              </w:tc>
              <w:tc>
                <w:tcPr>
                  <w:tcW w:w="1323" w:type="pct"/>
                  <w:noWrap w:val="0"/>
                  <w:vAlign w:val="center"/>
                </w:tcPr>
                <w:p w14:paraId="6259DCE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外售建材企业综合</w:t>
                  </w:r>
                </w:p>
                <w:p w14:paraId="04DFA4F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利用</w:t>
                  </w:r>
                </w:p>
              </w:tc>
              <w:tc>
                <w:tcPr>
                  <w:tcW w:w="773" w:type="pct"/>
                  <w:noWrap w:val="0"/>
                  <w:vAlign w:val="center"/>
                </w:tcPr>
                <w:p w14:paraId="22623F2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r w14:paraId="72949F0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restart"/>
                  <w:noWrap w:val="0"/>
                  <w:tcMar>
                    <w:left w:w="28" w:type="dxa"/>
                    <w:right w:w="28" w:type="dxa"/>
                  </w:tcMar>
                  <w:vAlign w:val="center"/>
                </w:tcPr>
                <w:p w14:paraId="3A10A43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炼铁</w:t>
                  </w:r>
                </w:p>
              </w:tc>
              <w:tc>
                <w:tcPr>
                  <w:tcW w:w="178" w:type="pct"/>
                  <w:noWrap w:val="0"/>
                  <w:tcMar>
                    <w:left w:w="28" w:type="dxa"/>
                    <w:right w:w="28" w:type="dxa"/>
                  </w:tcMar>
                  <w:vAlign w:val="center"/>
                </w:tcPr>
                <w:p w14:paraId="43ADF74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548" w:type="pct"/>
                  <w:noWrap w:val="0"/>
                  <w:vAlign w:val="center"/>
                </w:tcPr>
                <w:p w14:paraId="4F58AE7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除尘灰</w:t>
                  </w:r>
                </w:p>
              </w:tc>
              <w:tc>
                <w:tcPr>
                  <w:tcW w:w="769" w:type="pct"/>
                  <w:noWrap w:val="0"/>
                  <w:vAlign w:val="center"/>
                </w:tcPr>
                <w:p w14:paraId="134B2CE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376953B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3.333</w:t>
                  </w:r>
                </w:p>
              </w:tc>
              <w:tc>
                <w:tcPr>
                  <w:tcW w:w="578" w:type="pct"/>
                  <w:noWrap w:val="0"/>
                  <w:vAlign w:val="center"/>
                </w:tcPr>
                <w:p w14:paraId="4B526C6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灰仓</w:t>
                  </w:r>
                </w:p>
              </w:tc>
              <w:tc>
                <w:tcPr>
                  <w:tcW w:w="1323" w:type="pct"/>
                  <w:noWrap w:val="0"/>
                  <w:vAlign w:val="center"/>
                </w:tcPr>
                <w:p w14:paraId="1CE0794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3B3EBA00">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密闭罐车</w:t>
                  </w:r>
                </w:p>
              </w:tc>
            </w:tr>
            <w:tr w14:paraId="2AF235C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1309EA8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1A42433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548" w:type="pct"/>
                  <w:noWrap w:val="0"/>
                  <w:vAlign w:val="center"/>
                </w:tcPr>
                <w:p w14:paraId="6A83C23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瓦斯灰</w:t>
                  </w:r>
                </w:p>
              </w:tc>
              <w:tc>
                <w:tcPr>
                  <w:tcW w:w="769" w:type="pct"/>
                  <w:noWrap w:val="0"/>
                  <w:vAlign w:val="center"/>
                </w:tcPr>
                <w:p w14:paraId="400C8E7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2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1348010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2.982</w:t>
                  </w:r>
                </w:p>
              </w:tc>
              <w:tc>
                <w:tcPr>
                  <w:tcW w:w="578" w:type="pct"/>
                  <w:noWrap w:val="0"/>
                  <w:vAlign w:val="center"/>
                </w:tcPr>
                <w:p w14:paraId="47A4F3E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灰仓</w:t>
                  </w:r>
                </w:p>
              </w:tc>
              <w:tc>
                <w:tcPr>
                  <w:tcW w:w="1323" w:type="pct"/>
                  <w:noWrap w:val="0"/>
                  <w:vAlign w:val="center"/>
                </w:tcPr>
                <w:p w14:paraId="226784F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4005E1B0">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密闭罐车</w:t>
                  </w:r>
                </w:p>
              </w:tc>
            </w:tr>
            <w:tr w14:paraId="6669ECD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637AAA0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3FBCD60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w:t>
                  </w:r>
                </w:p>
              </w:tc>
              <w:tc>
                <w:tcPr>
                  <w:tcW w:w="548" w:type="pct"/>
                  <w:noWrap w:val="0"/>
                  <w:vAlign w:val="center"/>
                </w:tcPr>
                <w:p w14:paraId="4388CDF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高炉</w:t>
                  </w:r>
                </w:p>
                <w:p w14:paraId="045C099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水渣</w:t>
                  </w:r>
                </w:p>
              </w:tc>
              <w:tc>
                <w:tcPr>
                  <w:tcW w:w="769" w:type="pct"/>
                  <w:noWrap w:val="0"/>
                  <w:vAlign w:val="center"/>
                </w:tcPr>
                <w:p w14:paraId="791A9B7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62F8F99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95.48</w:t>
                  </w:r>
                </w:p>
              </w:tc>
              <w:tc>
                <w:tcPr>
                  <w:tcW w:w="578" w:type="pct"/>
                  <w:noWrap w:val="0"/>
                  <w:vAlign w:val="center"/>
                </w:tcPr>
                <w:p w14:paraId="559EB16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水渣间</w:t>
                  </w:r>
                </w:p>
              </w:tc>
              <w:tc>
                <w:tcPr>
                  <w:tcW w:w="1323" w:type="pct"/>
                  <w:noWrap w:val="0"/>
                  <w:vAlign w:val="center"/>
                </w:tcPr>
                <w:p w14:paraId="3880E7F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外售建材企业</w:t>
                  </w:r>
                </w:p>
                <w:p w14:paraId="2B56DA6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综合利用</w:t>
                  </w:r>
                </w:p>
              </w:tc>
              <w:tc>
                <w:tcPr>
                  <w:tcW w:w="773" w:type="pct"/>
                  <w:noWrap w:val="0"/>
                  <w:vAlign w:val="center"/>
                </w:tcPr>
                <w:p w14:paraId="40963ED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r w14:paraId="17D5B33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restart"/>
                  <w:noWrap w:val="0"/>
                  <w:tcMar>
                    <w:left w:w="28" w:type="dxa"/>
                    <w:right w:w="28" w:type="dxa"/>
                  </w:tcMar>
                  <w:vAlign w:val="center"/>
                </w:tcPr>
                <w:p w14:paraId="791EBF7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炼钢</w:t>
                  </w:r>
                </w:p>
              </w:tc>
              <w:tc>
                <w:tcPr>
                  <w:tcW w:w="178" w:type="pct"/>
                  <w:noWrap w:val="0"/>
                  <w:tcMar>
                    <w:left w:w="28" w:type="dxa"/>
                    <w:right w:w="28" w:type="dxa"/>
                  </w:tcMar>
                  <w:vAlign w:val="center"/>
                </w:tcPr>
                <w:p w14:paraId="5560A49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548" w:type="pct"/>
                  <w:noWrap w:val="0"/>
                  <w:vAlign w:val="center"/>
                </w:tcPr>
                <w:p w14:paraId="34CDAB1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除尘灰</w:t>
                  </w:r>
                </w:p>
              </w:tc>
              <w:tc>
                <w:tcPr>
                  <w:tcW w:w="769" w:type="pct"/>
                  <w:noWrap w:val="0"/>
                  <w:vAlign w:val="center"/>
                </w:tcPr>
                <w:p w14:paraId="342EC2A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5FAC127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4.039</w:t>
                  </w:r>
                </w:p>
              </w:tc>
              <w:tc>
                <w:tcPr>
                  <w:tcW w:w="578" w:type="pct"/>
                  <w:noWrap w:val="0"/>
                  <w:vAlign w:val="center"/>
                </w:tcPr>
                <w:p w14:paraId="4AF27AE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灰仓</w:t>
                  </w:r>
                </w:p>
              </w:tc>
              <w:tc>
                <w:tcPr>
                  <w:tcW w:w="1323" w:type="pct"/>
                  <w:noWrap w:val="0"/>
                  <w:vAlign w:val="center"/>
                </w:tcPr>
                <w:p w14:paraId="1D290C7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706C71D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汽车 </w:t>
                  </w:r>
                </w:p>
              </w:tc>
            </w:tr>
            <w:tr w14:paraId="471131E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1F6DE40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5A880A90">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548" w:type="pct"/>
                  <w:noWrap w:val="0"/>
                  <w:vAlign w:val="center"/>
                </w:tcPr>
                <w:p w14:paraId="00CBD6B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氧化</w:t>
                  </w:r>
                </w:p>
                <w:p w14:paraId="0D83F57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铁皮</w:t>
                  </w:r>
                </w:p>
              </w:tc>
              <w:tc>
                <w:tcPr>
                  <w:tcW w:w="769" w:type="pct"/>
                  <w:noWrap w:val="0"/>
                  <w:vAlign w:val="center"/>
                </w:tcPr>
                <w:p w14:paraId="603D28A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2D1727B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1.957</w:t>
                  </w:r>
                </w:p>
              </w:tc>
              <w:tc>
                <w:tcPr>
                  <w:tcW w:w="578" w:type="pct"/>
                  <w:noWrap w:val="0"/>
                  <w:vAlign w:val="center"/>
                </w:tcPr>
                <w:p w14:paraId="418A64B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车间内</w:t>
                  </w:r>
                </w:p>
              </w:tc>
              <w:tc>
                <w:tcPr>
                  <w:tcW w:w="1323" w:type="pct"/>
                  <w:noWrap w:val="0"/>
                  <w:vAlign w:val="center"/>
                </w:tcPr>
                <w:p w14:paraId="0CE47DB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76A22DF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r w14:paraId="47B19E2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0D42249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7EF10E5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w:t>
                  </w:r>
                </w:p>
              </w:tc>
              <w:tc>
                <w:tcPr>
                  <w:tcW w:w="548" w:type="pct"/>
                  <w:noWrap w:val="0"/>
                  <w:vAlign w:val="center"/>
                </w:tcPr>
                <w:p w14:paraId="44D6084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钢渣</w:t>
                  </w:r>
                </w:p>
              </w:tc>
              <w:tc>
                <w:tcPr>
                  <w:tcW w:w="769" w:type="pct"/>
                  <w:noWrap w:val="0"/>
                  <w:vAlign w:val="center"/>
                </w:tcPr>
                <w:p w14:paraId="7D82572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2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0C77CD2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43.56</w:t>
                  </w:r>
                </w:p>
              </w:tc>
              <w:tc>
                <w:tcPr>
                  <w:tcW w:w="578" w:type="pct"/>
                  <w:noWrap w:val="0"/>
                  <w:vAlign w:val="center"/>
                </w:tcPr>
                <w:p w14:paraId="7D730AE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车间内</w:t>
                  </w:r>
                </w:p>
              </w:tc>
              <w:tc>
                <w:tcPr>
                  <w:tcW w:w="1323" w:type="pct"/>
                  <w:noWrap w:val="0"/>
                  <w:vAlign w:val="center"/>
                </w:tcPr>
                <w:p w14:paraId="793EB2F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外售钢渣处理厂</w:t>
                  </w:r>
                </w:p>
                <w:p w14:paraId="4074F0F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综合利用</w:t>
                  </w:r>
                </w:p>
              </w:tc>
              <w:tc>
                <w:tcPr>
                  <w:tcW w:w="773" w:type="pct"/>
                  <w:noWrap w:val="0"/>
                  <w:vAlign w:val="center"/>
                </w:tcPr>
                <w:p w14:paraId="1515ECF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r w14:paraId="339610A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21434EB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1005F64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w:t>
                  </w:r>
                </w:p>
              </w:tc>
              <w:tc>
                <w:tcPr>
                  <w:tcW w:w="548" w:type="pct"/>
                  <w:noWrap w:val="0"/>
                  <w:vAlign w:val="center"/>
                </w:tcPr>
                <w:p w14:paraId="39E5D33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含铁</w:t>
                  </w:r>
                </w:p>
                <w:p w14:paraId="3373061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尘泥</w:t>
                  </w:r>
                </w:p>
              </w:tc>
              <w:tc>
                <w:tcPr>
                  <w:tcW w:w="769" w:type="pct"/>
                  <w:noWrap w:val="0"/>
                  <w:vAlign w:val="center"/>
                </w:tcPr>
                <w:p w14:paraId="65EC092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2B13B16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7.298</w:t>
                  </w:r>
                </w:p>
              </w:tc>
              <w:tc>
                <w:tcPr>
                  <w:tcW w:w="578" w:type="pct"/>
                  <w:noWrap w:val="0"/>
                  <w:vAlign w:val="center"/>
                </w:tcPr>
                <w:p w14:paraId="3B617960">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车间内</w:t>
                  </w:r>
                </w:p>
              </w:tc>
              <w:tc>
                <w:tcPr>
                  <w:tcW w:w="1323" w:type="pct"/>
                  <w:noWrap w:val="0"/>
                  <w:vAlign w:val="center"/>
                </w:tcPr>
                <w:p w14:paraId="61B8085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37AFA1C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r w14:paraId="0244F96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noWrap w:val="0"/>
                  <w:tcMar>
                    <w:left w:w="28" w:type="dxa"/>
                    <w:right w:w="28" w:type="dxa"/>
                  </w:tcMar>
                  <w:vAlign w:val="center"/>
                </w:tcPr>
                <w:p w14:paraId="10F5F41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白灰</w:t>
                  </w:r>
                </w:p>
              </w:tc>
              <w:tc>
                <w:tcPr>
                  <w:tcW w:w="178" w:type="pct"/>
                  <w:noWrap w:val="0"/>
                  <w:tcMar>
                    <w:left w:w="28" w:type="dxa"/>
                    <w:right w:w="28" w:type="dxa"/>
                  </w:tcMar>
                  <w:vAlign w:val="center"/>
                </w:tcPr>
                <w:p w14:paraId="15CC9DE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548" w:type="pct"/>
                  <w:noWrap w:val="0"/>
                  <w:vAlign w:val="center"/>
                </w:tcPr>
                <w:p w14:paraId="13EABCA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除尘灰</w:t>
                  </w:r>
                </w:p>
              </w:tc>
              <w:tc>
                <w:tcPr>
                  <w:tcW w:w="769" w:type="pct"/>
                  <w:noWrap w:val="0"/>
                  <w:vAlign w:val="center"/>
                </w:tcPr>
                <w:p w14:paraId="3033AD1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4E8534B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1.068</w:t>
                  </w:r>
                </w:p>
              </w:tc>
              <w:tc>
                <w:tcPr>
                  <w:tcW w:w="578" w:type="pct"/>
                  <w:noWrap w:val="0"/>
                  <w:vAlign w:val="center"/>
                </w:tcPr>
                <w:p w14:paraId="099D213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color w:val="auto"/>
                      <w:sz w:val="21"/>
                      <w:szCs w:val="21"/>
                      <w:highlight w:val="none"/>
                    </w:rPr>
                    <w:t>灰仓</w:t>
                  </w:r>
                </w:p>
              </w:tc>
              <w:tc>
                <w:tcPr>
                  <w:tcW w:w="1323" w:type="pct"/>
                  <w:noWrap w:val="0"/>
                  <w:vAlign w:val="center"/>
                </w:tcPr>
                <w:p w14:paraId="5893426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6D45C9B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汽车</w:t>
                  </w:r>
                </w:p>
              </w:tc>
            </w:tr>
            <w:tr w14:paraId="30FB20A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PrEx>
              <w:trPr>
                <w:trHeight w:val="397" w:hRule="atLeast"/>
                <w:jc w:val="center"/>
              </w:trPr>
              <w:tc>
                <w:tcPr>
                  <w:tcW w:w="177" w:type="pct"/>
                  <w:vMerge w:val="restart"/>
                  <w:noWrap w:val="0"/>
                  <w:tcMar>
                    <w:left w:w="28" w:type="dxa"/>
                    <w:right w:w="28" w:type="dxa"/>
                  </w:tcMar>
                  <w:vAlign w:val="center"/>
                </w:tcPr>
                <w:p w14:paraId="40A3ED6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轧钢</w:t>
                  </w:r>
                </w:p>
              </w:tc>
              <w:tc>
                <w:tcPr>
                  <w:tcW w:w="178" w:type="pct"/>
                  <w:noWrap w:val="0"/>
                  <w:tcMar>
                    <w:left w:w="28" w:type="dxa"/>
                    <w:right w:w="28" w:type="dxa"/>
                  </w:tcMar>
                  <w:vAlign w:val="center"/>
                </w:tcPr>
                <w:p w14:paraId="7D5CA35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548" w:type="pct"/>
                  <w:noWrap w:val="0"/>
                  <w:vAlign w:val="center"/>
                </w:tcPr>
                <w:p w14:paraId="5DA0484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废钢</w:t>
                  </w:r>
                </w:p>
              </w:tc>
              <w:tc>
                <w:tcPr>
                  <w:tcW w:w="769" w:type="pct"/>
                  <w:noWrap w:val="0"/>
                  <w:vAlign w:val="center"/>
                </w:tcPr>
                <w:p w14:paraId="1F396BA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46915D2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1.29 </w:t>
                  </w:r>
                </w:p>
              </w:tc>
              <w:tc>
                <w:tcPr>
                  <w:tcW w:w="578" w:type="pct"/>
                  <w:noWrap w:val="0"/>
                  <w:vAlign w:val="center"/>
                </w:tcPr>
                <w:p w14:paraId="1471D47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车间内</w:t>
                  </w:r>
                </w:p>
              </w:tc>
              <w:tc>
                <w:tcPr>
                  <w:tcW w:w="1323" w:type="pct"/>
                  <w:noWrap w:val="0"/>
                  <w:vAlign w:val="center"/>
                </w:tcPr>
                <w:p w14:paraId="38896C3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炼钢工序</w:t>
                  </w:r>
                </w:p>
              </w:tc>
              <w:tc>
                <w:tcPr>
                  <w:tcW w:w="773" w:type="pct"/>
                  <w:noWrap w:val="0"/>
                  <w:vAlign w:val="center"/>
                </w:tcPr>
                <w:p w14:paraId="51F2F2A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汽车</w:t>
                  </w:r>
                </w:p>
              </w:tc>
            </w:tr>
            <w:tr w14:paraId="4021E0B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14FF66E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p>
              </w:tc>
              <w:tc>
                <w:tcPr>
                  <w:tcW w:w="178" w:type="pct"/>
                  <w:noWrap w:val="0"/>
                  <w:tcMar>
                    <w:left w:w="28" w:type="dxa"/>
                    <w:right w:w="28" w:type="dxa"/>
                  </w:tcMar>
                  <w:vAlign w:val="center"/>
                </w:tcPr>
                <w:p w14:paraId="11B94430">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548" w:type="pct"/>
                  <w:noWrap w:val="0"/>
                  <w:vAlign w:val="center"/>
                </w:tcPr>
                <w:p w14:paraId="258D0FE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氧化铁皮</w:t>
                  </w:r>
                </w:p>
              </w:tc>
              <w:tc>
                <w:tcPr>
                  <w:tcW w:w="769" w:type="pct"/>
                  <w:noWrap w:val="0"/>
                  <w:vAlign w:val="center"/>
                </w:tcPr>
                <w:p w14:paraId="1ED6E81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36E7209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0.564 </w:t>
                  </w:r>
                </w:p>
              </w:tc>
              <w:tc>
                <w:tcPr>
                  <w:tcW w:w="578" w:type="pct"/>
                  <w:noWrap w:val="0"/>
                  <w:vAlign w:val="center"/>
                </w:tcPr>
                <w:p w14:paraId="5C57644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车间内</w:t>
                  </w:r>
                </w:p>
              </w:tc>
              <w:tc>
                <w:tcPr>
                  <w:tcW w:w="1323" w:type="pct"/>
                  <w:noWrap w:val="0"/>
                  <w:vAlign w:val="center"/>
                </w:tcPr>
                <w:p w14:paraId="15A73AC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730910E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汽车</w:t>
                  </w:r>
                </w:p>
              </w:tc>
            </w:tr>
            <w:tr w14:paraId="48023BE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390BC50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p>
              </w:tc>
              <w:tc>
                <w:tcPr>
                  <w:tcW w:w="178" w:type="pct"/>
                  <w:noWrap w:val="0"/>
                  <w:tcMar>
                    <w:left w:w="28" w:type="dxa"/>
                    <w:right w:w="28" w:type="dxa"/>
                  </w:tcMar>
                  <w:vAlign w:val="center"/>
                </w:tcPr>
                <w:p w14:paraId="142F3BC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548" w:type="pct"/>
                  <w:noWrap w:val="0"/>
                  <w:vAlign w:val="center"/>
                </w:tcPr>
                <w:p w14:paraId="7716984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含铁污泥</w:t>
                  </w:r>
                </w:p>
              </w:tc>
              <w:tc>
                <w:tcPr>
                  <w:tcW w:w="769" w:type="pct"/>
                  <w:noWrap w:val="0"/>
                  <w:vAlign w:val="center"/>
                </w:tcPr>
                <w:p w14:paraId="2461742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74B1901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0.438 </w:t>
                  </w:r>
                </w:p>
              </w:tc>
              <w:tc>
                <w:tcPr>
                  <w:tcW w:w="578" w:type="pct"/>
                  <w:noWrap w:val="0"/>
                  <w:vAlign w:val="center"/>
                </w:tcPr>
                <w:p w14:paraId="67FA935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车间内</w:t>
                  </w:r>
                </w:p>
              </w:tc>
              <w:tc>
                <w:tcPr>
                  <w:tcW w:w="1323" w:type="pct"/>
                  <w:noWrap w:val="0"/>
                  <w:vAlign w:val="center"/>
                </w:tcPr>
                <w:p w14:paraId="33AAE62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27776B2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汽车</w:t>
                  </w:r>
                </w:p>
              </w:tc>
            </w:tr>
            <w:tr w14:paraId="63DEDFF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077405D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p>
              </w:tc>
              <w:tc>
                <w:tcPr>
                  <w:tcW w:w="178" w:type="pct"/>
                  <w:noWrap w:val="0"/>
                  <w:tcMar>
                    <w:left w:w="28" w:type="dxa"/>
                    <w:right w:w="28" w:type="dxa"/>
                  </w:tcMar>
                  <w:vAlign w:val="center"/>
                </w:tcPr>
                <w:p w14:paraId="51663F1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p>
              </w:tc>
              <w:tc>
                <w:tcPr>
                  <w:tcW w:w="548" w:type="pct"/>
                  <w:noWrap w:val="0"/>
                  <w:vAlign w:val="center"/>
                </w:tcPr>
                <w:p w14:paraId="057D916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轧钢除尘灰</w:t>
                  </w:r>
                </w:p>
              </w:tc>
              <w:tc>
                <w:tcPr>
                  <w:tcW w:w="769" w:type="pct"/>
                  <w:noWrap w:val="0"/>
                  <w:vAlign w:val="center"/>
                </w:tcPr>
                <w:p w14:paraId="15DA0AE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57D700D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0.23</w:t>
                  </w:r>
                </w:p>
              </w:tc>
              <w:tc>
                <w:tcPr>
                  <w:tcW w:w="578" w:type="pct"/>
                  <w:noWrap w:val="0"/>
                  <w:vAlign w:val="center"/>
                </w:tcPr>
                <w:p w14:paraId="3DBB7F9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灰仓</w:t>
                  </w:r>
                </w:p>
              </w:tc>
              <w:tc>
                <w:tcPr>
                  <w:tcW w:w="1323" w:type="pct"/>
                  <w:noWrap w:val="0"/>
                  <w:vAlign w:val="center"/>
                </w:tcPr>
                <w:p w14:paraId="57ECC5E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1CADBA8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汽车</w:t>
                  </w:r>
                </w:p>
              </w:tc>
            </w:tr>
            <w:tr w14:paraId="3E5154B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noWrap w:val="0"/>
                  <w:tcMar>
                    <w:left w:w="28" w:type="dxa"/>
                    <w:right w:w="28" w:type="dxa"/>
                  </w:tcMar>
                  <w:vAlign w:val="center"/>
                </w:tcPr>
                <w:p w14:paraId="2BA27EA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发电</w:t>
                  </w:r>
                </w:p>
              </w:tc>
              <w:tc>
                <w:tcPr>
                  <w:tcW w:w="178" w:type="pct"/>
                  <w:noWrap w:val="0"/>
                  <w:tcMar>
                    <w:left w:w="28" w:type="dxa"/>
                    <w:right w:w="28" w:type="dxa"/>
                  </w:tcMar>
                  <w:vAlign w:val="center"/>
                </w:tcPr>
                <w:p w14:paraId="54945D1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548" w:type="pct"/>
                  <w:noWrap w:val="0"/>
                  <w:vAlign w:val="center"/>
                </w:tcPr>
                <w:p w14:paraId="5A544B7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脱硫灰</w:t>
                  </w:r>
                </w:p>
              </w:tc>
              <w:tc>
                <w:tcPr>
                  <w:tcW w:w="769" w:type="pct"/>
                  <w:noWrap w:val="0"/>
                  <w:vAlign w:val="center"/>
                </w:tcPr>
                <w:p w14:paraId="2722962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1C9B4D7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0.247</w:t>
                  </w:r>
                </w:p>
              </w:tc>
              <w:tc>
                <w:tcPr>
                  <w:tcW w:w="578" w:type="pct"/>
                  <w:noWrap w:val="0"/>
                  <w:vAlign w:val="center"/>
                </w:tcPr>
                <w:p w14:paraId="79BEFCED">
                  <w:pPr>
                    <w:keepNext w:val="0"/>
                    <w:keepLines w:val="0"/>
                    <w:pageBreakBefore w:val="0"/>
                    <w:suppressLineNumbers w:val="0"/>
                    <w:wordWrap/>
                    <w:bidi w:val="0"/>
                    <w:adjustRightInd w:val="0"/>
                    <w:snapToGrid w:val="0"/>
                    <w:spacing w:before="0" w:beforeAutospacing="0" w:after="0" w:afterAutospacing="0"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灰仓</w:t>
                  </w:r>
                </w:p>
              </w:tc>
              <w:tc>
                <w:tcPr>
                  <w:tcW w:w="1323" w:type="pct"/>
                  <w:noWrap w:val="0"/>
                  <w:vAlign w:val="center"/>
                </w:tcPr>
                <w:p w14:paraId="5C9CDF38">
                  <w:pPr>
                    <w:keepNext w:val="0"/>
                    <w:keepLines w:val="0"/>
                    <w:pageBreakBefore w:val="0"/>
                    <w:suppressLineNumbers w:val="0"/>
                    <w:wordWrap/>
                    <w:bidi w:val="0"/>
                    <w:adjustRightInd w:val="0"/>
                    <w:snapToGrid w:val="0"/>
                    <w:spacing w:before="0" w:beforeAutospacing="0" w:after="0" w:afterAutospacing="0"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外售</w:t>
                  </w:r>
                </w:p>
              </w:tc>
              <w:tc>
                <w:tcPr>
                  <w:tcW w:w="773" w:type="pct"/>
                  <w:noWrap w:val="0"/>
                  <w:vAlign w:val="center"/>
                </w:tcPr>
                <w:p w14:paraId="18B68A85">
                  <w:pPr>
                    <w:keepNext w:val="0"/>
                    <w:keepLines w:val="0"/>
                    <w:pageBreakBefore w:val="0"/>
                    <w:suppressLineNumbers w:val="0"/>
                    <w:wordWrap/>
                    <w:bidi w:val="0"/>
                    <w:adjustRightInd w:val="0"/>
                    <w:snapToGrid w:val="0"/>
                    <w:spacing w:before="0" w:beforeAutospacing="0" w:after="0" w:afterAutospacing="0" w:line="280" w:lineRule="exact"/>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汽车</w:t>
                  </w:r>
                </w:p>
              </w:tc>
            </w:tr>
            <w:tr w14:paraId="4C699E4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restart"/>
                  <w:noWrap w:val="0"/>
                  <w:tcMar>
                    <w:left w:w="28" w:type="dxa"/>
                    <w:right w:w="28" w:type="dxa"/>
                  </w:tcMar>
                  <w:vAlign w:val="center"/>
                </w:tcPr>
                <w:p w14:paraId="7D48531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其他</w:t>
                  </w:r>
                </w:p>
              </w:tc>
              <w:tc>
                <w:tcPr>
                  <w:tcW w:w="178" w:type="pct"/>
                  <w:noWrap w:val="0"/>
                  <w:tcMar>
                    <w:left w:w="28" w:type="dxa"/>
                    <w:right w:w="28" w:type="dxa"/>
                  </w:tcMar>
                  <w:vAlign w:val="center"/>
                </w:tcPr>
                <w:p w14:paraId="76DD4A19">
                  <w:pPr>
                    <w:keepNext w:val="0"/>
                    <w:keepLines w:val="0"/>
                    <w:pageBreakBefore w:val="0"/>
                    <w:suppressLineNumbers w:val="0"/>
                    <w:wordWrap/>
                    <w:bidi w:val="0"/>
                    <w:adjustRightInd w:val="0"/>
                    <w:snapToGrid w:val="0"/>
                    <w:spacing w:before="0" w:beforeAutospacing="0" w:after="0" w:afterAutospacing="0" w:line="28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548" w:type="pct"/>
                  <w:noWrap w:val="0"/>
                  <w:vAlign w:val="center"/>
                </w:tcPr>
                <w:p w14:paraId="4AAD386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废耐火材料</w:t>
                  </w:r>
                </w:p>
              </w:tc>
              <w:tc>
                <w:tcPr>
                  <w:tcW w:w="769" w:type="pct"/>
                  <w:noWrap w:val="0"/>
                  <w:vAlign w:val="center"/>
                </w:tcPr>
                <w:p w14:paraId="47B1C82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4EAA560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2.25</w:t>
                  </w:r>
                </w:p>
              </w:tc>
              <w:tc>
                <w:tcPr>
                  <w:tcW w:w="578" w:type="pct"/>
                  <w:noWrap w:val="0"/>
                  <w:vAlign w:val="center"/>
                </w:tcPr>
                <w:p w14:paraId="3D1AE91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color w:val="auto"/>
                      <w:sz w:val="21"/>
                      <w:szCs w:val="21"/>
                      <w:highlight w:val="none"/>
                    </w:rPr>
                    <w:t>车间内</w:t>
                  </w:r>
                </w:p>
              </w:tc>
              <w:tc>
                <w:tcPr>
                  <w:tcW w:w="1323" w:type="pct"/>
                  <w:noWrap w:val="0"/>
                  <w:vAlign w:val="center"/>
                </w:tcPr>
                <w:p w14:paraId="17F5BAC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由厂家回收再</w:t>
                  </w:r>
                  <w:r>
                    <w:rPr>
                      <w:rFonts w:hint="default" w:ascii="Times New Roman" w:hAnsi="Times New Roman" w:eastAsia="宋体" w:cs="Times New Roman"/>
                      <w:color w:val="auto"/>
                      <w:sz w:val="21"/>
                      <w:szCs w:val="21"/>
                      <w:highlight w:val="none"/>
                    </w:rPr>
                    <w:t>利用</w:t>
                  </w:r>
                </w:p>
              </w:tc>
              <w:tc>
                <w:tcPr>
                  <w:tcW w:w="773" w:type="pct"/>
                  <w:noWrap w:val="0"/>
                  <w:vAlign w:val="center"/>
                </w:tcPr>
                <w:p w14:paraId="51DFD86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r w14:paraId="06C2ADB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001453F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69B7DF96">
                  <w:pPr>
                    <w:keepNext w:val="0"/>
                    <w:keepLines w:val="0"/>
                    <w:pageBreakBefore w:val="0"/>
                    <w:suppressLineNumbers w:val="0"/>
                    <w:wordWrap/>
                    <w:bidi w:val="0"/>
                    <w:adjustRightInd w:val="0"/>
                    <w:snapToGrid w:val="0"/>
                    <w:spacing w:before="0" w:beforeAutospacing="0" w:after="0" w:afterAutospacing="0" w:line="28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548" w:type="pct"/>
                  <w:noWrap w:val="0"/>
                  <w:vAlign w:val="center"/>
                </w:tcPr>
                <w:p w14:paraId="2C02A5D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水处理</w:t>
                  </w:r>
                </w:p>
              </w:tc>
              <w:tc>
                <w:tcPr>
                  <w:tcW w:w="769" w:type="pct"/>
                  <w:noWrap w:val="0"/>
                  <w:vAlign w:val="center"/>
                </w:tcPr>
                <w:p w14:paraId="1A162D3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废滤芯、废渗透膜</w:t>
                  </w:r>
                </w:p>
              </w:tc>
              <w:tc>
                <w:tcPr>
                  <w:tcW w:w="650" w:type="pct"/>
                  <w:noWrap w:val="0"/>
                  <w:tcMar>
                    <w:left w:w="28" w:type="dxa"/>
                    <w:right w:w="28" w:type="dxa"/>
                  </w:tcMar>
                  <w:vAlign w:val="center"/>
                </w:tcPr>
                <w:p w14:paraId="7A22577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0.0001</w:t>
                  </w:r>
                </w:p>
              </w:tc>
              <w:tc>
                <w:tcPr>
                  <w:tcW w:w="578" w:type="pct"/>
                  <w:noWrap w:val="0"/>
                  <w:vAlign w:val="center"/>
                </w:tcPr>
                <w:p w14:paraId="63F5A31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1323" w:type="pct"/>
                  <w:noWrap w:val="0"/>
                  <w:vAlign w:val="center"/>
                </w:tcPr>
                <w:p w14:paraId="19B33EA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环卫部门处置</w:t>
                  </w:r>
                </w:p>
              </w:tc>
              <w:tc>
                <w:tcPr>
                  <w:tcW w:w="773" w:type="pct"/>
                  <w:noWrap w:val="0"/>
                  <w:vAlign w:val="center"/>
                </w:tcPr>
                <w:p w14:paraId="0A9DF1D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14:paraId="7B0ADCD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20ECD10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329F304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548" w:type="pct"/>
                  <w:noWrap w:val="0"/>
                  <w:vAlign w:val="center"/>
                </w:tcPr>
                <w:p w14:paraId="3B9D170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废机油</w:t>
                  </w:r>
                </w:p>
              </w:tc>
              <w:tc>
                <w:tcPr>
                  <w:tcW w:w="769" w:type="pct"/>
                  <w:noWrap w:val="0"/>
                  <w:vAlign w:val="center"/>
                </w:tcPr>
                <w:p w14:paraId="2B164C5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危险废物(HW08)</w:t>
                  </w:r>
                </w:p>
              </w:tc>
              <w:tc>
                <w:tcPr>
                  <w:tcW w:w="650" w:type="pct"/>
                  <w:noWrap w:val="0"/>
                  <w:tcMar>
                    <w:left w:w="28" w:type="dxa"/>
                    <w:right w:w="28" w:type="dxa"/>
                  </w:tcMar>
                  <w:vAlign w:val="center"/>
                </w:tcPr>
                <w:p w14:paraId="13D1575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11.08t/a</w:t>
                  </w:r>
                </w:p>
              </w:tc>
              <w:tc>
                <w:tcPr>
                  <w:tcW w:w="578" w:type="pct"/>
                  <w:noWrap w:val="0"/>
                  <w:vAlign w:val="center"/>
                </w:tcPr>
                <w:p w14:paraId="59CC8CA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危废间</w:t>
                  </w:r>
                </w:p>
              </w:tc>
              <w:tc>
                <w:tcPr>
                  <w:tcW w:w="1323" w:type="pct"/>
                  <w:vMerge w:val="restart"/>
                  <w:noWrap w:val="0"/>
                  <w:vAlign w:val="center"/>
                </w:tcPr>
                <w:p w14:paraId="32C075A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rPr>
                    <w:t>暂存于危险废物间，</w:t>
                  </w:r>
                  <w:r>
                    <w:rPr>
                      <w:rFonts w:hint="default" w:ascii="Times New Roman" w:hAnsi="Times New Roman" w:eastAsia="宋体" w:cs="Times New Roman"/>
                      <w:color w:val="auto"/>
                      <w:sz w:val="21"/>
                      <w:szCs w:val="21"/>
                      <w:highlight w:val="none"/>
                    </w:rPr>
                    <w:t>委托</w:t>
                  </w:r>
                  <w:r>
                    <w:rPr>
                      <w:rFonts w:hint="eastAsia" w:cs="Times New Roman"/>
                      <w:color w:val="auto"/>
                      <w:sz w:val="21"/>
                      <w:szCs w:val="21"/>
                      <w:highlight w:val="none"/>
                      <w:lang w:val="en-US" w:eastAsia="zh-CN"/>
                    </w:rPr>
                    <w:t>有资质单位处置</w:t>
                  </w:r>
                </w:p>
              </w:tc>
              <w:tc>
                <w:tcPr>
                  <w:tcW w:w="773" w:type="pct"/>
                  <w:vMerge w:val="restart"/>
                  <w:noWrap w:val="0"/>
                  <w:vAlign w:val="center"/>
                </w:tcPr>
                <w:p w14:paraId="08875B7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处置单位运输</w:t>
                  </w:r>
                </w:p>
              </w:tc>
            </w:tr>
            <w:tr w14:paraId="6CAB61D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12" w:hRule="atLeast"/>
                <w:jc w:val="center"/>
              </w:trPr>
              <w:tc>
                <w:tcPr>
                  <w:tcW w:w="177" w:type="pct"/>
                  <w:vMerge w:val="continue"/>
                  <w:noWrap w:val="0"/>
                  <w:tcMar>
                    <w:left w:w="28" w:type="dxa"/>
                    <w:right w:w="28" w:type="dxa"/>
                  </w:tcMar>
                  <w:vAlign w:val="center"/>
                </w:tcPr>
                <w:p w14:paraId="053EE8A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0B782ED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p>
              </w:tc>
              <w:tc>
                <w:tcPr>
                  <w:tcW w:w="548" w:type="pct"/>
                  <w:noWrap w:val="0"/>
                  <w:vAlign w:val="center"/>
                </w:tcPr>
                <w:p w14:paraId="1D63B88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废矿物油</w:t>
                  </w:r>
                </w:p>
              </w:tc>
              <w:tc>
                <w:tcPr>
                  <w:tcW w:w="769" w:type="pct"/>
                  <w:noWrap w:val="0"/>
                  <w:vAlign w:val="center"/>
                </w:tcPr>
                <w:p w14:paraId="05C2BFD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危险废物(HW08)</w:t>
                  </w:r>
                </w:p>
              </w:tc>
              <w:tc>
                <w:tcPr>
                  <w:tcW w:w="650" w:type="pct"/>
                  <w:noWrap w:val="0"/>
                  <w:tcMar>
                    <w:left w:w="28" w:type="dxa"/>
                    <w:right w:w="28" w:type="dxa"/>
                  </w:tcMar>
                  <w:vAlign w:val="center"/>
                </w:tcPr>
                <w:p w14:paraId="4C57F75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60.56t/a</w:t>
                  </w:r>
                </w:p>
              </w:tc>
              <w:tc>
                <w:tcPr>
                  <w:tcW w:w="578" w:type="pct"/>
                  <w:noWrap w:val="0"/>
                  <w:vAlign w:val="center"/>
                </w:tcPr>
                <w:p w14:paraId="35D6C17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tc>
              <w:tc>
                <w:tcPr>
                  <w:tcW w:w="1323" w:type="pct"/>
                  <w:vMerge w:val="continue"/>
                  <w:noWrap w:val="0"/>
                  <w:vAlign w:val="center"/>
                </w:tcPr>
                <w:p w14:paraId="5B9998A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773" w:type="pct"/>
                  <w:vMerge w:val="continue"/>
                  <w:noWrap w:val="0"/>
                  <w:vAlign w:val="center"/>
                </w:tcPr>
                <w:p w14:paraId="2FCAB06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p>
              </w:tc>
            </w:tr>
            <w:tr w14:paraId="03979C4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5E5E5D7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5F25F83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w:t>
                  </w:r>
                </w:p>
              </w:tc>
              <w:tc>
                <w:tcPr>
                  <w:tcW w:w="548" w:type="pct"/>
                  <w:noWrap w:val="0"/>
                  <w:vAlign w:val="center"/>
                </w:tcPr>
                <w:p w14:paraId="022993A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废油桶</w:t>
                  </w:r>
                </w:p>
              </w:tc>
              <w:tc>
                <w:tcPr>
                  <w:tcW w:w="769" w:type="pct"/>
                  <w:noWrap w:val="0"/>
                  <w:vAlign w:val="center"/>
                </w:tcPr>
                <w:p w14:paraId="42D8664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危险废物(HW08)</w:t>
                  </w:r>
                </w:p>
              </w:tc>
              <w:tc>
                <w:tcPr>
                  <w:tcW w:w="650" w:type="pct"/>
                  <w:noWrap w:val="0"/>
                  <w:tcMar>
                    <w:left w:w="28" w:type="dxa"/>
                    <w:right w:w="28" w:type="dxa"/>
                  </w:tcMar>
                  <w:vAlign w:val="center"/>
                </w:tcPr>
                <w:p w14:paraId="207974F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11.34t/a</w:t>
                  </w:r>
                </w:p>
              </w:tc>
              <w:tc>
                <w:tcPr>
                  <w:tcW w:w="578" w:type="pct"/>
                  <w:noWrap w:val="0"/>
                  <w:vAlign w:val="center"/>
                </w:tcPr>
                <w:p w14:paraId="597856A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tc>
              <w:tc>
                <w:tcPr>
                  <w:tcW w:w="1323" w:type="pct"/>
                  <w:vMerge w:val="continue"/>
                  <w:noWrap w:val="0"/>
                  <w:vAlign w:val="center"/>
                </w:tcPr>
                <w:p w14:paraId="0AEB0A1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773" w:type="pct"/>
                  <w:vMerge w:val="continue"/>
                  <w:noWrap w:val="0"/>
                  <w:vAlign w:val="center"/>
                </w:tcPr>
                <w:p w14:paraId="20DFD15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p>
              </w:tc>
            </w:tr>
            <w:tr w14:paraId="28B756B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1054C1A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20E06840">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p>
              </w:tc>
              <w:tc>
                <w:tcPr>
                  <w:tcW w:w="548" w:type="pct"/>
                  <w:noWrap w:val="0"/>
                  <w:vAlign w:val="center"/>
                </w:tcPr>
                <w:p w14:paraId="3684815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废油漆桶</w:t>
                  </w:r>
                </w:p>
              </w:tc>
              <w:tc>
                <w:tcPr>
                  <w:tcW w:w="769" w:type="pct"/>
                  <w:noWrap w:val="0"/>
                  <w:vAlign w:val="center"/>
                </w:tcPr>
                <w:p w14:paraId="09CE122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危险废物(HW49)</w:t>
                  </w:r>
                </w:p>
              </w:tc>
              <w:tc>
                <w:tcPr>
                  <w:tcW w:w="650" w:type="pct"/>
                  <w:noWrap w:val="0"/>
                  <w:tcMar>
                    <w:left w:w="28" w:type="dxa"/>
                    <w:right w:w="28" w:type="dxa"/>
                  </w:tcMar>
                  <w:vAlign w:val="center"/>
                </w:tcPr>
                <w:p w14:paraId="17CC7D7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1.98t/a</w:t>
                  </w:r>
                </w:p>
              </w:tc>
              <w:tc>
                <w:tcPr>
                  <w:tcW w:w="578" w:type="pct"/>
                  <w:noWrap w:val="0"/>
                  <w:vAlign w:val="center"/>
                </w:tcPr>
                <w:p w14:paraId="33810AD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tc>
              <w:tc>
                <w:tcPr>
                  <w:tcW w:w="1323" w:type="pct"/>
                  <w:vMerge w:val="continue"/>
                  <w:noWrap w:val="0"/>
                  <w:vAlign w:val="center"/>
                </w:tcPr>
                <w:p w14:paraId="6F6B87AE">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773" w:type="pct"/>
                  <w:vMerge w:val="continue"/>
                  <w:noWrap w:val="0"/>
                  <w:vAlign w:val="center"/>
                </w:tcPr>
                <w:p w14:paraId="4729983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p>
              </w:tc>
            </w:tr>
            <w:tr w14:paraId="1DC4F89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7CB1CCF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5ADFD0E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7</w:t>
                  </w:r>
                </w:p>
              </w:tc>
              <w:tc>
                <w:tcPr>
                  <w:tcW w:w="548" w:type="pct"/>
                  <w:noWrap w:val="0"/>
                  <w:vAlign w:val="center"/>
                </w:tcPr>
                <w:p w14:paraId="04AB252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实验室废液</w:t>
                  </w:r>
                </w:p>
              </w:tc>
              <w:tc>
                <w:tcPr>
                  <w:tcW w:w="769" w:type="pct"/>
                  <w:noWrap w:val="0"/>
                  <w:vAlign w:val="center"/>
                </w:tcPr>
                <w:p w14:paraId="3FFD2BB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危险废物(HW49)</w:t>
                  </w:r>
                </w:p>
              </w:tc>
              <w:tc>
                <w:tcPr>
                  <w:tcW w:w="650" w:type="pct"/>
                  <w:noWrap w:val="0"/>
                  <w:tcMar>
                    <w:left w:w="28" w:type="dxa"/>
                    <w:right w:w="28" w:type="dxa"/>
                  </w:tcMar>
                  <w:vAlign w:val="center"/>
                </w:tcPr>
                <w:p w14:paraId="05C4850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0.5t/a</w:t>
                  </w:r>
                </w:p>
              </w:tc>
              <w:tc>
                <w:tcPr>
                  <w:tcW w:w="578" w:type="pct"/>
                  <w:tcBorders>
                    <w:bottom w:val="single" w:color="auto" w:sz="4" w:space="0"/>
                  </w:tcBorders>
                  <w:noWrap w:val="0"/>
                  <w:vAlign w:val="center"/>
                </w:tcPr>
                <w:p w14:paraId="283FD82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tc>
              <w:tc>
                <w:tcPr>
                  <w:tcW w:w="1323" w:type="pct"/>
                  <w:vMerge w:val="continue"/>
                  <w:noWrap w:val="0"/>
                  <w:vAlign w:val="center"/>
                </w:tcPr>
                <w:p w14:paraId="2F242B3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773" w:type="pct"/>
                  <w:vMerge w:val="continue"/>
                  <w:noWrap w:val="0"/>
                  <w:vAlign w:val="center"/>
                </w:tcPr>
                <w:p w14:paraId="58AEE14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p>
              </w:tc>
            </w:tr>
            <w:tr w14:paraId="04E48BF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625D9E3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7C644E9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w:t>
                  </w:r>
                </w:p>
              </w:tc>
              <w:tc>
                <w:tcPr>
                  <w:tcW w:w="548" w:type="pct"/>
                  <w:noWrap w:val="0"/>
                  <w:vAlign w:val="center"/>
                </w:tcPr>
                <w:p w14:paraId="070B88A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废电瓶</w:t>
                  </w:r>
                </w:p>
              </w:tc>
              <w:tc>
                <w:tcPr>
                  <w:tcW w:w="769" w:type="pct"/>
                  <w:noWrap w:val="0"/>
                  <w:vAlign w:val="center"/>
                </w:tcPr>
                <w:p w14:paraId="6D4B9F4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危险废物(HW31)</w:t>
                  </w:r>
                </w:p>
              </w:tc>
              <w:tc>
                <w:tcPr>
                  <w:tcW w:w="650" w:type="pct"/>
                  <w:noWrap w:val="0"/>
                  <w:tcMar>
                    <w:left w:w="28" w:type="dxa"/>
                    <w:right w:w="28" w:type="dxa"/>
                  </w:tcMar>
                  <w:vAlign w:val="center"/>
                </w:tcPr>
                <w:p w14:paraId="6741AF95">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10.72t/a</w:t>
                  </w:r>
                </w:p>
              </w:tc>
              <w:tc>
                <w:tcPr>
                  <w:tcW w:w="578" w:type="pct"/>
                  <w:tcBorders>
                    <w:top w:val="single" w:color="auto" w:sz="4" w:space="0"/>
                  </w:tcBorders>
                  <w:noWrap w:val="0"/>
                  <w:vAlign w:val="center"/>
                </w:tcPr>
                <w:p w14:paraId="6F5696C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tc>
              <w:tc>
                <w:tcPr>
                  <w:tcW w:w="1323" w:type="pct"/>
                  <w:vMerge w:val="continue"/>
                  <w:noWrap w:val="0"/>
                  <w:vAlign w:val="center"/>
                </w:tcPr>
                <w:p w14:paraId="2184024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773" w:type="pct"/>
                  <w:vMerge w:val="continue"/>
                  <w:noWrap w:val="0"/>
                  <w:vAlign w:val="center"/>
                </w:tcPr>
                <w:p w14:paraId="29E9E47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p>
              </w:tc>
            </w:tr>
            <w:tr w14:paraId="539647D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7BA1DDE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0CA1B038">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w:t>
                  </w:r>
                </w:p>
              </w:tc>
              <w:tc>
                <w:tcPr>
                  <w:tcW w:w="548" w:type="pct"/>
                  <w:noWrap w:val="0"/>
                  <w:vAlign w:val="center"/>
                </w:tcPr>
                <w:p w14:paraId="6037DC1B">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综合污水站污泥</w:t>
                  </w:r>
                </w:p>
              </w:tc>
              <w:tc>
                <w:tcPr>
                  <w:tcW w:w="769" w:type="pct"/>
                  <w:noWrap w:val="0"/>
                  <w:vAlign w:val="center"/>
                </w:tcPr>
                <w:p w14:paraId="61F2FB04">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ROMAN \* MERGEFORMAT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I</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类一般工业固废</w:t>
                  </w:r>
                </w:p>
              </w:tc>
              <w:tc>
                <w:tcPr>
                  <w:tcW w:w="650" w:type="pct"/>
                  <w:noWrap w:val="0"/>
                  <w:tcMar>
                    <w:left w:w="28" w:type="dxa"/>
                    <w:right w:w="28" w:type="dxa"/>
                  </w:tcMar>
                  <w:vAlign w:val="center"/>
                </w:tcPr>
                <w:p w14:paraId="7F6ED4DA">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4.81</w:t>
                  </w:r>
                </w:p>
              </w:tc>
              <w:tc>
                <w:tcPr>
                  <w:tcW w:w="578" w:type="pct"/>
                  <w:noWrap w:val="0"/>
                  <w:vAlign w:val="center"/>
                </w:tcPr>
                <w:p w14:paraId="51F967CC">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污泥间</w:t>
                  </w:r>
                </w:p>
              </w:tc>
              <w:tc>
                <w:tcPr>
                  <w:tcW w:w="1323" w:type="pct"/>
                  <w:noWrap w:val="0"/>
                  <w:vAlign w:val="center"/>
                </w:tcPr>
                <w:p w14:paraId="3465C48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color w:val="auto"/>
                      <w:sz w:val="21"/>
                      <w:szCs w:val="21"/>
                      <w:highlight w:val="none"/>
                    </w:rPr>
                    <w:t>送烧结配料工序利用</w:t>
                  </w:r>
                </w:p>
              </w:tc>
              <w:tc>
                <w:tcPr>
                  <w:tcW w:w="773" w:type="pct"/>
                  <w:noWrap w:val="0"/>
                  <w:vAlign w:val="center"/>
                </w:tcPr>
                <w:p w14:paraId="2FADCD00">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r w14:paraId="62AB557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77" w:type="pct"/>
                  <w:vMerge w:val="continue"/>
                  <w:noWrap w:val="0"/>
                  <w:tcMar>
                    <w:left w:w="28" w:type="dxa"/>
                    <w:right w:w="28" w:type="dxa"/>
                  </w:tcMar>
                  <w:vAlign w:val="center"/>
                </w:tcPr>
                <w:p w14:paraId="2E5B2CC1">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p>
              </w:tc>
              <w:tc>
                <w:tcPr>
                  <w:tcW w:w="178" w:type="pct"/>
                  <w:noWrap w:val="0"/>
                  <w:tcMar>
                    <w:left w:w="28" w:type="dxa"/>
                    <w:right w:w="28" w:type="dxa"/>
                  </w:tcMar>
                  <w:vAlign w:val="center"/>
                </w:tcPr>
                <w:p w14:paraId="267A17A9">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w:t>
                  </w:r>
                </w:p>
              </w:tc>
              <w:tc>
                <w:tcPr>
                  <w:tcW w:w="548" w:type="pct"/>
                  <w:noWrap w:val="0"/>
                  <w:vAlign w:val="center"/>
                </w:tcPr>
                <w:p w14:paraId="3DB31B5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生活</w:t>
                  </w:r>
                </w:p>
                <w:p w14:paraId="123F520F">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垃圾</w:t>
                  </w:r>
                </w:p>
              </w:tc>
              <w:tc>
                <w:tcPr>
                  <w:tcW w:w="769" w:type="pct"/>
                  <w:noWrap w:val="0"/>
                  <w:vAlign w:val="center"/>
                </w:tcPr>
                <w:p w14:paraId="21C37ABD">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p>
              </w:tc>
              <w:tc>
                <w:tcPr>
                  <w:tcW w:w="650" w:type="pct"/>
                  <w:noWrap w:val="0"/>
                  <w:tcMar>
                    <w:left w:w="28" w:type="dxa"/>
                    <w:right w:w="28" w:type="dxa"/>
                  </w:tcMar>
                  <w:vAlign w:val="center"/>
                </w:tcPr>
                <w:p w14:paraId="33419C52">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0.05</w:t>
                  </w:r>
                </w:p>
              </w:tc>
              <w:tc>
                <w:tcPr>
                  <w:tcW w:w="578" w:type="pct"/>
                  <w:noWrap w:val="0"/>
                  <w:vAlign w:val="center"/>
                </w:tcPr>
                <w:p w14:paraId="4EFD2AE3">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垃圾桶</w:t>
                  </w:r>
                </w:p>
              </w:tc>
              <w:tc>
                <w:tcPr>
                  <w:tcW w:w="1323" w:type="pct"/>
                  <w:noWrap w:val="0"/>
                  <w:vAlign w:val="center"/>
                </w:tcPr>
                <w:p w14:paraId="7FA03FF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交有园区环卫部门</w:t>
                  </w:r>
                </w:p>
                <w:p w14:paraId="48F6DAA7">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处置</w:t>
                  </w:r>
                </w:p>
              </w:tc>
              <w:tc>
                <w:tcPr>
                  <w:tcW w:w="773" w:type="pct"/>
                  <w:noWrap w:val="0"/>
                  <w:vAlign w:val="center"/>
                </w:tcPr>
                <w:p w14:paraId="4396F316">
                  <w:pPr>
                    <w:keepNext w:val="0"/>
                    <w:keepLines w:val="0"/>
                    <w:pageBreakBefore w:val="0"/>
                    <w:suppressLineNumbers w:val="0"/>
                    <w:wordWrap/>
                    <w:bidi w:val="0"/>
                    <w:adjustRightInd w:val="0"/>
                    <w:snapToGrid w:val="0"/>
                    <w:spacing w:before="0" w:beforeAutospacing="0" w:after="0" w:afterAutospacing="0" w:line="280" w:lineRule="exact"/>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汽车</w:t>
                  </w:r>
                </w:p>
              </w:tc>
            </w:tr>
          </w:tbl>
          <w:p w14:paraId="3CD81959">
            <w:pPr>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松汀公司现有危险废物贮存间</w:t>
            </w:r>
            <w:r>
              <w:rPr>
                <w:rFonts w:hint="eastAsia" w:cs="Times New Roman"/>
                <w:color w:val="auto"/>
                <w:kern w:val="2"/>
                <w:sz w:val="21"/>
                <w:szCs w:val="21"/>
                <w:highlight w:val="none"/>
                <w:lang w:val="en-US" w:eastAsia="zh-CN" w:bidi="ar-SA"/>
              </w:rPr>
              <w:t>2</w:t>
            </w:r>
            <w:r>
              <w:rPr>
                <w:rFonts w:hint="default" w:ascii="Times New Roman" w:hAnsi="Times New Roman" w:eastAsia="宋体" w:cs="Times New Roman"/>
                <w:color w:val="auto"/>
                <w:kern w:val="2"/>
                <w:sz w:val="21"/>
                <w:szCs w:val="21"/>
                <w:highlight w:val="none"/>
                <w:lang w:val="en-US" w:eastAsia="zh-CN" w:bidi="ar-SA"/>
              </w:rPr>
              <w:t>座，位于厂区东南区域，</w:t>
            </w:r>
            <w:r>
              <w:rPr>
                <w:rFonts w:hint="eastAsia" w:ascii="Times New Roman" w:hAnsi="Times New Roman"/>
                <w:color w:val="auto"/>
                <w:sz w:val="21"/>
                <w:szCs w:val="21"/>
                <w:highlight w:val="none"/>
              </w:rPr>
              <w:t>面积分别为约1</w:t>
            </w:r>
            <w:r>
              <w:rPr>
                <w:rFonts w:hint="eastAsia" w:ascii="Times New Roman" w:hAnsi="Times New Roman"/>
                <w:color w:val="auto"/>
                <w:sz w:val="21"/>
                <w:szCs w:val="21"/>
                <w:highlight w:val="none"/>
                <w:lang w:val="en-US" w:eastAsia="zh-CN"/>
              </w:rPr>
              <w:t>4</w:t>
            </w:r>
            <w:r>
              <w:rPr>
                <w:rFonts w:hint="eastAsia" w:ascii="Times New Roman" w:hAnsi="Times New Roman"/>
                <w:color w:val="auto"/>
                <w:sz w:val="21"/>
                <w:szCs w:val="21"/>
                <w:highlight w:val="none"/>
              </w:rPr>
              <w:t>4</w:t>
            </w:r>
            <w:r>
              <w:rPr>
                <w:rFonts w:hint="eastAsia" w:ascii="Times New Roman" w:hAnsi="Times New Roman"/>
                <w:color w:val="auto"/>
                <w:sz w:val="21"/>
                <w:szCs w:val="21"/>
                <w:highlight w:val="none"/>
                <w:lang w:val="en-US" w:eastAsia="zh-CN"/>
              </w:rPr>
              <w:t>m</w:t>
            </w:r>
            <w:r>
              <w:rPr>
                <w:rFonts w:hint="eastAsia" w:ascii="Times New Roman" w:hAnsi="Times New Roman"/>
                <w:color w:val="auto"/>
                <w:sz w:val="21"/>
                <w:szCs w:val="21"/>
                <w:highlight w:val="none"/>
                <w:vertAlign w:val="superscript"/>
                <w:lang w:val="en-US" w:eastAsia="zh-CN"/>
              </w:rPr>
              <w:t>2</w:t>
            </w:r>
            <w:r>
              <w:rPr>
                <w:rFonts w:hint="eastAsia" w:ascii="Times New Roman" w:hAnsi="Times New Roman"/>
                <w:color w:val="auto"/>
                <w:sz w:val="21"/>
                <w:szCs w:val="21"/>
                <w:highlight w:val="none"/>
              </w:rPr>
              <w:t>和40</w:t>
            </w:r>
            <w:r>
              <w:rPr>
                <w:rFonts w:hint="eastAsia" w:ascii="Times New Roman" w:hAnsi="Times New Roman"/>
                <w:color w:val="auto"/>
                <w:sz w:val="21"/>
                <w:szCs w:val="21"/>
                <w:highlight w:val="none"/>
                <w:lang w:val="en-US" w:eastAsia="zh-CN"/>
              </w:rPr>
              <w:t>m</w:t>
            </w:r>
            <w:r>
              <w:rPr>
                <w:rFonts w:hint="eastAsia" w:ascii="Times New Roman" w:hAnsi="Times New Roman"/>
                <w:color w:val="auto"/>
                <w:sz w:val="21"/>
                <w:szCs w:val="21"/>
                <w:highlight w:val="none"/>
                <w:vertAlign w:val="superscript"/>
                <w:lang w:val="en-US" w:eastAsia="zh-CN"/>
              </w:rPr>
              <w:t>2</w:t>
            </w:r>
            <w:r>
              <w:rPr>
                <w:rFonts w:hint="default" w:ascii="Times New Roman" w:hAnsi="Times New Roman" w:eastAsia="宋体" w:cs="Times New Roman"/>
                <w:color w:val="auto"/>
                <w:kern w:val="2"/>
                <w:sz w:val="21"/>
                <w:szCs w:val="21"/>
                <w:highlight w:val="none"/>
                <w:lang w:val="en-US" w:eastAsia="zh-CN" w:bidi="ar-SA"/>
              </w:rPr>
              <w:t>，</w:t>
            </w:r>
            <w:r>
              <w:rPr>
                <w:rFonts w:hint="eastAsia" w:ascii="Times New Roman" w:hAnsi="Times New Roman"/>
                <w:color w:val="auto"/>
                <w:sz w:val="21"/>
                <w:szCs w:val="21"/>
                <w:highlight w:val="none"/>
              </w:rPr>
              <w:t>储存能力为260吨，</w:t>
            </w:r>
            <w:r>
              <w:rPr>
                <w:rFonts w:hint="default" w:ascii="Times New Roman" w:hAnsi="Times New Roman" w:eastAsia="宋体" w:cs="Times New Roman"/>
                <w:color w:val="auto"/>
                <w:kern w:val="2"/>
                <w:sz w:val="21"/>
                <w:szCs w:val="21"/>
                <w:highlight w:val="none"/>
                <w:lang w:val="en-US" w:eastAsia="zh-CN" w:bidi="ar-SA"/>
              </w:rPr>
              <w:t>为防止危险废物在公司危废储存间存储过程中对环境产生污染影响，松汀公司已按照《危险废物贮存污染控制标准》(GB18597-20</w:t>
            </w:r>
            <w:r>
              <w:rPr>
                <w:rFonts w:hint="eastAsia" w:cs="Times New Roman"/>
                <w:color w:val="auto"/>
                <w:kern w:val="2"/>
                <w:sz w:val="21"/>
                <w:szCs w:val="21"/>
                <w:highlight w:val="none"/>
                <w:lang w:val="en-US" w:eastAsia="zh-CN" w:bidi="ar-SA"/>
              </w:rPr>
              <w:t>23</w:t>
            </w:r>
            <w:r>
              <w:rPr>
                <w:rFonts w:hint="default" w:ascii="Times New Roman" w:hAnsi="Times New Roman" w:eastAsia="宋体" w:cs="Times New Roman"/>
                <w:color w:val="auto"/>
                <w:kern w:val="2"/>
                <w:sz w:val="21"/>
                <w:szCs w:val="21"/>
                <w:highlight w:val="none"/>
                <w:lang w:val="en-US" w:eastAsia="zh-CN" w:bidi="ar-SA"/>
              </w:rPr>
              <w:t>)的相关相关要求设置了危险废物警示标识、防渗工程及管理台账等，并按照具体如下：</w:t>
            </w:r>
          </w:p>
          <w:p w14:paraId="58E95CC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(1)危险废物贮存间为封闭间，满足防风、防雨、防晒的要求；贮存间设立了危险废物警示标志，危废间内部安装视频监控设施；</w:t>
            </w:r>
          </w:p>
          <w:p w14:paraId="2849043A">
            <w:pPr>
              <w:keepNext w:val="0"/>
              <w:keepLines w:val="0"/>
              <w:pageBreakBefore w:val="0"/>
              <w:widowControl/>
              <w:suppressLineNumbers w:val="0"/>
              <w:kinsoku/>
              <w:wordWrap/>
              <w:overflowPunct/>
              <w:topLinePunct w:val="0"/>
              <w:autoSpaceDE/>
              <w:autoSpaceDN/>
              <w:bidi w:val="0"/>
              <w:adjustRightInd w:val="0"/>
              <w:snapToGrid w:val="0"/>
              <w:jc w:val="left"/>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w:t>
            </w:r>
            <w:bookmarkStart w:id="25" w:name="_Hlk84156578"/>
            <w:r>
              <w:rPr>
                <w:rFonts w:hint="default" w:ascii="Times New Roman" w:hAnsi="Times New Roman" w:eastAsia="宋体" w:cs="Times New Roman"/>
                <w:color w:val="auto"/>
                <w:kern w:val="2"/>
                <w:sz w:val="21"/>
                <w:szCs w:val="21"/>
                <w:highlight w:val="none"/>
                <w:lang w:val="en-US" w:eastAsia="zh-CN" w:bidi="ar-SA"/>
              </w:rPr>
              <w:t>危废暂存间采用</w:t>
            </w:r>
            <w:r>
              <w:rPr>
                <w:rFonts w:hint="default" w:ascii="Times New Roman" w:hAnsi="Times New Roman" w:eastAsia="宋体" w:cs="Times New Roman"/>
                <w:color w:val="auto"/>
                <w:kern w:val="0"/>
                <w:sz w:val="21"/>
                <w:szCs w:val="21"/>
                <w:highlight w:val="none"/>
                <w:lang w:val="en-US" w:eastAsia="zh-CN" w:bidi="ar"/>
              </w:rPr>
              <w:t xml:space="preserve"> C30 级抗渗混凝土，防渗等级为 P8，结构厚度为不小于20cm，上层敷设5层布玻璃钢(两布三油)，</w:t>
            </w:r>
            <w:r>
              <w:rPr>
                <w:rFonts w:hint="default" w:ascii="Times New Roman" w:hAnsi="Times New Roman" w:eastAsia="宋体" w:cs="Times New Roman"/>
                <w:color w:val="auto"/>
                <w:kern w:val="2"/>
                <w:sz w:val="21"/>
                <w:szCs w:val="21"/>
                <w:highlight w:val="none"/>
                <w:lang w:val="en-US" w:eastAsia="zh-CN" w:bidi="ar-SA"/>
              </w:rPr>
              <w:t>渗透系数小于10</w:t>
            </w:r>
            <w:r>
              <w:rPr>
                <w:rFonts w:hint="default" w:ascii="Times New Roman" w:hAnsi="Times New Roman" w:eastAsia="宋体" w:cs="Times New Roman"/>
                <w:color w:val="auto"/>
                <w:kern w:val="2"/>
                <w:sz w:val="21"/>
                <w:szCs w:val="21"/>
                <w:highlight w:val="none"/>
                <w:vertAlign w:val="superscript"/>
                <w:lang w:val="en-US" w:eastAsia="zh-CN" w:bidi="ar-SA"/>
              </w:rPr>
              <w:t>-10</w:t>
            </w:r>
            <w:r>
              <w:rPr>
                <w:rFonts w:hint="default" w:ascii="Times New Roman" w:hAnsi="Times New Roman" w:eastAsia="宋体" w:cs="Times New Roman"/>
                <w:color w:val="auto"/>
                <w:kern w:val="2"/>
                <w:sz w:val="21"/>
                <w:szCs w:val="21"/>
                <w:highlight w:val="none"/>
                <w:lang w:val="en-US" w:eastAsia="zh-CN" w:bidi="ar-SA"/>
              </w:rPr>
              <w:t>cm/s；</w:t>
            </w:r>
            <w:bookmarkEnd w:id="25"/>
          </w:p>
          <w:p w14:paraId="2109929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(3)危险废物(废机油、废矿物油)储存在专用桶内，贮存间内设置了导流沟及渗滤液收集装置；</w:t>
            </w:r>
          </w:p>
          <w:p w14:paraId="3C3423E9">
            <w:pPr>
              <w:keepNext w:val="0"/>
              <w:keepLines w:val="0"/>
              <w:pageBreakBefore w:val="0"/>
              <w:kinsoku/>
              <w:wordWrap/>
              <w:overflowPunct/>
              <w:topLinePunct w:val="0"/>
              <w:autoSpaceDE/>
              <w:autoSpaceDN/>
              <w:bidi w:val="0"/>
              <w:adjustRightInd w:val="0"/>
              <w:snapToGrid w:val="0"/>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(4)贮存间由专人进行管理并按照要求进行台账记录。</w:t>
            </w:r>
          </w:p>
          <w:p w14:paraId="381A153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综合上述分析，松汀公司产生的一般工业固体废物暂存于库房或维修间内，满足防渗漏、防雨淋、防扬尘等要求。</w:t>
            </w:r>
          </w:p>
          <w:p w14:paraId="4DD61FDF">
            <w:pPr>
              <w:pStyle w:val="161"/>
              <w:spacing w:line="360" w:lineRule="auto"/>
              <w:ind w:firstLine="420"/>
              <w:jc w:val="both"/>
              <w:rPr>
                <w:rFonts w:hint="default" w:ascii="Times New Roman" w:hAnsi="Times New Roman" w:eastAsia="宋体" w:cs="Times New Roman"/>
                <w:color w:val="auto"/>
                <w:kern w:val="0"/>
                <w:sz w:val="21"/>
                <w:szCs w:val="21"/>
                <w:highlight w:val="green"/>
                <w:lang w:val="en-US" w:eastAsia="zh-CN"/>
              </w:rPr>
            </w:pPr>
            <w:r>
              <w:rPr>
                <w:rFonts w:hint="default" w:ascii="Times New Roman" w:hAnsi="Times New Roman" w:eastAsia="宋体" w:cs="Times New Roman"/>
                <w:color w:val="auto"/>
                <w:kern w:val="2"/>
                <w:sz w:val="21"/>
                <w:szCs w:val="21"/>
                <w:highlight w:val="none"/>
                <w:lang w:val="en-US" w:eastAsia="zh-CN" w:bidi="ar-SA"/>
              </w:rPr>
              <w:t>在危险废物产生、收集、贮存、转移、利用、处置等重点环节、重要场所安装了视频监控、车辆识别等集成智能监控，并与地方智能监管平台联网运行，实现对危险废物全过程跟踪管理。危废暂存、转移、最终处置满足《危险废物贮存污染控制标准》(GB18597-20</w:t>
            </w:r>
            <w:r>
              <w:rPr>
                <w:rFonts w:hint="eastAsia" w:ascii="Times New Roman" w:hAnsi="Times New Roman" w:cs="Times New Roman"/>
                <w:color w:val="auto"/>
                <w:kern w:val="2"/>
                <w:sz w:val="21"/>
                <w:szCs w:val="21"/>
                <w:highlight w:val="none"/>
                <w:lang w:val="en-US" w:eastAsia="zh-CN" w:bidi="ar-SA"/>
              </w:rPr>
              <w:t>23</w:t>
            </w:r>
            <w:r>
              <w:rPr>
                <w:rFonts w:hint="default" w:ascii="Times New Roman" w:hAnsi="Times New Roman" w:eastAsia="宋体" w:cs="Times New Roman"/>
                <w:color w:val="auto"/>
                <w:kern w:val="2"/>
                <w:sz w:val="21"/>
                <w:szCs w:val="21"/>
                <w:highlight w:val="none"/>
                <w:lang w:val="en-US" w:eastAsia="zh-CN" w:bidi="ar-SA"/>
              </w:rPr>
              <w:t>)相关要求。</w:t>
            </w:r>
          </w:p>
          <w:p w14:paraId="05FD3603">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3.5排污许可执行情况</w:t>
            </w:r>
          </w:p>
          <w:p w14:paraId="559A28C9">
            <w:pPr>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outlineLvl w:val="9"/>
              <w:rPr>
                <w:rFonts w:hint="default" w:ascii="Times New Roman" w:hAnsi="Times New Roman" w:eastAsia="宋体" w:cs="Times New Roman"/>
                <w:b/>
                <w:color w:val="auto"/>
                <w:kern w:val="2"/>
                <w:sz w:val="21"/>
                <w:szCs w:val="21"/>
                <w:highlight w:val="none"/>
                <w:lang w:val="en-US" w:eastAsia="zh-CN" w:bidi="ar-SA"/>
              </w:rPr>
            </w:pPr>
            <w:r>
              <w:rPr>
                <w:rFonts w:hint="default" w:ascii="Times New Roman" w:hAnsi="Times New Roman" w:eastAsia="宋体" w:cs="Times New Roman"/>
                <w:b w:val="0"/>
                <w:bCs/>
                <w:color w:val="auto"/>
                <w:kern w:val="2"/>
                <w:sz w:val="21"/>
                <w:szCs w:val="21"/>
                <w:highlight w:val="none"/>
                <w:lang w:val="en-US" w:eastAsia="zh-CN" w:bidi="ar-SA"/>
              </w:rPr>
              <w:t>唐山松汀钢铁有限公司在排污许可证有效期内，严格执行排污许可证相关规定，污染防治措施正常使用，污染物排放浓度和排放量均达标，按规范进行台账记录，定期在国家排污许可证管理信息平台填报信息，编制排污许可执行报告，执行报告中主要污染物排放量均为排污许可量范围内。</w:t>
            </w:r>
          </w:p>
          <w:p w14:paraId="75E28F3D">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根据松汀钢铁排污许可证执行报告，主要污染物执行报告排放量见下表。</w:t>
            </w:r>
          </w:p>
          <w:p w14:paraId="61C2F01E">
            <w:pPr>
              <w:pageBreakBefore w:val="0"/>
              <w:widowControl w:val="0"/>
              <w:wordWrap/>
              <w:bidi w:val="0"/>
              <w:adjustRightInd w:val="0"/>
              <w:snapToGrid w:val="0"/>
              <w:spacing w:after="0" w:line="360" w:lineRule="auto"/>
              <w:ind w:left="0" w:leftChars="0" w:firstLine="0" w:firstLineChars="0"/>
              <w:jc w:val="center"/>
              <w:rPr>
                <w:rFonts w:hint="default" w:ascii="Times New Roman" w:hAnsi="Times New Roman" w:eastAsia="宋体" w:cs="Times New Roman"/>
                <w:b/>
                <w:color w:val="auto"/>
                <w:kern w:val="0"/>
                <w:sz w:val="21"/>
                <w:szCs w:val="21"/>
                <w:highlight w:val="none"/>
                <w:lang w:val="en-US" w:eastAsia="zh-CN" w:bidi="ar-SA"/>
              </w:rPr>
            </w:pPr>
            <w:r>
              <w:rPr>
                <w:rFonts w:hint="eastAsia" w:cs="Times New Roman"/>
                <w:b/>
                <w:color w:val="auto"/>
                <w:kern w:val="0"/>
                <w:sz w:val="21"/>
                <w:szCs w:val="21"/>
                <w:highlight w:val="none"/>
                <w:lang w:val="en-US" w:eastAsia="zh-CN" w:bidi="ar-SA"/>
              </w:rPr>
              <w:t xml:space="preserve">表2-12    </w:t>
            </w:r>
            <w:r>
              <w:rPr>
                <w:rFonts w:hint="default" w:ascii="Times New Roman" w:hAnsi="Times New Roman" w:eastAsia="宋体" w:cs="Times New Roman"/>
                <w:b/>
                <w:color w:val="auto"/>
                <w:kern w:val="0"/>
                <w:sz w:val="21"/>
                <w:szCs w:val="21"/>
                <w:highlight w:val="none"/>
                <w:lang w:val="en-US" w:eastAsia="zh-CN" w:bidi="ar-SA"/>
              </w:rPr>
              <w:t>主要污染物执行报告排放量</w:t>
            </w:r>
          </w:p>
          <w:tbl>
            <w:tblPr>
              <w:tblStyle w:val="8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0"/>
              <w:gridCol w:w="1682"/>
              <w:gridCol w:w="1681"/>
              <w:gridCol w:w="1682"/>
              <w:gridCol w:w="1682"/>
            </w:tblGrid>
            <w:tr w14:paraId="59CB7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80" w:type="dxa"/>
                  <w:vAlign w:val="center"/>
                </w:tcPr>
                <w:p w14:paraId="2C2AC2BB">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序号</w:t>
                  </w:r>
                </w:p>
              </w:tc>
              <w:tc>
                <w:tcPr>
                  <w:tcW w:w="1682" w:type="dxa"/>
                  <w:vAlign w:val="center"/>
                </w:tcPr>
                <w:p w14:paraId="0141C7E8">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单位</w:t>
                  </w:r>
                </w:p>
              </w:tc>
              <w:tc>
                <w:tcPr>
                  <w:tcW w:w="1681" w:type="dxa"/>
                  <w:vAlign w:val="center"/>
                </w:tcPr>
                <w:p w14:paraId="6A24111C">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执行报告排放量</w:t>
                  </w:r>
                </w:p>
              </w:tc>
              <w:tc>
                <w:tcPr>
                  <w:tcW w:w="1682" w:type="dxa"/>
                  <w:vAlign w:val="center"/>
                </w:tcPr>
                <w:p w14:paraId="0B77A158">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许可排放量</w:t>
                  </w:r>
                </w:p>
              </w:tc>
              <w:tc>
                <w:tcPr>
                  <w:tcW w:w="1682" w:type="dxa"/>
                  <w:vAlign w:val="center"/>
                </w:tcPr>
                <w:p w14:paraId="09500F0B">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是否满足要求</w:t>
                  </w:r>
                </w:p>
              </w:tc>
            </w:tr>
            <w:tr w14:paraId="098F1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80" w:type="dxa"/>
                  <w:vAlign w:val="center"/>
                </w:tcPr>
                <w:p w14:paraId="6E25E50B">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颗粒物</w:t>
                  </w:r>
                </w:p>
              </w:tc>
              <w:tc>
                <w:tcPr>
                  <w:tcW w:w="1682" w:type="dxa"/>
                  <w:vAlign w:val="center"/>
                </w:tcPr>
                <w:p w14:paraId="43E5B1EC">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t/a</w:t>
                  </w:r>
                </w:p>
              </w:tc>
              <w:tc>
                <w:tcPr>
                  <w:tcW w:w="1681" w:type="dxa"/>
                  <w:shd w:val="clear" w:color="auto" w:fill="auto"/>
                  <w:vAlign w:val="center"/>
                </w:tcPr>
                <w:p w14:paraId="24FD5E09">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highlight w:val="none"/>
                      <w:vertAlign w:val="baseline"/>
                      <w:lang w:val="en-US" w:eastAsia="zh-CN"/>
                    </w:rPr>
                    <w:t>670.9906</w:t>
                  </w:r>
                </w:p>
              </w:tc>
              <w:tc>
                <w:tcPr>
                  <w:tcW w:w="1682" w:type="dxa"/>
                  <w:vAlign w:val="center"/>
                </w:tcPr>
                <w:p w14:paraId="5E92C209">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960.291</w:t>
                  </w:r>
                </w:p>
              </w:tc>
              <w:tc>
                <w:tcPr>
                  <w:tcW w:w="1682" w:type="dxa"/>
                  <w:vAlign w:val="center"/>
                </w:tcPr>
                <w:p w14:paraId="40A4F827">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满足</w:t>
                  </w:r>
                </w:p>
              </w:tc>
            </w:tr>
            <w:tr w14:paraId="07234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80" w:type="dxa"/>
                  <w:vAlign w:val="center"/>
                </w:tcPr>
                <w:p w14:paraId="38DB9B2B">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二氧化硫</w:t>
                  </w:r>
                </w:p>
              </w:tc>
              <w:tc>
                <w:tcPr>
                  <w:tcW w:w="1682" w:type="dxa"/>
                  <w:vAlign w:val="center"/>
                </w:tcPr>
                <w:p w14:paraId="27E46550">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t/a</w:t>
                  </w:r>
                </w:p>
              </w:tc>
              <w:tc>
                <w:tcPr>
                  <w:tcW w:w="1681" w:type="dxa"/>
                  <w:shd w:val="clear" w:color="auto" w:fill="auto"/>
                  <w:vAlign w:val="center"/>
                </w:tcPr>
                <w:p w14:paraId="508B515D">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highlight w:val="none"/>
                      <w:vertAlign w:val="baseline"/>
                      <w:lang w:val="en-US" w:eastAsia="zh-CN"/>
                    </w:rPr>
                    <w:t>219.1998</w:t>
                  </w:r>
                </w:p>
              </w:tc>
              <w:tc>
                <w:tcPr>
                  <w:tcW w:w="1682" w:type="dxa"/>
                  <w:vAlign w:val="center"/>
                </w:tcPr>
                <w:p w14:paraId="1751A236">
                  <w:pPr>
                    <w:pStyle w:val="161"/>
                    <w:keepNext w:val="0"/>
                    <w:keepLines w:val="0"/>
                    <w:pageBreakBefore w:val="0"/>
                    <w:widowControl/>
                    <w:kinsoku/>
                    <w:wordWrap/>
                    <w:overflowPunct/>
                    <w:topLinePunct w:val="0"/>
                    <w:autoSpaceDE w:val="0"/>
                    <w:autoSpaceDN w:val="0"/>
                    <w:bidi w:val="0"/>
                    <w:adjustRightInd w:val="0"/>
                    <w:snapToGrid w:val="0"/>
                    <w:spacing w:line="280" w:lineRule="exact"/>
                    <w:ind w:left="0" w:leftChars="0"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585.2377</w:t>
                  </w:r>
                </w:p>
              </w:tc>
              <w:tc>
                <w:tcPr>
                  <w:tcW w:w="1682" w:type="dxa"/>
                  <w:vAlign w:val="center"/>
                </w:tcPr>
                <w:p w14:paraId="2BDE5C1D">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满足</w:t>
                  </w:r>
                </w:p>
              </w:tc>
            </w:tr>
            <w:tr w14:paraId="15B53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80" w:type="dxa"/>
                  <w:vAlign w:val="center"/>
                </w:tcPr>
                <w:p w14:paraId="2CFF2DCA">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氮氧化物</w:t>
                  </w:r>
                </w:p>
              </w:tc>
              <w:tc>
                <w:tcPr>
                  <w:tcW w:w="1682" w:type="dxa"/>
                  <w:vAlign w:val="center"/>
                </w:tcPr>
                <w:p w14:paraId="33F79EA4">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t/a</w:t>
                  </w:r>
                </w:p>
              </w:tc>
              <w:tc>
                <w:tcPr>
                  <w:tcW w:w="1681" w:type="dxa"/>
                  <w:shd w:val="clear" w:color="auto" w:fill="auto"/>
                  <w:vAlign w:val="center"/>
                </w:tcPr>
                <w:p w14:paraId="5B4764C6">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highlight w:val="none"/>
                      <w:vertAlign w:val="baseline"/>
                      <w:lang w:val="en-US" w:eastAsia="zh-CN"/>
                    </w:rPr>
                    <w:t>389.0018</w:t>
                  </w:r>
                </w:p>
              </w:tc>
              <w:tc>
                <w:tcPr>
                  <w:tcW w:w="1682" w:type="dxa"/>
                  <w:vAlign w:val="center"/>
                </w:tcPr>
                <w:p w14:paraId="55D2BABB">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1072.0821</w:t>
                  </w:r>
                </w:p>
              </w:tc>
              <w:tc>
                <w:tcPr>
                  <w:tcW w:w="1682" w:type="dxa"/>
                  <w:vAlign w:val="center"/>
                </w:tcPr>
                <w:p w14:paraId="6D1594CB">
                  <w:pPr>
                    <w:pStyle w:val="161"/>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满足</w:t>
                  </w:r>
                </w:p>
              </w:tc>
            </w:tr>
          </w:tbl>
          <w:p w14:paraId="29F49B54">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根据核算，现有工程主要污染物排放量满足排污许可要求。</w:t>
            </w:r>
          </w:p>
          <w:p w14:paraId="423AC8F5">
            <w:pPr>
              <w:pStyle w:val="161"/>
              <w:spacing w:line="360" w:lineRule="auto"/>
              <w:ind w:firstLine="420"/>
              <w:jc w:val="both"/>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4、在建工程</w:t>
            </w:r>
          </w:p>
          <w:p w14:paraId="648D2C3C">
            <w:pPr>
              <w:pageBreakBefore w:val="0"/>
              <w:widowControl w:val="0"/>
              <w:wordWrap/>
              <w:bidi w:val="0"/>
              <w:adjustRightInd w:val="0"/>
              <w:snapToGrid w:val="0"/>
              <w:spacing w:after="0" w:line="360" w:lineRule="auto"/>
              <w:ind w:left="0" w:leftChars="0" w:firstLine="420" w:firstLineChars="200"/>
              <w:jc w:val="both"/>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b w:val="0"/>
                <w:bCs/>
                <w:color w:val="auto"/>
                <w:kern w:val="2"/>
                <w:sz w:val="21"/>
                <w:szCs w:val="21"/>
                <w:highlight w:val="none"/>
                <w:lang w:val="en-US" w:eastAsia="zh-CN" w:bidi="ar-SA"/>
              </w:rPr>
              <w:t>唐山松汀钢铁有限公司</w:t>
            </w:r>
            <w:r>
              <w:rPr>
                <w:rFonts w:hint="default" w:ascii="Times New Roman" w:hAnsi="Times New Roman" w:eastAsia="宋体" w:cs="Times New Roman"/>
                <w:color w:val="auto"/>
                <w:kern w:val="0"/>
                <w:sz w:val="21"/>
                <w:szCs w:val="21"/>
                <w:highlight w:val="none"/>
                <w:lang w:val="en-US" w:eastAsia="zh-CN" w:bidi="ar-SA"/>
              </w:rPr>
              <w:t>目在建工程包括2×600t/d气烧双膛石灰窑工程项目、专用铁路改建工程、1580mm热轧带钢项目、850mm冷轧镀锌项目</w:t>
            </w:r>
            <w:r>
              <w:rPr>
                <w:rFonts w:hint="eastAsia" w:cs="Times New Roman"/>
                <w:color w:val="auto"/>
                <w:kern w:val="0"/>
                <w:sz w:val="21"/>
                <w:szCs w:val="21"/>
                <w:highlight w:val="none"/>
                <w:lang w:val="en-US" w:eastAsia="zh-CN" w:bidi="ar-SA"/>
              </w:rPr>
              <w:t>、</w:t>
            </w:r>
            <w:r>
              <w:rPr>
                <w:rFonts w:hint="default" w:ascii="Times New Roman" w:hAnsi="Times New Roman" w:eastAsia="宋体" w:cs="Times New Roman"/>
                <w:color w:val="auto"/>
                <w:sz w:val="21"/>
                <w:szCs w:val="21"/>
                <w:highlight w:val="none"/>
                <w:lang w:val="en-US" w:eastAsia="zh-CN"/>
              </w:rPr>
              <w:t>炼铁产能减量置换转型升级项目</w:t>
            </w:r>
            <w:r>
              <w:rPr>
                <w:rFonts w:hint="default" w:ascii="Times New Roman" w:hAnsi="Times New Roman" w:eastAsia="宋体" w:cs="Times New Roman"/>
                <w:color w:val="auto"/>
                <w:kern w:val="0"/>
                <w:sz w:val="21"/>
                <w:szCs w:val="21"/>
                <w:highlight w:val="none"/>
                <w:lang w:val="en-US" w:eastAsia="zh-CN" w:bidi="ar-SA"/>
              </w:rPr>
              <w:t>。</w:t>
            </w:r>
          </w:p>
          <w:p w14:paraId="78432752">
            <w:pPr>
              <w:pStyle w:val="2"/>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在建工程环评批复及建设情况见表</w:t>
            </w:r>
            <w:r>
              <w:rPr>
                <w:rFonts w:hint="eastAsia" w:cs="Times New Roman"/>
                <w:color w:val="auto"/>
                <w:sz w:val="21"/>
                <w:szCs w:val="21"/>
                <w:lang w:val="en-US" w:eastAsia="zh-CN"/>
              </w:rPr>
              <w:t>2-12</w:t>
            </w:r>
            <w:r>
              <w:rPr>
                <w:rFonts w:hint="default" w:ascii="Times New Roman" w:hAnsi="Times New Roman" w:eastAsia="宋体" w:cs="Times New Roman"/>
                <w:color w:val="auto"/>
                <w:sz w:val="21"/>
                <w:szCs w:val="21"/>
                <w:lang w:val="en-US" w:eastAsia="zh-CN"/>
              </w:rPr>
              <w:t>。</w:t>
            </w:r>
          </w:p>
          <w:p w14:paraId="2D5F837E">
            <w:pPr>
              <w:pageBreakBefore w:val="0"/>
              <w:widowControl w:val="0"/>
              <w:wordWrap/>
              <w:bidi w:val="0"/>
              <w:adjustRightInd w:val="0"/>
              <w:snapToGrid w:val="0"/>
              <w:spacing w:after="0" w:line="360" w:lineRule="auto"/>
              <w:ind w:left="0" w:leftChars="0" w:firstLine="0" w:firstLineChars="0"/>
              <w:jc w:val="center"/>
              <w:rPr>
                <w:rFonts w:hint="default" w:ascii="Times New Roman" w:hAnsi="Times New Roman" w:eastAsia="宋体" w:cs="Times New Roman"/>
                <w:b/>
                <w:color w:val="auto"/>
                <w:kern w:val="0"/>
                <w:sz w:val="21"/>
                <w:szCs w:val="21"/>
                <w:highlight w:val="none"/>
                <w:lang w:val="en-US" w:eastAsia="zh-CN" w:bidi="ar-SA"/>
              </w:rPr>
            </w:pPr>
            <w:r>
              <w:rPr>
                <w:rFonts w:hint="default" w:ascii="Times New Roman" w:hAnsi="Times New Roman" w:eastAsia="宋体" w:cs="Times New Roman"/>
                <w:b/>
                <w:color w:val="auto"/>
                <w:kern w:val="0"/>
                <w:sz w:val="21"/>
                <w:szCs w:val="21"/>
                <w:highlight w:val="none"/>
                <w:lang w:val="en-US" w:eastAsia="zh-CN" w:bidi="ar-SA"/>
              </w:rPr>
              <w:t>表</w:t>
            </w:r>
            <w:r>
              <w:rPr>
                <w:rFonts w:hint="eastAsia" w:cs="Times New Roman"/>
                <w:b/>
                <w:color w:val="auto"/>
                <w:kern w:val="0"/>
                <w:sz w:val="21"/>
                <w:szCs w:val="21"/>
                <w:highlight w:val="none"/>
                <w:lang w:val="en-US" w:eastAsia="zh-CN" w:bidi="ar-SA"/>
              </w:rPr>
              <w:t>2-13</w:t>
            </w:r>
            <w:r>
              <w:rPr>
                <w:rFonts w:hint="default" w:ascii="Times New Roman" w:hAnsi="Times New Roman" w:eastAsia="宋体" w:cs="Times New Roman"/>
                <w:b/>
                <w:color w:val="auto"/>
                <w:kern w:val="0"/>
                <w:sz w:val="21"/>
                <w:szCs w:val="21"/>
                <w:highlight w:val="none"/>
                <w:lang w:val="en-US" w:eastAsia="zh-CN" w:bidi="ar-SA"/>
              </w:rPr>
              <w:t xml:space="preserve">    松汀公司在建工程一览表</w:t>
            </w:r>
          </w:p>
          <w:tbl>
            <w:tblPr>
              <w:tblStyle w:val="84"/>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5"/>
              <w:gridCol w:w="1099"/>
              <w:gridCol w:w="2406"/>
              <w:gridCol w:w="886"/>
              <w:gridCol w:w="898"/>
              <w:gridCol w:w="931"/>
              <w:gridCol w:w="1210"/>
              <w:gridCol w:w="698"/>
            </w:tblGrid>
            <w:tr w14:paraId="567F3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63" w:type="pct"/>
                  <w:noWrap w:val="0"/>
                  <w:vAlign w:val="center"/>
                </w:tcPr>
                <w:p w14:paraId="06BE5053">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653" w:type="pct"/>
                  <w:noWrap w:val="0"/>
                  <w:vAlign w:val="center"/>
                </w:tcPr>
                <w:p w14:paraId="5A49D339">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污染源</w:t>
                  </w:r>
                </w:p>
              </w:tc>
              <w:tc>
                <w:tcPr>
                  <w:tcW w:w="1431" w:type="pct"/>
                  <w:noWrap w:val="0"/>
                  <w:vAlign w:val="center"/>
                </w:tcPr>
                <w:p w14:paraId="6BDD7557">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主要建设内容</w:t>
                  </w:r>
                </w:p>
              </w:tc>
              <w:tc>
                <w:tcPr>
                  <w:tcW w:w="527" w:type="pct"/>
                  <w:noWrap w:val="0"/>
                  <w:vAlign w:val="center"/>
                </w:tcPr>
                <w:p w14:paraId="1F35293C">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取得批复时间</w:t>
                  </w:r>
                </w:p>
              </w:tc>
              <w:tc>
                <w:tcPr>
                  <w:tcW w:w="534" w:type="pct"/>
                  <w:noWrap w:val="0"/>
                  <w:vAlign w:val="center"/>
                </w:tcPr>
                <w:p w14:paraId="0C858464">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审批部门</w:t>
                  </w:r>
                </w:p>
              </w:tc>
              <w:tc>
                <w:tcPr>
                  <w:tcW w:w="553" w:type="pct"/>
                  <w:noWrap w:val="0"/>
                  <w:vAlign w:val="center"/>
                </w:tcPr>
                <w:p w14:paraId="2B9F55A3">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批文文号</w:t>
                  </w:r>
                </w:p>
              </w:tc>
              <w:tc>
                <w:tcPr>
                  <w:tcW w:w="719" w:type="pct"/>
                  <w:noWrap w:val="0"/>
                  <w:vAlign w:val="center"/>
                </w:tcPr>
                <w:p w14:paraId="01FE02A5">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工程状态</w:t>
                  </w:r>
                </w:p>
              </w:tc>
              <w:tc>
                <w:tcPr>
                  <w:tcW w:w="415" w:type="pct"/>
                  <w:noWrap w:val="0"/>
                  <w:vAlign w:val="center"/>
                </w:tcPr>
                <w:p w14:paraId="1D51073F">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投产</w:t>
                  </w:r>
                </w:p>
                <w:p w14:paraId="20FEB4FE">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时间</w:t>
                  </w:r>
                </w:p>
              </w:tc>
            </w:tr>
            <w:tr w14:paraId="03E63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3" w:type="pct"/>
                  <w:noWrap w:val="0"/>
                  <w:vAlign w:val="center"/>
                </w:tcPr>
                <w:p w14:paraId="341AD032">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653" w:type="pct"/>
                  <w:noWrap w:val="0"/>
                  <w:vAlign w:val="center"/>
                </w:tcPr>
                <w:p w14:paraId="4F6E8CD9">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2×600t/d气烧双膛石灰窑工程项目</w:t>
                  </w:r>
                </w:p>
              </w:tc>
              <w:tc>
                <w:tcPr>
                  <w:tcW w:w="1431" w:type="pct"/>
                  <w:noWrap w:val="0"/>
                  <w:vAlign w:val="center"/>
                </w:tcPr>
                <w:p w14:paraId="01E7C196">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建设2×600t/d气烧双膛石灰窑，年产39.6万吨活性白灰</w:t>
                  </w:r>
                </w:p>
              </w:tc>
              <w:tc>
                <w:tcPr>
                  <w:tcW w:w="527" w:type="pct"/>
                  <w:noWrap w:val="0"/>
                  <w:vAlign w:val="center"/>
                </w:tcPr>
                <w:p w14:paraId="24505219">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2018.11.15</w:t>
                  </w:r>
                </w:p>
              </w:tc>
              <w:tc>
                <w:tcPr>
                  <w:tcW w:w="534" w:type="pct"/>
                  <w:noWrap w:val="0"/>
                  <w:vAlign w:val="center"/>
                </w:tcPr>
                <w:p w14:paraId="506ABC05">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迁安市环境保护局</w:t>
                  </w:r>
                </w:p>
              </w:tc>
              <w:tc>
                <w:tcPr>
                  <w:tcW w:w="553" w:type="pct"/>
                  <w:noWrap w:val="0"/>
                  <w:vAlign w:val="center"/>
                </w:tcPr>
                <w:p w14:paraId="7BEB8E22">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迁环表</w:t>
                  </w:r>
                  <w:r>
                    <w:rPr>
                      <w:rFonts w:hint="default" w:ascii="Times New Roman" w:hAnsi="Times New Roman" w:eastAsia="宋体" w:cs="Times New Roman"/>
                      <w:color w:val="auto"/>
                      <w:sz w:val="21"/>
                      <w:szCs w:val="21"/>
                      <w:highlight w:val="none"/>
                    </w:rPr>
                    <w:t>[2018]</w:t>
                  </w:r>
                  <w:r>
                    <w:rPr>
                      <w:rFonts w:hint="default" w:ascii="Times New Roman" w:hAnsi="Times New Roman" w:eastAsia="宋体" w:cs="Times New Roman"/>
                      <w:color w:val="auto"/>
                      <w:sz w:val="21"/>
                      <w:szCs w:val="21"/>
                      <w:highlight w:val="none"/>
                      <w:lang w:val="en-US" w:eastAsia="zh-CN"/>
                    </w:rPr>
                    <w:t>118</w:t>
                  </w:r>
                  <w:r>
                    <w:rPr>
                      <w:rFonts w:hint="default" w:ascii="Times New Roman" w:hAnsi="Times New Roman" w:eastAsia="宋体" w:cs="Times New Roman"/>
                      <w:color w:val="auto"/>
                      <w:sz w:val="21"/>
                      <w:szCs w:val="21"/>
                      <w:highlight w:val="none"/>
                    </w:rPr>
                    <w:t>号</w:t>
                  </w:r>
                </w:p>
              </w:tc>
              <w:tc>
                <w:tcPr>
                  <w:tcW w:w="719" w:type="pct"/>
                  <w:noWrap w:val="0"/>
                  <w:vAlign w:val="center"/>
                </w:tcPr>
                <w:p w14:paraId="410D9F03">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主体框架完成，电气设备未安装</w:t>
                  </w:r>
                </w:p>
              </w:tc>
              <w:tc>
                <w:tcPr>
                  <w:tcW w:w="415" w:type="pct"/>
                  <w:noWrap w:val="0"/>
                  <w:vAlign w:val="center"/>
                </w:tcPr>
                <w:p w14:paraId="24B3B9DC">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202</w:t>
                  </w: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rPr>
                    <w:t>年</w:t>
                  </w:r>
                  <w:r>
                    <w:rPr>
                      <w:rFonts w:hint="default" w:ascii="Times New Roman" w:hAnsi="Times New Roman" w:eastAsia="宋体"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rPr>
                    <w:t>月</w:t>
                  </w:r>
                </w:p>
              </w:tc>
            </w:tr>
            <w:tr w14:paraId="1CE14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3" w:type="pct"/>
                  <w:noWrap w:val="0"/>
                  <w:vAlign w:val="center"/>
                </w:tcPr>
                <w:p w14:paraId="362AF2DB">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653" w:type="pct"/>
                  <w:noWrap w:val="0"/>
                  <w:vAlign w:val="center"/>
                </w:tcPr>
                <w:p w14:paraId="00C0FDE3">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专用铁路改建工程</w:t>
                  </w:r>
                </w:p>
              </w:tc>
              <w:tc>
                <w:tcPr>
                  <w:tcW w:w="1431" w:type="pct"/>
                  <w:noWrap w:val="0"/>
                  <w:vAlign w:val="center"/>
                </w:tcPr>
                <w:p w14:paraId="6B8E6F82">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建设卑水铁路至厂区铺设专用铁路，并建设翻车机房</w:t>
                  </w:r>
                </w:p>
              </w:tc>
              <w:tc>
                <w:tcPr>
                  <w:tcW w:w="527" w:type="pct"/>
                  <w:noWrap w:val="0"/>
                  <w:vAlign w:val="center"/>
                </w:tcPr>
                <w:p w14:paraId="1F484B6F">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2018.12.3</w:t>
                  </w:r>
                </w:p>
              </w:tc>
              <w:tc>
                <w:tcPr>
                  <w:tcW w:w="534" w:type="pct"/>
                  <w:noWrap w:val="0"/>
                  <w:vAlign w:val="center"/>
                </w:tcPr>
                <w:p w14:paraId="0931557C">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迁安市环境保护局</w:t>
                  </w:r>
                </w:p>
              </w:tc>
              <w:tc>
                <w:tcPr>
                  <w:tcW w:w="553" w:type="pct"/>
                  <w:noWrap w:val="0"/>
                  <w:vAlign w:val="center"/>
                </w:tcPr>
                <w:p w14:paraId="27AF9DA6">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迁环表</w:t>
                  </w:r>
                  <w:r>
                    <w:rPr>
                      <w:rFonts w:hint="default" w:ascii="Times New Roman" w:hAnsi="Times New Roman" w:eastAsia="宋体" w:cs="Times New Roman"/>
                      <w:color w:val="auto"/>
                      <w:sz w:val="21"/>
                      <w:szCs w:val="21"/>
                      <w:highlight w:val="none"/>
                    </w:rPr>
                    <w:t>[2018]</w:t>
                  </w:r>
                  <w:r>
                    <w:rPr>
                      <w:rFonts w:hint="default" w:ascii="Times New Roman" w:hAnsi="Times New Roman" w:eastAsia="宋体" w:cs="Times New Roman"/>
                      <w:color w:val="auto"/>
                      <w:sz w:val="21"/>
                      <w:szCs w:val="21"/>
                      <w:highlight w:val="none"/>
                      <w:lang w:val="en-US" w:eastAsia="zh-CN"/>
                    </w:rPr>
                    <w:t>134</w:t>
                  </w:r>
                  <w:r>
                    <w:rPr>
                      <w:rFonts w:hint="default" w:ascii="Times New Roman" w:hAnsi="Times New Roman" w:eastAsia="宋体" w:cs="Times New Roman"/>
                      <w:color w:val="auto"/>
                      <w:sz w:val="21"/>
                      <w:szCs w:val="21"/>
                      <w:highlight w:val="none"/>
                    </w:rPr>
                    <w:t>号</w:t>
                  </w:r>
                </w:p>
              </w:tc>
              <w:tc>
                <w:tcPr>
                  <w:tcW w:w="719" w:type="pct"/>
                  <w:noWrap w:val="0"/>
                  <w:vAlign w:val="center"/>
                </w:tcPr>
                <w:p w14:paraId="4BB68C03">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专用铁路线铺设完毕，正在建设翻车机房</w:t>
                  </w:r>
                </w:p>
              </w:tc>
              <w:tc>
                <w:tcPr>
                  <w:tcW w:w="415" w:type="pct"/>
                  <w:noWrap w:val="0"/>
                  <w:vAlign w:val="center"/>
                </w:tcPr>
                <w:p w14:paraId="5D9C33CA">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2026年11月</w:t>
                  </w:r>
                </w:p>
              </w:tc>
            </w:tr>
            <w:tr w14:paraId="418AA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3" w:type="pct"/>
                  <w:noWrap w:val="0"/>
                  <w:vAlign w:val="center"/>
                </w:tcPr>
                <w:p w14:paraId="39E57992">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3</w:t>
                  </w:r>
                </w:p>
              </w:tc>
              <w:tc>
                <w:tcPr>
                  <w:tcW w:w="653" w:type="pct"/>
                  <w:noWrap w:val="0"/>
                  <w:vAlign w:val="center"/>
                </w:tcPr>
                <w:p w14:paraId="099F1A69">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1580mm热轧带钢项目</w:t>
                  </w:r>
                </w:p>
              </w:tc>
              <w:tc>
                <w:tcPr>
                  <w:tcW w:w="1431" w:type="pct"/>
                  <w:noWrap w:val="0"/>
                  <w:vAlign w:val="center"/>
                </w:tcPr>
                <w:p w14:paraId="70CE0419">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年产1450-1580mm热轧带钢200万t</w:t>
                  </w:r>
                </w:p>
              </w:tc>
              <w:tc>
                <w:tcPr>
                  <w:tcW w:w="527" w:type="pct"/>
                  <w:noWrap w:val="0"/>
                  <w:vAlign w:val="center"/>
                </w:tcPr>
                <w:p w14:paraId="5F62D742">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2018.12.28</w:t>
                  </w:r>
                </w:p>
              </w:tc>
              <w:tc>
                <w:tcPr>
                  <w:tcW w:w="534" w:type="pct"/>
                  <w:noWrap w:val="0"/>
                  <w:vAlign w:val="center"/>
                </w:tcPr>
                <w:p w14:paraId="6EFFF3DB">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唐山市行政审批局</w:t>
                  </w:r>
                </w:p>
              </w:tc>
              <w:tc>
                <w:tcPr>
                  <w:tcW w:w="553" w:type="pct"/>
                  <w:noWrap w:val="0"/>
                  <w:vAlign w:val="center"/>
                </w:tcPr>
                <w:p w14:paraId="3C961ED3">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2018年12月28日备案</w:t>
                  </w:r>
                </w:p>
              </w:tc>
              <w:tc>
                <w:tcPr>
                  <w:tcW w:w="719" w:type="pct"/>
                  <w:noWrap w:val="0"/>
                  <w:vAlign w:val="center"/>
                </w:tcPr>
                <w:p w14:paraId="29AD8FB9">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正在建设</w:t>
                  </w:r>
                </w:p>
              </w:tc>
              <w:tc>
                <w:tcPr>
                  <w:tcW w:w="415" w:type="pct"/>
                  <w:noWrap w:val="0"/>
                  <w:vAlign w:val="center"/>
                </w:tcPr>
                <w:p w14:paraId="15816FEF">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2026年11月</w:t>
                  </w:r>
                </w:p>
              </w:tc>
            </w:tr>
            <w:tr w14:paraId="2A690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3" w:type="pct"/>
                  <w:noWrap w:val="0"/>
                  <w:vAlign w:val="center"/>
                </w:tcPr>
                <w:p w14:paraId="240EB1F0">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p>
              </w:tc>
              <w:tc>
                <w:tcPr>
                  <w:tcW w:w="653" w:type="pct"/>
                  <w:noWrap w:val="0"/>
                  <w:vAlign w:val="center"/>
                </w:tcPr>
                <w:p w14:paraId="4716C911">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850mm冷轧镀锌项目</w:t>
                  </w:r>
                </w:p>
              </w:tc>
              <w:tc>
                <w:tcPr>
                  <w:tcW w:w="1431" w:type="pct"/>
                  <w:noWrap w:val="0"/>
                  <w:vAlign w:val="center"/>
                </w:tcPr>
                <w:p w14:paraId="6891D024">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建设酸轧联合机组2套、热镀锌机组3套、罩式退火炉15座、平整机组1套、重卷分卷机组1套。年产冷轧热镀锌卷及冷硬卷80万吨</w:t>
                  </w:r>
                </w:p>
              </w:tc>
              <w:tc>
                <w:tcPr>
                  <w:tcW w:w="527" w:type="pct"/>
                  <w:noWrap w:val="0"/>
                  <w:vAlign w:val="center"/>
                </w:tcPr>
                <w:p w14:paraId="5A7ADABA">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2022.3.11</w:t>
                  </w:r>
                </w:p>
              </w:tc>
              <w:tc>
                <w:tcPr>
                  <w:tcW w:w="534" w:type="pct"/>
                  <w:noWrap w:val="0"/>
                  <w:vAlign w:val="center"/>
                </w:tcPr>
                <w:p w14:paraId="518FBA94">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唐山市行政审批局</w:t>
                  </w:r>
                </w:p>
              </w:tc>
              <w:tc>
                <w:tcPr>
                  <w:tcW w:w="553" w:type="pct"/>
                  <w:noWrap w:val="0"/>
                  <w:vAlign w:val="center"/>
                </w:tcPr>
                <w:p w14:paraId="097978CC">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唐审投资环字[2022]6号</w:t>
                  </w:r>
                </w:p>
              </w:tc>
              <w:tc>
                <w:tcPr>
                  <w:tcW w:w="719" w:type="pct"/>
                  <w:noWrap w:val="0"/>
                  <w:vAlign w:val="center"/>
                </w:tcPr>
                <w:p w14:paraId="78221EED">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尚未动工</w:t>
                  </w:r>
                </w:p>
              </w:tc>
              <w:tc>
                <w:tcPr>
                  <w:tcW w:w="415" w:type="pct"/>
                  <w:noWrap w:val="0"/>
                  <w:vAlign w:val="center"/>
                </w:tcPr>
                <w:p w14:paraId="7C5BC4D4">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2026年11月</w:t>
                  </w:r>
                </w:p>
              </w:tc>
            </w:tr>
            <w:tr w14:paraId="6EAF3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3" w:type="pct"/>
                  <w:noWrap w:val="0"/>
                  <w:vAlign w:val="center"/>
                </w:tcPr>
                <w:p w14:paraId="6B74BE3E">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w:t>
                  </w:r>
                </w:p>
              </w:tc>
              <w:tc>
                <w:tcPr>
                  <w:tcW w:w="653" w:type="pct"/>
                  <w:noWrap w:val="0"/>
                  <w:vAlign w:val="center"/>
                </w:tcPr>
                <w:p w14:paraId="51656BA1">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炼铁产能减量置换转型升级项目</w:t>
                  </w:r>
                </w:p>
              </w:tc>
              <w:tc>
                <w:tcPr>
                  <w:tcW w:w="1431" w:type="pct"/>
                  <w:noWrap w:val="0"/>
                  <w:vAlign w:val="center"/>
                </w:tcPr>
                <w:p w14:paraId="22B96A8F">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拆除主要装备为3#580m</w:t>
                  </w:r>
                  <w:r>
                    <w:rPr>
                      <w:rFonts w:hint="eastAsia"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高炉、4#580m</w:t>
                  </w:r>
                  <w:r>
                    <w:rPr>
                      <w:rFonts w:hint="eastAsia"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高炉，建设1500m</w:t>
                  </w:r>
                  <w:r>
                    <w:rPr>
                      <w:rFonts w:hint="eastAsia"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高炉1座</w:t>
                  </w:r>
                </w:p>
              </w:tc>
              <w:tc>
                <w:tcPr>
                  <w:tcW w:w="527" w:type="pct"/>
                  <w:noWrap w:val="0"/>
                  <w:vAlign w:val="center"/>
                </w:tcPr>
                <w:p w14:paraId="39C3B88C">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2022.7.28</w:t>
                  </w:r>
                </w:p>
              </w:tc>
              <w:tc>
                <w:tcPr>
                  <w:tcW w:w="534" w:type="pct"/>
                  <w:noWrap w:val="0"/>
                  <w:vAlign w:val="center"/>
                </w:tcPr>
                <w:p w14:paraId="3EF64E6D">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河北省生态环境厅</w:t>
                  </w:r>
                </w:p>
              </w:tc>
              <w:tc>
                <w:tcPr>
                  <w:tcW w:w="553" w:type="pct"/>
                  <w:noWrap w:val="0"/>
                  <w:vAlign w:val="center"/>
                </w:tcPr>
                <w:p w14:paraId="3CD80BBC">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冀环审[2022]61号</w:t>
                  </w:r>
                </w:p>
              </w:tc>
              <w:tc>
                <w:tcPr>
                  <w:tcW w:w="719" w:type="pct"/>
                  <w:noWrap w:val="0"/>
                  <w:vAlign w:val="center"/>
                </w:tcPr>
                <w:p w14:paraId="44D3AC81">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试生产</w:t>
                  </w:r>
                </w:p>
              </w:tc>
              <w:tc>
                <w:tcPr>
                  <w:tcW w:w="415" w:type="pct"/>
                  <w:noWrap w:val="0"/>
                  <w:vAlign w:val="center"/>
                </w:tcPr>
                <w:p w14:paraId="06C9336A">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2026年2月</w:t>
                  </w:r>
                </w:p>
              </w:tc>
            </w:tr>
          </w:tbl>
          <w:p w14:paraId="69AAB592">
            <w:pPr>
              <w:pStyle w:val="83"/>
              <w:pageBreakBefore w:val="0"/>
              <w:wordWrap/>
              <w:bidi w:val="0"/>
              <w:adjustRightInd w:val="0"/>
              <w:snapToGrid w:val="0"/>
              <w:spacing w:after="0" w:line="360" w:lineRule="auto"/>
              <w:ind w:left="0" w:leftChars="0" w:firstLine="48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在建工程污染物排放量见</w:t>
            </w:r>
            <w:r>
              <w:rPr>
                <w:rFonts w:hint="default" w:ascii="Times New Roman" w:hAnsi="Times New Roman" w:eastAsia="宋体" w:cs="Times New Roman"/>
                <w:color w:val="auto"/>
                <w:sz w:val="21"/>
                <w:szCs w:val="21"/>
                <w:highlight w:val="none"/>
                <w:lang w:val="en-US" w:eastAsia="zh-CN"/>
              </w:rPr>
              <w:t>下</w:t>
            </w:r>
            <w:r>
              <w:rPr>
                <w:rFonts w:hint="default" w:ascii="Times New Roman" w:hAnsi="Times New Roman" w:eastAsia="宋体" w:cs="Times New Roman"/>
                <w:color w:val="auto"/>
                <w:sz w:val="21"/>
                <w:szCs w:val="21"/>
                <w:highlight w:val="none"/>
              </w:rPr>
              <w:t>表。</w:t>
            </w:r>
          </w:p>
          <w:p w14:paraId="1BD88B60">
            <w:pPr>
              <w:pageBreakBefore w:val="0"/>
              <w:widowControl w:val="0"/>
              <w:wordWrap/>
              <w:bidi w:val="0"/>
              <w:adjustRightInd w:val="0"/>
              <w:snapToGrid w:val="0"/>
              <w:spacing w:after="0" w:line="360" w:lineRule="auto"/>
              <w:ind w:left="0" w:leftChars="0" w:firstLine="0" w:firstLineChars="0"/>
              <w:jc w:val="center"/>
              <w:rPr>
                <w:rFonts w:hint="default" w:ascii="Times New Roman" w:hAnsi="Times New Roman" w:eastAsia="宋体" w:cs="Times New Roman"/>
                <w:b/>
                <w:color w:val="auto"/>
                <w:kern w:val="0"/>
                <w:sz w:val="21"/>
                <w:szCs w:val="21"/>
                <w:highlight w:val="none"/>
                <w:lang w:val="en-US" w:eastAsia="zh-CN" w:bidi="ar-SA"/>
              </w:rPr>
            </w:pPr>
            <w:r>
              <w:rPr>
                <w:rFonts w:hint="default" w:ascii="Times New Roman" w:hAnsi="Times New Roman" w:eastAsia="宋体" w:cs="Times New Roman"/>
                <w:b/>
                <w:color w:val="auto"/>
                <w:kern w:val="0"/>
                <w:sz w:val="21"/>
                <w:szCs w:val="21"/>
                <w:highlight w:val="none"/>
                <w:lang w:val="en-US" w:eastAsia="zh-CN" w:bidi="ar-SA"/>
              </w:rPr>
              <w:t>表2-1</w:t>
            </w:r>
            <w:r>
              <w:rPr>
                <w:rFonts w:hint="default" w:ascii="Times New Roman" w:hAnsi="Times New Roman" w:cs="Times New Roman"/>
                <w:b/>
                <w:color w:val="auto"/>
                <w:kern w:val="0"/>
                <w:sz w:val="21"/>
                <w:szCs w:val="21"/>
                <w:highlight w:val="none"/>
                <w:lang w:val="en-US" w:eastAsia="zh-CN" w:bidi="ar-SA"/>
              </w:rPr>
              <w:t>4</w:t>
            </w:r>
            <w:r>
              <w:rPr>
                <w:rFonts w:hint="default" w:ascii="Times New Roman" w:hAnsi="Times New Roman" w:eastAsia="宋体" w:cs="Times New Roman"/>
                <w:b/>
                <w:color w:val="auto"/>
                <w:kern w:val="0"/>
                <w:sz w:val="21"/>
                <w:szCs w:val="21"/>
                <w:highlight w:val="none"/>
                <w:lang w:val="en-US" w:eastAsia="zh-CN" w:bidi="ar-SA"/>
              </w:rPr>
              <w:t xml:space="preserve">    2×600t/d气烧双膛石灰窑工程项目工程污染物排放量</w:t>
            </w:r>
          </w:p>
          <w:tbl>
            <w:tblPr>
              <w:tblStyle w:val="8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46"/>
              <w:gridCol w:w="1142"/>
              <w:gridCol w:w="1193"/>
              <w:gridCol w:w="1179"/>
              <w:gridCol w:w="982"/>
              <w:gridCol w:w="868"/>
              <w:gridCol w:w="698"/>
            </w:tblGrid>
            <w:tr w14:paraId="444C9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95" w:type="pct"/>
                  <w:vMerge w:val="restart"/>
                  <w:noWrap w:val="0"/>
                  <w:vAlign w:val="center"/>
                </w:tcPr>
                <w:p w14:paraId="267F6B8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w:t>
                  </w:r>
                </w:p>
              </w:tc>
              <w:tc>
                <w:tcPr>
                  <w:tcW w:w="2089" w:type="pct"/>
                  <w:gridSpan w:val="3"/>
                  <w:noWrap w:val="0"/>
                  <w:vAlign w:val="center"/>
                </w:tcPr>
                <w:p w14:paraId="296916E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废气污染物(t/a)</w:t>
                  </w:r>
                </w:p>
              </w:tc>
              <w:tc>
                <w:tcPr>
                  <w:tcW w:w="1100" w:type="pct"/>
                  <w:gridSpan w:val="2"/>
                  <w:noWrap w:val="0"/>
                  <w:vAlign w:val="center"/>
                </w:tcPr>
                <w:p w14:paraId="00F5D6B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废水污染物(t/a)</w:t>
                  </w:r>
                </w:p>
              </w:tc>
              <w:tc>
                <w:tcPr>
                  <w:tcW w:w="415" w:type="pct"/>
                  <w:vMerge w:val="restart"/>
                  <w:noWrap w:val="0"/>
                  <w:vAlign w:val="center"/>
                </w:tcPr>
                <w:p w14:paraId="27AD8A9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w:t>
                  </w:r>
                </w:p>
                <w:p w14:paraId="5B0E21D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废物</w:t>
                  </w:r>
                </w:p>
              </w:tc>
            </w:tr>
            <w:tr w14:paraId="7BF1F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95" w:type="pct"/>
                  <w:vMerge w:val="continue"/>
                  <w:noWrap w:val="0"/>
                  <w:vAlign w:val="center"/>
                </w:tcPr>
                <w:p w14:paraId="5AC40AA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p>
              </w:tc>
              <w:tc>
                <w:tcPr>
                  <w:tcW w:w="679" w:type="pct"/>
                  <w:noWrap w:val="0"/>
                  <w:vAlign w:val="center"/>
                </w:tcPr>
                <w:p w14:paraId="67E8A5C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颗粒物</w:t>
                  </w:r>
                </w:p>
              </w:tc>
              <w:tc>
                <w:tcPr>
                  <w:tcW w:w="709" w:type="pct"/>
                  <w:noWrap w:val="0"/>
                  <w:vAlign w:val="center"/>
                </w:tcPr>
                <w:p w14:paraId="45A281E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SO</w:t>
                  </w:r>
                  <w:r>
                    <w:rPr>
                      <w:rFonts w:hint="default" w:ascii="Times New Roman" w:hAnsi="Times New Roman" w:eastAsia="宋体" w:cs="Times New Roman"/>
                      <w:color w:val="auto"/>
                      <w:sz w:val="21"/>
                      <w:szCs w:val="21"/>
                      <w:highlight w:val="none"/>
                      <w:vertAlign w:val="subscript"/>
                    </w:rPr>
                    <w:t>2</w:t>
                  </w:r>
                </w:p>
              </w:tc>
              <w:tc>
                <w:tcPr>
                  <w:tcW w:w="700" w:type="pct"/>
                  <w:noWrap w:val="0"/>
                  <w:vAlign w:val="center"/>
                </w:tcPr>
                <w:p w14:paraId="0E6D17D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NOx</w:t>
                  </w:r>
                </w:p>
              </w:tc>
              <w:tc>
                <w:tcPr>
                  <w:tcW w:w="584" w:type="pct"/>
                  <w:noWrap w:val="0"/>
                  <w:vAlign w:val="center"/>
                </w:tcPr>
                <w:p w14:paraId="4EA18C5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tc>
              <w:tc>
                <w:tcPr>
                  <w:tcW w:w="516" w:type="pct"/>
                  <w:noWrap w:val="0"/>
                  <w:vAlign w:val="center"/>
                </w:tcPr>
                <w:p w14:paraId="0A35B3C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氨氮</w:t>
                  </w:r>
                </w:p>
              </w:tc>
              <w:tc>
                <w:tcPr>
                  <w:tcW w:w="415" w:type="pct"/>
                  <w:vMerge w:val="continue"/>
                  <w:noWrap w:val="0"/>
                  <w:vAlign w:val="center"/>
                </w:tcPr>
                <w:p w14:paraId="4619D5C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p>
              </w:tc>
            </w:tr>
            <w:tr w14:paraId="2929B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95" w:type="pct"/>
                  <w:noWrap w:val="0"/>
                  <w:vAlign w:val="center"/>
                </w:tcPr>
                <w:p w14:paraId="5A092AB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24"/>
                      <w:sz w:val="21"/>
                      <w:szCs w:val="21"/>
                      <w:highlight w:val="none"/>
                      <w:lang w:val="en-US" w:eastAsia="zh-CN"/>
                    </w:rPr>
                    <w:t>在建双膛石灰窑</w:t>
                  </w:r>
                  <w:r>
                    <w:rPr>
                      <w:rFonts w:hint="default" w:ascii="Times New Roman" w:hAnsi="Times New Roman" w:eastAsia="宋体" w:cs="Times New Roman"/>
                      <w:color w:val="auto"/>
                      <w:kern w:val="24"/>
                      <w:sz w:val="21"/>
                      <w:szCs w:val="21"/>
                      <w:highlight w:val="none"/>
                    </w:rPr>
                    <w:t>项目</w:t>
                  </w:r>
                </w:p>
              </w:tc>
              <w:tc>
                <w:tcPr>
                  <w:tcW w:w="679" w:type="pct"/>
                  <w:noWrap w:val="0"/>
                  <w:vAlign w:val="center"/>
                </w:tcPr>
                <w:p w14:paraId="57B5064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33.514</w:t>
                  </w:r>
                </w:p>
              </w:tc>
              <w:tc>
                <w:tcPr>
                  <w:tcW w:w="709" w:type="pct"/>
                  <w:noWrap w:val="0"/>
                  <w:vAlign w:val="center"/>
                </w:tcPr>
                <w:p w14:paraId="49C3152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65.26</w:t>
                  </w:r>
                </w:p>
              </w:tc>
              <w:tc>
                <w:tcPr>
                  <w:tcW w:w="700" w:type="pct"/>
                  <w:noWrap w:val="0"/>
                  <w:vAlign w:val="center"/>
                </w:tcPr>
                <w:p w14:paraId="5DAB6E3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42.84</w:t>
                  </w:r>
                </w:p>
              </w:tc>
              <w:tc>
                <w:tcPr>
                  <w:tcW w:w="584" w:type="pct"/>
                  <w:noWrap w:val="0"/>
                  <w:vAlign w:val="center"/>
                </w:tcPr>
                <w:p w14:paraId="55C4FEE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c>
                <w:tcPr>
                  <w:tcW w:w="516" w:type="pct"/>
                  <w:noWrap w:val="0"/>
                  <w:vAlign w:val="center"/>
                </w:tcPr>
                <w:p w14:paraId="5041E9C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c>
                <w:tcPr>
                  <w:tcW w:w="415" w:type="pct"/>
                  <w:noWrap w:val="0"/>
                  <w:vAlign w:val="center"/>
                </w:tcPr>
                <w:p w14:paraId="08C78BC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r>
            <w:tr w14:paraId="3F600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95" w:type="pct"/>
                  <w:noWrap w:val="0"/>
                  <w:vAlign w:val="center"/>
                </w:tcPr>
                <w:p w14:paraId="5D9D9C6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合计</w:t>
                  </w:r>
                </w:p>
              </w:tc>
              <w:tc>
                <w:tcPr>
                  <w:tcW w:w="679" w:type="pct"/>
                  <w:noWrap w:val="0"/>
                  <w:vAlign w:val="center"/>
                </w:tcPr>
                <w:p w14:paraId="4FD750C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33.514</w:t>
                  </w:r>
                </w:p>
              </w:tc>
              <w:tc>
                <w:tcPr>
                  <w:tcW w:w="709" w:type="pct"/>
                  <w:noWrap w:val="0"/>
                  <w:vAlign w:val="center"/>
                </w:tcPr>
                <w:p w14:paraId="09EF186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65.26</w:t>
                  </w:r>
                </w:p>
              </w:tc>
              <w:tc>
                <w:tcPr>
                  <w:tcW w:w="700" w:type="pct"/>
                  <w:noWrap w:val="0"/>
                  <w:vAlign w:val="center"/>
                </w:tcPr>
                <w:p w14:paraId="493A184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42.84</w:t>
                  </w:r>
                </w:p>
              </w:tc>
              <w:tc>
                <w:tcPr>
                  <w:tcW w:w="584" w:type="pct"/>
                  <w:noWrap w:val="0"/>
                  <w:vAlign w:val="center"/>
                </w:tcPr>
                <w:p w14:paraId="2328EF9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c>
                <w:tcPr>
                  <w:tcW w:w="516" w:type="pct"/>
                  <w:noWrap w:val="0"/>
                  <w:vAlign w:val="center"/>
                </w:tcPr>
                <w:p w14:paraId="76EDF28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c>
                <w:tcPr>
                  <w:tcW w:w="415" w:type="pct"/>
                  <w:noWrap w:val="0"/>
                  <w:vAlign w:val="center"/>
                </w:tcPr>
                <w:p w14:paraId="21EF1E9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r>
          </w:tbl>
          <w:p w14:paraId="7BF6EF08">
            <w:pPr>
              <w:pageBreakBefore w:val="0"/>
              <w:widowControl w:val="0"/>
              <w:wordWrap/>
              <w:bidi w:val="0"/>
              <w:adjustRightInd w:val="0"/>
              <w:snapToGrid w:val="0"/>
              <w:spacing w:after="0" w:line="360" w:lineRule="auto"/>
              <w:ind w:left="0" w:leftChars="0" w:firstLine="0" w:firstLineChars="0"/>
              <w:jc w:val="center"/>
              <w:rPr>
                <w:rFonts w:hint="default" w:ascii="Times New Roman" w:hAnsi="Times New Roman" w:eastAsia="宋体" w:cs="Times New Roman"/>
                <w:b/>
                <w:color w:val="auto"/>
                <w:kern w:val="0"/>
                <w:sz w:val="21"/>
                <w:szCs w:val="21"/>
                <w:highlight w:val="none"/>
                <w:lang w:val="en-US" w:eastAsia="zh-CN" w:bidi="ar-SA"/>
              </w:rPr>
            </w:pPr>
            <w:r>
              <w:rPr>
                <w:rFonts w:hint="default" w:ascii="Times New Roman" w:hAnsi="Times New Roman" w:eastAsia="宋体" w:cs="Times New Roman"/>
                <w:b/>
                <w:color w:val="auto"/>
                <w:kern w:val="0"/>
                <w:sz w:val="21"/>
                <w:szCs w:val="21"/>
                <w:highlight w:val="none"/>
                <w:lang w:val="en-US" w:eastAsia="zh-CN" w:bidi="ar-SA"/>
              </w:rPr>
              <w:t>表</w:t>
            </w:r>
            <w:r>
              <w:rPr>
                <w:rFonts w:hint="eastAsia" w:ascii="Times New Roman" w:hAnsi="Times New Roman" w:eastAsia="宋体" w:cs="Times New Roman"/>
                <w:b/>
                <w:color w:val="auto"/>
                <w:kern w:val="0"/>
                <w:sz w:val="21"/>
                <w:szCs w:val="21"/>
                <w:highlight w:val="none"/>
                <w:lang w:val="en-US" w:eastAsia="zh-CN" w:bidi="ar-SA"/>
              </w:rPr>
              <w:t>2</w:t>
            </w:r>
            <w:r>
              <w:rPr>
                <w:rFonts w:hint="default" w:ascii="Times New Roman" w:hAnsi="Times New Roman" w:eastAsia="宋体" w:cs="Times New Roman"/>
                <w:b/>
                <w:color w:val="auto"/>
                <w:kern w:val="0"/>
                <w:sz w:val="21"/>
                <w:szCs w:val="21"/>
                <w:highlight w:val="none"/>
                <w:lang w:val="en-US" w:eastAsia="zh-CN" w:bidi="ar-SA"/>
              </w:rPr>
              <w:t>-</w:t>
            </w:r>
            <w:r>
              <w:rPr>
                <w:rFonts w:hint="eastAsia" w:ascii="Times New Roman" w:hAnsi="Times New Roman" w:eastAsia="宋体" w:cs="Times New Roman"/>
                <w:b/>
                <w:color w:val="auto"/>
                <w:kern w:val="0"/>
                <w:sz w:val="21"/>
                <w:szCs w:val="21"/>
                <w:highlight w:val="none"/>
                <w:lang w:val="en-US" w:eastAsia="zh-CN" w:bidi="ar-SA"/>
              </w:rPr>
              <w:t>1</w:t>
            </w:r>
            <w:r>
              <w:rPr>
                <w:rFonts w:hint="eastAsia" w:cs="Times New Roman"/>
                <w:b/>
                <w:color w:val="auto"/>
                <w:kern w:val="0"/>
                <w:sz w:val="21"/>
                <w:szCs w:val="21"/>
                <w:highlight w:val="none"/>
                <w:lang w:val="en-US" w:eastAsia="zh-CN" w:bidi="ar-SA"/>
              </w:rPr>
              <w:t>5</w:t>
            </w:r>
            <w:r>
              <w:rPr>
                <w:rFonts w:hint="default" w:ascii="Times New Roman" w:hAnsi="Times New Roman" w:eastAsia="宋体" w:cs="Times New Roman"/>
                <w:b/>
                <w:color w:val="auto"/>
                <w:kern w:val="0"/>
                <w:sz w:val="21"/>
                <w:szCs w:val="21"/>
                <w:highlight w:val="none"/>
                <w:lang w:val="en-US" w:eastAsia="zh-CN" w:bidi="ar-SA"/>
              </w:rPr>
              <w:t xml:space="preserve">   专用铁路改建工程污染物排放量统计表</w:t>
            </w:r>
          </w:p>
          <w:tbl>
            <w:tblPr>
              <w:tblStyle w:val="8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9"/>
              <w:gridCol w:w="1068"/>
              <w:gridCol w:w="1080"/>
              <w:gridCol w:w="1315"/>
              <w:gridCol w:w="1324"/>
              <w:gridCol w:w="844"/>
              <w:gridCol w:w="799"/>
              <w:gridCol w:w="979"/>
            </w:tblGrid>
            <w:tr w14:paraId="0B0CB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440" w:type="pct"/>
                  <w:gridSpan w:val="5"/>
                  <w:noWrap w:val="0"/>
                  <w:vAlign w:val="center"/>
                </w:tcPr>
                <w:p w14:paraId="06FECDA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废气(t/a)</w:t>
                  </w:r>
                </w:p>
              </w:tc>
              <w:tc>
                <w:tcPr>
                  <w:tcW w:w="977" w:type="pct"/>
                  <w:gridSpan w:val="2"/>
                  <w:noWrap w:val="0"/>
                  <w:vAlign w:val="center"/>
                </w:tcPr>
                <w:p w14:paraId="568F6F5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废水(t/a)</w:t>
                  </w:r>
                </w:p>
              </w:tc>
              <w:tc>
                <w:tcPr>
                  <w:tcW w:w="582" w:type="pct"/>
                  <w:vMerge w:val="restart"/>
                  <w:noWrap w:val="0"/>
                  <w:vAlign w:val="center"/>
                </w:tcPr>
                <w:p w14:paraId="51E90F9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w:t>
                  </w:r>
                </w:p>
                <w:p w14:paraId="679D02C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废物</w:t>
                  </w:r>
                </w:p>
                <w:p w14:paraId="7783FAE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(t/a)</w:t>
                  </w:r>
                </w:p>
              </w:tc>
            </w:tr>
            <w:tr w14:paraId="3EF82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71" w:type="pct"/>
                  <w:gridSpan w:val="3"/>
                  <w:noWrap w:val="0"/>
                  <w:vAlign w:val="center"/>
                </w:tcPr>
                <w:p w14:paraId="2A6AA1F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颗粒物</w:t>
                  </w:r>
                </w:p>
              </w:tc>
              <w:tc>
                <w:tcPr>
                  <w:tcW w:w="782" w:type="pct"/>
                  <w:vMerge w:val="restart"/>
                  <w:noWrap w:val="0"/>
                  <w:vAlign w:val="center"/>
                </w:tcPr>
                <w:p w14:paraId="78AB1B8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二氧化硫</w:t>
                  </w:r>
                </w:p>
              </w:tc>
              <w:tc>
                <w:tcPr>
                  <w:tcW w:w="786" w:type="pct"/>
                  <w:vMerge w:val="restart"/>
                  <w:noWrap w:val="0"/>
                  <w:vAlign w:val="center"/>
                </w:tcPr>
                <w:p w14:paraId="2E8CB67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氮氧化物</w:t>
                  </w:r>
                </w:p>
              </w:tc>
              <w:tc>
                <w:tcPr>
                  <w:tcW w:w="502" w:type="pct"/>
                  <w:vMerge w:val="restart"/>
                  <w:noWrap w:val="0"/>
                  <w:vAlign w:val="center"/>
                </w:tcPr>
                <w:p w14:paraId="32C51AF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tc>
              <w:tc>
                <w:tcPr>
                  <w:tcW w:w="475" w:type="pct"/>
                  <w:vMerge w:val="restart"/>
                  <w:noWrap w:val="0"/>
                  <w:vAlign w:val="center"/>
                </w:tcPr>
                <w:p w14:paraId="766951C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氨氮</w:t>
                  </w:r>
                </w:p>
              </w:tc>
              <w:tc>
                <w:tcPr>
                  <w:tcW w:w="582" w:type="pct"/>
                  <w:vMerge w:val="continue"/>
                  <w:noWrap w:val="0"/>
                  <w:vAlign w:val="center"/>
                </w:tcPr>
                <w:p w14:paraId="632F290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r>
            <w:tr w14:paraId="7FE0C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94" w:type="pct"/>
                  <w:noWrap w:val="0"/>
                  <w:vAlign w:val="center"/>
                </w:tcPr>
                <w:p w14:paraId="5AB5168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有组织</w:t>
                  </w:r>
                </w:p>
              </w:tc>
              <w:tc>
                <w:tcPr>
                  <w:tcW w:w="635" w:type="pct"/>
                  <w:noWrap w:val="0"/>
                  <w:vAlign w:val="center"/>
                </w:tcPr>
                <w:p w14:paraId="2D6032B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无组织</w:t>
                  </w:r>
                </w:p>
              </w:tc>
              <w:tc>
                <w:tcPr>
                  <w:tcW w:w="641" w:type="pct"/>
                  <w:noWrap w:val="0"/>
                  <w:vAlign w:val="center"/>
                </w:tcPr>
                <w:p w14:paraId="4162A1F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合计</w:t>
                  </w:r>
                </w:p>
              </w:tc>
              <w:tc>
                <w:tcPr>
                  <w:tcW w:w="782" w:type="pct"/>
                  <w:vMerge w:val="continue"/>
                  <w:noWrap w:val="0"/>
                  <w:vAlign w:val="center"/>
                </w:tcPr>
                <w:p w14:paraId="1859E7E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786" w:type="pct"/>
                  <w:vMerge w:val="continue"/>
                  <w:noWrap w:val="0"/>
                  <w:vAlign w:val="center"/>
                </w:tcPr>
                <w:p w14:paraId="7775FA4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502" w:type="pct"/>
                  <w:vMerge w:val="continue"/>
                  <w:noWrap w:val="0"/>
                  <w:vAlign w:val="center"/>
                </w:tcPr>
                <w:p w14:paraId="344C4D3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475" w:type="pct"/>
                  <w:vMerge w:val="continue"/>
                  <w:noWrap w:val="0"/>
                  <w:vAlign w:val="center"/>
                </w:tcPr>
                <w:p w14:paraId="7FD816D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582" w:type="pct"/>
                  <w:vMerge w:val="continue"/>
                  <w:noWrap w:val="0"/>
                  <w:vAlign w:val="center"/>
                </w:tcPr>
                <w:p w14:paraId="273BBC2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r>
            <w:tr w14:paraId="01291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94" w:type="pct"/>
                  <w:noWrap w:val="0"/>
                  <w:vAlign w:val="center"/>
                </w:tcPr>
                <w:p w14:paraId="698DC5D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4.266</w:t>
                  </w:r>
                </w:p>
              </w:tc>
              <w:tc>
                <w:tcPr>
                  <w:tcW w:w="635" w:type="pct"/>
                  <w:noWrap w:val="0"/>
                  <w:vAlign w:val="center"/>
                </w:tcPr>
                <w:p w14:paraId="010DDDB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2.502</w:t>
                  </w:r>
                </w:p>
              </w:tc>
              <w:tc>
                <w:tcPr>
                  <w:tcW w:w="641" w:type="pct"/>
                  <w:noWrap w:val="0"/>
                  <w:vAlign w:val="center"/>
                </w:tcPr>
                <w:p w14:paraId="49984BE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6.768</w:t>
                  </w:r>
                </w:p>
              </w:tc>
              <w:tc>
                <w:tcPr>
                  <w:tcW w:w="782" w:type="pct"/>
                  <w:noWrap w:val="0"/>
                  <w:vAlign w:val="center"/>
                </w:tcPr>
                <w:p w14:paraId="390D7B5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c>
                <w:tcPr>
                  <w:tcW w:w="786" w:type="pct"/>
                  <w:noWrap w:val="0"/>
                  <w:vAlign w:val="center"/>
                </w:tcPr>
                <w:p w14:paraId="32611C7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c>
                <w:tcPr>
                  <w:tcW w:w="502" w:type="pct"/>
                  <w:noWrap w:val="0"/>
                  <w:vAlign w:val="center"/>
                </w:tcPr>
                <w:p w14:paraId="7580E68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c>
                <w:tcPr>
                  <w:tcW w:w="475" w:type="pct"/>
                  <w:noWrap w:val="0"/>
                  <w:vAlign w:val="center"/>
                </w:tcPr>
                <w:p w14:paraId="5D43207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c>
                <w:tcPr>
                  <w:tcW w:w="582" w:type="pct"/>
                  <w:noWrap w:val="0"/>
                  <w:vAlign w:val="center"/>
                </w:tcPr>
                <w:p w14:paraId="17A6278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r>
          </w:tbl>
          <w:p w14:paraId="5FF69FE5">
            <w:pPr>
              <w:pageBreakBefore w:val="0"/>
              <w:widowControl w:val="0"/>
              <w:wordWrap/>
              <w:bidi w:val="0"/>
              <w:adjustRightInd w:val="0"/>
              <w:snapToGrid w:val="0"/>
              <w:spacing w:after="0" w:line="360" w:lineRule="auto"/>
              <w:ind w:left="0" w:leftChars="0" w:firstLine="0" w:firstLineChars="0"/>
              <w:jc w:val="center"/>
              <w:rPr>
                <w:rFonts w:hint="default" w:ascii="Times New Roman" w:hAnsi="Times New Roman" w:eastAsia="宋体" w:cs="Times New Roman"/>
                <w:b/>
                <w:color w:val="auto"/>
                <w:kern w:val="0"/>
                <w:sz w:val="21"/>
                <w:szCs w:val="21"/>
                <w:highlight w:val="none"/>
                <w:lang w:val="en-US" w:eastAsia="zh-CN" w:bidi="ar-SA"/>
              </w:rPr>
            </w:pPr>
            <w:r>
              <w:rPr>
                <w:rFonts w:hint="default" w:ascii="Times New Roman" w:hAnsi="Times New Roman" w:eastAsia="宋体" w:cs="Times New Roman"/>
                <w:b/>
                <w:color w:val="auto"/>
                <w:kern w:val="0"/>
                <w:sz w:val="21"/>
                <w:szCs w:val="21"/>
                <w:highlight w:val="none"/>
                <w:lang w:val="en-US" w:eastAsia="zh-CN" w:bidi="ar-SA"/>
              </w:rPr>
              <w:t>表</w:t>
            </w:r>
            <w:r>
              <w:rPr>
                <w:rFonts w:hint="eastAsia" w:ascii="Times New Roman" w:hAnsi="Times New Roman" w:eastAsia="宋体" w:cs="Times New Roman"/>
                <w:b/>
                <w:color w:val="auto"/>
                <w:kern w:val="0"/>
                <w:sz w:val="21"/>
                <w:szCs w:val="21"/>
                <w:highlight w:val="none"/>
                <w:lang w:val="en-US" w:eastAsia="zh-CN" w:bidi="ar-SA"/>
              </w:rPr>
              <w:t>2</w:t>
            </w:r>
            <w:r>
              <w:rPr>
                <w:rFonts w:hint="default" w:ascii="Times New Roman" w:hAnsi="Times New Roman" w:eastAsia="宋体" w:cs="Times New Roman"/>
                <w:b/>
                <w:color w:val="auto"/>
                <w:kern w:val="0"/>
                <w:sz w:val="21"/>
                <w:szCs w:val="21"/>
                <w:highlight w:val="none"/>
                <w:lang w:val="en-US" w:eastAsia="zh-CN" w:bidi="ar-SA"/>
              </w:rPr>
              <w:t>-</w:t>
            </w:r>
            <w:r>
              <w:rPr>
                <w:rFonts w:hint="eastAsia" w:ascii="Times New Roman" w:hAnsi="Times New Roman" w:eastAsia="宋体" w:cs="Times New Roman"/>
                <w:b/>
                <w:color w:val="auto"/>
                <w:kern w:val="0"/>
                <w:sz w:val="21"/>
                <w:szCs w:val="21"/>
                <w:highlight w:val="none"/>
                <w:lang w:val="en-US" w:eastAsia="zh-CN" w:bidi="ar-SA"/>
              </w:rPr>
              <w:t>1</w:t>
            </w:r>
            <w:r>
              <w:rPr>
                <w:rFonts w:hint="eastAsia" w:cs="Times New Roman"/>
                <w:b/>
                <w:color w:val="auto"/>
                <w:kern w:val="0"/>
                <w:sz w:val="21"/>
                <w:szCs w:val="21"/>
                <w:highlight w:val="none"/>
                <w:lang w:val="en-US" w:eastAsia="zh-CN" w:bidi="ar-SA"/>
              </w:rPr>
              <w:t>6</w:t>
            </w:r>
            <w:r>
              <w:rPr>
                <w:rFonts w:hint="default" w:ascii="Times New Roman" w:hAnsi="Times New Roman" w:eastAsia="宋体" w:cs="Times New Roman"/>
                <w:b/>
                <w:color w:val="auto"/>
                <w:kern w:val="0"/>
                <w:sz w:val="21"/>
                <w:szCs w:val="21"/>
                <w:highlight w:val="none"/>
                <w:lang w:val="en-US" w:eastAsia="zh-CN" w:bidi="ar-SA"/>
              </w:rPr>
              <w:t xml:space="preserve">    1580mm热轧带钢项目污染物排放量</w:t>
            </w:r>
          </w:p>
          <w:tbl>
            <w:tblPr>
              <w:tblStyle w:val="8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1"/>
              <w:gridCol w:w="769"/>
              <w:gridCol w:w="756"/>
              <w:gridCol w:w="861"/>
              <w:gridCol w:w="769"/>
              <w:gridCol w:w="769"/>
              <w:gridCol w:w="677"/>
              <w:gridCol w:w="730"/>
              <w:gridCol w:w="866"/>
              <w:gridCol w:w="584"/>
            </w:tblGrid>
            <w:tr w14:paraId="01CDD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741" w:type="dxa"/>
                  <w:vMerge w:val="restart"/>
                  <w:vAlign w:val="center"/>
                </w:tcPr>
                <w:p w14:paraId="489D9C39">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项目</w:t>
                  </w:r>
                </w:p>
              </w:tc>
              <w:tc>
                <w:tcPr>
                  <w:tcW w:w="4601" w:type="dxa"/>
                  <w:gridSpan w:val="6"/>
                  <w:vAlign w:val="center"/>
                </w:tcPr>
                <w:p w14:paraId="46E9AE0A">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废气污染物(t/a)</w:t>
                  </w:r>
                </w:p>
              </w:tc>
              <w:tc>
                <w:tcPr>
                  <w:tcW w:w="1596" w:type="dxa"/>
                  <w:gridSpan w:val="2"/>
                  <w:vAlign w:val="center"/>
                </w:tcPr>
                <w:p w14:paraId="3005E41C">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废水污染物(t/a)</w:t>
                  </w:r>
                </w:p>
              </w:tc>
              <w:tc>
                <w:tcPr>
                  <w:tcW w:w="584" w:type="dxa"/>
                  <w:vMerge w:val="restart"/>
                  <w:vAlign w:val="center"/>
                </w:tcPr>
                <w:p w14:paraId="2FEC935F">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固体</w:t>
                  </w:r>
                </w:p>
                <w:p w14:paraId="209B3D05">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废物</w:t>
                  </w:r>
                </w:p>
              </w:tc>
            </w:tr>
            <w:tr w14:paraId="530CA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741" w:type="dxa"/>
                  <w:vMerge w:val="continue"/>
                  <w:vAlign w:val="center"/>
                </w:tcPr>
                <w:p w14:paraId="40CD52B1">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769" w:type="dxa"/>
                  <w:vMerge w:val="restart"/>
                  <w:vAlign w:val="center"/>
                </w:tcPr>
                <w:p w14:paraId="7454C633">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颗粒物</w:t>
                  </w:r>
                </w:p>
              </w:tc>
              <w:tc>
                <w:tcPr>
                  <w:tcW w:w="756" w:type="dxa"/>
                  <w:vMerge w:val="restart"/>
                  <w:vAlign w:val="center"/>
                </w:tcPr>
                <w:p w14:paraId="08BD053F">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SO</w:t>
                  </w:r>
                  <w:r>
                    <w:rPr>
                      <w:rFonts w:hint="default" w:ascii="Times New Roman" w:hAnsi="Times New Roman" w:eastAsia="宋体" w:cs="Times New Roman"/>
                      <w:color w:val="auto"/>
                      <w:kern w:val="0"/>
                      <w:sz w:val="21"/>
                      <w:szCs w:val="21"/>
                      <w:highlight w:val="none"/>
                      <w:vertAlign w:val="subscript"/>
                    </w:rPr>
                    <w:t>2</w:t>
                  </w:r>
                </w:p>
              </w:tc>
              <w:tc>
                <w:tcPr>
                  <w:tcW w:w="861" w:type="dxa"/>
                  <w:vMerge w:val="restart"/>
                  <w:vAlign w:val="center"/>
                </w:tcPr>
                <w:p w14:paraId="50ED8DA1">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NOx</w:t>
                  </w:r>
                </w:p>
              </w:tc>
              <w:tc>
                <w:tcPr>
                  <w:tcW w:w="2215" w:type="dxa"/>
                  <w:gridSpan w:val="3"/>
                  <w:vAlign w:val="center"/>
                </w:tcPr>
                <w:p w14:paraId="2CA16746">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NH</w:t>
                  </w:r>
                  <w:r>
                    <w:rPr>
                      <w:rFonts w:hint="default" w:ascii="Times New Roman" w:hAnsi="Times New Roman" w:eastAsia="宋体" w:cs="Times New Roman"/>
                      <w:color w:val="auto"/>
                      <w:kern w:val="0"/>
                      <w:sz w:val="21"/>
                      <w:szCs w:val="21"/>
                      <w:highlight w:val="none"/>
                      <w:vertAlign w:val="subscript"/>
                    </w:rPr>
                    <w:t>3</w:t>
                  </w:r>
                </w:p>
              </w:tc>
              <w:tc>
                <w:tcPr>
                  <w:tcW w:w="730" w:type="dxa"/>
                  <w:vMerge w:val="restart"/>
                  <w:vAlign w:val="center"/>
                </w:tcPr>
                <w:p w14:paraId="4ECF51B4">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COD</w:t>
                  </w:r>
                </w:p>
              </w:tc>
              <w:tc>
                <w:tcPr>
                  <w:tcW w:w="866" w:type="dxa"/>
                  <w:vMerge w:val="restart"/>
                  <w:vAlign w:val="center"/>
                </w:tcPr>
                <w:p w14:paraId="3CC0838A">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氨氮</w:t>
                  </w:r>
                </w:p>
              </w:tc>
              <w:tc>
                <w:tcPr>
                  <w:tcW w:w="584" w:type="dxa"/>
                  <w:vMerge w:val="continue"/>
                  <w:vAlign w:val="center"/>
                </w:tcPr>
                <w:p w14:paraId="77F7FFD5">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r>
            <w:tr w14:paraId="0BA94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741" w:type="dxa"/>
                  <w:vMerge w:val="continue"/>
                  <w:vAlign w:val="center"/>
                </w:tcPr>
                <w:p w14:paraId="0673E23C">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769" w:type="dxa"/>
                  <w:vMerge w:val="continue"/>
                  <w:vAlign w:val="center"/>
                </w:tcPr>
                <w:p w14:paraId="06FCC181">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756" w:type="dxa"/>
                  <w:vMerge w:val="continue"/>
                  <w:vAlign w:val="center"/>
                </w:tcPr>
                <w:p w14:paraId="0DA9993A">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861" w:type="dxa"/>
                  <w:vMerge w:val="continue"/>
                  <w:vAlign w:val="center"/>
                </w:tcPr>
                <w:p w14:paraId="2534F4D6">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769" w:type="dxa"/>
                  <w:vAlign w:val="center"/>
                </w:tcPr>
                <w:p w14:paraId="0841FEA1">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有组织</w:t>
                  </w:r>
                </w:p>
              </w:tc>
              <w:tc>
                <w:tcPr>
                  <w:tcW w:w="769" w:type="dxa"/>
                  <w:vAlign w:val="center"/>
                </w:tcPr>
                <w:p w14:paraId="3590E8DA">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无组织</w:t>
                  </w:r>
                </w:p>
              </w:tc>
              <w:tc>
                <w:tcPr>
                  <w:tcW w:w="677" w:type="dxa"/>
                  <w:vAlign w:val="center"/>
                </w:tcPr>
                <w:p w14:paraId="48B3A189">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合计</w:t>
                  </w:r>
                </w:p>
              </w:tc>
              <w:tc>
                <w:tcPr>
                  <w:tcW w:w="730" w:type="dxa"/>
                  <w:vMerge w:val="continue"/>
                  <w:vAlign w:val="center"/>
                </w:tcPr>
                <w:p w14:paraId="6BB52CA7">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866" w:type="dxa"/>
                  <w:vMerge w:val="continue"/>
                  <w:vAlign w:val="center"/>
                </w:tcPr>
                <w:p w14:paraId="0AC2B983">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584" w:type="dxa"/>
                  <w:vMerge w:val="continue"/>
                  <w:vAlign w:val="center"/>
                </w:tcPr>
                <w:p w14:paraId="43DAAAF2">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r>
            <w:tr w14:paraId="378EE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741" w:type="dxa"/>
                  <w:vAlign w:val="center"/>
                </w:tcPr>
                <w:p w14:paraId="2F9E2D47">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1580mm热轧钢项目</w:t>
                  </w:r>
                </w:p>
              </w:tc>
              <w:tc>
                <w:tcPr>
                  <w:tcW w:w="769" w:type="dxa"/>
                  <w:vAlign w:val="center"/>
                </w:tcPr>
                <w:p w14:paraId="005D8EF0">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15.769</w:t>
                  </w:r>
                </w:p>
              </w:tc>
              <w:tc>
                <w:tcPr>
                  <w:tcW w:w="756" w:type="dxa"/>
                  <w:vAlign w:val="center"/>
                </w:tcPr>
                <w:p w14:paraId="27969F62">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27.768</w:t>
                  </w:r>
                </w:p>
              </w:tc>
              <w:tc>
                <w:tcPr>
                  <w:tcW w:w="861" w:type="dxa"/>
                  <w:vAlign w:val="center"/>
                </w:tcPr>
                <w:p w14:paraId="1C6CB7ED">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40.035</w:t>
                  </w:r>
                </w:p>
              </w:tc>
              <w:tc>
                <w:tcPr>
                  <w:tcW w:w="769" w:type="dxa"/>
                  <w:vAlign w:val="center"/>
                </w:tcPr>
                <w:p w14:paraId="59A62416">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2.622</w:t>
                  </w:r>
                </w:p>
              </w:tc>
              <w:tc>
                <w:tcPr>
                  <w:tcW w:w="769" w:type="dxa"/>
                  <w:vAlign w:val="center"/>
                </w:tcPr>
                <w:p w14:paraId="71301408">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0.1</w:t>
                  </w:r>
                </w:p>
              </w:tc>
              <w:tc>
                <w:tcPr>
                  <w:tcW w:w="677" w:type="dxa"/>
                  <w:vAlign w:val="center"/>
                </w:tcPr>
                <w:p w14:paraId="2D7E09E0">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2.722</w:t>
                  </w:r>
                </w:p>
              </w:tc>
              <w:tc>
                <w:tcPr>
                  <w:tcW w:w="730" w:type="dxa"/>
                  <w:vAlign w:val="center"/>
                </w:tcPr>
                <w:p w14:paraId="580EA777">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0</w:t>
                  </w:r>
                </w:p>
              </w:tc>
              <w:tc>
                <w:tcPr>
                  <w:tcW w:w="866" w:type="dxa"/>
                  <w:vAlign w:val="center"/>
                </w:tcPr>
                <w:p w14:paraId="6D5AEBCC">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0</w:t>
                  </w:r>
                </w:p>
              </w:tc>
              <w:tc>
                <w:tcPr>
                  <w:tcW w:w="584" w:type="dxa"/>
                  <w:vAlign w:val="center"/>
                </w:tcPr>
                <w:p w14:paraId="7519C0D5">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0</w:t>
                  </w:r>
                </w:p>
              </w:tc>
            </w:tr>
          </w:tbl>
          <w:p w14:paraId="0A230F58">
            <w:pPr>
              <w:pStyle w:val="109"/>
              <w:pageBreakBefore w:val="0"/>
              <w:widowControl w:val="0"/>
              <w:kinsoku/>
              <w:wordWrap/>
              <w:overflowPunct/>
              <w:topLinePunct w:val="0"/>
              <w:autoSpaceDE/>
              <w:autoSpaceDN/>
              <w:bidi w:val="0"/>
              <w:adjustRightInd w:val="0"/>
              <w:snapToGrid w:val="0"/>
              <w:spacing w:line="336" w:lineRule="auto"/>
              <w:textAlignment w:val="auto"/>
              <w:rPr>
                <w:rFonts w:hint="default" w:ascii="Times New Roman" w:hAnsi="Times New Roman" w:eastAsia="宋体" w:cs="Times New Roman"/>
                <w:color w:val="auto"/>
                <w:sz w:val="21"/>
                <w:szCs w:val="21"/>
                <w:highlight w:val="none"/>
              </w:rPr>
            </w:pPr>
            <w:bookmarkStart w:id="26" w:name="_Ref27731842"/>
            <w:r>
              <w:rPr>
                <w:rFonts w:hint="default" w:ascii="Times New Roman" w:hAnsi="Times New Roman" w:eastAsia="宋体" w:cs="Times New Roman"/>
                <w:color w:val="auto"/>
                <w:sz w:val="21"/>
                <w:szCs w:val="21"/>
                <w:highlight w:val="none"/>
              </w:rPr>
              <w:t>表</w:t>
            </w:r>
            <w:bookmarkEnd w:id="26"/>
            <w:r>
              <w:rPr>
                <w:rFonts w:hint="eastAsia" w:cs="Times New Roman"/>
                <w:b/>
                <w:color w:val="auto"/>
                <w:sz w:val="21"/>
                <w:szCs w:val="21"/>
                <w:highlight w:val="none"/>
                <w:lang w:val="en-US" w:eastAsia="zh-CN"/>
              </w:rPr>
              <w:t>2</w:t>
            </w:r>
            <w:r>
              <w:rPr>
                <w:rFonts w:hint="default" w:ascii="Times New Roman" w:hAnsi="Times New Roman" w:eastAsia="宋体" w:cs="Times New Roman"/>
                <w:b/>
                <w:color w:val="auto"/>
                <w:sz w:val="21"/>
                <w:szCs w:val="21"/>
                <w:highlight w:val="none"/>
                <w:lang w:eastAsia="zh-CN"/>
              </w:rPr>
              <w:t>-</w:t>
            </w:r>
            <w:r>
              <w:rPr>
                <w:rFonts w:hint="eastAsia" w:cs="Times New Roman"/>
                <w:b/>
                <w:color w:val="auto"/>
                <w:sz w:val="21"/>
                <w:szCs w:val="21"/>
                <w:highlight w:val="none"/>
                <w:lang w:val="en-US" w:eastAsia="zh-CN"/>
              </w:rPr>
              <w:t>17</w:t>
            </w:r>
            <w:r>
              <w:rPr>
                <w:rFonts w:hint="default" w:ascii="Times New Roman" w:hAnsi="Times New Roman" w:eastAsia="宋体" w:cs="Times New Roman"/>
                <w:color w:val="auto"/>
                <w:sz w:val="21"/>
                <w:szCs w:val="21"/>
                <w:highlight w:val="none"/>
                <w:lang w:val="en-US" w:eastAsia="zh-CN"/>
              </w:rPr>
              <w:t xml:space="preserve"> </w:t>
            </w:r>
            <w:r>
              <w:rPr>
                <w:rFonts w:hint="default" w:ascii="Times New Roman" w:hAnsi="Times New Roman" w:eastAsia="宋体" w:cs="Times New Roman"/>
                <w:color w:val="auto"/>
                <w:sz w:val="21"/>
                <w:szCs w:val="21"/>
                <w:highlight w:val="none"/>
              </w:rPr>
              <w:t xml:space="preserve">   </w:t>
            </w:r>
            <w:r>
              <w:rPr>
                <w:rFonts w:hint="default" w:ascii="Times New Roman" w:hAnsi="Times New Roman" w:eastAsia="宋体" w:cs="Times New Roman"/>
                <w:color w:val="auto"/>
                <w:sz w:val="21"/>
                <w:szCs w:val="21"/>
                <w:highlight w:val="none"/>
                <w:lang w:val="en-US" w:eastAsia="zh-CN"/>
              </w:rPr>
              <w:t>850mm冷轧镀锌项目</w:t>
            </w:r>
            <w:r>
              <w:rPr>
                <w:rFonts w:hint="default" w:ascii="Times New Roman" w:hAnsi="Times New Roman" w:eastAsia="宋体" w:cs="Times New Roman"/>
                <w:color w:val="auto"/>
                <w:sz w:val="21"/>
                <w:szCs w:val="21"/>
                <w:highlight w:val="none"/>
              </w:rPr>
              <w:t>污染物排放量统计表</w:t>
            </w:r>
          </w:p>
          <w:tbl>
            <w:tblPr>
              <w:tblStyle w:val="8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8"/>
              <w:gridCol w:w="2776"/>
              <w:gridCol w:w="2011"/>
              <w:gridCol w:w="2006"/>
            </w:tblGrid>
            <w:tr w14:paraId="773A6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tcBorders>
                    <w:top w:val="single" w:color="auto" w:sz="4" w:space="0"/>
                    <w:left w:val="single" w:color="auto" w:sz="4" w:space="0"/>
                    <w:bottom w:val="single" w:color="auto" w:sz="4" w:space="0"/>
                    <w:right w:val="single" w:color="auto" w:sz="4" w:space="0"/>
                  </w:tcBorders>
                  <w:vAlign w:val="center"/>
                </w:tcPr>
                <w:p w14:paraId="11E62F7D">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类别</w:t>
                  </w:r>
                </w:p>
              </w:tc>
              <w:tc>
                <w:tcPr>
                  <w:tcW w:w="2844" w:type="pct"/>
                  <w:gridSpan w:val="2"/>
                  <w:tcBorders>
                    <w:top w:val="single" w:color="auto" w:sz="4" w:space="0"/>
                    <w:left w:val="single" w:color="auto" w:sz="4" w:space="0"/>
                    <w:bottom w:val="single" w:color="auto" w:sz="4" w:space="0"/>
                    <w:right w:val="single" w:color="auto" w:sz="4" w:space="0"/>
                  </w:tcBorders>
                  <w:vAlign w:val="center"/>
                </w:tcPr>
                <w:p w14:paraId="5B8D7A47">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污染物名称</w:t>
                  </w:r>
                </w:p>
              </w:tc>
              <w:tc>
                <w:tcPr>
                  <w:tcW w:w="1192" w:type="pct"/>
                  <w:tcBorders>
                    <w:top w:val="single" w:color="auto" w:sz="4" w:space="0"/>
                    <w:left w:val="single" w:color="auto" w:sz="4" w:space="0"/>
                    <w:bottom w:val="single" w:color="auto" w:sz="4" w:space="0"/>
                    <w:right w:val="single" w:color="auto" w:sz="4" w:space="0"/>
                  </w:tcBorders>
                  <w:vAlign w:val="center"/>
                </w:tcPr>
                <w:p w14:paraId="17D3590B">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排放量</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t/a</w:t>
                  </w:r>
                  <w:r>
                    <w:rPr>
                      <w:rFonts w:hint="default" w:ascii="Times New Roman" w:hAnsi="Times New Roman" w:eastAsia="宋体" w:cs="Times New Roman"/>
                      <w:color w:val="auto"/>
                      <w:sz w:val="21"/>
                      <w:szCs w:val="21"/>
                      <w:highlight w:val="none"/>
                      <w:lang w:eastAsia="zh-CN"/>
                    </w:rPr>
                    <w:t>)</w:t>
                  </w:r>
                </w:p>
              </w:tc>
            </w:tr>
            <w:tr w14:paraId="3FB38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restart"/>
                  <w:tcBorders>
                    <w:top w:val="single" w:color="auto" w:sz="4" w:space="0"/>
                    <w:left w:val="single" w:color="auto" w:sz="4" w:space="0"/>
                    <w:right w:val="single" w:color="auto" w:sz="4" w:space="0"/>
                  </w:tcBorders>
                  <w:vAlign w:val="center"/>
                </w:tcPr>
                <w:p w14:paraId="7B6D70FE">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废气</w:t>
                  </w:r>
                </w:p>
              </w:tc>
              <w:tc>
                <w:tcPr>
                  <w:tcW w:w="1650" w:type="pct"/>
                  <w:vMerge w:val="restart"/>
                  <w:tcBorders>
                    <w:top w:val="single" w:color="auto" w:sz="4" w:space="0"/>
                    <w:left w:val="single" w:color="auto" w:sz="4" w:space="0"/>
                    <w:right w:val="single" w:color="auto" w:sz="4" w:space="0"/>
                  </w:tcBorders>
                  <w:vAlign w:val="center"/>
                </w:tcPr>
                <w:p w14:paraId="7B960527">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有组织废气</w:t>
                  </w:r>
                </w:p>
              </w:tc>
              <w:tc>
                <w:tcPr>
                  <w:tcW w:w="1194" w:type="pct"/>
                  <w:tcBorders>
                    <w:top w:val="single" w:color="auto" w:sz="4" w:space="0"/>
                    <w:left w:val="single" w:color="auto" w:sz="4" w:space="0"/>
                    <w:bottom w:val="single" w:color="auto" w:sz="4" w:space="0"/>
                    <w:right w:val="single" w:color="auto" w:sz="4" w:space="0"/>
                  </w:tcBorders>
                  <w:vAlign w:val="center"/>
                </w:tcPr>
                <w:p w14:paraId="243EBC2F">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油雾</w:t>
                  </w:r>
                </w:p>
              </w:tc>
              <w:tc>
                <w:tcPr>
                  <w:tcW w:w="1192" w:type="pct"/>
                  <w:tcBorders>
                    <w:top w:val="single" w:color="auto" w:sz="4" w:space="0"/>
                    <w:left w:val="single" w:color="auto" w:sz="4" w:space="0"/>
                    <w:bottom w:val="single" w:color="auto" w:sz="4" w:space="0"/>
                    <w:right w:val="single" w:color="auto" w:sz="4" w:space="0"/>
                  </w:tcBorders>
                  <w:vAlign w:val="center"/>
                </w:tcPr>
                <w:p w14:paraId="15555F9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32.077</w:t>
                  </w:r>
                </w:p>
              </w:tc>
            </w:tr>
            <w:tr w14:paraId="05768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58159E89">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2EB3857D">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500CD97B">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碱雾</w:t>
                  </w:r>
                </w:p>
              </w:tc>
              <w:tc>
                <w:tcPr>
                  <w:tcW w:w="1192" w:type="pct"/>
                  <w:tcBorders>
                    <w:top w:val="single" w:color="auto" w:sz="4" w:space="0"/>
                    <w:left w:val="single" w:color="auto" w:sz="4" w:space="0"/>
                    <w:bottom w:val="single" w:color="auto" w:sz="4" w:space="0"/>
                    <w:right w:val="single" w:color="auto" w:sz="4" w:space="0"/>
                  </w:tcBorders>
                  <w:vAlign w:val="center"/>
                </w:tcPr>
                <w:p w14:paraId="769756B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1.693</w:t>
                  </w:r>
                </w:p>
              </w:tc>
            </w:tr>
            <w:tr w14:paraId="10A3F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51777D63">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02862D7E">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6225D08B">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HCl</w:t>
                  </w:r>
                </w:p>
              </w:tc>
              <w:tc>
                <w:tcPr>
                  <w:tcW w:w="1192" w:type="pct"/>
                  <w:tcBorders>
                    <w:top w:val="single" w:color="auto" w:sz="4" w:space="0"/>
                    <w:left w:val="single" w:color="auto" w:sz="4" w:space="0"/>
                    <w:bottom w:val="single" w:color="auto" w:sz="4" w:space="0"/>
                    <w:right w:val="single" w:color="auto" w:sz="4" w:space="0"/>
                  </w:tcBorders>
                  <w:vAlign w:val="center"/>
                </w:tcPr>
                <w:p w14:paraId="7E04AB5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1.788</w:t>
                  </w:r>
                </w:p>
              </w:tc>
            </w:tr>
            <w:tr w14:paraId="757E1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512D560F">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1F82EC03">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432490E8">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颗粒物</w:t>
                  </w:r>
                </w:p>
              </w:tc>
              <w:tc>
                <w:tcPr>
                  <w:tcW w:w="1192" w:type="pct"/>
                  <w:tcBorders>
                    <w:top w:val="single" w:color="auto" w:sz="4" w:space="0"/>
                    <w:left w:val="single" w:color="auto" w:sz="4" w:space="0"/>
                    <w:bottom w:val="single" w:color="auto" w:sz="4" w:space="0"/>
                    <w:right w:val="single" w:color="auto" w:sz="4" w:space="0"/>
                  </w:tcBorders>
                  <w:vAlign w:val="center"/>
                </w:tcPr>
                <w:p w14:paraId="4A81857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11.011</w:t>
                  </w:r>
                </w:p>
              </w:tc>
            </w:tr>
            <w:tr w14:paraId="5FB47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1779B42E">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722161E7">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5E77FBE4">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二氧化硫</w:t>
                  </w:r>
                </w:p>
              </w:tc>
              <w:tc>
                <w:tcPr>
                  <w:tcW w:w="1192" w:type="pct"/>
                  <w:tcBorders>
                    <w:top w:val="single" w:color="auto" w:sz="4" w:space="0"/>
                    <w:left w:val="single" w:color="auto" w:sz="4" w:space="0"/>
                    <w:bottom w:val="single" w:color="auto" w:sz="4" w:space="0"/>
                    <w:right w:val="single" w:color="auto" w:sz="4" w:space="0"/>
                  </w:tcBorders>
                  <w:vAlign w:val="center"/>
                </w:tcPr>
                <w:p w14:paraId="51DF3FD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3.008</w:t>
                  </w:r>
                </w:p>
              </w:tc>
            </w:tr>
            <w:tr w14:paraId="2F8EF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5F9D808E">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0505BD93">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5D0344B6">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氮氧化物</w:t>
                  </w:r>
                </w:p>
              </w:tc>
              <w:tc>
                <w:tcPr>
                  <w:tcW w:w="1192" w:type="pct"/>
                  <w:tcBorders>
                    <w:top w:val="single" w:color="auto" w:sz="4" w:space="0"/>
                    <w:left w:val="single" w:color="auto" w:sz="4" w:space="0"/>
                    <w:bottom w:val="single" w:color="auto" w:sz="4" w:space="0"/>
                    <w:right w:val="single" w:color="auto" w:sz="4" w:space="0"/>
                  </w:tcBorders>
                  <w:vAlign w:val="center"/>
                </w:tcPr>
                <w:p w14:paraId="0A0B4C0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17.55</w:t>
                  </w:r>
                </w:p>
              </w:tc>
            </w:tr>
            <w:tr w14:paraId="692EE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18D67F01">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restart"/>
                  <w:tcBorders>
                    <w:top w:val="single" w:color="auto" w:sz="4" w:space="0"/>
                    <w:left w:val="single" w:color="auto" w:sz="4" w:space="0"/>
                    <w:right w:val="single" w:color="auto" w:sz="4" w:space="0"/>
                  </w:tcBorders>
                  <w:vAlign w:val="center"/>
                </w:tcPr>
                <w:p w14:paraId="034F8D9B">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无组织废气</w:t>
                  </w:r>
                </w:p>
              </w:tc>
              <w:tc>
                <w:tcPr>
                  <w:tcW w:w="1194" w:type="pct"/>
                  <w:tcBorders>
                    <w:top w:val="single" w:color="auto" w:sz="4" w:space="0"/>
                    <w:left w:val="single" w:color="auto" w:sz="4" w:space="0"/>
                    <w:bottom w:val="single" w:color="auto" w:sz="4" w:space="0"/>
                    <w:right w:val="single" w:color="auto" w:sz="4" w:space="0"/>
                  </w:tcBorders>
                  <w:vAlign w:val="center"/>
                </w:tcPr>
                <w:p w14:paraId="466D2DF9">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油雾</w:t>
                  </w:r>
                </w:p>
              </w:tc>
              <w:tc>
                <w:tcPr>
                  <w:tcW w:w="1192" w:type="pct"/>
                  <w:tcBorders>
                    <w:top w:val="single" w:color="auto" w:sz="4" w:space="0"/>
                    <w:left w:val="single" w:color="auto" w:sz="4" w:space="0"/>
                    <w:bottom w:val="single" w:color="auto" w:sz="4" w:space="0"/>
                    <w:right w:val="single" w:color="auto" w:sz="4" w:space="0"/>
                  </w:tcBorders>
                  <w:vAlign w:val="center"/>
                </w:tcPr>
                <w:p w14:paraId="5DDBB01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16.59</w:t>
                  </w:r>
                </w:p>
              </w:tc>
            </w:tr>
            <w:tr w14:paraId="7827D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30E39062">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3D7CAEE7">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55EC8516">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碱雾</w:t>
                  </w:r>
                </w:p>
              </w:tc>
              <w:tc>
                <w:tcPr>
                  <w:tcW w:w="1192" w:type="pct"/>
                  <w:tcBorders>
                    <w:top w:val="single" w:color="auto" w:sz="4" w:space="0"/>
                    <w:left w:val="single" w:color="auto" w:sz="4" w:space="0"/>
                    <w:bottom w:val="single" w:color="auto" w:sz="4" w:space="0"/>
                    <w:right w:val="single" w:color="auto" w:sz="4" w:space="0"/>
                  </w:tcBorders>
                  <w:vAlign w:val="center"/>
                </w:tcPr>
                <w:p w14:paraId="1225F7E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1.782</w:t>
                  </w:r>
                </w:p>
              </w:tc>
            </w:tr>
            <w:tr w14:paraId="5392B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22005ED3">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48822B24">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59E6C854">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HCl</w:t>
                  </w:r>
                </w:p>
              </w:tc>
              <w:tc>
                <w:tcPr>
                  <w:tcW w:w="1192" w:type="pct"/>
                  <w:tcBorders>
                    <w:top w:val="single" w:color="auto" w:sz="4" w:space="0"/>
                    <w:left w:val="single" w:color="auto" w:sz="4" w:space="0"/>
                    <w:bottom w:val="single" w:color="auto" w:sz="4" w:space="0"/>
                    <w:right w:val="single" w:color="auto" w:sz="4" w:space="0"/>
                  </w:tcBorders>
                  <w:vAlign w:val="center"/>
                </w:tcPr>
                <w:p w14:paraId="0FFC8B4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0.276</w:t>
                  </w:r>
                </w:p>
              </w:tc>
            </w:tr>
            <w:tr w14:paraId="7DCE3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4622A146">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5A92D10E">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619A8FA5">
                  <w:pPr>
                    <w:pStyle w:val="135"/>
                    <w:keepNext w:val="0"/>
                    <w:keepLines w:val="0"/>
                    <w:pageBreakBefore w:val="0"/>
                    <w:suppressLineNumbers w:val="0"/>
                    <w:wordWrap/>
                    <w:bidi w:val="0"/>
                    <w:adjustRightInd w:val="0"/>
                    <w:snapToGrid w:val="0"/>
                    <w:spacing w:before="0" w:beforeAutospacing="0" w:after="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NH</w:t>
                  </w:r>
                  <w:r>
                    <w:rPr>
                      <w:rFonts w:hint="default" w:ascii="Times New Roman" w:hAnsi="Times New Roman" w:eastAsia="宋体" w:cs="Times New Roman"/>
                      <w:color w:val="auto"/>
                      <w:sz w:val="21"/>
                      <w:szCs w:val="21"/>
                      <w:highlight w:val="none"/>
                      <w:vertAlign w:val="subscript"/>
                      <w:lang w:val="en-US" w:eastAsia="zh-CN"/>
                    </w:rPr>
                    <w:t>3</w:t>
                  </w:r>
                </w:p>
              </w:tc>
              <w:tc>
                <w:tcPr>
                  <w:tcW w:w="1192" w:type="pct"/>
                  <w:tcBorders>
                    <w:top w:val="single" w:color="auto" w:sz="4" w:space="0"/>
                    <w:left w:val="single" w:color="auto" w:sz="4" w:space="0"/>
                    <w:bottom w:val="single" w:color="auto" w:sz="4" w:space="0"/>
                    <w:right w:val="single" w:color="auto" w:sz="4" w:space="0"/>
                  </w:tcBorders>
                  <w:vAlign w:val="center"/>
                </w:tcPr>
                <w:p w14:paraId="1DBC9D4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0.119</w:t>
                  </w:r>
                </w:p>
              </w:tc>
            </w:tr>
            <w:tr w14:paraId="5A5AE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1A7CF24F">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3DF4EADB">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1A0A62E5">
                  <w:pPr>
                    <w:pStyle w:val="135"/>
                    <w:keepNext w:val="0"/>
                    <w:keepLines w:val="0"/>
                    <w:pageBreakBefore w:val="0"/>
                    <w:suppressLineNumbers w:val="0"/>
                    <w:wordWrap/>
                    <w:bidi w:val="0"/>
                    <w:adjustRightInd w:val="0"/>
                    <w:snapToGrid w:val="0"/>
                    <w:spacing w:before="0" w:beforeAutospacing="0" w:after="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硫化氢</w:t>
                  </w:r>
                </w:p>
              </w:tc>
              <w:tc>
                <w:tcPr>
                  <w:tcW w:w="1192" w:type="pct"/>
                  <w:tcBorders>
                    <w:top w:val="single" w:color="auto" w:sz="4" w:space="0"/>
                    <w:left w:val="single" w:color="auto" w:sz="4" w:space="0"/>
                    <w:bottom w:val="single" w:color="auto" w:sz="4" w:space="0"/>
                    <w:right w:val="single" w:color="auto" w:sz="4" w:space="0"/>
                  </w:tcBorders>
                  <w:vAlign w:val="center"/>
                </w:tcPr>
                <w:p w14:paraId="284558B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0.002</w:t>
                  </w:r>
                </w:p>
              </w:tc>
            </w:tr>
            <w:tr w14:paraId="22252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3134753E">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641730CD">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72A9CD80">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颗粒物</w:t>
                  </w:r>
                </w:p>
              </w:tc>
              <w:tc>
                <w:tcPr>
                  <w:tcW w:w="1192" w:type="pct"/>
                  <w:tcBorders>
                    <w:top w:val="single" w:color="auto" w:sz="4" w:space="0"/>
                    <w:left w:val="single" w:color="auto" w:sz="4" w:space="0"/>
                    <w:bottom w:val="single" w:color="auto" w:sz="4" w:space="0"/>
                    <w:right w:val="single" w:color="auto" w:sz="4" w:space="0"/>
                  </w:tcBorders>
                  <w:vAlign w:val="center"/>
                </w:tcPr>
                <w:p w14:paraId="6468984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0.965</w:t>
                  </w:r>
                </w:p>
              </w:tc>
            </w:tr>
            <w:tr w14:paraId="75A8A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455F53B0">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restart"/>
                  <w:tcBorders>
                    <w:left w:val="single" w:color="auto" w:sz="4" w:space="0"/>
                    <w:right w:val="single" w:color="auto" w:sz="4" w:space="0"/>
                  </w:tcBorders>
                  <w:vAlign w:val="center"/>
                </w:tcPr>
                <w:p w14:paraId="279B9D46">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合计</w:t>
                  </w:r>
                </w:p>
              </w:tc>
              <w:tc>
                <w:tcPr>
                  <w:tcW w:w="1194" w:type="pct"/>
                  <w:tcBorders>
                    <w:top w:val="single" w:color="auto" w:sz="4" w:space="0"/>
                    <w:left w:val="single" w:color="auto" w:sz="4" w:space="0"/>
                    <w:bottom w:val="single" w:color="auto" w:sz="4" w:space="0"/>
                    <w:right w:val="single" w:color="auto" w:sz="4" w:space="0"/>
                  </w:tcBorders>
                  <w:vAlign w:val="center"/>
                </w:tcPr>
                <w:p w14:paraId="34E34727">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油雾</w:t>
                  </w:r>
                </w:p>
              </w:tc>
              <w:tc>
                <w:tcPr>
                  <w:tcW w:w="1192" w:type="pct"/>
                  <w:tcBorders>
                    <w:top w:val="single" w:color="auto" w:sz="4" w:space="0"/>
                    <w:left w:val="single" w:color="auto" w:sz="4" w:space="0"/>
                    <w:bottom w:val="single" w:color="auto" w:sz="4" w:space="0"/>
                    <w:right w:val="single" w:color="auto" w:sz="4" w:space="0"/>
                  </w:tcBorders>
                  <w:vAlign w:val="center"/>
                </w:tcPr>
                <w:p w14:paraId="1112369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48.667</w:t>
                  </w:r>
                </w:p>
              </w:tc>
            </w:tr>
            <w:tr w14:paraId="3AB5E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59AFD384">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42F79472">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67BDCD57">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碱雾</w:t>
                  </w:r>
                </w:p>
              </w:tc>
              <w:tc>
                <w:tcPr>
                  <w:tcW w:w="1192" w:type="pct"/>
                  <w:tcBorders>
                    <w:top w:val="single" w:color="auto" w:sz="4" w:space="0"/>
                    <w:left w:val="single" w:color="auto" w:sz="4" w:space="0"/>
                    <w:bottom w:val="single" w:color="auto" w:sz="4" w:space="0"/>
                    <w:right w:val="single" w:color="auto" w:sz="4" w:space="0"/>
                  </w:tcBorders>
                  <w:vAlign w:val="center"/>
                </w:tcPr>
                <w:p w14:paraId="4FD48C9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3.475</w:t>
                  </w:r>
                </w:p>
              </w:tc>
            </w:tr>
            <w:tr w14:paraId="1ECB4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69A1AE16">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6E45C938">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20F3DFA3">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HCl</w:t>
                  </w:r>
                </w:p>
              </w:tc>
              <w:tc>
                <w:tcPr>
                  <w:tcW w:w="1192" w:type="pct"/>
                  <w:tcBorders>
                    <w:top w:val="single" w:color="auto" w:sz="4" w:space="0"/>
                    <w:left w:val="single" w:color="auto" w:sz="4" w:space="0"/>
                    <w:bottom w:val="single" w:color="auto" w:sz="4" w:space="0"/>
                    <w:right w:val="single" w:color="auto" w:sz="4" w:space="0"/>
                  </w:tcBorders>
                  <w:vAlign w:val="center"/>
                </w:tcPr>
                <w:p w14:paraId="42021C1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2.064</w:t>
                  </w:r>
                </w:p>
              </w:tc>
            </w:tr>
            <w:tr w14:paraId="0DB3F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5424B38B">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006C2A48">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383F4FA5">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颗粒物</w:t>
                  </w:r>
                </w:p>
              </w:tc>
              <w:tc>
                <w:tcPr>
                  <w:tcW w:w="1192" w:type="pct"/>
                  <w:tcBorders>
                    <w:top w:val="single" w:color="auto" w:sz="4" w:space="0"/>
                    <w:left w:val="single" w:color="auto" w:sz="4" w:space="0"/>
                    <w:bottom w:val="single" w:color="auto" w:sz="4" w:space="0"/>
                    <w:right w:val="single" w:color="auto" w:sz="4" w:space="0"/>
                  </w:tcBorders>
                  <w:vAlign w:val="center"/>
                </w:tcPr>
                <w:p w14:paraId="0521AF7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11.976</w:t>
                  </w:r>
                </w:p>
              </w:tc>
            </w:tr>
            <w:tr w14:paraId="1D7DA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20D8B9D9">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64E96715">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002BA03A">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二氧化硫</w:t>
                  </w:r>
                </w:p>
              </w:tc>
              <w:tc>
                <w:tcPr>
                  <w:tcW w:w="1192" w:type="pct"/>
                  <w:tcBorders>
                    <w:top w:val="single" w:color="auto" w:sz="4" w:space="0"/>
                    <w:left w:val="single" w:color="auto" w:sz="4" w:space="0"/>
                    <w:bottom w:val="single" w:color="auto" w:sz="4" w:space="0"/>
                    <w:right w:val="single" w:color="auto" w:sz="4" w:space="0"/>
                  </w:tcBorders>
                  <w:vAlign w:val="center"/>
                </w:tcPr>
                <w:p w14:paraId="6270480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3.008</w:t>
                  </w:r>
                </w:p>
              </w:tc>
            </w:tr>
            <w:tr w14:paraId="1C52D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7393B275">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662849CA">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45665261">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氮氧化物</w:t>
                  </w:r>
                </w:p>
              </w:tc>
              <w:tc>
                <w:tcPr>
                  <w:tcW w:w="1192" w:type="pct"/>
                  <w:tcBorders>
                    <w:top w:val="single" w:color="auto" w:sz="4" w:space="0"/>
                    <w:left w:val="single" w:color="auto" w:sz="4" w:space="0"/>
                    <w:bottom w:val="single" w:color="auto" w:sz="4" w:space="0"/>
                    <w:right w:val="single" w:color="auto" w:sz="4" w:space="0"/>
                  </w:tcBorders>
                  <w:vAlign w:val="center"/>
                </w:tcPr>
                <w:p w14:paraId="13D7174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17.55</w:t>
                  </w:r>
                </w:p>
              </w:tc>
            </w:tr>
            <w:tr w14:paraId="7CA52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25EDDA4B">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339C06D8">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1FC10176">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NH</w:t>
                  </w:r>
                  <w:r>
                    <w:rPr>
                      <w:rFonts w:hint="default" w:ascii="Times New Roman" w:hAnsi="Times New Roman" w:eastAsia="宋体" w:cs="Times New Roman"/>
                      <w:color w:val="auto"/>
                      <w:sz w:val="21"/>
                      <w:szCs w:val="21"/>
                      <w:highlight w:val="none"/>
                      <w:vertAlign w:val="subscript"/>
                      <w:lang w:val="en-US" w:eastAsia="zh-CN"/>
                    </w:rPr>
                    <w:t>3</w:t>
                  </w:r>
                </w:p>
              </w:tc>
              <w:tc>
                <w:tcPr>
                  <w:tcW w:w="1192" w:type="pct"/>
                  <w:tcBorders>
                    <w:top w:val="single" w:color="auto" w:sz="4" w:space="0"/>
                    <w:left w:val="single" w:color="auto" w:sz="4" w:space="0"/>
                    <w:bottom w:val="single" w:color="auto" w:sz="4" w:space="0"/>
                    <w:right w:val="single" w:color="auto" w:sz="4" w:space="0"/>
                  </w:tcBorders>
                  <w:vAlign w:val="center"/>
                </w:tcPr>
                <w:p w14:paraId="1A99533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0.119</w:t>
                  </w:r>
                </w:p>
              </w:tc>
            </w:tr>
            <w:tr w14:paraId="63671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left w:val="single" w:color="auto" w:sz="4" w:space="0"/>
                    <w:right w:val="single" w:color="auto" w:sz="4" w:space="0"/>
                  </w:tcBorders>
                  <w:vAlign w:val="center"/>
                </w:tcPr>
                <w:p w14:paraId="1E18A7BD">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650" w:type="pct"/>
                  <w:vMerge w:val="continue"/>
                  <w:tcBorders>
                    <w:left w:val="single" w:color="auto" w:sz="4" w:space="0"/>
                    <w:right w:val="single" w:color="auto" w:sz="4" w:space="0"/>
                  </w:tcBorders>
                  <w:vAlign w:val="center"/>
                </w:tcPr>
                <w:p w14:paraId="3FC914D1">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1194" w:type="pct"/>
                  <w:tcBorders>
                    <w:top w:val="single" w:color="auto" w:sz="4" w:space="0"/>
                    <w:left w:val="single" w:color="auto" w:sz="4" w:space="0"/>
                    <w:bottom w:val="single" w:color="auto" w:sz="4" w:space="0"/>
                    <w:right w:val="single" w:color="auto" w:sz="4" w:space="0"/>
                  </w:tcBorders>
                  <w:vAlign w:val="center"/>
                </w:tcPr>
                <w:p w14:paraId="22F81E1F">
                  <w:pPr>
                    <w:pStyle w:val="135"/>
                    <w:keepNext w:val="0"/>
                    <w:keepLines w:val="0"/>
                    <w:pageBreakBefore w:val="0"/>
                    <w:suppressLineNumbers w:val="0"/>
                    <w:wordWrap/>
                    <w:bidi w:val="0"/>
                    <w:adjustRightInd w:val="0"/>
                    <w:snapToGrid w:val="0"/>
                    <w:spacing w:before="0" w:beforeAutospacing="0" w:after="0" w:afterAutospacing="0"/>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硫化氢</w:t>
                  </w:r>
                </w:p>
              </w:tc>
              <w:tc>
                <w:tcPr>
                  <w:tcW w:w="1192" w:type="pct"/>
                  <w:tcBorders>
                    <w:top w:val="single" w:color="auto" w:sz="4" w:space="0"/>
                    <w:left w:val="single" w:color="auto" w:sz="4" w:space="0"/>
                    <w:bottom w:val="single" w:color="auto" w:sz="4" w:space="0"/>
                    <w:right w:val="single" w:color="auto" w:sz="4" w:space="0"/>
                  </w:tcBorders>
                  <w:vAlign w:val="center"/>
                </w:tcPr>
                <w:p w14:paraId="5FDC9D4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0.002</w:t>
                  </w:r>
                </w:p>
              </w:tc>
            </w:tr>
            <w:tr w14:paraId="60C4E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restart"/>
                  <w:tcBorders>
                    <w:top w:val="single" w:color="auto" w:sz="4" w:space="0"/>
                    <w:left w:val="single" w:color="auto" w:sz="4" w:space="0"/>
                    <w:bottom w:val="single" w:color="auto" w:sz="4" w:space="0"/>
                    <w:right w:val="single" w:color="auto" w:sz="4" w:space="0"/>
                  </w:tcBorders>
                  <w:vAlign w:val="center"/>
                </w:tcPr>
                <w:p w14:paraId="42B79456">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w:t>
                  </w:r>
                </w:p>
              </w:tc>
              <w:tc>
                <w:tcPr>
                  <w:tcW w:w="2844" w:type="pct"/>
                  <w:gridSpan w:val="2"/>
                  <w:tcBorders>
                    <w:top w:val="single" w:color="auto" w:sz="4" w:space="0"/>
                    <w:left w:val="single" w:color="auto" w:sz="4" w:space="0"/>
                    <w:bottom w:val="single" w:color="auto" w:sz="4" w:space="0"/>
                    <w:right w:val="single" w:color="auto" w:sz="4" w:space="0"/>
                  </w:tcBorders>
                  <w:vAlign w:val="center"/>
                </w:tcPr>
                <w:p w14:paraId="32F55EB0">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tc>
              <w:tc>
                <w:tcPr>
                  <w:tcW w:w="1192" w:type="pct"/>
                  <w:tcBorders>
                    <w:top w:val="single" w:color="auto" w:sz="4" w:space="0"/>
                    <w:left w:val="single" w:color="auto" w:sz="4" w:space="0"/>
                    <w:bottom w:val="single" w:color="auto" w:sz="4" w:space="0"/>
                    <w:right w:val="single" w:color="auto" w:sz="4" w:space="0"/>
                  </w:tcBorders>
                  <w:vAlign w:val="center"/>
                </w:tcPr>
                <w:p w14:paraId="7D8CE284">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r>
            <w:tr w14:paraId="757EC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2" w:type="pct"/>
                  <w:vMerge w:val="continue"/>
                  <w:tcBorders>
                    <w:top w:val="single" w:color="auto" w:sz="4" w:space="0"/>
                    <w:left w:val="single" w:color="auto" w:sz="4" w:space="0"/>
                    <w:bottom w:val="single" w:color="auto" w:sz="4" w:space="0"/>
                    <w:right w:val="single" w:color="auto" w:sz="4" w:space="0"/>
                  </w:tcBorders>
                  <w:vAlign w:val="center"/>
                </w:tcPr>
                <w:p w14:paraId="5CAA0E7F">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p>
              </w:tc>
              <w:tc>
                <w:tcPr>
                  <w:tcW w:w="2844" w:type="pct"/>
                  <w:gridSpan w:val="2"/>
                  <w:tcBorders>
                    <w:top w:val="single" w:color="auto" w:sz="4" w:space="0"/>
                    <w:left w:val="single" w:color="auto" w:sz="4" w:space="0"/>
                    <w:bottom w:val="single" w:color="auto" w:sz="4" w:space="0"/>
                    <w:right w:val="single" w:color="auto" w:sz="4" w:space="0"/>
                  </w:tcBorders>
                  <w:vAlign w:val="center"/>
                </w:tcPr>
                <w:p w14:paraId="2C40FC84">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氨氮</w:t>
                  </w:r>
                </w:p>
              </w:tc>
              <w:tc>
                <w:tcPr>
                  <w:tcW w:w="1192" w:type="pct"/>
                  <w:tcBorders>
                    <w:top w:val="single" w:color="auto" w:sz="4" w:space="0"/>
                    <w:left w:val="single" w:color="auto" w:sz="4" w:space="0"/>
                    <w:bottom w:val="single" w:color="auto" w:sz="4" w:space="0"/>
                    <w:right w:val="single" w:color="auto" w:sz="4" w:space="0"/>
                  </w:tcBorders>
                  <w:vAlign w:val="center"/>
                </w:tcPr>
                <w:p w14:paraId="6379F538">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r>
            <w:tr w14:paraId="317CF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07" w:type="pct"/>
                  <w:gridSpan w:val="3"/>
                  <w:tcBorders>
                    <w:top w:val="single" w:color="auto" w:sz="4" w:space="0"/>
                    <w:left w:val="single" w:color="auto" w:sz="4" w:space="0"/>
                    <w:bottom w:val="single" w:color="auto" w:sz="4" w:space="0"/>
                    <w:right w:val="single" w:color="auto" w:sz="4" w:space="0"/>
                  </w:tcBorders>
                  <w:vAlign w:val="center"/>
                </w:tcPr>
                <w:p w14:paraId="771A2829">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固体废物</w:t>
                  </w:r>
                </w:p>
              </w:tc>
              <w:tc>
                <w:tcPr>
                  <w:tcW w:w="1192" w:type="pct"/>
                  <w:tcBorders>
                    <w:top w:val="single" w:color="auto" w:sz="4" w:space="0"/>
                    <w:left w:val="single" w:color="auto" w:sz="4" w:space="0"/>
                    <w:bottom w:val="single" w:color="auto" w:sz="4" w:space="0"/>
                    <w:right w:val="single" w:color="auto" w:sz="4" w:space="0"/>
                  </w:tcBorders>
                  <w:vAlign w:val="center"/>
                </w:tcPr>
                <w:p w14:paraId="4B8AA928">
                  <w:pPr>
                    <w:pStyle w:val="135"/>
                    <w:keepNext w:val="0"/>
                    <w:keepLines w:val="0"/>
                    <w:pageBreakBefore w:val="0"/>
                    <w:suppressLineNumbers w:val="0"/>
                    <w:wordWrap/>
                    <w:bidi w:val="0"/>
                    <w:adjustRightInd w:val="0"/>
                    <w:snapToGrid w:val="0"/>
                    <w:spacing w:before="0" w:beforeAutospacing="0" w:after="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w:t>
                  </w:r>
                </w:p>
              </w:tc>
            </w:tr>
          </w:tbl>
          <w:p w14:paraId="255D7CA6">
            <w:pPr>
              <w:pageBreakBefore w:val="0"/>
              <w:widowControl w:val="0"/>
              <w:wordWrap/>
              <w:bidi w:val="0"/>
              <w:adjustRightInd w:val="0"/>
              <w:snapToGrid w:val="0"/>
              <w:spacing w:after="0" w:line="360" w:lineRule="auto"/>
              <w:ind w:left="0" w:leftChars="0" w:firstLine="0" w:firstLineChars="0"/>
              <w:jc w:val="center"/>
              <w:rPr>
                <w:rFonts w:hint="default" w:ascii="Times New Roman" w:hAnsi="Times New Roman" w:eastAsia="宋体" w:cs="Times New Roman"/>
                <w:b/>
                <w:color w:val="auto"/>
                <w:kern w:val="0"/>
                <w:sz w:val="21"/>
                <w:szCs w:val="21"/>
                <w:highlight w:val="none"/>
                <w:lang w:val="en-US" w:eastAsia="zh-CN" w:bidi="ar-SA"/>
              </w:rPr>
            </w:pPr>
          </w:p>
          <w:p w14:paraId="4306C3BD">
            <w:pPr>
              <w:pageBreakBefore w:val="0"/>
              <w:widowControl w:val="0"/>
              <w:wordWrap/>
              <w:bidi w:val="0"/>
              <w:adjustRightInd w:val="0"/>
              <w:snapToGrid w:val="0"/>
              <w:spacing w:after="0" w:line="360" w:lineRule="auto"/>
              <w:ind w:left="0" w:leftChars="0" w:firstLine="0" w:firstLineChars="0"/>
              <w:jc w:val="center"/>
              <w:rPr>
                <w:rFonts w:hint="default" w:ascii="Times New Roman" w:hAnsi="Times New Roman" w:eastAsia="宋体" w:cs="Times New Roman"/>
                <w:b/>
                <w:color w:val="auto"/>
                <w:kern w:val="0"/>
                <w:sz w:val="21"/>
                <w:szCs w:val="21"/>
                <w:highlight w:val="none"/>
                <w:lang w:val="en-US" w:eastAsia="zh-CN" w:bidi="ar-SA"/>
              </w:rPr>
            </w:pPr>
          </w:p>
          <w:p w14:paraId="172B683D">
            <w:pPr>
              <w:pageBreakBefore w:val="0"/>
              <w:widowControl w:val="0"/>
              <w:wordWrap/>
              <w:bidi w:val="0"/>
              <w:adjustRightInd w:val="0"/>
              <w:snapToGrid w:val="0"/>
              <w:spacing w:after="0" w:line="360" w:lineRule="auto"/>
              <w:ind w:left="0" w:leftChars="0" w:firstLine="0" w:firstLineChars="0"/>
              <w:jc w:val="center"/>
              <w:rPr>
                <w:rFonts w:hint="default" w:ascii="Times New Roman" w:hAnsi="Times New Roman" w:eastAsia="宋体" w:cs="Times New Roman"/>
                <w:b/>
                <w:color w:val="auto"/>
                <w:kern w:val="0"/>
                <w:sz w:val="21"/>
                <w:szCs w:val="21"/>
                <w:highlight w:val="none"/>
                <w:lang w:val="en-US" w:eastAsia="zh-CN" w:bidi="ar-SA"/>
              </w:rPr>
            </w:pPr>
            <w:r>
              <w:rPr>
                <w:rFonts w:hint="default" w:ascii="Times New Roman" w:hAnsi="Times New Roman" w:eastAsia="宋体" w:cs="Times New Roman"/>
                <w:b/>
                <w:color w:val="auto"/>
                <w:kern w:val="0"/>
                <w:sz w:val="21"/>
                <w:szCs w:val="21"/>
                <w:highlight w:val="none"/>
                <w:lang w:val="en-US" w:eastAsia="zh-CN" w:bidi="ar-SA"/>
              </w:rPr>
              <w:t>表2-1</w:t>
            </w:r>
            <w:r>
              <w:rPr>
                <w:rFonts w:hint="eastAsia" w:cs="Times New Roman"/>
                <w:b/>
                <w:color w:val="auto"/>
                <w:kern w:val="0"/>
                <w:sz w:val="21"/>
                <w:szCs w:val="21"/>
                <w:highlight w:val="none"/>
                <w:lang w:val="en-US" w:eastAsia="zh-CN" w:bidi="ar-SA"/>
              </w:rPr>
              <w:t xml:space="preserve">8 </w:t>
            </w:r>
            <w:r>
              <w:rPr>
                <w:rFonts w:hint="default" w:ascii="Times New Roman" w:hAnsi="Times New Roman" w:eastAsia="宋体" w:cs="Times New Roman"/>
                <w:b/>
                <w:color w:val="auto"/>
                <w:kern w:val="0"/>
                <w:sz w:val="21"/>
                <w:szCs w:val="21"/>
                <w:highlight w:val="none"/>
                <w:lang w:val="en-US" w:eastAsia="zh-CN" w:bidi="ar-SA"/>
              </w:rPr>
              <w:t xml:space="preserve">   炼铁产能减量置换转型升级项目污染物排放量统计表</w:t>
            </w:r>
          </w:p>
          <w:tbl>
            <w:tblPr>
              <w:tblStyle w:val="8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2"/>
              <w:gridCol w:w="873"/>
              <w:gridCol w:w="1475"/>
              <w:gridCol w:w="1667"/>
              <w:gridCol w:w="1282"/>
              <w:gridCol w:w="1829"/>
            </w:tblGrid>
            <w:tr w14:paraId="093DE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281" w:type="pct"/>
                  <w:gridSpan w:val="2"/>
                  <w:vMerge w:val="restart"/>
                  <w:vAlign w:val="center"/>
                </w:tcPr>
                <w:p w14:paraId="49D55DED">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项目</w:t>
                  </w:r>
                </w:p>
              </w:tc>
              <w:tc>
                <w:tcPr>
                  <w:tcW w:w="877" w:type="pct"/>
                  <w:vMerge w:val="restart"/>
                  <w:vAlign w:val="center"/>
                </w:tcPr>
                <w:p w14:paraId="5BB101A5">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污染物</w:t>
                  </w:r>
                </w:p>
              </w:tc>
              <w:tc>
                <w:tcPr>
                  <w:tcW w:w="2840" w:type="pct"/>
                  <w:gridSpan w:val="3"/>
                  <w:vAlign w:val="center"/>
                </w:tcPr>
                <w:p w14:paraId="1DCBE694">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污染物排放量(t/a)</w:t>
                  </w:r>
                </w:p>
              </w:tc>
            </w:tr>
            <w:tr w14:paraId="497E6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281" w:type="pct"/>
                  <w:gridSpan w:val="2"/>
                  <w:vMerge w:val="continue"/>
                  <w:vAlign w:val="center"/>
                </w:tcPr>
                <w:p w14:paraId="4AC128B8">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877" w:type="pct"/>
                  <w:vMerge w:val="continue"/>
                  <w:vAlign w:val="center"/>
                </w:tcPr>
                <w:p w14:paraId="346D61AB">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991" w:type="pct"/>
                  <w:vAlign w:val="center"/>
                </w:tcPr>
                <w:p w14:paraId="327016FD">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有组织</w:t>
                  </w:r>
                </w:p>
              </w:tc>
              <w:tc>
                <w:tcPr>
                  <w:tcW w:w="762" w:type="pct"/>
                  <w:vAlign w:val="center"/>
                </w:tcPr>
                <w:p w14:paraId="3D5A34CD">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无组织</w:t>
                  </w:r>
                </w:p>
              </w:tc>
              <w:tc>
                <w:tcPr>
                  <w:tcW w:w="1087" w:type="pct"/>
                  <w:vAlign w:val="center"/>
                </w:tcPr>
                <w:p w14:paraId="355A5266">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小计</w:t>
                  </w:r>
                </w:p>
              </w:tc>
            </w:tr>
            <w:tr w14:paraId="4AF79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62" w:type="pct"/>
                  <w:vMerge w:val="restart"/>
                  <w:vAlign w:val="center"/>
                </w:tcPr>
                <w:p w14:paraId="2CA8F8A5">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废气</w:t>
                  </w:r>
                </w:p>
                <w:p w14:paraId="68F04262">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污染物</w:t>
                  </w:r>
                </w:p>
              </w:tc>
              <w:tc>
                <w:tcPr>
                  <w:tcW w:w="519" w:type="pct"/>
                  <w:vAlign w:val="center"/>
                </w:tcPr>
                <w:p w14:paraId="41D3CB09">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1</w:t>
                  </w:r>
                </w:p>
              </w:tc>
              <w:tc>
                <w:tcPr>
                  <w:tcW w:w="877" w:type="pct"/>
                  <w:vAlign w:val="center"/>
                </w:tcPr>
                <w:p w14:paraId="53C7F47B">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颗粒物</w:t>
                  </w:r>
                </w:p>
              </w:tc>
              <w:tc>
                <w:tcPr>
                  <w:tcW w:w="1689" w:type="dxa"/>
                  <w:vAlign w:val="center"/>
                </w:tcPr>
                <w:p w14:paraId="353CFB48">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87.074</w:t>
                  </w:r>
                </w:p>
              </w:tc>
              <w:tc>
                <w:tcPr>
                  <w:tcW w:w="1299" w:type="dxa"/>
                  <w:vAlign w:val="center"/>
                </w:tcPr>
                <w:p w14:paraId="639128FA">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rPr>
                  </w:pPr>
                  <w:r>
                    <w:rPr>
                      <w:rFonts w:hint="default" w:ascii="Times New Roman" w:hAnsi="Times New Roman" w:eastAsia="宋体" w:cs="Times New Roman"/>
                      <w:color w:val="auto"/>
                      <w:kern w:val="0"/>
                      <w:sz w:val="21"/>
                      <w:szCs w:val="21"/>
                      <w:highlight w:val="none"/>
                      <w:lang w:val="en-US" w:eastAsia="zh-CN"/>
                    </w:rPr>
                    <w:t>5.77</w:t>
                  </w:r>
                  <w:r>
                    <w:rPr>
                      <w:rFonts w:hint="default" w:ascii="Times New Roman" w:hAnsi="Times New Roman" w:cs="Times New Roman"/>
                      <w:color w:val="auto"/>
                      <w:kern w:val="0"/>
                      <w:sz w:val="21"/>
                      <w:szCs w:val="21"/>
                      <w:highlight w:val="none"/>
                      <w:lang w:val="en-US" w:eastAsia="zh-CN"/>
                    </w:rPr>
                    <w:t>1</w:t>
                  </w:r>
                </w:p>
              </w:tc>
              <w:tc>
                <w:tcPr>
                  <w:tcW w:w="1853" w:type="dxa"/>
                  <w:vAlign w:val="center"/>
                </w:tcPr>
                <w:p w14:paraId="79888B0E">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rPr>
                  </w:pPr>
                  <w:r>
                    <w:rPr>
                      <w:rFonts w:hint="default" w:ascii="Times New Roman" w:hAnsi="Times New Roman" w:cs="Times New Roman"/>
                      <w:color w:val="auto"/>
                      <w:kern w:val="0"/>
                      <w:sz w:val="21"/>
                      <w:szCs w:val="21"/>
                      <w:highlight w:val="none"/>
                      <w:lang w:val="en-US" w:eastAsia="zh-CN"/>
                    </w:rPr>
                    <w:t>92.845</w:t>
                  </w:r>
                </w:p>
              </w:tc>
            </w:tr>
            <w:tr w14:paraId="3B716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62" w:type="pct"/>
                  <w:vMerge w:val="continue"/>
                  <w:vAlign w:val="center"/>
                </w:tcPr>
                <w:p w14:paraId="1DD99C94">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519" w:type="pct"/>
                  <w:vAlign w:val="center"/>
                </w:tcPr>
                <w:p w14:paraId="4E5A974C">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2</w:t>
                  </w:r>
                </w:p>
              </w:tc>
              <w:tc>
                <w:tcPr>
                  <w:tcW w:w="877" w:type="pct"/>
                  <w:vAlign w:val="center"/>
                </w:tcPr>
                <w:p w14:paraId="7988B010">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二氧化硫</w:t>
                  </w:r>
                </w:p>
              </w:tc>
              <w:tc>
                <w:tcPr>
                  <w:tcW w:w="1689" w:type="dxa"/>
                  <w:vAlign w:val="center"/>
                </w:tcPr>
                <w:p w14:paraId="1B8A59BA">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38.</w:t>
                  </w:r>
                  <w:r>
                    <w:rPr>
                      <w:rFonts w:hint="default" w:ascii="Times New Roman" w:hAnsi="Times New Roman" w:cs="Times New Roman"/>
                      <w:color w:val="auto"/>
                      <w:kern w:val="0"/>
                      <w:sz w:val="21"/>
                      <w:szCs w:val="21"/>
                      <w:highlight w:val="none"/>
                      <w:lang w:val="en-US" w:eastAsia="zh-CN"/>
                    </w:rPr>
                    <w:t>32</w:t>
                  </w:r>
                </w:p>
              </w:tc>
              <w:tc>
                <w:tcPr>
                  <w:tcW w:w="1299" w:type="dxa"/>
                  <w:vAlign w:val="center"/>
                </w:tcPr>
                <w:p w14:paraId="4B8C7D51">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lang w:val="en-US" w:eastAsia="zh-CN"/>
                    </w:rPr>
                    <w:t>0</w:t>
                  </w:r>
                </w:p>
              </w:tc>
              <w:tc>
                <w:tcPr>
                  <w:tcW w:w="1853" w:type="dxa"/>
                  <w:vAlign w:val="center"/>
                </w:tcPr>
                <w:p w14:paraId="484B317C">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38.</w:t>
                  </w:r>
                  <w:r>
                    <w:rPr>
                      <w:rFonts w:hint="default" w:ascii="Times New Roman" w:hAnsi="Times New Roman" w:cs="Times New Roman"/>
                      <w:color w:val="auto"/>
                      <w:kern w:val="0"/>
                      <w:sz w:val="21"/>
                      <w:szCs w:val="21"/>
                      <w:highlight w:val="none"/>
                      <w:lang w:val="en-US" w:eastAsia="zh-CN"/>
                    </w:rPr>
                    <w:t>32</w:t>
                  </w:r>
                </w:p>
              </w:tc>
            </w:tr>
            <w:tr w14:paraId="419E8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62" w:type="pct"/>
                  <w:vMerge w:val="continue"/>
                  <w:vAlign w:val="center"/>
                </w:tcPr>
                <w:p w14:paraId="7F1AC5C5">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519" w:type="pct"/>
                  <w:vAlign w:val="center"/>
                </w:tcPr>
                <w:p w14:paraId="07F45D85">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3</w:t>
                  </w:r>
                </w:p>
              </w:tc>
              <w:tc>
                <w:tcPr>
                  <w:tcW w:w="877" w:type="pct"/>
                  <w:vAlign w:val="center"/>
                </w:tcPr>
                <w:p w14:paraId="7734871A">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氮氧化物</w:t>
                  </w:r>
                </w:p>
              </w:tc>
              <w:tc>
                <w:tcPr>
                  <w:tcW w:w="1689" w:type="dxa"/>
                  <w:vAlign w:val="center"/>
                </w:tcPr>
                <w:p w14:paraId="492B1762">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128.368</w:t>
                  </w:r>
                </w:p>
              </w:tc>
              <w:tc>
                <w:tcPr>
                  <w:tcW w:w="1299" w:type="dxa"/>
                  <w:vAlign w:val="center"/>
                </w:tcPr>
                <w:p w14:paraId="36564513">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lang w:val="en-US" w:eastAsia="zh-CN"/>
                    </w:rPr>
                    <w:t>0</w:t>
                  </w:r>
                </w:p>
              </w:tc>
              <w:tc>
                <w:tcPr>
                  <w:tcW w:w="1853" w:type="dxa"/>
                  <w:vAlign w:val="center"/>
                </w:tcPr>
                <w:p w14:paraId="17433B0C">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rPr>
                  </w:pPr>
                  <w:r>
                    <w:rPr>
                      <w:rFonts w:hint="default" w:ascii="Times New Roman" w:hAnsi="Times New Roman" w:cs="Times New Roman"/>
                      <w:color w:val="auto"/>
                      <w:kern w:val="0"/>
                      <w:sz w:val="21"/>
                      <w:szCs w:val="21"/>
                      <w:highlight w:val="none"/>
                      <w:lang w:val="en-US" w:eastAsia="zh-CN"/>
                    </w:rPr>
                    <w:t>128.368</w:t>
                  </w:r>
                </w:p>
              </w:tc>
            </w:tr>
            <w:tr w14:paraId="5F3B5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62" w:type="pct"/>
                  <w:vMerge w:val="continue"/>
                  <w:vAlign w:val="center"/>
                </w:tcPr>
                <w:p w14:paraId="1BE0E639">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519" w:type="pct"/>
                  <w:vAlign w:val="center"/>
                </w:tcPr>
                <w:p w14:paraId="0CB92778">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4</w:t>
                  </w:r>
                </w:p>
              </w:tc>
              <w:tc>
                <w:tcPr>
                  <w:tcW w:w="877" w:type="pct"/>
                  <w:vAlign w:val="center"/>
                </w:tcPr>
                <w:p w14:paraId="48C3B6B5">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CO</w:t>
                  </w:r>
                </w:p>
              </w:tc>
              <w:tc>
                <w:tcPr>
                  <w:tcW w:w="1689" w:type="dxa"/>
                  <w:vAlign w:val="center"/>
                </w:tcPr>
                <w:p w14:paraId="2CD0009D">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504.026</w:t>
                  </w:r>
                </w:p>
              </w:tc>
              <w:tc>
                <w:tcPr>
                  <w:tcW w:w="1299" w:type="dxa"/>
                  <w:vAlign w:val="center"/>
                </w:tcPr>
                <w:p w14:paraId="708A4C23">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lang w:val="en-US" w:eastAsia="zh-CN"/>
                    </w:rPr>
                    <w:t>18.648</w:t>
                  </w:r>
                </w:p>
              </w:tc>
              <w:tc>
                <w:tcPr>
                  <w:tcW w:w="1853" w:type="dxa"/>
                  <w:vAlign w:val="center"/>
                </w:tcPr>
                <w:p w14:paraId="5DBA0D72">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rPr>
                  </w:pPr>
                  <w:r>
                    <w:rPr>
                      <w:rFonts w:hint="default" w:ascii="Times New Roman" w:hAnsi="Times New Roman" w:cs="Times New Roman"/>
                      <w:i w:val="0"/>
                      <w:iCs w:val="0"/>
                      <w:color w:val="auto"/>
                      <w:sz w:val="21"/>
                      <w:szCs w:val="21"/>
                      <w:highlight w:val="none"/>
                      <w:u w:val="none"/>
                      <w:lang w:val="en-US" w:eastAsia="zh-CN"/>
                    </w:rPr>
                    <w:t>522.674</w:t>
                  </w:r>
                </w:p>
              </w:tc>
            </w:tr>
            <w:tr w14:paraId="5F6BA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62" w:type="pct"/>
                  <w:vMerge w:val="continue"/>
                  <w:vAlign w:val="center"/>
                </w:tcPr>
                <w:p w14:paraId="163A4A09">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519" w:type="pct"/>
                  <w:vAlign w:val="center"/>
                </w:tcPr>
                <w:p w14:paraId="47295D21">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5</w:t>
                  </w:r>
                </w:p>
              </w:tc>
              <w:tc>
                <w:tcPr>
                  <w:tcW w:w="877" w:type="pct"/>
                  <w:vAlign w:val="center"/>
                </w:tcPr>
                <w:p w14:paraId="56F2FE59">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H</w:t>
                  </w:r>
                  <w:r>
                    <w:rPr>
                      <w:rFonts w:hint="default" w:ascii="Times New Roman" w:hAnsi="Times New Roman" w:eastAsia="宋体" w:cs="Times New Roman"/>
                      <w:color w:val="auto"/>
                      <w:kern w:val="0"/>
                      <w:sz w:val="21"/>
                      <w:szCs w:val="21"/>
                      <w:highlight w:val="none"/>
                      <w:vertAlign w:val="subscript"/>
                    </w:rPr>
                    <w:t>2</w:t>
                  </w:r>
                  <w:r>
                    <w:rPr>
                      <w:rFonts w:hint="default" w:ascii="Times New Roman" w:hAnsi="Times New Roman" w:eastAsia="宋体" w:cs="Times New Roman"/>
                      <w:color w:val="auto"/>
                      <w:kern w:val="0"/>
                      <w:sz w:val="21"/>
                      <w:szCs w:val="21"/>
                      <w:highlight w:val="none"/>
                    </w:rPr>
                    <w:t>S</w:t>
                  </w:r>
                </w:p>
              </w:tc>
              <w:tc>
                <w:tcPr>
                  <w:tcW w:w="1689" w:type="dxa"/>
                  <w:vAlign w:val="center"/>
                </w:tcPr>
                <w:p w14:paraId="13BDD9AE">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rPr>
                  </w:pPr>
                  <w:r>
                    <w:rPr>
                      <w:rFonts w:hint="default" w:ascii="Times New Roman" w:hAnsi="Times New Roman" w:eastAsia="宋体" w:cs="Times New Roman"/>
                      <w:color w:val="auto"/>
                      <w:kern w:val="0"/>
                      <w:sz w:val="21"/>
                      <w:szCs w:val="21"/>
                      <w:highlight w:val="none"/>
                      <w:lang w:val="en-US" w:eastAsia="zh-CN"/>
                    </w:rPr>
                    <w:t>0.</w:t>
                  </w:r>
                  <w:r>
                    <w:rPr>
                      <w:rFonts w:hint="default" w:ascii="Times New Roman" w:hAnsi="Times New Roman" w:cs="Times New Roman"/>
                      <w:color w:val="auto"/>
                      <w:kern w:val="0"/>
                      <w:sz w:val="21"/>
                      <w:szCs w:val="21"/>
                      <w:highlight w:val="none"/>
                      <w:lang w:val="en-US" w:eastAsia="zh-CN"/>
                    </w:rPr>
                    <w:t>095</w:t>
                  </w:r>
                </w:p>
              </w:tc>
              <w:tc>
                <w:tcPr>
                  <w:tcW w:w="1299" w:type="dxa"/>
                  <w:vAlign w:val="center"/>
                </w:tcPr>
                <w:p w14:paraId="1F66A869">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rPr>
                  </w:pPr>
                  <w:r>
                    <w:rPr>
                      <w:rFonts w:hint="default" w:ascii="Times New Roman" w:hAnsi="Times New Roman" w:eastAsia="宋体" w:cs="Times New Roman"/>
                      <w:color w:val="auto"/>
                      <w:kern w:val="0"/>
                      <w:sz w:val="21"/>
                      <w:szCs w:val="21"/>
                      <w:highlight w:val="none"/>
                      <w:lang w:val="en-US" w:eastAsia="zh-CN"/>
                    </w:rPr>
                    <w:t>0.0</w:t>
                  </w:r>
                  <w:r>
                    <w:rPr>
                      <w:rFonts w:hint="default" w:ascii="Times New Roman" w:hAnsi="Times New Roman" w:cs="Times New Roman"/>
                      <w:color w:val="auto"/>
                      <w:kern w:val="0"/>
                      <w:sz w:val="21"/>
                      <w:szCs w:val="21"/>
                      <w:highlight w:val="none"/>
                      <w:lang w:val="en-US" w:eastAsia="zh-CN"/>
                    </w:rPr>
                    <w:t>42</w:t>
                  </w:r>
                </w:p>
              </w:tc>
              <w:tc>
                <w:tcPr>
                  <w:tcW w:w="1853" w:type="dxa"/>
                  <w:vAlign w:val="center"/>
                </w:tcPr>
                <w:p w14:paraId="2EFD4A1F">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lang w:val="en-US"/>
                    </w:rPr>
                  </w:pPr>
                  <w:r>
                    <w:rPr>
                      <w:rFonts w:hint="default" w:ascii="Times New Roman" w:hAnsi="Times New Roman" w:eastAsia="宋体" w:cs="Times New Roman"/>
                      <w:color w:val="auto"/>
                      <w:kern w:val="0"/>
                      <w:sz w:val="21"/>
                      <w:szCs w:val="21"/>
                      <w:highlight w:val="none"/>
                      <w:lang w:val="en-US" w:eastAsia="zh-CN"/>
                    </w:rPr>
                    <w:t>0.</w:t>
                  </w:r>
                  <w:r>
                    <w:rPr>
                      <w:rFonts w:hint="default" w:ascii="Times New Roman" w:hAnsi="Times New Roman" w:cs="Times New Roman"/>
                      <w:color w:val="auto"/>
                      <w:kern w:val="0"/>
                      <w:sz w:val="21"/>
                      <w:szCs w:val="21"/>
                      <w:highlight w:val="none"/>
                      <w:lang w:val="en-US" w:eastAsia="zh-CN"/>
                    </w:rPr>
                    <w:t>137</w:t>
                  </w:r>
                </w:p>
              </w:tc>
            </w:tr>
            <w:tr w14:paraId="6842E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62" w:type="pct"/>
                  <w:vMerge w:val="restart"/>
                  <w:vAlign w:val="center"/>
                </w:tcPr>
                <w:p w14:paraId="24AC09F2">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废水</w:t>
                  </w:r>
                </w:p>
                <w:p w14:paraId="02AB088C">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污染物</w:t>
                  </w:r>
                </w:p>
              </w:tc>
              <w:tc>
                <w:tcPr>
                  <w:tcW w:w="519" w:type="pct"/>
                  <w:vAlign w:val="center"/>
                </w:tcPr>
                <w:p w14:paraId="75E18680">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1</w:t>
                  </w:r>
                </w:p>
              </w:tc>
              <w:tc>
                <w:tcPr>
                  <w:tcW w:w="877" w:type="pct"/>
                  <w:vAlign w:val="center"/>
                </w:tcPr>
                <w:p w14:paraId="7BF4611E">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COD</w:t>
                  </w:r>
                </w:p>
              </w:tc>
              <w:tc>
                <w:tcPr>
                  <w:tcW w:w="2840" w:type="pct"/>
                  <w:gridSpan w:val="3"/>
                  <w:vAlign w:val="center"/>
                </w:tcPr>
                <w:p w14:paraId="212ABBB7">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0</w:t>
                  </w:r>
                </w:p>
              </w:tc>
            </w:tr>
            <w:tr w14:paraId="015E4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62" w:type="pct"/>
                  <w:vMerge w:val="continue"/>
                  <w:vAlign w:val="center"/>
                </w:tcPr>
                <w:p w14:paraId="18D7D7BB">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p>
              </w:tc>
              <w:tc>
                <w:tcPr>
                  <w:tcW w:w="519" w:type="pct"/>
                  <w:vAlign w:val="center"/>
                </w:tcPr>
                <w:p w14:paraId="4CB4D628">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2</w:t>
                  </w:r>
                </w:p>
              </w:tc>
              <w:tc>
                <w:tcPr>
                  <w:tcW w:w="877" w:type="pct"/>
                  <w:vAlign w:val="center"/>
                </w:tcPr>
                <w:p w14:paraId="591A914F">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氨氮</w:t>
                  </w:r>
                </w:p>
              </w:tc>
              <w:tc>
                <w:tcPr>
                  <w:tcW w:w="2840" w:type="pct"/>
                  <w:gridSpan w:val="3"/>
                  <w:vAlign w:val="center"/>
                </w:tcPr>
                <w:p w14:paraId="2FDA7AA9">
                  <w:pPr>
                    <w:keepNext w:val="0"/>
                    <w:keepLines w:val="0"/>
                    <w:pageBreakBefore w:val="0"/>
                    <w:widowControl/>
                    <w:suppressLineNumbers w:val="0"/>
                    <w:wordWrap/>
                    <w:bidi w:val="0"/>
                    <w:adjustRightInd w:val="0"/>
                    <w:snapToGrid w:val="0"/>
                    <w:spacing w:before="0" w:beforeAutospacing="0" w:after="0" w:afterAutospacing="0" w:line="240" w:lineRule="exact"/>
                    <w:ind w:left="0" w:right="0"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0</w:t>
                  </w:r>
                </w:p>
              </w:tc>
            </w:tr>
          </w:tbl>
          <w:p w14:paraId="37E61EEC">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cs="Times New Roman"/>
                <w:color w:val="auto"/>
                <w:kern w:val="0"/>
                <w:sz w:val="21"/>
                <w:szCs w:val="21"/>
                <w:highlight w:val="none"/>
                <w:lang w:val="en-US" w:eastAsia="zh-CN"/>
              </w:rPr>
              <w:t>5</w:t>
            </w:r>
            <w:r>
              <w:rPr>
                <w:rFonts w:hint="default" w:ascii="Times New Roman" w:hAnsi="Times New Roman" w:eastAsia="宋体" w:cs="Times New Roman"/>
                <w:color w:val="auto"/>
                <w:kern w:val="0"/>
                <w:sz w:val="21"/>
                <w:szCs w:val="21"/>
                <w:highlight w:val="none"/>
                <w:lang w:val="en-US" w:eastAsia="zh-CN"/>
              </w:rPr>
              <w:t>、与项目有关的主要环境问题</w:t>
            </w:r>
          </w:p>
          <w:p w14:paraId="071D0EC8">
            <w:pPr>
              <w:pStyle w:val="161"/>
              <w:spacing w:line="360" w:lineRule="auto"/>
              <w:ind w:firstLine="420"/>
              <w:jc w:val="both"/>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项目为新建项目，建设地点位于唐山松汀钢铁有限公司现有厂区内，峪沟料库内，料库用于存放块矿、焦炭、铁精粉、煤粉、焦粉等原材料。</w:t>
            </w:r>
          </w:p>
          <w:p w14:paraId="19FC2E12">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项目所用的除尘灰、</w:t>
            </w:r>
            <w:r>
              <w:rPr>
                <w:rFonts w:hint="eastAsia" w:cs="Times New Roman"/>
                <w:color w:val="auto"/>
                <w:kern w:val="0"/>
                <w:sz w:val="21"/>
                <w:szCs w:val="21"/>
                <w:highlight w:val="red"/>
                <w:lang w:val="en-US" w:eastAsia="zh-CN"/>
              </w:rPr>
              <w:t>含铁沉泥</w:t>
            </w:r>
            <w:r>
              <w:rPr>
                <w:rFonts w:hint="eastAsia" w:cs="Times New Roman"/>
                <w:color w:val="auto"/>
                <w:kern w:val="0"/>
                <w:sz w:val="21"/>
                <w:szCs w:val="21"/>
                <w:highlight w:val="none"/>
                <w:lang w:val="en-US" w:eastAsia="zh-CN"/>
              </w:rPr>
              <w:t>产生量分别约为2.87万t/a和1.28万t/a，在项目建设前，由汽车运输至烧结厂原料棚暂存后，作为烧结原料使用，炼钢厂转炉冶炼过程中，转炉内的料主要包括铁水、造渣料和冷料，其中冷料包括外矿、钢渣和</w:t>
            </w:r>
            <w:r>
              <w:rPr>
                <w:rFonts w:hint="eastAsia"/>
                <w:color w:val="auto"/>
                <w:highlight w:val="none"/>
                <w:lang w:val="en-US" w:eastAsia="zh-CN"/>
              </w:rPr>
              <w:t>成品烧结矿</w:t>
            </w:r>
            <w:r>
              <w:rPr>
                <w:rFonts w:hint="eastAsia" w:cs="Times New Roman"/>
                <w:color w:val="auto"/>
                <w:kern w:val="0"/>
                <w:sz w:val="21"/>
                <w:szCs w:val="21"/>
                <w:highlight w:val="none"/>
                <w:lang w:val="en-US" w:eastAsia="zh-CN"/>
              </w:rPr>
              <w:t>，单炉需配外矿约2t、钢渣约3t、成品烧结矿约1t，项目建成后用含铁废料压球替代外矿，</w:t>
            </w:r>
            <w:r>
              <w:rPr>
                <w:rFonts w:hint="eastAsia"/>
                <w:color w:val="auto"/>
                <w:highlight w:val="none"/>
                <w:lang w:val="en-US" w:eastAsia="zh-CN"/>
              </w:rPr>
              <w:t>调节转炉冶炼时炉温，降低冶炼成本。</w:t>
            </w:r>
          </w:p>
          <w:p w14:paraId="38B49FB5">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质检筛分除尘器的工作制度为年工作330天，每天工作24小时，年工作7920h。根据企业自行检测报告(</w:t>
            </w:r>
            <w:r>
              <w:rPr>
                <w:rFonts w:hint="eastAsia" w:cs="Times New Roman"/>
                <w:color w:val="auto"/>
                <w:kern w:val="0"/>
                <w:sz w:val="21"/>
                <w:szCs w:val="21"/>
                <w:highlight w:val="none"/>
                <w:lang w:val="en-US" w:eastAsia="zh-CN"/>
              </w:rPr>
              <w:t>DYJC自行监测[2025]003-3</w:t>
            </w:r>
            <w:r>
              <w:rPr>
                <w:rFonts w:hint="default" w:ascii="Times New Roman" w:hAnsi="Times New Roman" w:eastAsia="宋体" w:cs="Times New Roman"/>
                <w:color w:val="auto"/>
                <w:kern w:val="0"/>
                <w:sz w:val="21"/>
                <w:szCs w:val="21"/>
                <w:highlight w:val="none"/>
                <w:lang w:val="en-US" w:eastAsia="zh-CN"/>
              </w:rPr>
              <w:t>)，项目质检筛分除尘器风量为</w:t>
            </w:r>
            <w:r>
              <w:rPr>
                <w:rFonts w:hint="eastAsia" w:cs="Times New Roman"/>
                <w:color w:val="auto"/>
                <w:kern w:val="0"/>
                <w:sz w:val="21"/>
                <w:szCs w:val="21"/>
                <w:highlight w:val="none"/>
                <w:lang w:val="en-US" w:eastAsia="zh-CN"/>
              </w:rPr>
              <w:t>148262</w:t>
            </w:r>
            <w:r>
              <w:rPr>
                <w:rFonts w:hint="eastAsia" w:ascii="Times New Roman" w:hAnsi="Times New Roman" w:eastAsia="宋体" w:cs="Times New Roman"/>
                <w:color w:val="auto"/>
                <w:sz w:val="21"/>
                <w:szCs w:val="21"/>
                <w:highlight w:val="none"/>
                <w:lang w:val="en-US" w:eastAsia="zh-CN"/>
              </w:rPr>
              <w:t>m</w:t>
            </w:r>
            <w:r>
              <w:rPr>
                <w:rFonts w:hint="eastAsia" w:cs="Times New Roman"/>
                <w:color w:val="auto"/>
                <w:sz w:val="21"/>
                <w:szCs w:val="21"/>
                <w:highlight w:val="none"/>
                <w:vertAlign w:val="superscript"/>
                <w:lang w:val="en-US" w:eastAsia="zh-CN"/>
              </w:rPr>
              <w:t>3</w:t>
            </w:r>
            <w:r>
              <w:rPr>
                <w:rFonts w:hint="default" w:ascii="Times New Roman" w:hAnsi="Times New Roman" w:eastAsia="宋体" w:cs="Times New Roman"/>
                <w:color w:val="auto"/>
                <w:kern w:val="0"/>
                <w:sz w:val="21"/>
                <w:szCs w:val="21"/>
                <w:highlight w:val="none"/>
                <w:lang w:val="en-US" w:eastAsia="zh-CN"/>
              </w:rPr>
              <w:t>/h，废气排放口颗粒物排放浓度为</w:t>
            </w:r>
            <w:r>
              <w:rPr>
                <w:rFonts w:hint="eastAsia" w:cs="Times New Roman"/>
                <w:color w:val="auto"/>
                <w:kern w:val="0"/>
                <w:sz w:val="21"/>
                <w:szCs w:val="21"/>
                <w:highlight w:val="none"/>
                <w:lang w:val="en-US" w:eastAsia="zh-CN"/>
              </w:rPr>
              <w:t>1.4</w:t>
            </w:r>
            <w:r>
              <w:rPr>
                <w:rFonts w:hint="default" w:ascii="Times New Roman" w:hAnsi="Times New Roman" w:eastAsia="宋体" w:cs="Times New Roman"/>
                <w:color w:val="auto"/>
                <w:kern w:val="0"/>
                <w:sz w:val="21"/>
                <w:szCs w:val="21"/>
                <w:highlight w:val="none"/>
                <w:lang w:val="en-US" w:eastAsia="zh-CN"/>
              </w:rPr>
              <w:t>mg/</w:t>
            </w:r>
            <w:r>
              <w:rPr>
                <w:rFonts w:hint="eastAsia" w:ascii="Times New Roman" w:hAnsi="Times New Roman" w:eastAsia="宋体" w:cs="Times New Roman"/>
                <w:color w:val="auto"/>
                <w:sz w:val="21"/>
                <w:szCs w:val="21"/>
                <w:highlight w:val="none"/>
                <w:lang w:val="en-US" w:eastAsia="zh-CN"/>
              </w:rPr>
              <w:t>m</w:t>
            </w:r>
            <w:r>
              <w:rPr>
                <w:rFonts w:hint="eastAsia" w:cs="Times New Roman"/>
                <w:color w:val="auto"/>
                <w:sz w:val="21"/>
                <w:szCs w:val="21"/>
                <w:highlight w:val="none"/>
                <w:vertAlign w:val="superscript"/>
                <w:lang w:val="en-US" w:eastAsia="zh-CN"/>
              </w:rPr>
              <w:t>3</w:t>
            </w:r>
            <w:r>
              <w:rPr>
                <w:rFonts w:hint="default" w:ascii="Times New Roman" w:hAnsi="Times New Roman" w:eastAsia="宋体" w:cs="Times New Roman"/>
                <w:color w:val="auto"/>
                <w:kern w:val="0"/>
                <w:sz w:val="21"/>
                <w:szCs w:val="21"/>
                <w:highlight w:val="none"/>
                <w:lang w:val="en-US" w:eastAsia="zh-CN"/>
              </w:rPr>
              <w:t>，排放速率为0.</w:t>
            </w:r>
            <w:r>
              <w:rPr>
                <w:rFonts w:hint="eastAsia" w:cs="Times New Roman"/>
                <w:color w:val="auto"/>
                <w:kern w:val="0"/>
                <w:sz w:val="21"/>
                <w:szCs w:val="21"/>
                <w:highlight w:val="none"/>
                <w:lang w:val="en-US" w:eastAsia="zh-CN"/>
              </w:rPr>
              <w:t>208</w:t>
            </w:r>
            <w:r>
              <w:rPr>
                <w:rFonts w:hint="default" w:ascii="Times New Roman" w:hAnsi="Times New Roman" w:eastAsia="宋体" w:cs="Times New Roman"/>
                <w:color w:val="auto"/>
                <w:kern w:val="0"/>
                <w:sz w:val="21"/>
                <w:szCs w:val="21"/>
                <w:highlight w:val="none"/>
                <w:lang w:val="en-US" w:eastAsia="zh-CN"/>
              </w:rPr>
              <w:t>kg/h，满足</w:t>
            </w:r>
            <w:r>
              <w:rPr>
                <w:rFonts w:hint="default" w:ascii="Times New Roman" w:hAnsi="Times New Roman" w:eastAsia="宋体" w:cs="Times New Roman"/>
                <w:snapToGrid w:val="0"/>
                <w:color w:val="auto"/>
                <w:sz w:val="21"/>
                <w:szCs w:val="21"/>
                <w:highlight w:val="none"/>
              </w:rPr>
              <w:t>《钢铁工业大气污染物超低排放标准》(DB13/2169-2018)</w:t>
            </w:r>
            <w:r>
              <w:rPr>
                <w:rFonts w:hint="eastAsia" w:cs="Times New Roman"/>
                <w:snapToGrid w:val="0"/>
                <w:color w:val="auto"/>
                <w:sz w:val="21"/>
                <w:szCs w:val="21"/>
                <w:highlight w:val="none"/>
                <w:lang w:val="en-US" w:eastAsia="zh-CN"/>
              </w:rPr>
              <w:t>表1高炉炼铁原料系统、煤粉系统、其他生产设施排放限值</w:t>
            </w:r>
            <w:r>
              <w:rPr>
                <w:rFonts w:hint="default" w:ascii="Times New Roman" w:hAnsi="Times New Roman" w:eastAsia="宋体" w:cs="Times New Roman"/>
                <w:color w:val="auto"/>
                <w:kern w:val="0"/>
                <w:sz w:val="21"/>
                <w:szCs w:val="21"/>
                <w:highlight w:val="none"/>
                <w:lang w:val="en-US" w:eastAsia="zh-CN"/>
              </w:rPr>
              <w:t>。</w:t>
            </w:r>
          </w:p>
          <w:p w14:paraId="037C3459">
            <w:pPr>
              <w:pStyle w:val="161"/>
              <w:spacing w:line="360" w:lineRule="auto"/>
              <w:ind w:firstLine="420"/>
              <w:jc w:val="both"/>
              <w:rPr>
                <w:rFonts w:hint="default" w:cs="Times New Roman" w:eastAsiaTheme="minorEastAsia"/>
                <w:color w:val="auto"/>
                <w:kern w:val="0"/>
                <w:szCs w:val="21"/>
                <w:highlight w:val="green"/>
                <w:lang w:val="en-US" w:eastAsia="zh-CN"/>
              </w:rPr>
            </w:pPr>
            <w:r>
              <w:rPr>
                <w:rFonts w:hint="default" w:ascii="Times New Roman" w:hAnsi="Times New Roman" w:eastAsia="宋体" w:cs="Times New Roman"/>
                <w:color w:val="auto"/>
                <w:kern w:val="0"/>
                <w:sz w:val="21"/>
                <w:szCs w:val="21"/>
                <w:highlight w:val="none"/>
                <w:lang w:val="en-US" w:eastAsia="zh-CN"/>
              </w:rPr>
              <w:t>现状无与项目有关的环境问题。</w:t>
            </w:r>
          </w:p>
        </w:tc>
      </w:tr>
    </w:tbl>
    <w:p w14:paraId="1E2E5DAD">
      <w:pPr>
        <w:pStyle w:val="77"/>
        <w:ind w:firstLine="880"/>
        <w:jc w:val="center"/>
        <w:rPr>
          <w:rFonts w:ascii="Times New Roman" w:hAnsi="Times New Roman" w:eastAsiaTheme="minorEastAsia"/>
          <w:snapToGrid w:val="0"/>
          <w:color w:val="auto"/>
          <w:sz w:val="44"/>
          <w:szCs w:val="44"/>
          <w:highlight w:val="yellow"/>
        </w:rPr>
        <w:sectPr>
          <w:pgSz w:w="11905" w:h="16838"/>
          <w:pgMar w:top="1701" w:right="1531" w:bottom="1701" w:left="1531" w:header="851" w:footer="850" w:gutter="0"/>
          <w:pgBorders>
            <w:top w:val="none" w:sz="0" w:space="0"/>
            <w:left w:val="none" w:sz="0" w:space="0"/>
            <w:bottom w:val="none" w:sz="0" w:space="0"/>
            <w:right w:val="none" w:sz="0" w:space="0"/>
          </w:pgBorders>
          <w:cols w:space="0" w:num="1"/>
          <w:docGrid w:linePitch="312" w:charSpace="0"/>
        </w:sectPr>
      </w:pPr>
    </w:p>
    <w:p w14:paraId="597882EF">
      <w:pPr>
        <w:pStyle w:val="77"/>
        <w:spacing w:before="0" w:beforeAutospacing="0" w:after="0" w:afterAutospacing="0" w:line="240" w:lineRule="auto"/>
        <w:ind w:firstLine="0" w:firstLineChars="0"/>
        <w:outlineLvl w:val="0"/>
        <w:rPr>
          <w:rFonts w:ascii="Times New Roman" w:hAnsi="Times New Roman" w:eastAsiaTheme="minorEastAsia"/>
          <w:b/>
          <w:bCs/>
          <w:snapToGrid w:val="0"/>
          <w:color w:val="auto"/>
          <w:sz w:val="32"/>
          <w:szCs w:val="32"/>
          <w:highlight w:val="none"/>
        </w:rPr>
      </w:pPr>
      <w:r>
        <w:rPr>
          <w:rFonts w:ascii="Times New Roman" w:hAnsi="Times New Roman" w:eastAsiaTheme="minorEastAsia"/>
          <w:b/>
          <w:bCs/>
          <w:snapToGrid w:val="0"/>
          <w:color w:val="auto"/>
          <w:sz w:val="32"/>
          <w:szCs w:val="32"/>
          <w:highlight w:val="none"/>
        </w:rPr>
        <w:t>三、区域环境质量现状、环境保护目标及评价标准</w:t>
      </w:r>
    </w:p>
    <w:tbl>
      <w:tblPr>
        <w:tblStyle w:val="8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581"/>
        <w:gridCol w:w="8478"/>
      </w:tblGrid>
      <w:tr w14:paraId="41FB1F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2" w:hRule="atLeast"/>
          <w:jc w:val="center"/>
        </w:trPr>
        <w:tc>
          <w:tcPr>
            <w:tcW w:w="581" w:type="dxa"/>
            <w:vAlign w:val="center"/>
          </w:tcPr>
          <w:p w14:paraId="1C2F420B">
            <w:pPr>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区域</w:t>
            </w:r>
          </w:p>
          <w:p w14:paraId="3696D81E">
            <w:pPr>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w:t>
            </w:r>
          </w:p>
          <w:p w14:paraId="7D2C68D8">
            <w:pPr>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质量</w:t>
            </w:r>
          </w:p>
          <w:p w14:paraId="2E3528C9">
            <w:pPr>
              <w:spacing w:line="240" w:lineRule="auto"/>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color w:val="auto"/>
                <w:sz w:val="21"/>
                <w:szCs w:val="21"/>
                <w:highlight w:val="none"/>
              </w:rPr>
              <w:t>现状</w:t>
            </w:r>
          </w:p>
        </w:tc>
        <w:tc>
          <w:tcPr>
            <w:tcW w:w="8478" w:type="dxa"/>
            <w:vAlign w:val="center"/>
          </w:tcPr>
          <w:p w14:paraId="3B153763">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1、环境空气质量现状评价</w:t>
            </w:r>
          </w:p>
          <w:p w14:paraId="4260964A">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(1)空气质量达标区判定</w:t>
            </w:r>
          </w:p>
          <w:p w14:paraId="40356BE6">
            <w:pPr>
              <w:widowControl/>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按照《环境影响评价技术导则大气环境》(HJ2.2-2018)相关规定：“根据国家或地方生态环境主管部门公开发布的城市环境空气质量达标情况，判断项目所在区域是否属于达标区”。项目所在区域为迁安市，根据《2024年唐山市生态环境状况公报》，项目所在区域迁安市基本污染物环境质量现状评价结果见表3-1。</w:t>
            </w:r>
          </w:p>
          <w:p w14:paraId="5C793603">
            <w:pPr>
              <w:widowControl/>
              <w:adjustRightInd w:val="0"/>
              <w:snapToGrid w:val="0"/>
              <w:ind w:firstLine="0" w:firstLineChars="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表3-1    区域空气质量现状评价表</w:t>
            </w:r>
          </w:p>
          <w:tbl>
            <w:tblPr>
              <w:tblStyle w:val="84"/>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30" w:type="dxa"/>
                <w:bottom w:w="0" w:type="dxa"/>
                <w:right w:w="30" w:type="dxa"/>
              </w:tblCellMar>
            </w:tblPr>
            <w:tblGrid>
              <w:gridCol w:w="718"/>
              <w:gridCol w:w="2368"/>
              <w:gridCol w:w="1267"/>
              <w:gridCol w:w="1248"/>
              <w:gridCol w:w="1383"/>
              <w:gridCol w:w="1268"/>
            </w:tblGrid>
            <w:tr w14:paraId="32E7F9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30" w:type="dxa"/>
                  <w:bottom w:w="0" w:type="dxa"/>
                  <w:right w:w="30" w:type="dxa"/>
                </w:tblCellMar>
              </w:tblPrEx>
              <w:trPr>
                <w:trHeight w:val="312" w:hRule="atLeast"/>
                <w:jc w:val="center"/>
              </w:trPr>
              <w:tc>
                <w:tcPr>
                  <w:tcW w:w="718" w:type="dxa"/>
                  <w:vAlign w:val="center"/>
                </w:tcPr>
                <w:p w14:paraId="3119FAAA">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2368" w:type="dxa"/>
                  <w:vAlign w:val="center"/>
                </w:tcPr>
                <w:p w14:paraId="4CB222F9">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年评价指标</w:t>
                  </w:r>
                </w:p>
              </w:tc>
              <w:tc>
                <w:tcPr>
                  <w:tcW w:w="1267" w:type="dxa"/>
                  <w:vAlign w:val="center"/>
                </w:tcPr>
                <w:p w14:paraId="68F494C7">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现状浓度(µg/m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w:t>
                  </w:r>
                </w:p>
              </w:tc>
              <w:tc>
                <w:tcPr>
                  <w:tcW w:w="1248" w:type="dxa"/>
                  <w:vAlign w:val="center"/>
                </w:tcPr>
                <w:p w14:paraId="09FC8CD5">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标准值(µg/m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w:t>
                  </w:r>
                </w:p>
              </w:tc>
              <w:tc>
                <w:tcPr>
                  <w:tcW w:w="1383" w:type="dxa"/>
                  <w:vAlign w:val="center"/>
                </w:tcPr>
                <w:p w14:paraId="38B3887E">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占标率(%)</w:t>
                  </w:r>
                </w:p>
              </w:tc>
              <w:tc>
                <w:tcPr>
                  <w:tcW w:w="1268" w:type="dxa"/>
                  <w:vAlign w:val="center"/>
                </w:tcPr>
                <w:p w14:paraId="5A881DB1">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达标情况</w:t>
                  </w:r>
                </w:p>
              </w:tc>
            </w:tr>
            <w:tr w14:paraId="1B9FB8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30" w:type="dxa"/>
                  <w:bottom w:w="0" w:type="dxa"/>
                  <w:right w:w="30" w:type="dxa"/>
                </w:tblCellMar>
              </w:tblPrEx>
              <w:trPr>
                <w:trHeight w:val="312" w:hRule="atLeast"/>
                <w:jc w:val="center"/>
              </w:trPr>
              <w:tc>
                <w:tcPr>
                  <w:tcW w:w="718" w:type="dxa"/>
                  <w:vAlign w:val="center"/>
                </w:tcPr>
                <w:p w14:paraId="086BBEC9">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SO</w:t>
                  </w:r>
                  <w:r>
                    <w:rPr>
                      <w:rFonts w:hint="default" w:ascii="Times New Roman" w:hAnsi="Times New Roman" w:cs="Times New Roman"/>
                      <w:color w:val="auto"/>
                      <w:sz w:val="21"/>
                      <w:szCs w:val="21"/>
                      <w:highlight w:val="none"/>
                      <w:vertAlign w:val="subscript"/>
                    </w:rPr>
                    <w:t>2</w:t>
                  </w:r>
                </w:p>
              </w:tc>
              <w:tc>
                <w:tcPr>
                  <w:tcW w:w="2368" w:type="dxa"/>
                  <w:vMerge w:val="restart"/>
                  <w:vAlign w:val="center"/>
                </w:tcPr>
                <w:p w14:paraId="2882D5A6">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年平均质量浓度</w:t>
                  </w:r>
                </w:p>
              </w:tc>
              <w:tc>
                <w:tcPr>
                  <w:tcW w:w="1267" w:type="dxa"/>
                  <w:vAlign w:val="center"/>
                </w:tcPr>
                <w:p w14:paraId="3E4B16B9">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snapToGrid w:val="0"/>
                      <w:color w:val="auto"/>
                      <w:sz w:val="21"/>
                      <w:szCs w:val="21"/>
                      <w:highlight w:val="none"/>
                    </w:rPr>
                    <w:t>11</w:t>
                  </w:r>
                </w:p>
              </w:tc>
              <w:tc>
                <w:tcPr>
                  <w:tcW w:w="1248" w:type="dxa"/>
                  <w:vAlign w:val="center"/>
                </w:tcPr>
                <w:p w14:paraId="61B393BE">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60</w:t>
                  </w:r>
                </w:p>
              </w:tc>
              <w:tc>
                <w:tcPr>
                  <w:tcW w:w="1383" w:type="dxa"/>
                  <w:vAlign w:val="center"/>
                </w:tcPr>
                <w:p w14:paraId="4137C660">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18.3</w:t>
                  </w:r>
                </w:p>
              </w:tc>
              <w:tc>
                <w:tcPr>
                  <w:tcW w:w="1268" w:type="dxa"/>
                  <w:vAlign w:val="center"/>
                </w:tcPr>
                <w:p w14:paraId="13C22F5D">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r w14:paraId="1B9D0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30" w:type="dxa"/>
                  <w:bottom w:w="0" w:type="dxa"/>
                  <w:right w:w="30" w:type="dxa"/>
                </w:tblCellMar>
              </w:tblPrEx>
              <w:trPr>
                <w:trHeight w:val="312" w:hRule="atLeast"/>
                <w:jc w:val="center"/>
              </w:trPr>
              <w:tc>
                <w:tcPr>
                  <w:tcW w:w="718" w:type="dxa"/>
                  <w:vAlign w:val="center"/>
                </w:tcPr>
                <w:p w14:paraId="5967D6C7">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NO</w:t>
                  </w:r>
                  <w:r>
                    <w:rPr>
                      <w:rFonts w:hint="default" w:ascii="Times New Roman" w:hAnsi="Times New Roman" w:cs="Times New Roman"/>
                      <w:color w:val="auto"/>
                      <w:sz w:val="21"/>
                      <w:szCs w:val="21"/>
                      <w:highlight w:val="none"/>
                      <w:vertAlign w:val="subscript"/>
                    </w:rPr>
                    <w:t>2</w:t>
                  </w:r>
                </w:p>
              </w:tc>
              <w:tc>
                <w:tcPr>
                  <w:tcW w:w="2368" w:type="dxa"/>
                  <w:vMerge w:val="continue"/>
                  <w:vAlign w:val="center"/>
                </w:tcPr>
                <w:p w14:paraId="7FA775BE">
                  <w:pPr>
                    <w:pStyle w:val="135"/>
                    <w:spacing w:before="24" w:after="24" w:line="260" w:lineRule="auto"/>
                    <w:ind w:firstLine="0" w:firstLineChars="0"/>
                    <w:rPr>
                      <w:rFonts w:hint="default" w:ascii="Times New Roman" w:hAnsi="Times New Roman" w:cs="Times New Roman"/>
                      <w:color w:val="auto"/>
                      <w:sz w:val="21"/>
                      <w:szCs w:val="21"/>
                      <w:highlight w:val="none"/>
                    </w:rPr>
                  </w:pPr>
                </w:p>
              </w:tc>
              <w:tc>
                <w:tcPr>
                  <w:tcW w:w="1267" w:type="dxa"/>
                  <w:vAlign w:val="center"/>
                </w:tcPr>
                <w:p w14:paraId="565CF7FA">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25</w:t>
                  </w:r>
                </w:p>
              </w:tc>
              <w:tc>
                <w:tcPr>
                  <w:tcW w:w="1248" w:type="dxa"/>
                  <w:vAlign w:val="center"/>
                </w:tcPr>
                <w:p w14:paraId="47A218B2">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40</w:t>
                  </w:r>
                </w:p>
              </w:tc>
              <w:tc>
                <w:tcPr>
                  <w:tcW w:w="1383" w:type="dxa"/>
                  <w:vAlign w:val="center"/>
                </w:tcPr>
                <w:p w14:paraId="309A4D91">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62.5</w:t>
                  </w:r>
                </w:p>
              </w:tc>
              <w:tc>
                <w:tcPr>
                  <w:tcW w:w="1268" w:type="dxa"/>
                  <w:vAlign w:val="center"/>
                </w:tcPr>
                <w:p w14:paraId="2A9E728B">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r w14:paraId="6F69FD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30" w:type="dxa"/>
                  <w:bottom w:w="0" w:type="dxa"/>
                  <w:right w:w="30" w:type="dxa"/>
                </w:tblCellMar>
              </w:tblPrEx>
              <w:trPr>
                <w:trHeight w:val="312" w:hRule="atLeast"/>
                <w:jc w:val="center"/>
              </w:trPr>
              <w:tc>
                <w:tcPr>
                  <w:tcW w:w="718" w:type="dxa"/>
                  <w:vAlign w:val="center"/>
                </w:tcPr>
                <w:p w14:paraId="714334DF">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PM</w:t>
                  </w:r>
                  <w:r>
                    <w:rPr>
                      <w:rFonts w:hint="default" w:ascii="Times New Roman" w:hAnsi="Times New Roman" w:cs="Times New Roman"/>
                      <w:color w:val="auto"/>
                      <w:sz w:val="21"/>
                      <w:szCs w:val="21"/>
                      <w:highlight w:val="none"/>
                      <w:vertAlign w:val="subscript"/>
                    </w:rPr>
                    <w:t>10</w:t>
                  </w:r>
                </w:p>
              </w:tc>
              <w:tc>
                <w:tcPr>
                  <w:tcW w:w="2368" w:type="dxa"/>
                  <w:vMerge w:val="continue"/>
                  <w:vAlign w:val="center"/>
                </w:tcPr>
                <w:p w14:paraId="3A50562F">
                  <w:pPr>
                    <w:pStyle w:val="135"/>
                    <w:spacing w:before="24" w:after="24" w:line="260" w:lineRule="auto"/>
                    <w:ind w:firstLine="0" w:firstLineChars="0"/>
                    <w:rPr>
                      <w:rFonts w:hint="default" w:ascii="Times New Roman" w:hAnsi="Times New Roman" w:cs="Times New Roman"/>
                      <w:color w:val="auto"/>
                      <w:sz w:val="21"/>
                      <w:szCs w:val="21"/>
                      <w:highlight w:val="none"/>
                    </w:rPr>
                  </w:pPr>
                </w:p>
              </w:tc>
              <w:tc>
                <w:tcPr>
                  <w:tcW w:w="1267" w:type="dxa"/>
                  <w:vAlign w:val="center"/>
                </w:tcPr>
                <w:p w14:paraId="370716A0">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snapToGrid w:val="0"/>
                      <w:color w:val="auto"/>
                      <w:sz w:val="21"/>
                      <w:szCs w:val="21"/>
                      <w:highlight w:val="none"/>
                    </w:rPr>
                    <w:t>70</w:t>
                  </w:r>
                </w:p>
              </w:tc>
              <w:tc>
                <w:tcPr>
                  <w:tcW w:w="1248" w:type="dxa"/>
                  <w:vAlign w:val="center"/>
                </w:tcPr>
                <w:p w14:paraId="25FBD1E4">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eastAsia" w:ascii="Times New Roman" w:cs="Times New Roman"/>
                      <w:color w:val="auto"/>
                      <w:sz w:val="21"/>
                      <w:szCs w:val="21"/>
                      <w:highlight w:val="none"/>
                      <w:lang w:val="en-US" w:eastAsia="zh-CN"/>
                    </w:rPr>
                    <w:t>60</w:t>
                  </w:r>
                </w:p>
              </w:tc>
              <w:tc>
                <w:tcPr>
                  <w:tcW w:w="1383" w:type="dxa"/>
                  <w:vAlign w:val="center"/>
                </w:tcPr>
                <w:p w14:paraId="48AFE288">
                  <w:pPr>
                    <w:pStyle w:val="135"/>
                    <w:spacing w:before="24" w:after="24" w:line="260" w:lineRule="auto"/>
                    <w:ind w:firstLine="0" w:firstLineChars="0"/>
                    <w:rPr>
                      <w:rFonts w:hint="default" w:ascii="Times New Roman" w:hAnsi="Times New Roman" w:cs="Times New Roman"/>
                      <w:color w:val="auto"/>
                      <w:sz w:val="21"/>
                      <w:szCs w:val="21"/>
                      <w:highlight w:val="none"/>
                      <w:lang w:val="en-US"/>
                    </w:rPr>
                  </w:pPr>
                  <w:r>
                    <w:rPr>
                      <w:rFonts w:hint="eastAsia" w:ascii="Times New Roman" w:cs="Times New Roman"/>
                      <w:color w:val="auto"/>
                      <w:sz w:val="21"/>
                      <w:szCs w:val="21"/>
                      <w:highlight w:val="none"/>
                      <w:lang w:val="en-US" w:eastAsia="zh-CN"/>
                    </w:rPr>
                    <w:t>116.7</w:t>
                  </w:r>
                </w:p>
              </w:tc>
              <w:tc>
                <w:tcPr>
                  <w:tcW w:w="1268" w:type="dxa"/>
                  <w:vAlign w:val="center"/>
                </w:tcPr>
                <w:p w14:paraId="1E9258EB">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eastAsia" w:ascii="Times New Roman" w:cs="Times New Roman"/>
                      <w:color w:val="auto"/>
                      <w:sz w:val="21"/>
                      <w:szCs w:val="21"/>
                      <w:highlight w:val="none"/>
                      <w:lang w:val="en-US" w:eastAsia="zh-CN"/>
                    </w:rPr>
                    <w:t>不</w:t>
                  </w:r>
                  <w:r>
                    <w:rPr>
                      <w:rFonts w:hint="default" w:ascii="Times New Roman" w:hAnsi="Times New Roman" w:cs="Times New Roman"/>
                      <w:color w:val="auto"/>
                      <w:sz w:val="21"/>
                      <w:szCs w:val="21"/>
                      <w:highlight w:val="none"/>
                    </w:rPr>
                    <w:t>达标</w:t>
                  </w:r>
                </w:p>
              </w:tc>
            </w:tr>
            <w:tr w14:paraId="1E7B0A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30" w:type="dxa"/>
                  <w:bottom w:w="0" w:type="dxa"/>
                  <w:right w:w="30" w:type="dxa"/>
                </w:tblCellMar>
              </w:tblPrEx>
              <w:trPr>
                <w:trHeight w:val="90" w:hRule="atLeast"/>
                <w:jc w:val="center"/>
              </w:trPr>
              <w:tc>
                <w:tcPr>
                  <w:tcW w:w="718" w:type="dxa"/>
                  <w:vAlign w:val="center"/>
                </w:tcPr>
                <w:p w14:paraId="502442FB">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PM</w:t>
                  </w:r>
                  <w:r>
                    <w:rPr>
                      <w:rFonts w:hint="default" w:ascii="Times New Roman" w:hAnsi="Times New Roman" w:cs="Times New Roman"/>
                      <w:color w:val="auto"/>
                      <w:sz w:val="21"/>
                      <w:szCs w:val="21"/>
                      <w:highlight w:val="none"/>
                      <w:vertAlign w:val="subscript"/>
                    </w:rPr>
                    <w:t>2.5</w:t>
                  </w:r>
                </w:p>
              </w:tc>
              <w:tc>
                <w:tcPr>
                  <w:tcW w:w="2368" w:type="dxa"/>
                  <w:vMerge w:val="continue"/>
                  <w:vAlign w:val="center"/>
                </w:tcPr>
                <w:p w14:paraId="1A2A77EB">
                  <w:pPr>
                    <w:pStyle w:val="135"/>
                    <w:spacing w:before="24" w:after="24" w:line="260" w:lineRule="auto"/>
                    <w:ind w:firstLine="0" w:firstLineChars="0"/>
                    <w:rPr>
                      <w:rFonts w:hint="default" w:ascii="Times New Roman" w:hAnsi="Times New Roman" w:cs="Times New Roman"/>
                      <w:color w:val="auto"/>
                      <w:sz w:val="21"/>
                      <w:szCs w:val="21"/>
                      <w:highlight w:val="none"/>
                    </w:rPr>
                  </w:pPr>
                </w:p>
              </w:tc>
              <w:tc>
                <w:tcPr>
                  <w:tcW w:w="1267" w:type="dxa"/>
                  <w:vAlign w:val="center"/>
                </w:tcPr>
                <w:p w14:paraId="6A4738F4">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snapToGrid w:val="0"/>
                      <w:color w:val="auto"/>
                      <w:sz w:val="21"/>
                      <w:szCs w:val="21"/>
                      <w:highlight w:val="none"/>
                    </w:rPr>
                    <w:t>33</w:t>
                  </w:r>
                </w:p>
              </w:tc>
              <w:tc>
                <w:tcPr>
                  <w:tcW w:w="1248" w:type="dxa"/>
                  <w:vAlign w:val="center"/>
                </w:tcPr>
                <w:p w14:paraId="4960C687">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eastAsia" w:ascii="Times New Roman" w:cs="Times New Roman"/>
                      <w:color w:val="auto"/>
                      <w:sz w:val="21"/>
                      <w:szCs w:val="21"/>
                      <w:highlight w:val="none"/>
                      <w:lang w:val="en-US" w:eastAsia="zh-CN"/>
                    </w:rPr>
                    <w:t>30</w:t>
                  </w:r>
                </w:p>
              </w:tc>
              <w:tc>
                <w:tcPr>
                  <w:tcW w:w="1383" w:type="dxa"/>
                  <w:vAlign w:val="center"/>
                </w:tcPr>
                <w:p w14:paraId="20ACF360">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eastAsia" w:ascii="Times New Roman" w:cs="Times New Roman"/>
                      <w:color w:val="auto"/>
                      <w:sz w:val="21"/>
                      <w:szCs w:val="21"/>
                      <w:highlight w:val="none"/>
                      <w:lang w:val="en-US" w:eastAsia="zh-CN"/>
                    </w:rPr>
                    <w:t>110</w:t>
                  </w:r>
                </w:p>
              </w:tc>
              <w:tc>
                <w:tcPr>
                  <w:tcW w:w="1268" w:type="dxa"/>
                  <w:vAlign w:val="center"/>
                </w:tcPr>
                <w:p w14:paraId="2601648C">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eastAsia" w:ascii="Times New Roman" w:cs="Times New Roman"/>
                      <w:color w:val="auto"/>
                      <w:sz w:val="21"/>
                      <w:szCs w:val="21"/>
                      <w:highlight w:val="none"/>
                      <w:lang w:val="en-US" w:eastAsia="zh-CN"/>
                    </w:rPr>
                    <w:t>不</w:t>
                  </w:r>
                  <w:r>
                    <w:rPr>
                      <w:rFonts w:hint="default" w:ascii="Times New Roman" w:hAnsi="Times New Roman" w:cs="Times New Roman"/>
                      <w:color w:val="auto"/>
                      <w:sz w:val="21"/>
                      <w:szCs w:val="21"/>
                      <w:highlight w:val="none"/>
                    </w:rPr>
                    <w:t>达标</w:t>
                  </w:r>
                </w:p>
              </w:tc>
            </w:tr>
            <w:tr w14:paraId="555775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30" w:type="dxa"/>
                  <w:bottom w:w="0" w:type="dxa"/>
                  <w:right w:w="30" w:type="dxa"/>
                </w:tblCellMar>
              </w:tblPrEx>
              <w:trPr>
                <w:trHeight w:val="312" w:hRule="atLeast"/>
                <w:jc w:val="center"/>
              </w:trPr>
              <w:tc>
                <w:tcPr>
                  <w:tcW w:w="718" w:type="dxa"/>
                  <w:vAlign w:val="center"/>
                </w:tcPr>
                <w:p w14:paraId="7160000A">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CO</w:t>
                  </w:r>
                </w:p>
              </w:tc>
              <w:tc>
                <w:tcPr>
                  <w:tcW w:w="2368" w:type="dxa"/>
                  <w:vAlign w:val="center"/>
                </w:tcPr>
                <w:p w14:paraId="0AEE71D4">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95%百分位数日平均</w:t>
                  </w:r>
                </w:p>
              </w:tc>
              <w:tc>
                <w:tcPr>
                  <w:tcW w:w="1267" w:type="dxa"/>
                  <w:vAlign w:val="center"/>
                </w:tcPr>
                <w:p w14:paraId="78917E98">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1600</w:t>
                  </w:r>
                </w:p>
              </w:tc>
              <w:tc>
                <w:tcPr>
                  <w:tcW w:w="1248" w:type="dxa"/>
                  <w:vAlign w:val="center"/>
                </w:tcPr>
                <w:p w14:paraId="00B29059">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4000</w:t>
                  </w:r>
                </w:p>
              </w:tc>
              <w:tc>
                <w:tcPr>
                  <w:tcW w:w="1383" w:type="dxa"/>
                  <w:vAlign w:val="center"/>
                </w:tcPr>
                <w:p w14:paraId="5D585503">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40</w:t>
                  </w:r>
                </w:p>
              </w:tc>
              <w:tc>
                <w:tcPr>
                  <w:tcW w:w="1268" w:type="dxa"/>
                  <w:vAlign w:val="center"/>
                </w:tcPr>
                <w:p w14:paraId="20C23427">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r w14:paraId="6B255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30" w:type="dxa"/>
                  <w:bottom w:w="0" w:type="dxa"/>
                  <w:right w:w="30" w:type="dxa"/>
                </w:tblCellMar>
              </w:tblPrEx>
              <w:trPr>
                <w:trHeight w:val="312" w:hRule="atLeast"/>
                <w:jc w:val="center"/>
              </w:trPr>
              <w:tc>
                <w:tcPr>
                  <w:tcW w:w="718" w:type="dxa"/>
                  <w:vAlign w:val="center"/>
                </w:tcPr>
                <w:p w14:paraId="175173E2">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O</w:t>
                  </w:r>
                  <w:r>
                    <w:rPr>
                      <w:rFonts w:hint="default" w:ascii="Times New Roman" w:hAnsi="Times New Roman" w:cs="Times New Roman"/>
                      <w:color w:val="auto"/>
                      <w:sz w:val="21"/>
                      <w:szCs w:val="21"/>
                      <w:highlight w:val="none"/>
                      <w:vertAlign w:val="subscript"/>
                    </w:rPr>
                    <w:t>3</w:t>
                  </w:r>
                </w:p>
              </w:tc>
              <w:tc>
                <w:tcPr>
                  <w:tcW w:w="2368" w:type="dxa"/>
                  <w:vAlign w:val="center"/>
                </w:tcPr>
                <w:p w14:paraId="2AD75B5A">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90%百分位数8h平均浓度</w:t>
                  </w:r>
                </w:p>
              </w:tc>
              <w:tc>
                <w:tcPr>
                  <w:tcW w:w="1267" w:type="dxa"/>
                  <w:vAlign w:val="center"/>
                </w:tcPr>
                <w:p w14:paraId="22D852A8">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178</w:t>
                  </w:r>
                </w:p>
              </w:tc>
              <w:tc>
                <w:tcPr>
                  <w:tcW w:w="1248" w:type="dxa"/>
                  <w:vAlign w:val="center"/>
                </w:tcPr>
                <w:p w14:paraId="5FE7AB08">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160</w:t>
                  </w:r>
                </w:p>
              </w:tc>
              <w:tc>
                <w:tcPr>
                  <w:tcW w:w="1383" w:type="dxa"/>
                  <w:vAlign w:val="center"/>
                </w:tcPr>
                <w:p w14:paraId="55992DFE">
                  <w:pPr>
                    <w:pStyle w:val="135"/>
                    <w:spacing w:before="24" w:after="24" w:line="260" w:lineRule="auto"/>
                    <w:ind w:firstLine="0" w:firstLineChars="0"/>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111.</w:t>
                  </w:r>
                  <w:r>
                    <w:rPr>
                      <w:rFonts w:hint="eastAsia" w:ascii="Times New Roman" w:cs="Times New Roman"/>
                      <w:color w:val="auto"/>
                      <w:sz w:val="21"/>
                      <w:szCs w:val="21"/>
                      <w:highlight w:val="none"/>
                      <w:lang w:val="en-US" w:eastAsia="zh-CN"/>
                    </w:rPr>
                    <w:t>3</w:t>
                  </w:r>
                </w:p>
              </w:tc>
              <w:tc>
                <w:tcPr>
                  <w:tcW w:w="1268" w:type="dxa"/>
                  <w:vAlign w:val="center"/>
                </w:tcPr>
                <w:p w14:paraId="70864C2D">
                  <w:pPr>
                    <w:pStyle w:val="135"/>
                    <w:spacing w:before="24" w:after="24" w:line="26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不达标</w:t>
                  </w:r>
                </w:p>
              </w:tc>
            </w:tr>
          </w:tbl>
          <w:p w14:paraId="6887959A">
            <w:pPr>
              <w:keepNext w:val="0"/>
              <w:keepLines w:val="0"/>
              <w:pageBreakBefore w:val="0"/>
              <w:widowControl/>
              <w:kinsoku/>
              <w:wordWrap/>
              <w:overflowPunct/>
              <w:topLinePunct w:val="0"/>
              <w:autoSpaceDE w:val="0"/>
              <w:autoSpaceDN w:val="0"/>
              <w:bidi w:val="0"/>
              <w:adjustRightInd w:val="0"/>
              <w:snapToGrid w:val="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由上表可知，由以上数据可知，迁安市环境空气质量中，SO</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sz w:val="21"/>
                <w:szCs w:val="21"/>
                <w:highlight w:val="none"/>
              </w:rPr>
              <w:t>、NO</w:t>
            </w:r>
            <w:r>
              <w:rPr>
                <w:rFonts w:hint="default" w:ascii="Times New Roman" w:hAnsi="Times New Roman" w:cs="Times New Roman"/>
                <w:color w:val="auto"/>
                <w:sz w:val="21"/>
                <w:szCs w:val="21"/>
                <w:highlight w:val="none"/>
                <w:vertAlign w:val="subscript"/>
              </w:rPr>
              <w:t>2</w:t>
            </w:r>
            <w:bookmarkStart w:id="27" w:name="OLE_LINK712"/>
            <w:r>
              <w:rPr>
                <w:rFonts w:hint="default" w:ascii="Times New Roman" w:hAnsi="Times New Roman" w:cs="Times New Roman"/>
                <w:color w:val="auto"/>
                <w:sz w:val="21"/>
                <w:szCs w:val="21"/>
                <w:highlight w:val="none"/>
              </w:rPr>
              <w:t>年平均浓度</w:t>
            </w:r>
            <w:bookmarkEnd w:id="27"/>
            <w:r>
              <w:rPr>
                <w:rFonts w:hint="default" w:ascii="Times New Roman" w:hAnsi="Times New Roman" w:cs="Times New Roman"/>
                <w:color w:val="auto"/>
                <w:sz w:val="21"/>
                <w:szCs w:val="21"/>
                <w:highlight w:val="none"/>
              </w:rPr>
              <w:t>、一氧化碳24小时平均浓度95</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rPr>
              <w:t>百分位数均满足《环境空气质量标准》(GB3095-20</w:t>
            </w:r>
            <w:r>
              <w:rPr>
                <w:rFonts w:hint="eastAsia" w:cs="Times New Roman"/>
                <w:color w:val="auto"/>
                <w:sz w:val="21"/>
                <w:szCs w:val="21"/>
                <w:highlight w:val="none"/>
                <w:lang w:val="en-US" w:eastAsia="zh-CN"/>
              </w:rPr>
              <w:t>26</w:t>
            </w:r>
            <w:r>
              <w:rPr>
                <w:rFonts w:hint="default" w:ascii="Times New Roman" w:hAnsi="Times New Roman" w:cs="Times New Roman"/>
                <w:color w:val="auto"/>
                <w:sz w:val="21"/>
                <w:szCs w:val="21"/>
                <w:highlight w:val="none"/>
              </w:rPr>
              <w:t>)</w:t>
            </w:r>
            <w:r>
              <w:rPr>
                <w:rFonts w:hint="eastAsia" w:cs="Times New Roman"/>
                <w:color w:val="auto"/>
                <w:sz w:val="21"/>
                <w:szCs w:val="21"/>
                <w:highlight w:val="none"/>
                <w:lang w:val="en-US" w:eastAsia="zh-CN"/>
              </w:rPr>
              <w:t>过渡阶段</w:t>
            </w:r>
            <w:r>
              <w:rPr>
                <w:rFonts w:hint="default" w:ascii="Times New Roman" w:hAnsi="Times New Roman" w:cs="Times New Roman"/>
                <w:color w:val="auto"/>
                <w:sz w:val="21"/>
                <w:szCs w:val="21"/>
                <w:highlight w:val="none"/>
              </w:rPr>
              <w:t>二级标准要求，PM</w:t>
            </w:r>
            <w:r>
              <w:rPr>
                <w:rFonts w:hint="default" w:ascii="Times New Roman" w:hAnsi="Times New Roman" w:cs="Times New Roman"/>
                <w:color w:val="auto"/>
                <w:sz w:val="21"/>
                <w:szCs w:val="21"/>
                <w:highlight w:val="none"/>
                <w:vertAlign w:val="subscript"/>
              </w:rPr>
              <w:t>2.5</w:t>
            </w:r>
            <w:r>
              <w:rPr>
                <w:rFonts w:hint="default" w:ascii="Times New Roman" w:hAnsi="Times New Roman" w:cs="Times New Roman"/>
                <w:color w:val="auto"/>
                <w:sz w:val="21"/>
                <w:szCs w:val="21"/>
                <w:highlight w:val="none"/>
              </w:rPr>
              <w:t>、PM</w:t>
            </w:r>
            <w:r>
              <w:rPr>
                <w:rFonts w:hint="default" w:ascii="Times New Roman" w:hAnsi="Times New Roman" w:cs="Times New Roman"/>
                <w:color w:val="auto"/>
                <w:sz w:val="21"/>
                <w:szCs w:val="21"/>
                <w:highlight w:val="none"/>
                <w:vertAlign w:val="subscript"/>
              </w:rPr>
              <w:t>10</w:t>
            </w:r>
            <w:r>
              <w:rPr>
                <w:rFonts w:hint="eastAsia" w:cs="Times New Roman"/>
                <w:color w:val="auto"/>
                <w:sz w:val="21"/>
                <w:szCs w:val="21"/>
                <w:highlight w:val="none"/>
                <w:vertAlign w:val="baseline"/>
                <w:lang w:val="en-US" w:eastAsia="zh-CN"/>
              </w:rPr>
              <w:t>年平均浓度、</w:t>
            </w:r>
            <w:r>
              <w:rPr>
                <w:rFonts w:hint="default" w:ascii="Times New Roman" w:hAnsi="Times New Roman" w:cs="Times New Roman"/>
                <w:color w:val="auto"/>
                <w:sz w:val="21"/>
                <w:szCs w:val="21"/>
                <w:highlight w:val="none"/>
              </w:rPr>
              <w:t>O</w:t>
            </w:r>
            <w:r>
              <w:rPr>
                <w:rFonts w:hint="default" w:ascii="Times New Roman" w:hAnsi="Times New Roman" w:cs="Times New Roman"/>
                <w:color w:val="auto"/>
                <w:sz w:val="21"/>
                <w:szCs w:val="21"/>
                <w:highlight w:val="none"/>
                <w:vertAlign w:val="subscript"/>
              </w:rPr>
              <w:t>3</w:t>
            </w:r>
            <w:r>
              <w:rPr>
                <w:rFonts w:hint="default" w:ascii="Times New Roman" w:hAnsi="Times New Roman" w:cs="Times New Roman"/>
                <w:color w:val="auto"/>
                <w:sz w:val="21"/>
                <w:szCs w:val="21"/>
                <w:highlight w:val="none"/>
              </w:rPr>
              <w:t>8小时平均浓度90</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rPr>
              <w:t>百分位数不满足《环境空气质量标准》(GB3095-20</w:t>
            </w:r>
            <w:r>
              <w:rPr>
                <w:rFonts w:hint="eastAsia" w:cs="Times New Roman"/>
                <w:color w:val="auto"/>
                <w:sz w:val="21"/>
                <w:szCs w:val="21"/>
                <w:highlight w:val="none"/>
                <w:lang w:val="en-US" w:eastAsia="zh-CN"/>
              </w:rPr>
              <w:t>26</w:t>
            </w:r>
            <w:r>
              <w:rPr>
                <w:rFonts w:hint="default" w:ascii="Times New Roman" w:hAnsi="Times New Roman" w:cs="Times New Roman"/>
                <w:color w:val="auto"/>
                <w:sz w:val="21"/>
                <w:szCs w:val="21"/>
                <w:highlight w:val="none"/>
              </w:rPr>
              <w:t>)二级标准要求，即本项目所在区域为不达标区。</w:t>
            </w:r>
          </w:p>
          <w:p w14:paraId="40D663DA">
            <w:pPr>
              <w:ind w:firstLine="480"/>
              <w:rPr>
                <w:color w:val="auto"/>
                <w:sz w:val="21"/>
                <w:szCs w:val="21"/>
                <w:highlight w:val="none"/>
              </w:rPr>
            </w:pPr>
            <w:r>
              <w:rPr>
                <w:rFonts w:hint="eastAsia"/>
                <w:color w:val="auto"/>
                <w:sz w:val="21"/>
                <w:szCs w:val="21"/>
                <w:highlight w:val="none"/>
                <w:lang w:eastAsia="zh-CN"/>
              </w:rPr>
              <w:t>(</w:t>
            </w:r>
            <w:r>
              <w:rPr>
                <w:color w:val="auto"/>
                <w:sz w:val="21"/>
                <w:szCs w:val="21"/>
                <w:highlight w:val="none"/>
              </w:rPr>
              <w:t>2)</w:t>
            </w:r>
            <w:r>
              <w:rPr>
                <w:rFonts w:hint="eastAsia"/>
                <w:color w:val="auto"/>
                <w:sz w:val="21"/>
                <w:szCs w:val="21"/>
                <w:highlight w:val="none"/>
              </w:rPr>
              <w:t>特征因子现状</w:t>
            </w:r>
          </w:p>
          <w:p w14:paraId="09BA85A0">
            <w:pPr>
              <w:adjustRightInd w:val="0"/>
              <w:snapToGrid w:val="0"/>
              <w:ind w:firstLine="480"/>
              <w:rPr>
                <w:color w:val="auto"/>
                <w:sz w:val="21"/>
                <w:szCs w:val="21"/>
                <w:highlight w:val="none"/>
              </w:rPr>
            </w:pPr>
            <w:r>
              <w:rPr>
                <w:rFonts w:hint="eastAsia"/>
                <w:color w:val="auto"/>
                <w:sz w:val="21"/>
                <w:szCs w:val="21"/>
                <w:highlight w:val="none"/>
              </w:rPr>
              <w:t>项目特征因子TSP引用《迁安市九江线材有限责任公司拔丝厂技术升级改造项目环境质量现状检测报告》中的数据，监测点位于项目南侧1.3km处的曹庄子村，监测时间为2024年5月25日至6月1日，引用监测数据满足《建设项目环境影响报告表编制技术指南(污染影响类)》中“引用建设项目周边5千米范围内近3年的数据”要求，监测数据有效。</w:t>
            </w:r>
          </w:p>
          <w:p w14:paraId="7A7B8EE9">
            <w:pPr>
              <w:pStyle w:val="109"/>
              <w:spacing w:beforeLines="0" w:line="360" w:lineRule="auto"/>
              <w:ind w:firstLine="482"/>
              <w:rPr>
                <w:color w:val="auto"/>
                <w:sz w:val="21"/>
                <w:szCs w:val="21"/>
                <w:highlight w:val="none"/>
              </w:rPr>
            </w:pPr>
            <w:bookmarkStart w:id="28" w:name="_Ref8046443"/>
            <w:r>
              <w:rPr>
                <w:color w:val="auto"/>
                <w:sz w:val="21"/>
                <w:szCs w:val="21"/>
                <w:highlight w:val="none"/>
              </w:rPr>
              <w:t>表</w:t>
            </w:r>
            <w:bookmarkEnd w:id="28"/>
            <w:r>
              <w:rPr>
                <w:rFonts w:hint="eastAsia"/>
                <w:color w:val="auto"/>
                <w:sz w:val="21"/>
                <w:szCs w:val="21"/>
                <w:highlight w:val="none"/>
                <w:lang w:val="en-US" w:eastAsia="zh-CN"/>
              </w:rPr>
              <w:t>3-2</w:t>
            </w:r>
            <w:r>
              <w:rPr>
                <w:color w:val="auto"/>
                <w:sz w:val="21"/>
                <w:szCs w:val="21"/>
                <w:highlight w:val="none"/>
              </w:rPr>
              <w:t xml:space="preserve">    监测点位基本信息</w:t>
            </w:r>
          </w:p>
          <w:tbl>
            <w:tblPr>
              <w:tblStyle w:val="8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0"/>
              <w:gridCol w:w="1206"/>
              <w:gridCol w:w="1109"/>
              <w:gridCol w:w="735"/>
              <w:gridCol w:w="709"/>
              <w:gridCol w:w="1861"/>
              <w:gridCol w:w="1443"/>
            </w:tblGrid>
            <w:tr w14:paraId="0581A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08" w:type="dxa"/>
                  <w:vMerge w:val="restart"/>
                  <w:vAlign w:val="center"/>
                </w:tcPr>
                <w:p w14:paraId="23E4331A">
                  <w:pPr>
                    <w:widowControl/>
                    <w:spacing w:line="280" w:lineRule="exact"/>
                    <w:ind w:firstLine="0" w:firstLineChars="0"/>
                    <w:jc w:val="center"/>
                    <w:rPr>
                      <w:color w:val="auto"/>
                      <w:sz w:val="21"/>
                      <w:szCs w:val="21"/>
                      <w:highlight w:val="none"/>
                    </w:rPr>
                  </w:pPr>
                  <w:r>
                    <w:rPr>
                      <w:color w:val="auto"/>
                      <w:sz w:val="21"/>
                      <w:szCs w:val="21"/>
                      <w:highlight w:val="none"/>
                    </w:rPr>
                    <w:t>序号</w:t>
                  </w:r>
                </w:p>
              </w:tc>
              <w:tc>
                <w:tcPr>
                  <w:tcW w:w="800" w:type="dxa"/>
                  <w:vMerge w:val="restart"/>
                  <w:vAlign w:val="center"/>
                </w:tcPr>
                <w:p w14:paraId="0A94C29A">
                  <w:pPr>
                    <w:widowControl/>
                    <w:spacing w:line="280" w:lineRule="exact"/>
                    <w:ind w:firstLine="0" w:firstLineChars="0"/>
                    <w:jc w:val="center"/>
                    <w:rPr>
                      <w:color w:val="auto"/>
                      <w:sz w:val="21"/>
                      <w:szCs w:val="21"/>
                      <w:highlight w:val="none"/>
                    </w:rPr>
                  </w:pPr>
                  <w:r>
                    <w:rPr>
                      <w:color w:val="auto"/>
                      <w:sz w:val="21"/>
                      <w:szCs w:val="21"/>
                      <w:highlight w:val="none"/>
                    </w:rPr>
                    <w:t>监测点名称</w:t>
                  </w:r>
                </w:p>
              </w:tc>
              <w:tc>
                <w:tcPr>
                  <w:tcW w:w="2183" w:type="dxa"/>
                  <w:gridSpan w:val="2"/>
                  <w:vAlign w:val="center"/>
                </w:tcPr>
                <w:p w14:paraId="3AC496F2">
                  <w:pPr>
                    <w:widowControl/>
                    <w:spacing w:line="280" w:lineRule="exact"/>
                    <w:ind w:firstLine="0" w:firstLineChars="0"/>
                    <w:jc w:val="center"/>
                    <w:rPr>
                      <w:color w:val="auto"/>
                      <w:sz w:val="21"/>
                      <w:szCs w:val="21"/>
                      <w:highlight w:val="none"/>
                    </w:rPr>
                  </w:pPr>
                  <w:r>
                    <w:rPr>
                      <w:color w:val="auto"/>
                      <w:sz w:val="21"/>
                      <w:szCs w:val="21"/>
                      <w:highlight w:val="none"/>
                    </w:rPr>
                    <w:t>监测点坐标</w:t>
                  </w:r>
                </w:p>
              </w:tc>
              <w:tc>
                <w:tcPr>
                  <w:tcW w:w="771" w:type="dxa"/>
                  <w:vMerge w:val="restart"/>
                  <w:vAlign w:val="center"/>
                </w:tcPr>
                <w:p w14:paraId="31113996">
                  <w:pPr>
                    <w:widowControl/>
                    <w:spacing w:line="280" w:lineRule="exact"/>
                    <w:ind w:firstLine="0" w:firstLineChars="0"/>
                    <w:jc w:val="center"/>
                    <w:rPr>
                      <w:color w:val="auto"/>
                      <w:sz w:val="21"/>
                      <w:szCs w:val="21"/>
                      <w:highlight w:val="none"/>
                    </w:rPr>
                  </w:pPr>
                  <w:r>
                    <w:rPr>
                      <w:color w:val="auto"/>
                      <w:sz w:val="21"/>
                      <w:szCs w:val="21"/>
                      <w:highlight w:val="none"/>
                    </w:rPr>
                    <w:t>相对厂址方位</w:t>
                  </w:r>
                </w:p>
              </w:tc>
              <w:tc>
                <w:tcPr>
                  <w:tcW w:w="724" w:type="dxa"/>
                  <w:vMerge w:val="restart"/>
                  <w:vAlign w:val="center"/>
                </w:tcPr>
                <w:p w14:paraId="25AD3BCC">
                  <w:pPr>
                    <w:widowControl/>
                    <w:spacing w:line="280" w:lineRule="exact"/>
                    <w:ind w:firstLine="0" w:firstLineChars="0"/>
                    <w:jc w:val="center"/>
                    <w:rPr>
                      <w:color w:val="auto"/>
                      <w:sz w:val="21"/>
                      <w:szCs w:val="21"/>
                      <w:highlight w:val="none"/>
                    </w:rPr>
                  </w:pPr>
                  <w:r>
                    <w:rPr>
                      <w:color w:val="auto"/>
                      <w:sz w:val="21"/>
                      <w:szCs w:val="21"/>
                      <w:highlight w:val="none"/>
                    </w:rPr>
                    <w:t>监测因子</w:t>
                  </w:r>
                </w:p>
              </w:tc>
              <w:tc>
                <w:tcPr>
                  <w:tcW w:w="2005" w:type="dxa"/>
                  <w:vMerge w:val="restart"/>
                  <w:vAlign w:val="center"/>
                </w:tcPr>
                <w:p w14:paraId="6BAE4E39">
                  <w:pPr>
                    <w:widowControl/>
                    <w:spacing w:line="280" w:lineRule="exact"/>
                    <w:ind w:firstLine="0" w:firstLineChars="0"/>
                    <w:jc w:val="center"/>
                    <w:rPr>
                      <w:color w:val="auto"/>
                      <w:sz w:val="21"/>
                      <w:szCs w:val="21"/>
                      <w:highlight w:val="none"/>
                    </w:rPr>
                  </w:pPr>
                  <w:r>
                    <w:rPr>
                      <w:color w:val="auto"/>
                      <w:sz w:val="21"/>
                      <w:szCs w:val="21"/>
                      <w:highlight w:val="none"/>
                    </w:rPr>
                    <w:t>监测时段</w:t>
                  </w:r>
                </w:p>
              </w:tc>
              <w:tc>
                <w:tcPr>
                  <w:tcW w:w="1476" w:type="dxa"/>
                  <w:vMerge w:val="restart"/>
                  <w:vAlign w:val="center"/>
                </w:tcPr>
                <w:p w14:paraId="78743A4E">
                  <w:pPr>
                    <w:widowControl/>
                    <w:spacing w:line="280" w:lineRule="exact"/>
                    <w:ind w:firstLine="0" w:firstLineChars="0"/>
                    <w:jc w:val="center"/>
                    <w:rPr>
                      <w:color w:val="auto"/>
                      <w:sz w:val="21"/>
                      <w:szCs w:val="21"/>
                      <w:highlight w:val="none"/>
                    </w:rPr>
                  </w:pPr>
                  <w:r>
                    <w:rPr>
                      <w:color w:val="auto"/>
                      <w:sz w:val="21"/>
                      <w:szCs w:val="21"/>
                      <w:highlight w:val="none"/>
                    </w:rPr>
                    <w:t>数据来源</w:t>
                  </w:r>
                </w:p>
              </w:tc>
            </w:tr>
            <w:tr w14:paraId="55C68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08" w:type="dxa"/>
                  <w:vMerge w:val="continue"/>
                  <w:vAlign w:val="center"/>
                </w:tcPr>
                <w:p w14:paraId="5F6839D3">
                  <w:pPr>
                    <w:widowControl/>
                    <w:spacing w:line="280" w:lineRule="exact"/>
                    <w:ind w:firstLine="0" w:firstLineChars="0"/>
                    <w:jc w:val="center"/>
                    <w:rPr>
                      <w:color w:val="auto"/>
                      <w:sz w:val="21"/>
                      <w:szCs w:val="21"/>
                      <w:highlight w:val="none"/>
                    </w:rPr>
                  </w:pPr>
                </w:p>
              </w:tc>
              <w:tc>
                <w:tcPr>
                  <w:tcW w:w="800" w:type="dxa"/>
                  <w:vMerge w:val="continue"/>
                  <w:vAlign w:val="center"/>
                </w:tcPr>
                <w:p w14:paraId="20A30DCE">
                  <w:pPr>
                    <w:widowControl/>
                    <w:spacing w:line="280" w:lineRule="exact"/>
                    <w:ind w:firstLine="0" w:firstLineChars="0"/>
                    <w:jc w:val="center"/>
                    <w:rPr>
                      <w:color w:val="auto"/>
                      <w:sz w:val="21"/>
                      <w:szCs w:val="21"/>
                      <w:highlight w:val="none"/>
                    </w:rPr>
                  </w:pPr>
                </w:p>
              </w:tc>
              <w:tc>
                <w:tcPr>
                  <w:tcW w:w="1120" w:type="dxa"/>
                  <w:vAlign w:val="center"/>
                </w:tcPr>
                <w:p w14:paraId="2ADECC48">
                  <w:pPr>
                    <w:widowControl/>
                    <w:spacing w:line="280" w:lineRule="exact"/>
                    <w:ind w:firstLine="0" w:firstLineChars="0"/>
                    <w:jc w:val="center"/>
                    <w:rPr>
                      <w:color w:val="auto"/>
                      <w:sz w:val="21"/>
                      <w:szCs w:val="21"/>
                      <w:highlight w:val="none"/>
                    </w:rPr>
                  </w:pPr>
                  <w:r>
                    <w:rPr>
                      <w:color w:val="auto"/>
                      <w:sz w:val="21"/>
                      <w:szCs w:val="21"/>
                      <w:highlight w:val="none"/>
                    </w:rPr>
                    <w:t>东经</w:t>
                  </w:r>
                  <w:r>
                    <w:rPr>
                      <w:rFonts w:hint="eastAsia"/>
                      <w:color w:val="auto"/>
                      <w:sz w:val="21"/>
                      <w:szCs w:val="21"/>
                      <w:highlight w:val="none"/>
                      <w:lang w:eastAsia="zh-CN"/>
                    </w:rPr>
                    <w:t>(</w:t>
                  </w:r>
                  <w:r>
                    <w:rPr>
                      <w:color w:val="auto"/>
                      <w:sz w:val="21"/>
                      <w:szCs w:val="21"/>
                      <w:highlight w:val="none"/>
                    </w:rPr>
                    <w:t>°)</w:t>
                  </w:r>
                </w:p>
              </w:tc>
              <w:tc>
                <w:tcPr>
                  <w:tcW w:w="1063" w:type="dxa"/>
                  <w:vAlign w:val="center"/>
                </w:tcPr>
                <w:p w14:paraId="6F8B2E0F">
                  <w:pPr>
                    <w:widowControl/>
                    <w:spacing w:line="280" w:lineRule="exact"/>
                    <w:ind w:firstLine="0" w:firstLineChars="0"/>
                    <w:jc w:val="center"/>
                    <w:rPr>
                      <w:color w:val="auto"/>
                      <w:sz w:val="21"/>
                      <w:szCs w:val="21"/>
                      <w:highlight w:val="none"/>
                    </w:rPr>
                  </w:pPr>
                  <w:r>
                    <w:rPr>
                      <w:color w:val="auto"/>
                      <w:sz w:val="21"/>
                      <w:szCs w:val="21"/>
                      <w:highlight w:val="none"/>
                    </w:rPr>
                    <w:t>北纬</w:t>
                  </w:r>
                  <w:r>
                    <w:rPr>
                      <w:rFonts w:hint="eastAsia"/>
                      <w:color w:val="auto"/>
                      <w:sz w:val="21"/>
                      <w:szCs w:val="21"/>
                      <w:highlight w:val="none"/>
                      <w:lang w:eastAsia="zh-CN"/>
                    </w:rPr>
                    <w:t>(</w:t>
                  </w:r>
                  <w:r>
                    <w:rPr>
                      <w:color w:val="auto"/>
                      <w:sz w:val="21"/>
                      <w:szCs w:val="21"/>
                      <w:highlight w:val="none"/>
                    </w:rPr>
                    <w:t>°)</w:t>
                  </w:r>
                </w:p>
              </w:tc>
              <w:tc>
                <w:tcPr>
                  <w:tcW w:w="771" w:type="dxa"/>
                  <w:vMerge w:val="continue"/>
                  <w:vAlign w:val="center"/>
                </w:tcPr>
                <w:p w14:paraId="24EE5AA0">
                  <w:pPr>
                    <w:widowControl/>
                    <w:spacing w:line="280" w:lineRule="exact"/>
                    <w:ind w:firstLine="0" w:firstLineChars="0"/>
                    <w:jc w:val="center"/>
                    <w:rPr>
                      <w:color w:val="auto"/>
                      <w:sz w:val="21"/>
                      <w:szCs w:val="21"/>
                      <w:highlight w:val="none"/>
                    </w:rPr>
                  </w:pPr>
                </w:p>
              </w:tc>
              <w:tc>
                <w:tcPr>
                  <w:tcW w:w="724" w:type="dxa"/>
                  <w:vMerge w:val="continue"/>
                  <w:vAlign w:val="center"/>
                </w:tcPr>
                <w:p w14:paraId="5125A384">
                  <w:pPr>
                    <w:widowControl/>
                    <w:spacing w:line="280" w:lineRule="exact"/>
                    <w:ind w:firstLine="0" w:firstLineChars="0"/>
                    <w:jc w:val="center"/>
                    <w:rPr>
                      <w:color w:val="auto"/>
                      <w:sz w:val="21"/>
                      <w:szCs w:val="21"/>
                      <w:highlight w:val="none"/>
                    </w:rPr>
                  </w:pPr>
                </w:p>
              </w:tc>
              <w:tc>
                <w:tcPr>
                  <w:tcW w:w="2005" w:type="dxa"/>
                  <w:vMerge w:val="continue"/>
                  <w:vAlign w:val="center"/>
                </w:tcPr>
                <w:p w14:paraId="07487941">
                  <w:pPr>
                    <w:widowControl/>
                    <w:spacing w:line="280" w:lineRule="exact"/>
                    <w:ind w:firstLine="0" w:firstLineChars="0"/>
                    <w:jc w:val="center"/>
                    <w:rPr>
                      <w:color w:val="auto"/>
                      <w:sz w:val="21"/>
                      <w:szCs w:val="21"/>
                      <w:highlight w:val="none"/>
                    </w:rPr>
                  </w:pPr>
                </w:p>
              </w:tc>
              <w:tc>
                <w:tcPr>
                  <w:tcW w:w="1476" w:type="dxa"/>
                  <w:vMerge w:val="continue"/>
                  <w:vAlign w:val="center"/>
                </w:tcPr>
                <w:p w14:paraId="4E4705EA">
                  <w:pPr>
                    <w:widowControl/>
                    <w:spacing w:line="280" w:lineRule="exact"/>
                    <w:ind w:firstLine="0" w:firstLineChars="0"/>
                    <w:jc w:val="center"/>
                    <w:rPr>
                      <w:color w:val="auto"/>
                      <w:sz w:val="21"/>
                      <w:szCs w:val="21"/>
                      <w:highlight w:val="none"/>
                    </w:rPr>
                  </w:pPr>
                </w:p>
              </w:tc>
            </w:tr>
            <w:tr w14:paraId="5B925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408" w:type="dxa"/>
                  <w:vAlign w:val="center"/>
                </w:tcPr>
                <w:p w14:paraId="23EFDBF9">
                  <w:pPr>
                    <w:widowControl/>
                    <w:spacing w:line="280" w:lineRule="exact"/>
                    <w:ind w:firstLine="0" w:firstLineChars="0"/>
                    <w:jc w:val="center"/>
                    <w:rPr>
                      <w:color w:val="auto"/>
                      <w:sz w:val="21"/>
                      <w:szCs w:val="21"/>
                      <w:highlight w:val="none"/>
                    </w:rPr>
                  </w:pPr>
                  <w:r>
                    <w:rPr>
                      <w:color w:val="auto"/>
                      <w:sz w:val="21"/>
                      <w:szCs w:val="21"/>
                      <w:highlight w:val="none"/>
                    </w:rPr>
                    <w:t>1</w:t>
                  </w:r>
                </w:p>
              </w:tc>
              <w:tc>
                <w:tcPr>
                  <w:tcW w:w="800" w:type="dxa"/>
                  <w:vAlign w:val="center"/>
                </w:tcPr>
                <w:p w14:paraId="073A296C">
                  <w:pPr>
                    <w:widowControl/>
                    <w:spacing w:line="280" w:lineRule="exact"/>
                    <w:ind w:firstLine="0" w:firstLineChars="0"/>
                    <w:jc w:val="center"/>
                    <w:rPr>
                      <w:color w:val="auto"/>
                      <w:sz w:val="21"/>
                      <w:szCs w:val="21"/>
                      <w:highlight w:val="none"/>
                    </w:rPr>
                  </w:pPr>
                  <w:r>
                    <w:rPr>
                      <w:rFonts w:hint="eastAsia"/>
                      <w:color w:val="auto"/>
                      <w:sz w:val="21"/>
                      <w:szCs w:val="21"/>
                      <w:highlight w:val="none"/>
                    </w:rPr>
                    <w:t>曹庄子村</w:t>
                  </w:r>
                </w:p>
              </w:tc>
              <w:tc>
                <w:tcPr>
                  <w:tcW w:w="1120" w:type="dxa"/>
                  <w:vAlign w:val="center"/>
                </w:tcPr>
                <w:p w14:paraId="639A07CE">
                  <w:pPr>
                    <w:widowControl/>
                    <w:spacing w:line="280" w:lineRule="exact"/>
                    <w:ind w:firstLine="0" w:firstLineChars="0"/>
                    <w:jc w:val="center"/>
                    <w:rPr>
                      <w:color w:val="auto"/>
                      <w:sz w:val="21"/>
                      <w:szCs w:val="21"/>
                      <w:highlight w:val="none"/>
                    </w:rPr>
                  </w:pPr>
                  <w:r>
                    <w:rPr>
                      <w:rFonts w:hint="eastAsia"/>
                      <w:color w:val="auto"/>
                      <w:sz w:val="21"/>
                      <w:szCs w:val="21"/>
                      <w:highlight w:val="none"/>
                    </w:rPr>
                    <w:t>118.576979</w:t>
                  </w:r>
                </w:p>
              </w:tc>
              <w:tc>
                <w:tcPr>
                  <w:tcW w:w="1063" w:type="dxa"/>
                  <w:vAlign w:val="center"/>
                </w:tcPr>
                <w:p w14:paraId="7009A58E">
                  <w:pPr>
                    <w:widowControl/>
                    <w:spacing w:line="280" w:lineRule="exact"/>
                    <w:ind w:firstLine="0" w:firstLineChars="0"/>
                    <w:jc w:val="center"/>
                    <w:rPr>
                      <w:color w:val="auto"/>
                      <w:sz w:val="21"/>
                      <w:szCs w:val="21"/>
                      <w:highlight w:val="none"/>
                    </w:rPr>
                  </w:pPr>
                  <w:r>
                    <w:rPr>
                      <w:rFonts w:hint="eastAsia"/>
                      <w:color w:val="auto"/>
                      <w:sz w:val="21"/>
                      <w:szCs w:val="21"/>
                      <w:highlight w:val="none"/>
                    </w:rPr>
                    <w:t>39.932125</w:t>
                  </w:r>
                </w:p>
              </w:tc>
              <w:tc>
                <w:tcPr>
                  <w:tcW w:w="771" w:type="dxa"/>
                  <w:vAlign w:val="center"/>
                </w:tcPr>
                <w:p w14:paraId="356A4F0E">
                  <w:pPr>
                    <w:widowControl/>
                    <w:spacing w:line="280" w:lineRule="exact"/>
                    <w:ind w:firstLine="0" w:firstLineChars="0"/>
                    <w:jc w:val="center"/>
                    <w:rPr>
                      <w:rFonts w:hint="eastAsia" w:eastAsia="宋体"/>
                      <w:color w:val="auto"/>
                      <w:sz w:val="21"/>
                      <w:szCs w:val="21"/>
                      <w:highlight w:val="none"/>
                      <w:lang w:eastAsia="zh-CN"/>
                    </w:rPr>
                  </w:pPr>
                  <w:r>
                    <w:rPr>
                      <w:rFonts w:hint="eastAsia"/>
                      <w:color w:val="auto"/>
                      <w:sz w:val="21"/>
                      <w:szCs w:val="21"/>
                      <w:highlight w:val="none"/>
                      <w:lang w:val="en-US" w:eastAsia="zh-CN"/>
                    </w:rPr>
                    <w:t>S</w:t>
                  </w:r>
                </w:p>
              </w:tc>
              <w:tc>
                <w:tcPr>
                  <w:tcW w:w="724" w:type="dxa"/>
                  <w:vAlign w:val="center"/>
                </w:tcPr>
                <w:p w14:paraId="45170E49">
                  <w:pPr>
                    <w:widowControl/>
                    <w:spacing w:line="280" w:lineRule="exact"/>
                    <w:ind w:firstLine="0" w:firstLineChars="0"/>
                    <w:jc w:val="center"/>
                    <w:rPr>
                      <w:color w:val="auto"/>
                      <w:sz w:val="21"/>
                      <w:szCs w:val="21"/>
                      <w:highlight w:val="none"/>
                    </w:rPr>
                  </w:pPr>
                  <w:r>
                    <w:rPr>
                      <w:color w:val="auto"/>
                      <w:sz w:val="21"/>
                      <w:szCs w:val="21"/>
                      <w:highlight w:val="none"/>
                    </w:rPr>
                    <w:t>TSP</w:t>
                  </w:r>
                </w:p>
              </w:tc>
              <w:tc>
                <w:tcPr>
                  <w:tcW w:w="2005" w:type="dxa"/>
                  <w:vAlign w:val="center"/>
                </w:tcPr>
                <w:p w14:paraId="511BDCCF">
                  <w:pPr>
                    <w:widowControl/>
                    <w:spacing w:line="280" w:lineRule="exact"/>
                    <w:ind w:firstLine="0" w:firstLineChars="0"/>
                    <w:jc w:val="center"/>
                    <w:rPr>
                      <w:color w:val="auto"/>
                      <w:sz w:val="21"/>
                      <w:szCs w:val="21"/>
                      <w:highlight w:val="none"/>
                    </w:rPr>
                  </w:pPr>
                  <w:r>
                    <w:rPr>
                      <w:color w:val="auto"/>
                      <w:sz w:val="21"/>
                      <w:szCs w:val="21"/>
                      <w:highlight w:val="none"/>
                    </w:rPr>
                    <w:t>202</w:t>
                  </w:r>
                  <w:r>
                    <w:rPr>
                      <w:rFonts w:hint="eastAsia"/>
                      <w:color w:val="auto"/>
                      <w:sz w:val="21"/>
                      <w:szCs w:val="21"/>
                      <w:highlight w:val="none"/>
                      <w:lang w:val="en-US" w:eastAsia="zh-CN"/>
                    </w:rPr>
                    <w:t>4</w:t>
                  </w:r>
                  <w:r>
                    <w:rPr>
                      <w:color w:val="auto"/>
                      <w:sz w:val="21"/>
                      <w:szCs w:val="21"/>
                      <w:highlight w:val="none"/>
                    </w:rPr>
                    <w:t>年</w:t>
                  </w:r>
                  <w:r>
                    <w:rPr>
                      <w:rFonts w:hint="eastAsia"/>
                      <w:color w:val="auto"/>
                      <w:sz w:val="21"/>
                      <w:szCs w:val="21"/>
                      <w:highlight w:val="none"/>
                      <w:lang w:val="en-US" w:eastAsia="zh-CN"/>
                    </w:rPr>
                    <w:t>5</w:t>
                  </w:r>
                  <w:r>
                    <w:rPr>
                      <w:color w:val="auto"/>
                      <w:sz w:val="21"/>
                      <w:szCs w:val="21"/>
                      <w:highlight w:val="none"/>
                    </w:rPr>
                    <w:t>月</w:t>
                  </w:r>
                  <w:r>
                    <w:rPr>
                      <w:rFonts w:hint="eastAsia"/>
                      <w:color w:val="auto"/>
                      <w:sz w:val="21"/>
                      <w:szCs w:val="21"/>
                      <w:highlight w:val="none"/>
                      <w:lang w:val="en-US" w:eastAsia="zh-CN"/>
                    </w:rPr>
                    <w:t>25</w:t>
                  </w:r>
                  <w:r>
                    <w:rPr>
                      <w:color w:val="auto"/>
                      <w:sz w:val="21"/>
                      <w:szCs w:val="21"/>
                      <w:highlight w:val="none"/>
                    </w:rPr>
                    <w:t>日-</w:t>
                  </w:r>
                  <w:r>
                    <w:rPr>
                      <w:rFonts w:hint="eastAsia"/>
                      <w:color w:val="auto"/>
                      <w:sz w:val="21"/>
                      <w:szCs w:val="21"/>
                      <w:highlight w:val="none"/>
                      <w:lang w:val="en-US" w:eastAsia="zh-CN"/>
                    </w:rPr>
                    <w:t>6</w:t>
                  </w:r>
                  <w:r>
                    <w:rPr>
                      <w:color w:val="auto"/>
                      <w:sz w:val="21"/>
                      <w:szCs w:val="21"/>
                      <w:highlight w:val="none"/>
                    </w:rPr>
                    <w:t>月</w:t>
                  </w:r>
                  <w:r>
                    <w:rPr>
                      <w:rFonts w:hint="eastAsia"/>
                      <w:color w:val="auto"/>
                      <w:sz w:val="21"/>
                      <w:szCs w:val="21"/>
                      <w:highlight w:val="none"/>
                      <w:lang w:val="en-US" w:eastAsia="zh-CN"/>
                    </w:rPr>
                    <w:t>1</w:t>
                  </w:r>
                  <w:r>
                    <w:rPr>
                      <w:color w:val="auto"/>
                      <w:sz w:val="21"/>
                      <w:szCs w:val="21"/>
                      <w:highlight w:val="none"/>
                    </w:rPr>
                    <w:t>日连续检测7天</w:t>
                  </w:r>
                </w:p>
              </w:tc>
              <w:tc>
                <w:tcPr>
                  <w:tcW w:w="1476" w:type="dxa"/>
                  <w:vAlign w:val="center"/>
                </w:tcPr>
                <w:p w14:paraId="5079211A">
                  <w:pPr>
                    <w:widowControl/>
                    <w:spacing w:line="280" w:lineRule="exact"/>
                    <w:ind w:firstLine="0" w:firstLineChars="0"/>
                    <w:jc w:val="center"/>
                    <w:rPr>
                      <w:color w:val="auto"/>
                      <w:sz w:val="21"/>
                      <w:szCs w:val="21"/>
                      <w:highlight w:val="none"/>
                    </w:rPr>
                  </w:pPr>
                  <w:r>
                    <w:rPr>
                      <w:color w:val="auto"/>
                      <w:sz w:val="21"/>
                      <w:szCs w:val="21"/>
                      <w:highlight w:val="none"/>
                    </w:rPr>
                    <w:t>德禹</w:t>
                  </w:r>
                  <w:r>
                    <w:rPr>
                      <w:rFonts w:hint="eastAsia"/>
                      <w:color w:val="auto"/>
                      <w:sz w:val="21"/>
                      <w:szCs w:val="21"/>
                      <w:highlight w:val="none"/>
                      <w:lang w:eastAsia="zh-CN"/>
                    </w:rPr>
                    <w:t>(</w:t>
                  </w:r>
                  <w:r>
                    <w:rPr>
                      <w:color w:val="auto"/>
                      <w:sz w:val="21"/>
                      <w:szCs w:val="21"/>
                      <w:highlight w:val="none"/>
                    </w:rPr>
                    <w:t>环)字第</w:t>
                  </w:r>
                  <w:r>
                    <w:rPr>
                      <w:rFonts w:hint="eastAsia"/>
                      <w:color w:val="auto"/>
                      <w:sz w:val="21"/>
                      <w:szCs w:val="21"/>
                      <w:highlight w:val="none"/>
                      <w:lang w:val="en-US" w:eastAsia="zh-CN"/>
                    </w:rPr>
                    <w:t>202405004</w:t>
                  </w:r>
                  <w:r>
                    <w:rPr>
                      <w:color w:val="auto"/>
                      <w:sz w:val="21"/>
                      <w:szCs w:val="21"/>
                      <w:highlight w:val="none"/>
                    </w:rPr>
                    <w:t>号</w:t>
                  </w:r>
                </w:p>
              </w:tc>
            </w:tr>
          </w:tbl>
          <w:p w14:paraId="2822F234">
            <w:pPr>
              <w:ind w:firstLine="480"/>
              <w:rPr>
                <w:color w:val="auto"/>
                <w:sz w:val="21"/>
                <w:szCs w:val="21"/>
                <w:highlight w:val="none"/>
              </w:rPr>
            </w:pPr>
            <w:r>
              <w:rPr>
                <w:color w:val="auto"/>
                <w:sz w:val="21"/>
                <w:szCs w:val="21"/>
                <w:highlight w:val="none"/>
              </w:rPr>
              <w:t>大气环境质量现状监测统计结果见表</w:t>
            </w:r>
            <w:r>
              <w:rPr>
                <w:rFonts w:hint="eastAsia"/>
                <w:color w:val="auto"/>
                <w:sz w:val="21"/>
                <w:szCs w:val="21"/>
                <w:highlight w:val="none"/>
                <w:lang w:val="en-US" w:eastAsia="zh-CN"/>
              </w:rPr>
              <w:t>3-3</w:t>
            </w:r>
            <w:r>
              <w:rPr>
                <w:color w:val="auto"/>
                <w:sz w:val="21"/>
                <w:szCs w:val="21"/>
                <w:highlight w:val="none"/>
              </w:rPr>
              <w:t>。</w:t>
            </w:r>
          </w:p>
          <w:p w14:paraId="13ACB4B9">
            <w:pPr>
              <w:ind w:firstLine="0" w:firstLineChars="0"/>
              <w:jc w:val="center"/>
              <w:rPr>
                <w:b/>
                <w:bCs/>
                <w:color w:val="auto"/>
                <w:sz w:val="21"/>
                <w:szCs w:val="21"/>
                <w:highlight w:val="none"/>
              </w:rPr>
            </w:pPr>
          </w:p>
          <w:p w14:paraId="4C75EB07">
            <w:pPr>
              <w:ind w:firstLine="0" w:firstLineChars="0"/>
              <w:jc w:val="center"/>
              <w:rPr>
                <w:b/>
                <w:bCs/>
                <w:color w:val="auto"/>
                <w:sz w:val="21"/>
                <w:szCs w:val="21"/>
                <w:highlight w:val="none"/>
              </w:rPr>
            </w:pPr>
          </w:p>
          <w:p w14:paraId="5D03BCA3">
            <w:pPr>
              <w:ind w:firstLine="0" w:firstLineChars="0"/>
              <w:jc w:val="center"/>
              <w:rPr>
                <w:b/>
                <w:bCs/>
                <w:color w:val="auto"/>
                <w:sz w:val="21"/>
                <w:szCs w:val="21"/>
                <w:highlight w:val="none"/>
              </w:rPr>
            </w:pPr>
          </w:p>
          <w:p w14:paraId="41510970">
            <w:pPr>
              <w:ind w:firstLine="0" w:firstLineChars="0"/>
              <w:jc w:val="center"/>
              <w:rPr>
                <w:b/>
                <w:bCs/>
                <w:color w:val="auto"/>
                <w:sz w:val="21"/>
                <w:szCs w:val="21"/>
                <w:highlight w:val="none"/>
              </w:rPr>
            </w:pPr>
            <w:r>
              <w:rPr>
                <w:b/>
                <w:bCs/>
                <w:color w:val="auto"/>
                <w:sz w:val="21"/>
                <w:szCs w:val="21"/>
                <w:highlight w:val="none"/>
              </w:rPr>
              <w:t>表</w:t>
            </w:r>
            <w:r>
              <w:rPr>
                <w:rFonts w:hint="eastAsia"/>
                <w:b/>
                <w:bCs/>
                <w:color w:val="auto"/>
                <w:sz w:val="21"/>
                <w:szCs w:val="21"/>
                <w:highlight w:val="none"/>
                <w:lang w:val="en-US" w:eastAsia="zh-CN"/>
              </w:rPr>
              <w:t>3-3</w:t>
            </w:r>
            <w:r>
              <w:rPr>
                <w:b/>
                <w:bCs/>
                <w:color w:val="auto"/>
                <w:sz w:val="21"/>
                <w:szCs w:val="21"/>
                <w:highlight w:val="none"/>
              </w:rPr>
              <w:t xml:space="preserve">    现状监测结果统计评价表</w:t>
            </w:r>
          </w:p>
          <w:tbl>
            <w:tblPr>
              <w:tblStyle w:val="8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23"/>
              <w:gridCol w:w="983"/>
              <w:gridCol w:w="1047"/>
              <w:gridCol w:w="1166"/>
              <w:gridCol w:w="1471"/>
              <w:gridCol w:w="1161"/>
              <w:gridCol w:w="831"/>
              <w:gridCol w:w="667"/>
            </w:tblGrid>
            <w:tr w14:paraId="4FFC5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9" w:type="pct"/>
                  <w:tcBorders>
                    <w:tl2br w:val="nil"/>
                    <w:tr2bl w:val="nil"/>
                  </w:tcBorders>
                  <w:vAlign w:val="center"/>
                </w:tcPr>
                <w:p w14:paraId="70FB6CAD">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监测点名称</w:t>
                  </w:r>
                </w:p>
              </w:tc>
              <w:tc>
                <w:tcPr>
                  <w:tcW w:w="595" w:type="pct"/>
                  <w:tcBorders>
                    <w:tl2br w:val="nil"/>
                    <w:tr2bl w:val="nil"/>
                  </w:tcBorders>
                  <w:vAlign w:val="center"/>
                </w:tcPr>
                <w:p w14:paraId="0C4C2143">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污染物</w:t>
                  </w:r>
                </w:p>
              </w:tc>
              <w:tc>
                <w:tcPr>
                  <w:tcW w:w="634" w:type="pct"/>
                  <w:tcBorders>
                    <w:tl2br w:val="nil"/>
                    <w:tr2bl w:val="nil"/>
                  </w:tcBorders>
                  <w:vAlign w:val="center"/>
                </w:tcPr>
                <w:p w14:paraId="64D46A2A">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平均时间</w:t>
                  </w:r>
                </w:p>
              </w:tc>
              <w:tc>
                <w:tcPr>
                  <w:tcW w:w="706" w:type="pct"/>
                  <w:tcBorders>
                    <w:tl2br w:val="nil"/>
                    <w:tr2bl w:val="nil"/>
                  </w:tcBorders>
                  <w:vAlign w:val="center"/>
                </w:tcPr>
                <w:p w14:paraId="3C08EB36">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评价标准</w:t>
                  </w:r>
                </w:p>
                <w:p w14:paraId="2DA170E1">
                  <w:pPr>
                    <w:widowControl/>
                    <w:adjustRightInd w:val="0"/>
                    <w:snapToGrid w:val="0"/>
                    <w:spacing w:line="240" w:lineRule="exact"/>
                    <w:ind w:firstLine="0" w:firstLineChars="0"/>
                    <w:jc w:val="center"/>
                    <w:rPr>
                      <w:color w:val="auto"/>
                      <w:sz w:val="21"/>
                      <w:szCs w:val="21"/>
                      <w:highlight w:val="none"/>
                    </w:rPr>
                  </w:pPr>
                  <w:r>
                    <w:rPr>
                      <w:rFonts w:hint="eastAsia"/>
                      <w:color w:val="auto"/>
                      <w:sz w:val="21"/>
                      <w:szCs w:val="21"/>
                      <w:highlight w:val="none"/>
                      <w:lang w:eastAsia="zh-CN"/>
                    </w:rPr>
                    <w:t>(</w:t>
                  </w:r>
                  <w:r>
                    <w:rPr>
                      <w:color w:val="auto"/>
                      <w:sz w:val="21"/>
                      <w:szCs w:val="21"/>
                      <w:highlight w:val="none"/>
                    </w:rPr>
                    <w:t>mg/m³)</w:t>
                  </w:r>
                </w:p>
              </w:tc>
              <w:tc>
                <w:tcPr>
                  <w:tcW w:w="891" w:type="pct"/>
                  <w:tcBorders>
                    <w:tl2br w:val="nil"/>
                    <w:tr2bl w:val="nil"/>
                  </w:tcBorders>
                  <w:vAlign w:val="center"/>
                </w:tcPr>
                <w:p w14:paraId="1AC559DD">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浓度范围</w:t>
                  </w:r>
                </w:p>
                <w:p w14:paraId="7F7F3F6A">
                  <w:pPr>
                    <w:widowControl/>
                    <w:adjustRightInd w:val="0"/>
                    <w:snapToGrid w:val="0"/>
                    <w:spacing w:line="240" w:lineRule="exact"/>
                    <w:ind w:firstLine="0" w:firstLineChars="0"/>
                    <w:jc w:val="center"/>
                    <w:rPr>
                      <w:color w:val="auto"/>
                      <w:sz w:val="21"/>
                      <w:szCs w:val="21"/>
                      <w:highlight w:val="none"/>
                    </w:rPr>
                  </w:pPr>
                  <w:r>
                    <w:rPr>
                      <w:rFonts w:hint="eastAsia"/>
                      <w:color w:val="auto"/>
                      <w:sz w:val="21"/>
                      <w:szCs w:val="21"/>
                      <w:highlight w:val="none"/>
                      <w:lang w:eastAsia="zh-CN"/>
                    </w:rPr>
                    <w:t>(</w:t>
                  </w:r>
                  <w:r>
                    <w:rPr>
                      <w:color w:val="auto"/>
                      <w:sz w:val="21"/>
                      <w:szCs w:val="21"/>
                      <w:highlight w:val="none"/>
                    </w:rPr>
                    <w:t>μg/m³)</w:t>
                  </w:r>
                </w:p>
              </w:tc>
              <w:tc>
                <w:tcPr>
                  <w:tcW w:w="703" w:type="pct"/>
                  <w:tcBorders>
                    <w:tl2br w:val="nil"/>
                    <w:tr2bl w:val="nil"/>
                  </w:tcBorders>
                  <w:vAlign w:val="center"/>
                </w:tcPr>
                <w:p w14:paraId="4CED23CB">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最大浓度占标率%</w:t>
                  </w:r>
                </w:p>
              </w:tc>
              <w:tc>
                <w:tcPr>
                  <w:tcW w:w="503" w:type="pct"/>
                  <w:tcBorders>
                    <w:tl2br w:val="nil"/>
                    <w:tr2bl w:val="nil"/>
                  </w:tcBorders>
                  <w:vAlign w:val="center"/>
                </w:tcPr>
                <w:p w14:paraId="6C3FF1BE">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超标率％</w:t>
                  </w:r>
                </w:p>
              </w:tc>
              <w:tc>
                <w:tcPr>
                  <w:tcW w:w="404" w:type="pct"/>
                  <w:tcBorders>
                    <w:tl2br w:val="nil"/>
                    <w:tr2bl w:val="nil"/>
                  </w:tcBorders>
                  <w:vAlign w:val="center"/>
                </w:tcPr>
                <w:p w14:paraId="5657C8F8">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达标情况</w:t>
                  </w:r>
                </w:p>
              </w:tc>
            </w:tr>
            <w:tr w14:paraId="74201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9" w:type="pct"/>
                  <w:tcBorders>
                    <w:tl2br w:val="nil"/>
                    <w:tr2bl w:val="nil"/>
                  </w:tcBorders>
                  <w:vAlign w:val="center"/>
                </w:tcPr>
                <w:p w14:paraId="0C27F6B0">
                  <w:pPr>
                    <w:widowControl/>
                    <w:adjustRightInd w:val="0"/>
                    <w:snapToGrid w:val="0"/>
                    <w:spacing w:line="240" w:lineRule="exact"/>
                    <w:ind w:firstLine="0" w:firstLineChars="0"/>
                    <w:jc w:val="center"/>
                    <w:rPr>
                      <w:color w:val="auto"/>
                      <w:sz w:val="21"/>
                      <w:szCs w:val="21"/>
                      <w:highlight w:val="none"/>
                    </w:rPr>
                  </w:pPr>
                  <w:r>
                    <w:rPr>
                      <w:rFonts w:hint="eastAsia"/>
                      <w:color w:val="auto"/>
                      <w:sz w:val="21"/>
                      <w:szCs w:val="21"/>
                      <w:highlight w:val="none"/>
                    </w:rPr>
                    <w:t>曹庄子村</w:t>
                  </w:r>
                </w:p>
              </w:tc>
              <w:tc>
                <w:tcPr>
                  <w:tcW w:w="595" w:type="pct"/>
                  <w:tcBorders>
                    <w:tl2br w:val="nil"/>
                    <w:tr2bl w:val="nil"/>
                  </w:tcBorders>
                  <w:vAlign w:val="center"/>
                </w:tcPr>
                <w:p w14:paraId="5EBE6946">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TSP</w:t>
                  </w:r>
                </w:p>
              </w:tc>
              <w:tc>
                <w:tcPr>
                  <w:tcW w:w="634" w:type="pct"/>
                  <w:tcBorders>
                    <w:tl2br w:val="nil"/>
                    <w:tr2bl w:val="nil"/>
                  </w:tcBorders>
                  <w:vAlign w:val="center"/>
                </w:tcPr>
                <w:p w14:paraId="677A8630">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日平均</w:t>
                  </w:r>
                </w:p>
              </w:tc>
              <w:tc>
                <w:tcPr>
                  <w:tcW w:w="706" w:type="pct"/>
                  <w:tcBorders>
                    <w:tl2br w:val="nil"/>
                    <w:tr2bl w:val="nil"/>
                  </w:tcBorders>
                  <w:vAlign w:val="center"/>
                </w:tcPr>
                <w:p w14:paraId="2DC5CCD6">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0.3</w:t>
                  </w:r>
                </w:p>
              </w:tc>
              <w:tc>
                <w:tcPr>
                  <w:tcW w:w="891" w:type="pct"/>
                  <w:tcBorders>
                    <w:tl2br w:val="nil"/>
                    <w:tr2bl w:val="nil"/>
                  </w:tcBorders>
                  <w:vAlign w:val="center"/>
                </w:tcPr>
                <w:p w14:paraId="28354673">
                  <w:pPr>
                    <w:widowControl/>
                    <w:adjustRightInd w:val="0"/>
                    <w:snapToGrid w:val="0"/>
                    <w:spacing w:line="240" w:lineRule="exact"/>
                    <w:ind w:firstLine="0" w:firstLineChars="0"/>
                    <w:jc w:val="center"/>
                    <w:rPr>
                      <w:color w:val="auto"/>
                      <w:sz w:val="21"/>
                      <w:szCs w:val="21"/>
                      <w:highlight w:val="none"/>
                    </w:rPr>
                  </w:pPr>
                  <w:r>
                    <w:rPr>
                      <w:rFonts w:hint="eastAsia"/>
                      <w:color w:val="auto"/>
                      <w:sz w:val="21"/>
                      <w:szCs w:val="21"/>
                      <w:highlight w:val="none"/>
                    </w:rPr>
                    <w:t>126-205</w:t>
                  </w:r>
                </w:p>
              </w:tc>
              <w:tc>
                <w:tcPr>
                  <w:tcW w:w="703" w:type="pct"/>
                  <w:tcBorders>
                    <w:tl2br w:val="nil"/>
                    <w:tr2bl w:val="nil"/>
                  </w:tcBorders>
                  <w:vAlign w:val="center"/>
                </w:tcPr>
                <w:p w14:paraId="42EADC28">
                  <w:pPr>
                    <w:widowControl/>
                    <w:adjustRightInd w:val="0"/>
                    <w:snapToGrid w:val="0"/>
                    <w:spacing w:line="240" w:lineRule="exact"/>
                    <w:ind w:firstLine="0" w:firstLineChars="0"/>
                    <w:jc w:val="center"/>
                    <w:rPr>
                      <w:color w:val="auto"/>
                      <w:sz w:val="21"/>
                      <w:szCs w:val="21"/>
                      <w:highlight w:val="none"/>
                    </w:rPr>
                  </w:pPr>
                  <w:r>
                    <w:rPr>
                      <w:rFonts w:hint="eastAsia"/>
                      <w:color w:val="auto"/>
                      <w:sz w:val="21"/>
                      <w:szCs w:val="21"/>
                      <w:highlight w:val="none"/>
                    </w:rPr>
                    <w:t>68.33</w:t>
                  </w:r>
                </w:p>
              </w:tc>
              <w:tc>
                <w:tcPr>
                  <w:tcW w:w="503" w:type="pct"/>
                  <w:tcBorders>
                    <w:tl2br w:val="nil"/>
                    <w:tr2bl w:val="nil"/>
                  </w:tcBorders>
                  <w:vAlign w:val="center"/>
                </w:tcPr>
                <w:p w14:paraId="346A9BBC">
                  <w:pPr>
                    <w:widowControl/>
                    <w:adjustRightInd w:val="0"/>
                    <w:snapToGrid w:val="0"/>
                    <w:spacing w:line="240" w:lineRule="exact"/>
                    <w:ind w:firstLine="0" w:firstLineChars="0"/>
                    <w:jc w:val="center"/>
                    <w:rPr>
                      <w:color w:val="auto"/>
                      <w:sz w:val="21"/>
                      <w:szCs w:val="21"/>
                      <w:highlight w:val="none"/>
                    </w:rPr>
                  </w:pPr>
                  <w:r>
                    <w:rPr>
                      <w:color w:val="auto"/>
                      <w:sz w:val="21"/>
                      <w:szCs w:val="21"/>
                      <w:highlight w:val="none"/>
                    </w:rPr>
                    <w:t>0</w:t>
                  </w:r>
                </w:p>
              </w:tc>
              <w:tc>
                <w:tcPr>
                  <w:tcW w:w="404" w:type="pct"/>
                  <w:tcBorders>
                    <w:tl2br w:val="nil"/>
                    <w:tr2bl w:val="nil"/>
                  </w:tcBorders>
                  <w:vAlign w:val="center"/>
                </w:tcPr>
                <w:p w14:paraId="3BB820C2">
                  <w:pPr>
                    <w:widowControl/>
                    <w:adjustRightInd w:val="0"/>
                    <w:snapToGrid w:val="0"/>
                    <w:spacing w:line="240" w:lineRule="exact"/>
                    <w:ind w:firstLine="0" w:firstLineChars="0"/>
                    <w:jc w:val="center"/>
                    <w:rPr>
                      <w:color w:val="auto"/>
                      <w:sz w:val="21"/>
                      <w:szCs w:val="21"/>
                      <w:highlight w:val="none"/>
                    </w:rPr>
                  </w:pPr>
                  <w:r>
                    <w:rPr>
                      <w:rFonts w:hint="eastAsia"/>
                      <w:color w:val="auto"/>
                      <w:sz w:val="21"/>
                      <w:szCs w:val="21"/>
                      <w:highlight w:val="none"/>
                    </w:rPr>
                    <w:t>达标</w:t>
                  </w:r>
                </w:p>
              </w:tc>
            </w:tr>
          </w:tbl>
          <w:p w14:paraId="65477A3A">
            <w:pPr>
              <w:ind w:firstLine="480"/>
              <w:jc w:val="both"/>
              <w:rPr>
                <w:color w:val="auto"/>
                <w:sz w:val="21"/>
                <w:szCs w:val="21"/>
                <w:highlight w:val="none"/>
              </w:rPr>
            </w:pPr>
            <w:r>
              <w:rPr>
                <w:rFonts w:hint="eastAsia"/>
                <w:color w:val="auto"/>
                <w:sz w:val="21"/>
                <w:szCs w:val="21"/>
                <w:highlight w:val="none"/>
              </w:rPr>
              <w:t>由分析结果可知，TSP24 小时平均浓度最大浓度占标率为 68.33%，满足《环境空气质量标准》(GB3095-20</w:t>
            </w:r>
            <w:r>
              <w:rPr>
                <w:rFonts w:hint="eastAsia"/>
                <w:color w:val="auto"/>
                <w:sz w:val="21"/>
                <w:szCs w:val="21"/>
                <w:highlight w:val="none"/>
                <w:lang w:val="en-US" w:eastAsia="zh-CN"/>
              </w:rPr>
              <w:t>26</w:t>
            </w:r>
            <w:r>
              <w:rPr>
                <w:rFonts w:hint="eastAsia"/>
                <w:color w:val="auto"/>
                <w:sz w:val="21"/>
                <w:szCs w:val="21"/>
                <w:highlight w:val="none"/>
              </w:rPr>
              <w:t>)二级标准要求。</w:t>
            </w:r>
          </w:p>
          <w:p w14:paraId="663CBF1D">
            <w:pPr>
              <w:keepNext w:val="0"/>
              <w:keepLines w:val="0"/>
              <w:widowControl/>
              <w:suppressLineNumbers w:val="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2、声环境</w:t>
            </w:r>
          </w:p>
          <w:p w14:paraId="42D6E2B4">
            <w:pPr>
              <w:keepNext w:val="0"/>
              <w:keepLines w:val="0"/>
              <w:widowControl/>
              <w:suppressLineNumbers w:val="0"/>
              <w:jc w:val="left"/>
              <w:rPr>
                <w:rFonts w:hint="eastAsia"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rPr>
              <w:t>根据《建设项目环境影响报告表编制技术指南(污染影响类)》，厂界外周边50米范围内存在声环境保护目标的建设项目，</w:t>
            </w:r>
            <w:r>
              <w:rPr>
                <w:rFonts w:hint="eastAsia" w:ascii="Times New Roman" w:hAnsi="Times New Roman" w:cs="Times New Roman"/>
                <w:color w:val="auto"/>
                <w:sz w:val="21"/>
                <w:szCs w:val="21"/>
                <w:highlight w:val="none"/>
                <w:lang w:val="en-US" w:eastAsia="zh-CN"/>
              </w:rPr>
              <w:t>应监测保护目标声环境质量现状并评价达标情况。</w:t>
            </w:r>
            <w:r>
              <w:rPr>
                <w:rFonts w:hint="eastAsia" w:cs="Times New Roman"/>
                <w:color w:val="auto"/>
                <w:sz w:val="21"/>
                <w:szCs w:val="21"/>
                <w:highlight w:val="none"/>
                <w:lang w:val="en-US" w:eastAsia="zh-CN"/>
              </w:rPr>
              <w:t>项目声环境保护目标的数据引用</w:t>
            </w:r>
            <w:r>
              <w:rPr>
                <w:rFonts w:hint="default" w:ascii="Times New Roman" w:hAnsi="Times New Roman" w:eastAsia="宋体" w:cs="Times New Roman"/>
                <w:color w:val="auto"/>
                <w:sz w:val="21"/>
                <w:szCs w:val="21"/>
                <w:highlight w:val="none"/>
                <w:lang w:val="en-US" w:eastAsia="zh-CN"/>
              </w:rPr>
              <w:t>松汀公司自行监测报告</w:t>
            </w:r>
            <w:r>
              <w:rPr>
                <w:rFonts w:hint="eastAsia" w:cs="Times New Roman"/>
                <w:color w:val="auto"/>
                <w:sz w:val="21"/>
                <w:szCs w:val="21"/>
                <w:highlight w:val="none"/>
                <w:lang w:val="en-US" w:eastAsia="zh-CN"/>
              </w:rPr>
              <w:t>DYJC自行监测[2025]003-2，监测时间为2025年4月14日</w:t>
            </w:r>
            <w:r>
              <w:rPr>
                <w:rFonts w:hint="eastAsia" w:ascii="Times New Roman" w:hAnsi="Times New Roman" w:cs="Times New Roman"/>
                <w:color w:val="auto"/>
                <w:sz w:val="21"/>
                <w:szCs w:val="21"/>
                <w:highlight w:val="none"/>
                <w:lang w:val="en-US" w:eastAsia="zh-CN"/>
              </w:rPr>
              <w:t>。</w:t>
            </w:r>
          </w:p>
          <w:p w14:paraId="3F966200">
            <w:pPr>
              <w:pStyle w:val="2"/>
              <w:ind w:firstLine="0" w:firstLineChars="0"/>
              <w:jc w:val="center"/>
              <w:rPr>
                <w:b/>
                <w:bCs/>
                <w:color w:val="auto"/>
              </w:rPr>
            </w:pPr>
            <w:bookmarkStart w:id="29" w:name="_Ref109138207"/>
            <w:r>
              <w:rPr>
                <w:rFonts w:hint="eastAsia"/>
                <w:b/>
                <w:bCs/>
                <w:color w:val="auto"/>
              </w:rPr>
              <w:t>表</w:t>
            </w:r>
            <w:bookmarkEnd w:id="29"/>
            <w:r>
              <w:rPr>
                <w:rFonts w:hint="eastAsia"/>
                <w:b/>
                <w:bCs/>
                <w:color w:val="auto"/>
              </w:rPr>
              <w:t>3-</w:t>
            </w:r>
            <w:r>
              <w:rPr>
                <w:rFonts w:hint="eastAsia"/>
                <w:b/>
                <w:bCs/>
                <w:color w:val="auto"/>
                <w:lang w:val="en-US" w:eastAsia="zh-CN"/>
              </w:rPr>
              <w:t>4</w:t>
            </w:r>
            <w:r>
              <w:rPr>
                <w:rFonts w:hint="eastAsia"/>
                <w:b/>
                <w:bCs/>
                <w:color w:val="auto"/>
              </w:rPr>
              <w:t xml:space="preserve">  声环境现状监测结果及评价结果 </w:t>
            </w:r>
            <w:r>
              <w:rPr>
                <w:b/>
                <w:bCs/>
                <w:color w:val="auto"/>
              </w:rPr>
              <w:t xml:space="preserve">     单位：</w:t>
            </w:r>
            <w:r>
              <w:rPr>
                <w:rFonts w:hint="eastAsia"/>
                <w:b/>
                <w:bCs/>
                <w:color w:val="auto"/>
              </w:rPr>
              <w:t>d</w:t>
            </w:r>
            <w:r>
              <w:rPr>
                <w:b/>
                <w:bCs/>
                <w:color w:val="auto"/>
              </w:rPr>
              <w:t>B(A)</w:t>
            </w:r>
          </w:p>
          <w:tbl>
            <w:tblPr>
              <w:tblStyle w:val="8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88"/>
              <w:gridCol w:w="1284"/>
              <w:gridCol w:w="1100"/>
              <w:gridCol w:w="1028"/>
              <w:gridCol w:w="959"/>
              <w:gridCol w:w="1490"/>
            </w:tblGrid>
            <w:tr w14:paraId="3DA11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448" w:type="pct"/>
                  <w:vMerge w:val="restart"/>
                  <w:noWrap w:val="0"/>
                  <w:vAlign w:val="center"/>
                </w:tcPr>
                <w:p w14:paraId="5EBB1760">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r>
                    <w:rPr>
                      <w:rFonts w:hint="default" w:ascii="Times New Roman" w:hAnsi="Times New Roman" w:cs="Times New Roman"/>
                      <w:color w:val="auto"/>
                    </w:rPr>
                    <w:t>监测点</w:t>
                  </w:r>
                </w:p>
              </w:tc>
              <w:tc>
                <w:tcPr>
                  <w:tcW w:w="3551" w:type="pct"/>
                  <w:gridSpan w:val="5"/>
                  <w:noWrap w:val="0"/>
                  <w:vAlign w:val="center"/>
                </w:tcPr>
                <w:p w14:paraId="0D16E625">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r>
                    <w:rPr>
                      <w:rFonts w:hint="default" w:ascii="Times New Roman" w:hAnsi="Times New Roman" w:cs="Times New Roman"/>
                      <w:color w:val="auto"/>
                    </w:rPr>
                    <w:t>昼间</w:t>
                  </w:r>
                </w:p>
              </w:tc>
            </w:tr>
            <w:tr w14:paraId="161FC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 w:hRule="atLeast"/>
                <w:tblHeader/>
                <w:jc w:val="center"/>
              </w:trPr>
              <w:tc>
                <w:tcPr>
                  <w:tcW w:w="1448" w:type="pct"/>
                  <w:vMerge w:val="continue"/>
                  <w:noWrap w:val="0"/>
                  <w:vAlign w:val="center"/>
                </w:tcPr>
                <w:p w14:paraId="285CF03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p>
              </w:tc>
              <w:tc>
                <w:tcPr>
                  <w:tcW w:w="1445" w:type="pct"/>
                  <w:gridSpan w:val="2"/>
                  <w:noWrap w:val="0"/>
                  <w:vAlign w:val="center"/>
                </w:tcPr>
                <w:p w14:paraId="413E8C6E">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jc w:val="center"/>
                    <w:textAlignment w:val="auto"/>
                    <w:rPr>
                      <w:rFonts w:hint="default" w:ascii="Times New Roman" w:hAnsi="Times New Roman" w:cs="Times New Roman"/>
                      <w:color w:val="auto"/>
                    </w:rPr>
                  </w:pPr>
                  <w:r>
                    <w:rPr>
                      <w:rFonts w:hint="default" w:ascii="Times New Roman" w:hAnsi="Times New Roman" w:cs="Times New Roman"/>
                      <w:color w:val="auto"/>
                    </w:rPr>
                    <w:t>监测值</w:t>
                  </w:r>
                </w:p>
              </w:tc>
              <w:tc>
                <w:tcPr>
                  <w:tcW w:w="1204" w:type="pct"/>
                  <w:gridSpan w:val="2"/>
                  <w:noWrap w:val="0"/>
                  <w:vAlign w:val="center"/>
                </w:tcPr>
                <w:p w14:paraId="7D871AD3">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r>
                    <w:rPr>
                      <w:rFonts w:hint="default" w:ascii="Times New Roman" w:hAnsi="Times New Roman" w:cs="Times New Roman"/>
                      <w:color w:val="auto"/>
                    </w:rPr>
                    <w:t>标准值</w:t>
                  </w:r>
                </w:p>
              </w:tc>
              <w:tc>
                <w:tcPr>
                  <w:tcW w:w="901" w:type="pct"/>
                  <w:vMerge w:val="restart"/>
                  <w:noWrap w:val="0"/>
                  <w:vAlign w:val="center"/>
                </w:tcPr>
                <w:p w14:paraId="142666A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r>
                    <w:rPr>
                      <w:rFonts w:hint="default" w:ascii="Times New Roman" w:hAnsi="Times New Roman" w:cs="Times New Roman"/>
                      <w:color w:val="auto"/>
                    </w:rPr>
                    <w:t>是否达标</w:t>
                  </w:r>
                </w:p>
              </w:tc>
            </w:tr>
            <w:tr w14:paraId="10CF1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1448" w:type="pct"/>
                  <w:vMerge w:val="continue"/>
                  <w:noWrap w:val="0"/>
                  <w:vAlign w:val="center"/>
                </w:tcPr>
                <w:p w14:paraId="570B5085">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p>
              </w:tc>
              <w:tc>
                <w:tcPr>
                  <w:tcW w:w="778" w:type="pct"/>
                  <w:noWrap w:val="0"/>
                  <w:vAlign w:val="center"/>
                </w:tcPr>
                <w:p w14:paraId="7A17918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昼间</w:t>
                  </w:r>
                </w:p>
              </w:tc>
              <w:tc>
                <w:tcPr>
                  <w:tcW w:w="667" w:type="pct"/>
                  <w:noWrap w:val="0"/>
                  <w:vAlign w:val="center"/>
                </w:tcPr>
                <w:p w14:paraId="74592F6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夜间</w:t>
                  </w:r>
                </w:p>
              </w:tc>
              <w:tc>
                <w:tcPr>
                  <w:tcW w:w="623" w:type="pct"/>
                  <w:noWrap w:val="0"/>
                  <w:vAlign w:val="center"/>
                </w:tcPr>
                <w:p w14:paraId="76B99EE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昼间</w:t>
                  </w:r>
                </w:p>
              </w:tc>
              <w:tc>
                <w:tcPr>
                  <w:tcW w:w="580" w:type="pct"/>
                  <w:noWrap w:val="0"/>
                  <w:vAlign w:val="center"/>
                </w:tcPr>
                <w:p w14:paraId="786213B9">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夜间</w:t>
                  </w:r>
                </w:p>
              </w:tc>
              <w:tc>
                <w:tcPr>
                  <w:tcW w:w="901" w:type="pct"/>
                  <w:vMerge w:val="continue"/>
                  <w:noWrap w:val="0"/>
                  <w:vAlign w:val="center"/>
                </w:tcPr>
                <w:p w14:paraId="09E06AB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p>
              </w:tc>
            </w:tr>
            <w:tr w14:paraId="15484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48" w:type="pct"/>
                  <w:noWrap w:val="0"/>
                  <w:vAlign w:val="center"/>
                </w:tcPr>
                <w:p w14:paraId="3649F2C9">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eastAsia="宋体" w:cs="Times New Roman"/>
                      <w:color w:val="auto"/>
                      <w:lang w:eastAsia="zh-CN"/>
                    </w:rPr>
                  </w:pPr>
                  <w:r>
                    <w:rPr>
                      <w:rFonts w:hint="default" w:ascii="Times New Roman" w:hAnsi="Times New Roman" w:cs="Times New Roman"/>
                      <w:color w:val="auto"/>
                      <w:lang w:val="en-US" w:eastAsia="zh-CN"/>
                    </w:rPr>
                    <w:t>木厂口村</w:t>
                  </w:r>
                </w:p>
              </w:tc>
              <w:tc>
                <w:tcPr>
                  <w:tcW w:w="778" w:type="pct"/>
                  <w:noWrap w:val="0"/>
                  <w:vAlign w:val="center"/>
                </w:tcPr>
                <w:p w14:paraId="3843E777">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51</w:t>
                  </w:r>
                </w:p>
              </w:tc>
              <w:tc>
                <w:tcPr>
                  <w:tcW w:w="667" w:type="pct"/>
                  <w:noWrap w:val="0"/>
                  <w:vAlign w:val="center"/>
                </w:tcPr>
                <w:p w14:paraId="0A468DE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49</w:t>
                  </w:r>
                </w:p>
              </w:tc>
              <w:tc>
                <w:tcPr>
                  <w:tcW w:w="623" w:type="pct"/>
                  <w:noWrap w:val="0"/>
                  <w:vAlign w:val="center"/>
                </w:tcPr>
                <w:p w14:paraId="2F2EE119">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eastAsia="宋体" w:cs="Times New Roman"/>
                      <w:color w:val="auto"/>
                      <w:lang w:val="en-US" w:eastAsia="zh-CN"/>
                    </w:rPr>
                  </w:pPr>
                  <w:r>
                    <w:rPr>
                      <w:rFonts w:hint="default" w:ascii="Times New Roman" w:hAnsi="Times New Roman" w:cs="Times New Roman"/>
                      <w:color w:val="auto"/>
                      <w:lang w:val="en-US" w:eastAsia="zh-CN"/>
                    </w:rPr>
                    <w:t>60</w:t>
                  </w:r>
                </w:p>
              </w:tc>
              <w:tc>
                <w:tcPr>
                  <w:tcW w:w="580" w:type="pct"/>
                  <w:noWrap w:val="0"/>
                  <w:vAlign w:val="center"/>
                </w:tcPr>
                <w:p w14:paraId="38844DDC">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50</w:t>
                  </w:r>
                </w:p>
              </w:tc>
              <w:tc>
                <w:tcPr>
                  <w:tcW w:w="901" w:type="pct"/>
                  <w:noWrap w:val="0"/>
                  <w:vAlign w:val="center"/>
                </w:tcPr>
                <w:p w14:paraId="2B9266F9">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r>
                    <w:rPr>
                      <w:rFonts w:hint="default" w:ascii="Times New Roman" w:hAnsi="Times New Roman" w:cs="Times New Roman"/>
                      <w:color w:val="auto"/>
                    </w:rPr>
                    <w:t>达标</w:t>
                  </w:r>
                </w:p>
              </w:tc>
            </w:tr>
            <w:tr w14:paraId="5C4EA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48" w:type="pct"/>
                  <w:noWrap w:val="0"/>
                  <w:vAlign w:val="center"/>
                </w:tcPr>
                <w:p w14:paraId="1C8DB163">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eastAsia="宋体" w:cs="Times New Roman"/>
                      <w:color w:val="auto"/>
                      <w:lang w:val="en-US" w:eastAsia="zh-CN"/>
                    </w:rPr>
                  </w:pPr>
                  <w:r>
                    <w:rPr>
                      <w:rFonts w:hint="default" w:ascii="Times New Roman" w:hAnsi="Times New Roman" w:cs="Times New Roman"/>
                      <w:color w:val="auto"/>
                      <w:lang w:val="en-US" w:eastAsia="zh-CN"/>
                    </w:rPr>
                    <w:t>曹庄子村</w:t>
                  </w:r>
                </w:p>
              </w:tc>
              <w:tc>
                <w:tcPr>
                  <w:tcW w:w="778" w:type="pct"/>
                  <w:noWrap w:val="0"/>
                  <w:vAlign w:val="center"/>
                </w:tcPr>
                <w:p w14:paraId="038862BF">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55</w:t>
                  </w:r>
                </w:p>
              </w:tc>
              <w:tc>
                <w:tcPr>
                  <w:tcW w:w="667" w:type="pct"/>
                  <w:noWrap w:val="0"/>
                  <w:vAlign w:val="center"/>
                </w:tcPr>
                <w:p w14:paraId="0FBC2D10">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48</w:t>
                  </w:r>
                </w:p>
              </w:tc>
              <w:tc>
                <w:tcPr>
                  <w:tcW w:w="623" w:type="pct"/>
                  <w:noWrap w:val="0"/>
                  <w:vAlign w:val="center"/>
                </w:tcPr>
                <w:p w14:paraId="41744B7A">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eastAsia="宋体" w:cs="Times New Roman"/>
                      <w:color w:val="auto"/>
                      <w:lang w:val="en-US" w:eastAsia="zh-CN"/>
                    </w:rPr>
                  </w:pPr>
                  <w:r>
                    <w:rPr>
                      <w:rFonts w:hint="default" w:ascii="Times New Roman" w:hAnsi="Times New Roman" w:cs="Times New Roman"/>
                      <w:color w:val="auto"/>
                      <w:lang w:val="en-US" w:eastAsia="zh-CN"/>
                    </w:rPr>
                    <w:t>60</w:t>
                  </w:r>
                </w:p>
              </w:tc>
              <w:tc>
                <w:tcPr>
                  <w:tcW w:w="580" w:type="pct"/>
                  <w:noWrap w:val="0"/>
                  <w:vAlign w:val="center"/>
                </w:tcPr>
                <w:p w14:paraId="69666ED2">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50</w:t>
                  </w:r>
                </w:p>
              </w:tc>
              <w:tc>
                <w:tcPr>
                  <w:tcW w:w="901" w:type="pct"/>
                  <w:noWrap w:val="0"/>
                  <w:vAlign w:val="center"/>
                </w:tcPr>
                <w:p w14:paraId="66A22965">
                  <w:pPr>
                    <w:pStyle w:val="135"/>
                    <w:keepNext w:val="0"/>
                    <w:keepLines w:val="0"/>
                    <w:pageBreakBefore w:val="0"/>
                    <w:widowControl/>
                    <w:kinsoku/>
                    <w:wordWrap/>
                    <w:overflowPunct/>
                    <w:topLinePunct w:val="0"/>
                    <w:autoSpaceDE w:val="0"/>
                    <w:autoSpaceDN w:val="0"/>
                    <w:bidi w:val="0"/>
                    <w:adjustRightInd w:val="0"/>
                    <w:snapToGrid w:val="0"/>
                    <w:spacing w:beforeLines="0" w:afterLines="0" w:line="280" w:lineRule="exact"/>
                    <w:ind w:firstLine="0" w:firstLineChars="0"/>
                    <w:textAlignment w:val="auto"/>
                    <w:rPr>
                      <w:rFonts w:hint="default" w:ascii="Times New Roman" w:hAnsi="Times New Roman" w:cs="Times New Roman"/>
                      <w:color w:val="auto"/>
                    </w:rPr>
                  </w:pPr>
                  <w:r>
                    <w:rPr>
                      <w:rFonts w:hint="default" w:ascii="Times New Roman" w:hAnsi="Times New Roman" w:cs="Times New Roman"/>
                      <w:color w:val="auto"/>
                    </w:rPr>
                    <w:t>达标</w:t>
                  </w:r>
                </w:p>
              </w:tc>
            </w:tr>
          </w:tbl>
          <w:p w14:paraId="0FA60A04">
            <w:pPr>
              <w:pStyle w:val="2"/>
              <w:rPr>
                <w:rFonts w:hint="eastAsia"/>
                <w:color w:val="auto"/>
              </w:rPr>
            </w:pPr>
            <w:r>
              <w:rPr>
                <w:rFonts w:hint="eastAsia"/>
                <w:color w:val="auto"/>
              </w:rPr>
              <w:t>根据统计分析</w:t>
            </w:r>
            <w:r>
              <w:rPr>
                <w:color w:val="auto"/>
              </w:rPr>
              <w:t>，</w:t>
            </w:r>
            <w:r>
              <w:rPr>
                <w:rFonts w:hint="eastAsia"/>
                <w:color w:val="auto"/>
              </w:rPr>
              <w:t>敏感点</w:t>
            </w:r>
            <w:r>
              <w:rPr>
                <w:rFonts w:hint="eastAsia"/>
                <w:color w:val="auto"/>
                <w:lang w:val="en-US" w:eastAsia="zh-CN"/>
              </w:rPr>
              <w:t>木厂口村、曹庄子村</w:t>
            </w:r>
            <w:r>
              <w:rPr>
                <w:rFonts w:hint="eastAsia"/>
                <w:color w:val="auto"/>
              </w:rPr>
              <w:t>声环境满足《声环境质量标准》(GB3096-2008)2类标准，区域声环境质量较好。</w:t>
            </w:r>
          </w:p>
          <w:p w14:paraId="1EF6C47A">
            <w:pPr>
              <w:ind w:firstLine="42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3、地下水、土壤</w:t>
            </w:r>
          </w:p>
          <w:p w14:paraId="6C0ED757">
            <w:pPr>
              <w:ind w:firstLine="480"/>
              <w:rPr>
                <w:color w:val="auto"/>
                <w:sz w:val="21"/>
                <w:szCs w:val="21"/>
                <w:highlight w:val="none"/>
              </w:rPr>
            </w:pPr>
            <w:r>
              <w:rPr>
                <w:rFonts w:hint="eastAsia"/>
                <w:color w:val="auto"/>
                <w:sz w:val="21"/>
                <w:szCs w:val="21"/>
                <w:highlight w:val="none"/>
                <w:lang w:val="en-US" w:eastAsia="zh-CN"/>
              </w:rPr>
              <w:t>根据《建设项目环境影响报告表编制技术指南》(污染影响类)中有关规定，地下水、土壤环境原则上不开展环境质量现状监测。本项目生产过程产生的废气不涉及重金属，不会造成大气污染物沉降对土壤环境产生不良影响；项目洗车废水沉淀后循环使用，不外排，不新增生活污水，不会对土壤和地下水产生不良影响。因此，本项目不开展土壤和地下水现状监测。</w:t>
            </w:r>
          </w:p>
          <w:p w14:paraId="1FDC82FC">
            <w:pPr>
              <w:ind w:firstLine="480"/>
              <w:rPr>
                <w:rFonts w:hint="eastAsia"/>
                <w:color w:val="auto"/>
                <w:sz w:val="21"/>
                <w:szCs w:val="21"/>
                <w:highlight w:val="none"/>
                <w:lang w:val="en-US" w:eastAsia="zh-CN"/>
              </w:rPr>
            </w:pPr>
            <w:r>
              <w:rPr>
                <w:rFonts w:hint="eastAsia"/>
                <w:color w:val="auto"/>
                <w:sz w:val="21"/>
                <w:szCs w:val="21"/>
                <w:highlight w:val="none"/>
                <w:lang w:val="en-US" w:eastAsia="zh-CN"/>
              </w:rPr>
              <w:t>4、生态环境</w:t>
            </w:r>
          </w:p>
          <w:p w14:paraId="21C52BC2">
            <w:pPr>
              <w:ind w:firstLine="480"/>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拟建项目占地为</w:t>
            </w:r>
            <w:r>
              <w:rPr>
                <w:rFonts w:hint="default"/>
                <w:color w:val="auto"/>
                <w:sz w:val="21"/>
                <w:szCs w:val="21"/>
                <w:highlight w:val="none"/>
                <w:lang w:val="en-US" w:eastAsia="zh-CN"/>
              </w:rPr>
              <w:t>建设用地，影响区域内无自然保护区、自然遗产地、风景名胜区、珍稀濒危野生动植物天然集中分布区、重要湿地等生态环境保护目标，无需进行生态现状调查。</w:t>
            </w:r>
          </w:p>
        </w:tc>
      </w:tr>
      <w:tr w14:paraId="03D3FA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81" w:type="dxa"/>
            <w:vAlign w:val="center"/>
          </w:tcPr>
          <w:p w14:paraId="5BFA5C34">
            <w:pPr>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环境保护目标</w:t>
            </w:r>
          </w:p>
        </w:tc>
        <w:tc>
          <w:tcPr>
            <w:tcW w:w="8478" w:type="dxa"/>
          </w:tcPr>
          <w:p w14:paraId="19563822">
            <w:pPr>
              <w:keepNext w:val="0"/>
              <w:keepLines w:val="0"/>
              <w:pageBreakBefore w:val="0"/>
              <w:widowControl/>
              <w:numPr>
                <w:ilvl w:val="0"/>
                <w:numId w:val="0"/>
              </w:numPr>
              <w:kinsoku/>
              <w:wordWrap/>
              <w:overflowPunct/>
              <w:topLinePunct w:val="0"/>
              <w:autoSpaceDE w:val="0"/>
              <w:autoSpaceDN w:val="0"/>
              <w:bidi w:val="0"/>
              <w:adjustRightInd w:val="0"/>
              <w:snapToGrid w:val="0"/>
              <w:ind w:firstLine="420" w:firstLineChars="200"/>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1、</w:t>
            </w:r>
            <w:r>
              <w:rPr>
                <w:rFonts w:hint="default" w:ascii="Times New Roman" w:hAnsi="Times New Roman" w:cs="Times New Roman"/>
                <w:color w:val="auto"/>
                <w:sz w:val="21"/>
                <w:szCs w:val="21"/>
              </w:rPr>
              <w:t>大气环境：本项目位于</w:t>
            </w:r>
            <w:r>
              <w:rPr>
                <w:rFonts w:hint="default" w:ascii="Times New Roman" w:hAnsi="Times New Roman" w:cs="Times New Roman"/>
                <w:color w:val="auto"/>
                <w:sz w:val="21"/>
                <w:szCs w:val="21"/>
                <w:highlight w:val="none"/>
                <w:lang w:val="en-US" w:eastAsia="zh-CN"/>
              </w:rPr>
              <w:t>河北迁安经济开发区，公司现有厂区内，</w:t>
            </w:r>
            <w:r>
              <w:rPr>
                <w:rFonts w:hint="default" w:ascii="Times New Roman" w:hAnsi="Times New Roman" w:cs="Times New Roman"/>
                <w:color w:val="auto"/>
                <w:sz w:val="21"/>
                <w:szCs w:val="21"/>
              </w:rPr>
              <w:t>厂界外500m范围内无自然保护区、风景名胜区等大气环境保护目标。</w:t>
            </w:r>
          </w:p>
          <w:p w14:paraId="449F56E6">
            <w:pPr>
              <w:adjustRightInd w:val="0"/>
              <w:snapToGrid w:val="0"/>
              <w:ind w:firstLine="422"/>
              <w:jc w:val="center"/>
              <w:rPr>
                <w:rFonts w:hint="default" w:ascii="Times New Roman" w:hAnsi="Times New Roman" w:cs="Times New Roman"/>
                <w:b/>
                <w:color w:val="auto"/>
                <w:sz w:val="21"/>
                <w:szCs w:val="21"/>
                <w:highlight w:val="none"/>
              </w:rPr>
            </w:pPr>
          </w:p>
          <w:p w14:paraId="529C184E">
            <w:pPr>
              <w:adjustRightInd w:val="0"/>
              <w:snapToGrid w:val="0"/>
              <w:ind w:firstLine="422"/>
              <w:jc w:val="center"/>
              <w:rPr>
                <w:rFonts w:hint="default" w:ascii="Times New Roman" w:hAnsi="Times New Roman" w:cs="Times New Roman"/>
                <w:b/>
                <w:color w:val="auto"/>
                <w:sz w:val="21"/>
                <w:szCs w:val="21"/>
                <w:highlight w:val="none"/>
              </w:rPr>
            </w:pPr>
          </w:p>
          <w:p w14:paraId="5197648F">
            <w:pPr>
              <w:adjustRightInd w:val="0"/>
              <w:snapToGrid w:val="0"/>
              <w:ind w:firstLine="422"/>
              <w:jc w:val="center"/>
              <w:rPr>
                <w:rFonts w:hint="default" w:ascii="Times New Roman" w:hAnsi="Times New Roman" w:cs="Times New Roman"/>
                <w:b/>
                <w:color w:val="auto"/>
                <w:sz w:val="21"/>
                <w:szCs w:val="21"/>
                <w:highlight w:val="none"/>
              </w:rPr>
            </w:pPr>
          </w:p>
          <w:p w14:paraId="1BB4331D">
            <w:pPr>
              <w:adjustRightInd w:val="0"/>
              <w:snapToGrid w:val="0"/>
              <w:ind w:firstLine="422"/>
              <w:jc w:val="center"/>
              <w:rPr>
                <w:rFonts w:hint="default" w:ascii="Times New Roman" w:hAnsi="Times New Roman" w:cs="Times New Roman"/>
                <w:b/>
                <w:color w:val="auto"/>
                <w:sz w:val="21"/>
                <w:szCs w:val="21"/>
              </w:rPr>
            </w:pPr>
            <w:r>
              <w:rPr>
                <w:rFonts w:hint="default" w:ascii="Times New Roman" w:hAnsi="Times New Roman" w:cs="Times New Roman"/>
                <w:b/>
                <w:color w:val="auto"/>
                <w:sz w:val="21"/>
                <w:szCs w:val="21"/>
                <w:highlight w:val="none"/>
              </w:rPr>
              <w:t>表3-</w:t>
            </w:r>
            <w:r>
              <w:rPr>
                <w:rFonts w:hint="default" w:ascii="Times New Roman" w:hAnsi="Times New Roman" w:cs="Times New Roman"/>
                <w:b/>
                <w:color w:val="auto"/>
                <w:sz w:val="21"/>
                <w:szCs w:val="21"/>
                <w:highlight w:val="none"/>
                <w:lang w:val="en-US" w:eastAsia="zh-CN"/>
              </w:rPr>
              <w:t>5</w:t>
            </w:r>
            <w:r>
              <w:rPr>
                <w:rFonts w:hint="default" w:ascii="Times New Roman" w:hAnsi="Times New Roman" w:cs="Times New Roman"/>
                <w:b/>
                <w:color w:val="auto"/>
                <w:sz w:val="21"/>
                <w:szCs w:val="21"/>
                <w:highlight w:val="none"/>
              </w:rPr>
              <w:t xml:space="preserve">    </w:t>
            </w:r>
            <w:bookmarkStart w:id="30" w:name="OLE_LINK307"/>
            <w:r>
              <w:rPr>
                <w:rFonts w:hint="default" w:ascii="Times New Roman" w:hAnsi="Times New Roman" w:cs="Times New Roman"/>
                <w:b/>
                <w:color w:val="auto"/>
                <w:sz w:val="21"/>
                <w:szCs w:val="21"/>
                <w:highlight w:val="none"/>
              </w:rPr>
              <w:t>环境空气保护目标</w:t>
            </w:r>
            <w:bookmarkEnd w:id="30"/>
            <w:r>
              <w:rPr>
                <w:rFonts w:hint="default" w:ascii="Times New Roman" w:hAnsi="Times New Roman" w:cs="Times New Roman"/>
                <w:b/>
                <w:color w:val="auto"/>
                <w:sz w:val="21"/>
                <w:szCs w:val="21"/>
                <w:highlight w:val="none"/>
              </w:rPr>
              <w:t>一</w:t>
            </w:r>
            <w:r>
              <w:rPr>
                <w:rFonts w:hint="default" w:ascii="Times New Roman" w:hAnsi="Times New Roman" w:cs="Times New Roman"/>
                <w:b/>
                <w:color w:val="auto"/>
                <w:sz w:val="21"/>
                <w:szCs w:val="21"/>
              </w:rPr>
              <w:t>览表</w:t>
            </w:r>
          </w:p>
          <w:tbl>
            <w:tblPr>
              <w:tblStyle w:val="84"/>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00"/>
              <w:gridCol w:w="596"/>
              <w:gridCol w:w="1000"/>
              <w:gridCol w:w="903"/>
              <w:gridCol w:w="536"/>
              <w:gridCol w:w="634"/>
              <w:gridCol w:w="775"/>
              <w:gridCol w:w="1073"/>
              <w:gridCol w:w="775"/>
              <w:gridCol w:w="1352"/>
            </w:tblGrid>
            <w:tr w14:paraId="1162D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99" w:type="pct"/>
                  <w:vMerge w:val="restart"/>
                  <w:tcBorders>
                    <w:top w:val="single" w:color="auto" w:sz="4" w:space="0"/>
                    <w:left w:val="single" w:color="auto" w:sz="4" w:space="0"/>
                    <w:right w:val="single" w:color="auto" w:sz="4" w:space="0"/>
                  </w:tcBorders>
                  <w:vAlign w:val="center"/>
                </w:tcPr>
                <w:p w14:paraId="54009405">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环境要素</w:t>
                  </w:r>
                </w:p>
              </w:tc>
              <w:tc>
                <w:tcPr>
                  <w:tcW w:w="397" w:type="pct"/>
                  <w:vMerge w:val="restart"/>
                  <w:tcBorders>
                    <w:top w:val="single" w:color="auto" w:sz="4" w:space="0"/>
                    <w:left w:val="single" w:color="auto" w:sz="4" w:space="0"/>
                    <w:right w:val="single" w:color="auto" w:sz="4" w:space="0"/>
                  </w:tcBorders>
                  <w:vAlign w:val="center"/>
                </w:tcPr>
                <w:p w14:paraId="353B782E">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名称</w:t>
                  </w:r>
                </w:p>
              </w:tc>
              <w:tc>
                <w:tcPr>
                  <w:tcW w:w="967" w:type="pct"/>
                  <w:gridSpan w:val="2"/>
                  <w:tcBorders>
                    <w:top w:val="single" w:color="auto" w:sz="4" w:space="0"/>
                    <w:left w:val="single" w:color="auto" w:sz="4" w:space="0"/>
                    <w:bottom w:val="single" w:color="auto" w:sz="4" w:space="0"/>
                    <w:right w:val="single" w:color="auto" w:sz="4" w:space="0"/>
                  </w:tcBorders>
                  <w:vAlign w:val="center"/>
                </w:tcPr>
                <w:p w14:paraId="457E59EC">
                  <w:pPr>
                    <w:spacing w:line="280" w:lineRule="exact"/>
                    <w:ind w:firstLine="0" w:firstLine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坐标(o)</w:t>
                  </w:r>
                </w:p>
              </w:tc>
              <w:tc>
                <w:tcPr>
                  <w:tcW w:w="360" w:type="pct"/>
                  <w:vMerge w:val="restart"/>
                  <w:tcBorders>
                    <w:top w:val="single" w:color="auto" w:sz="4" w:space="0"/>
                    <w:left w:val="single" w:color="auto" w:sz="4" w:space="0"/>
                    <w:right w:val="single" w:color="auto" w:sz="4" w:space="0"/>
                  </w:tcBorders>
                  <w:vAlign w:val="center"/>
                </w:tcPr>
                <w:p w14:paraId="1B4C8B14">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相对厂址方位</w:t>
                  </w:r>
                </w:p>
              </w:tc>
              <w:tc>
                <w:tcPr>
                  <w:tcW w:w="924" w:type="pct"/>
                  <w:gridSpan w:val="2"/>
                  <w:tcBorders>
                    <w:top w:val="single" w:color="auto" w:sz="4" w:space="0"/>
                    <w:left w:val="single" w:color="auto" w:sz="4" w:space="0"/>
                    <w:right w:val="single" w:color="auto" w:sz="4" w:space="0"/>
                  </w:tcBorders>
                  <w:vAlign w:val="center"/>
                </w:tcPr>
                <w:p w14:paraId="6D7E2406">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相对距离(m)</w:t>
                  </w:r>
                </w:p>
              </w:tc>
              <w:tc>
                <w:tcPr>
                  <w:tcW w:w="685" w:type="pct"/>
                  <w:vMerge w:val="restart"/>
                  <w:tcBorders>
                    <w:left w:val="single" w:color="auto" w:sz="4" w:space="0"/>
                    <w:right w:val="single" w:color="auto" w:sz="4" w:space="0"/>
                  </w:tcBorders>
                  <w:vAlign w:val="center"/>
                </w:tcPr>
                <w:p w14:paraId="6BE42D7A">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保护内容</w:t>
                  </w:r>
                </w:p>
              </w:tc>
              <w:tc>
                <w:tcPr>
                  <w:tcW w:w="505" w:type="pct"/>
                  <w:vMerge w:val="restart"/>
                  <w:tcBorders>
                    <w:left w:val="single" w:color="auto" w:sz="4" w:space="0"/>
                    <w:right w:val="single" w:color="auto" w:sz="4" w:space="0"/>
                  </w:tcBorders>
                  <w:vAlign w:val="center"/>
                </w:tcPr>
                <w:p w14:paraId="2BB18E6B">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人口</w:t>
                  </w:r>
                </w:p>
              </w:tc>
              <w:tc>
                <w:tcPr>
                  <w:tcW w:w="758" w:type="pct"/>
                  <w:vMerge w:val="restart"/>
                  <w:tcBorders>
                    <w:top w:val="single" w:color="auto" w:sz="4" w:space="0"/>
                    <w:left w:val="single" w:color="auto" w:sz="4" w:space="0"/>
                    <w:right w:val="single" w:color="auto" w:sz="4" w:space="0"/>
                  </w:tcBorders>
                  <w:vAlign w:val="center"/>
                </w:tcPr>
                <w:p w14:paraId="55B16454">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环境功能区</w:t>
                  </w:r>
                </w:p>
              </w:tc>
            </w:tr>
            <w:tr w14:paraId="4E798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9" w:hRule="atLeast"/>
                <w:jc w:val="center"/>
              </w:trPr>
              <w:tc>
                <w:tcPr>
                  <w:tcW w:w="399" w:type="pct"/>
                  <w:vMerge w:val="continue"/>
                  <w:tcBorders>
                    <w:left w:val="single" w:color="auto" w:sz="4" w:space="0"/>
                    <w:bottom w:val="single" w:color="auto" w:sz="4" w:space="0"/>
                    <w:right w:val="single" w:color="auto" w:sz="4" w:space="0"/>
                  </w:tcBorders>
                  <w:vAlign w:val="center"/>
                </w:tcPr>
                <w:p w14:paraId="17442F84">
                  <w:pPr>
                    <w:spacing w:line="280" w:lineRule="exact"/>
                    <w:ind w:firstLine="0" w:firstLineChars="0"/>
                    <w:jc w:val="center"/>
                    <w:rPr>
                      <w:rFonts w:hint="default" w:ascii="Times New Roman" w:hAnsi="Times New Roman" w:cs="Times New Roman"/>
                      <w:bCs/>
                      <w:color w:val="auto"/>
                      <w:sz w:val="21"/>
                      <w:szCs w:val="21"/>
                    </w:rPr>
                  </w:pPr>
                </w:p>
              </w:tc>
              <w:tc>
                <w:tcPr>
                  <w:tcW w:w="397" w:type="pct"/>
                  <w:vMerge w:val="continue"/>
                  <w:tcBorders>
                    <w:left w:val="single" w:color="auto" w:sz="4" w:space="0"/>
                    <w:bottom w:val="single" w:color="auto" w:sz="4" w:space="0"/>
                    <w:right w:val="single" w:color="auto" w:sz="4" w:space="0"/>
                  </w:tcBorders>
                  <w:vAlign w:val="center"/>
                </w:tcPr>
                <w:p w14:paraId="2DDF9001">
                  <w:pPr>
                    <w:spacing w:line="280" w:lineRule="exact"/>
                    <w:ind w:firstLine="0" w:firstLineChars="0"/>
                    <w:jc w:val="center"/>
                    <w:rPr>
                      <w:rFonts w:hint="default" w:ascii="Times New Roman" w:hAnsi="Times New Roman" w:cs="Times New Roman"/>
                      <w:bCs/>
                      <w:color w:val="auto"/>
                      <w:sz w:val="21"/>
                      <w:szCs w:val="21"/>
                    </w:rPr>
                  </w:pPr>
                </w:p>
              </w:tc>
              <w:tc>
                <w:tcPr>
                  <w:tcW w:w="469" w:type="pct"/>
                  <w:tcBorders>
                    <w:top w:val="single" w:color="auto" w:sz="4" w:space="0"/>
                    <w:left w:val="single" w:color="auto" w:sz="4" w:space="0"/>
                    <w:right w:val="single" w:color="auto" w:sz="4" w:space="0"/>
                  </w:tcBorders>
                  <w:vAlign w:val="center"/>
                </w:tcPr>
                <w:p w14:paraId="74A440EA">
                  <w:pPr>
                    <w:spacing w:line="280" w:lineRule="exact"/>
                    <w:ind w:firstLine="0" w:firstLine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东经(°)</w:t>
                  </w:r>
                </w:p>
              </w:tc>
              <w:tc>
                <w:tcPr>
                  <w:tcW w:w="497" w:type="pct"/>
                  <w:tcBorders>
                    <w:top w:val="single" w:color="auto" w:sz="4" w:space="0"/>
                    <w:left w:val="single" w:color="auto" w:sz="4" w:space="0"/>
                    <w:right w:val="single" w:color="auto" w:sz="4" w:space="0"/>
                  </w:tcBorders>
                  <w:vAlign w:val="center"/>
                </w:tcPr>
                <w:p w14:paraId="5C5B46F2">
                  <w:pPr>
                    <w:spacing w:line="280" w:lineRule="exact"/>
                    <w:ind w:firstLine="0" w:firstLine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北纬(°)</w:t>
                  </w:r>
                </w:p>
              </w:tc>
              <w:tc>
                <w:tcPr>
                  <w:tcW w:w="360" w:type="pct"/>
                  <w:vMerge w:val="continue"/>
                  <w:tcBorders>
                    <w:left w:val="single" w:color="auto" w:sz="4" w:space="0"/>
                    <w:right w:val="single" w:color="auto" w:sz="4" w:space="0"/>
                  </w:tcBorders>
                  <w:vAlign w:val="center"/>
                </w:tcPr>
                <w:p w14:paraId="34BD8828">
                  <w:pPr>
                    <w:spacing w:line="280" w:lineRule="exact"/>
                    <w:ind w:firstLine="0" w:firstLineChars="0"/>
                    <w:jc w:val="center"/>
                    <w:rPr>
                      <w:rFonts w:hint="default" w:ascii="Times New Roman" w:hAnsi="Times New Roman" w:cs="Times New Roman"/>
                      <w:bCs/>
                      <w:color w:val="auto"/>
                      <w:sz w:val="21"/>
                      <w:szCs w:val="21"/>
                    </w:rPr>
                  </w:pPr>
                </w:p>
              </w:tc>
              <w:tc>
                <w:tcPr>
                  <w:tcW w:w="419" w:type="pct"/>
                  <w:tcBorders>
                    <w:left w:val="single" w:color="auto" w:sz="4" w:space="0"/>
                    <w:right w:val="single" w:color="auto" w:sz="4" w:space="0"/>
                  </w:tcBorders>
                  <w:vAlign w:val="center"/>
                </w:tcPr>
                <w:p w14:paraId="5CD3C360">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松汀公司厂界</w:t>
                  </w:r>
                </w:p>
              </w:tc>
              <w:tc>
                <w:tcPr>
                  <w:tcW w:w="505" w:type="pct"/>
                  <w:tcBorders>
                    <w:left w:val="single" w:color="auto" w:sz="4" w:space="0"/>
                    <w:right w:val="single" w:color="auto" w:sz="4" w:space="0"/>
                  </w:tcBorders>
                  <w:vAlign w:val="center"/>
                </w:tcPr>
                <w:p w14:paraId="42829EC1">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项目</w:t>
                  </w:r>
                </w:p>
              </w:tc>
              <w:tc>
                <w:tcPr>
                  <w:tcW w:w="685" w:type="pct"/>
                  <w:vMerge w:val="continue"/>
                  <w:tcBorders>
                    <w:left w:val="single" w:color="auto" w:sz="4" w:space="0"/>
                    <w:right w:val="single" w:color="auto" w:sz="4" w:space="0"/>
                  </w:tcBorders>
                  <w:vAlign w:val="center"/>
                </w:tcPr>
                <w:p w14:paraId="0E2B8D5F">
                  <w:pPr>
                    <w:spacing w:line="280" w:lineRule="exact"/>
                    <w:ind w:firstLine="0" w:firstLineChars="0"/>
                    <w:jc w:val="center"/>
                    <w:rPr>
                      <w:rFonts w:hint="default" w:ascii="Times New Roman" w:hAnsi="Times New Roman" w:cs="Times New Roman"/>
                      <w:bCs/>
                      <w:color w:val="auto"/>
                      <w:sz w:val="21"/>
                      <w:szCs w:val="21"/>
                    </w:rPr>
                  </w:pPr>
                </w:p>
              </w:tc>
              <w:tc>
                <w:tcPr>
                  <w:tcW w:w="505" w:type="pct"/>
                  <w:vMerge w:val="continue"/>
                  <w:tcBorders>
                    <w:left w:val="single" w:color="auto" w:sz="4" w:space="0"/>
                    <w:right w:val="single" w:color="auto" w:sz="4" w:space="0"/>
                  </w:tcBorders>
                  <w:vAlign w:val="center"/>
                </w:tcPr>
                <w:p w14:paraId="10D3B4A4">
                  <w:pPr>
                    <w:spacing w:line="280" w:lineRule="exact"/>
                    <w:ind w:firstLine="0" w:firstLineChars="0"/>
                    <w:jc w:val="center"/>
                    <w:rPr>
                      <w:rFonts w:hint="default" w:ascii="Times New Roman" w:hAnsi="Times New Roman" w:cs="Times New Roman"/>
                      <w:bCs/>
                      <w:color w:val="auto"/>
                      <w:sz w:val="21"/>
                      <w:szCs w:val="21"/>
                    </w:rPr>
                  </w:pPr>
                </w:p>
              </w:tc>
              <w:tc>
                <w:tcPr>
                  <w:tcW w:w="758" w:type="pct"/>
                  <w:vMerge w:val="continue"/>
                  <w:tcBorders>
                    <w:left w:val="single" w:color="auto" w:sz="4" w:space="0"/>
                    <w:right w:val="single" w:color="auto" w:sz="4" w:space="0"/>
                  </w:tcBorders>
                  <w:vAlign w:val="center"/>
                </w:tcPr>
                <w:p w14:paraId="24C5AC8E">
                  <w:pPr>
                    <w:spacing w:line="280" w:lineRule="exact"/>
                    <w:ind w:firstLine="0" w:firstLineChars="0"/>
                    <w:jc w:val="center"/>
                    <w:rPr>
                      <w:rFonts w:hint="default" w:ascii="Times New Roman" w:hAnsi="Times New Roman" w:cs="Times New Roman"/>
                      <w:bCs/>
                      <w:color w:val="auto"/>
                      <w:sz w:val="21"/>
                      <w:szCs w:val="21"/>
                    </w:rPr>
                  </w:pPr>
                </w:p>
              </w:tc>
            </w:tr>
            <w:tr w14:paraId="2D271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99" w:type="pct"/>
                  <w:vMerge w:val="restart"/>
                  <w:tcBorders>
                    <w:left w:val="single" w:color="auto" w:sz="4" w:space="0"/>
                    <w:right w:val="single" w:color="auto" w:sz="4" w:space="0"/>
                  </w:tcBorders>
                  <w:vAlign w:val="center"/>
                </w:tcPr>
                <w:p w14:paraId="274376AE">
                  <w:pPr>
                    <w:spacing w:line="280" w:lineRule="exact"/>
                    <w:ind w:firstLine="0" w:firstLineChars="0"/>
                    <w:jc w:val="center"/>
                    <w:rPr>
                      <w:rFonts w:hint="default" w:ascii="Times New Roman" w:hAnsi="Times New Roman" w:cs="Times New Roman"/>
                      <w:bCs/>
                      <w:color w:val="auto"/>
                      <w:sz w:val="21"/>
                      <w:szCs w:val="21"/>
                    </w:rPr>
                  </w:pPr>
                  <w:bookmarkStart w:id="31" w:name="OLE_LINK306" w:colFirst="0" w:colLast="1"/>
                  <w:bookmarkStart w:id="32" w:name="OLE_LINK723" w:colFirst="7" w:colLast="11"/>
                  <w:r>
                    <w:rPr>
                      <w:rFonts w:hint="default" w:ascii="Times New Roman" w:hAnsi="Times New Roman" w:cs="Times New Roman"/>
                      <w:bCs/>
                      <w:color w:val="auto"/>
                      <w:sz w:val="21"/>
                      <w:szCs w:val="21"/>
                    </w:rPr>
                    <w:t>环境空气</w:t>
                  </w:r>
                </w:p>
              </w:tc>
              <w:tc>
                <w:tcPr>
                  <w:tcW w:w="397" w:type="pct"/>
                  <w:tcBorders>
                    <w:top w:val="single" w:color="auto" w:sz="4" w:space="0"/>
                    <w:left w:val="single" w:color="auto" w:sz="4" w:space="0"/>
                    <w:bottom w:val="single" w:color="auto" w:sz="4" w:space="0"/>
                    <w:right w:val="single" w:color="auto" w:sz="4" w:space="0"/>
                  </w:tcBorders>
                  <w:vAlign w:val="center"/>
                </w:tcPr>
                <w:p w14:paraId="622CC6ED">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木厂口村</w:t>
                  </w:r>
                </w:p>
              </w:tc>
              <w:tc>
                <w:tcPr>
                  <w:tcW w:w="469" w:type="pct"/>
                  <w:tcBorders>
                    <w:top w:val="single" w:color="auto" w:sz="4" w:space="0"/>
                    <w:left w:val="single" w:color="auto" w:sz="4" w:space="0"/>
                    <w:bottom w:val="single" w:color="auto" w:sz="4" w:space="0"/>
                    <w:right w:val="single" w:color="auto" w:sz="4" w:space="0"/>
                  </w:tcBorders>
                  <w:vAlign w:val="center"/>
                </w:tcPr>
                <w:p w14:paraId="6AD86A81">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118.585008</w:t>
                  </w:r>
                </w:p>
              </w:tc>
              <w:tc>
                <w:tcPr>
                  <w:tcW w:w="497" w:type="pct"/>
                  <w:tcBorders>
                    <w:top w:val="single" w:color="auto" w:sz="4" w:space="0"/>
                    <w:left w:val="single" w:color="auto" w:sz="4" w:space="0"/>
                    <w:bottom w:val="single" w:color="auto" w:sz="4" w:space="0"/>
                    <w:right w:val="single" w:color="auto" w:sz="4" w:space="0"/>
                  </w:tcBorders>
                  <w:vAlign w:val="center"/>
                </w:tcPr>
                <w:p w14:paraId="0B7AD319">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39.938913</w:t>
                  </w:r>
                </w:p>
              </w:tc>
              <w:tc>
                <w:tcPr>
                  <w:tcW w:w="360" w:type="pct"/>
                  <w:tcBorders>
                    <w:top w:val="single" w:color="auto" w:sz="4" w:space="0"/>
                    <w:left w:val="single" w:color="auto" w:sz="4" w:space="0"/>
                    <w:bottom w:val="single" w:color="auto" w:sz="4" w:space="0"/>
                    <w:right w:val="single" w:color="auto" w:sz="4" w:space="0"/>
                  </w:tcBorders>
                  <w:vAlign w:val="center"/>
                </w:tcPr>
                <w:p w14:paraId="02011FDB">
                  <w:pPr>
                    <w:spacing w:line="280" w:lineRule="exact"/>
                    <w:ind w:firstLine="0" w:firstLineChars="0"/>
                    <w:jc w:val="center"/>
                    <w:rPr>
                      <w:rFonts w:hint="default" w:ascii="Times New Roman" w:hAnsi="Times New Roman" w:eastAsia="宋体" w:cs="Times New Roman"/>
                      <w:bCs/>
                      <w:color w:val="auto"/>
                      <w:sz w:val="21"/>
                      <w:szCs w:val="21"/>
                      <w:lang w:eastAsia="zh-CN"/>
                    </w:rPr>
                  </w:pPr>
                  <w:r>
                    <w:rPr>
                      <w:rFonts w:hint="default" w:ascii="Times New Roman" w:hAnsi="Times New Roman" w:cs="Times New Roman"/>
                      <w:bCs/>
                      <w:color w:val="auto"/>
                      <w:sz w:val="21"/>
                      <w:szCs w:val="21"/>
                      <w:lang w:val="en-US" w:eastAsia="zh-CN"/>
                    </w:rPr>
                    <w:t>E</w:t>
                  </w:r>
                </w:p>
              </w:tc>
              <w:tc>
                <w:tcPr>
                  <w:tcW w:w="419" w:type="pct"/>
                  <w:tcBorders>
                    <w:top w:val="single" w:color="auto" w:sz="4" w:space="0"/>
                    <w:left w:val="single" w:color="auto" w:sz="4" w:space="0"/>
                    <w:bottom w:val="single" w:color="auto" w:sz="4" w:space="0"/>
                    <w:right w:val="single" w:color="auto" w:sz="4" w:space="0"/>
                  </w:tcBorders>
                  <w:vAlign w:val="center"/>
                </w:tcPr>
                <w:p w14:paraId="002FC9C3">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50</w:t>
                  </w:r>
                </w:p>
              </w:tc>
              <w:tc>
                <w:tcPr>
                  <w:tcW w:w="505" w:type="pct"/>
                  <w:tcBorders>
                    <w:left w:val="single" w:color="auto" w:sz="4" w:space="0"/>
                    <w:right w:val="single" w:color="auto" w:sz="4" w:space="0"/>
                  </w:tcBorders>
                  <w:vAlign w:val="center"/>
                </w:tcPr>
                <w:p w14:paraId="076F78BB">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1160</w:t>
                  </w:r>
                </w:p>
              </w:tc>
              <w:tc>
                <w:tcPr>
                  <w:tcW w:w="685" w:type="pct"/>
                  <w:vMerge w:val="restart"/>
                  <w:tcBorders>
                    <w:left w:val="single" w:color="auto" w:sz="4" w:space="0"/>
                    <w:right w:val="single" w:color="auto" w:sz="4" w:space="0"/>
                  </w:tcBorders>
                  <w:vAlign w:val="center"/>
                </w:tcPr>
                <w:p w14:paraId="445BEFF8">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lang w:val="en-US" w:eastAsia="zh-CN"/>
                    </w:rPr>
                    <w:t>居住区居民，</w:t>
                  </w:r>
                  <w:r>
                    <w:rPr>
                      <w:rFonts w:hint="default" w:ascii="Times New Roman" w:hAnsi="Times New Roman" w:cs="Times New Roman"/>
                      <w:bCs/>
                      <w:color w:val="auto"/>
                      <w:sz w:val="21"/>
                      <w:szCs w:val="21"/>
                    </w:rPr>
                    <w:t>不对周围环境空气质量产生明显影响</w:t>
                  </w:r>
                </w:p>
              </w:tc>
              <w:tc>
                <w:tcPr>
                  <w:tcW w:w="505" w:type="pct"/>
                  <w:tcBorders>
                    <w:left w:val="single" w:color="auto" w:sz="4" w:space="0"/>
                    <w:right w:val="single" w:color="auto" w:sz="4" w:space="0"/>
                  </w:tcBorders>
                  <w:vAlign w:val="center"/>
                </w:tcPr>
                <w:p w14:paraId="1611DB6D">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3906</w:t>
                  </w:r>
                </w:p>
              </w:tc>
              <w:tc>
                <w:tcPr>
                  <w:tcW w:w="758" w:type="pct"/>
                  <w:vMerge w:val="restart"/>
                  <w:tcBorders>
                    <w:left w:val="single" w:color="auto" w:sz="4" w:space="0"/>
                    <w:right w:val="single" w:color="auto" w:sz="4" w:space="0"/>
                  </w:tcBorders>
                  <w:vAlign w:val="center"/>
                </w:tcPr>
                <w:p w14:paraId="461BA21D">
                  <w:pPr>
                    <w:spacing w:line="280" w:lineRule="exact"/>
                    <w:ind w:firstLine="0" w:firstLineChars="0"/>
                    <w:jc w:val="center"/>
                    <w:rPr>
                      <w:rFonts w:hint="default" w:ascii="Times New Roman" w:hAnsi="Times New Roman" w:eastAsia="宋体" w:cs="Times New Roman"/>
                      <w:bCs/>
                      <w:color w:val="auto"/>
                      <w:sz w:val="21"/>
                      <w:szCs w:val="21"/>
                    </w:rPr>
                  </w:pPr>
                  <w:r>
                    <w:rPr>
                      <w:rFonts w:hint="default" w:ascii="Times New Roman" w:hAnsi="Times New Roman" w:cs="Times New Roman"/>
                      <w:color w:val="auto"/>
                      <w:sz w:val="21"/>
                      <w:szCs w:val="21"/>
                      <w:highlight w:val="none"/>
                    </w:rPr>
                    <w:t>满足《环境空气质量标准》(GB3095-20</w:t>
                  </w:r>
                  <w:r>
                    <w:rPr>
                      <w:rFonts w:hint="default" w:ascii="Times New Roman" w:hAnsi="Times New Roman" w:cs="Times New Roman"/>
                      <w:color w:val="auto"/>
                      <w:sz w:val="21"/>
                      <w:szCs w:val="21"/>
                      <w:highlight w:val="none"/>
                      <w:lang w:val="en-US" w:eastAsia="zh-CN"/>
                    </w:rPr>
                    <w:t>26</w:t>
                  </w:r>
                  <w:r>
                    <w:rPr>
                      <w:rFonts w:hint="default" w:ascii="Times New Roman" w:hAnsi="Times New Roman" w:cs="Times New Roman"/>
                      <w:color w:val="auto"/>
                      <w:sz w:val="21"/>
                      <w:szCs w:val="21"/>
                      <w:highlight w:val="none"/>
                    </w:rPr>
                    <w:t>)二级标准要求</w:t>
                  </w:r>
                </w:p>
              </w:tc>
            </w:tr>
            <w:tr w14:paraId="7443E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99" w:type="pct"/>
                  <w:vMerge w:val="continue"/>
                  <w:tcBorders>
                    <w:left w:val="single" w:color="auto" w:sz="4" w:space="0"/>
                    <w:right w:val="single" w:color="auto" w:sz="4" w:space="0"/>
                  </w:tcBorders>
                  <w:vAlign w:val="center"/>
                </w:tcPr>
                <w:p w14:paraId="394258C1">
                  <w:pPr>
                    <w:spacing w:line="280" w:lineRule="exact"/>
                    <w:ind w:firstLine="0" w:firstLineChars="0"/>
                    <w:jc w:val="center"/>
                    <w:rPr>
                      <w:rFonts w:hint="default" w:ascii="Times New Roman" w:hAnsi="Times New Roman" w:cs="Times New Roman"/>
                      <w:bCs/>
                      <w:color w:val="auto"/>
                      <w:sz w:val="21"/>
                      <w:szCs w:val="21"/>
                    </w:rPr>
                  </w:pPr>
                </w:p>
              </w:tc>
              <w:tc>
                <w:tcPr>
                  <w:tcW w:w="397" w:type="pct"/>
                  <w:tcBorders>
                    <w:top w:val="single" w:color="auto" w:sz="4" w:space="0"/>
                    <w:left w:val="single" w:color="auto" w:sz="4" w:space="0"/>
                    <w:bottom w:val="single" w:color="auto" w:sz="4" w:space="0"/>
                    <w:right w:val="single" w:color="auto" w:sz="4" w:space="0"/>
                  </w:tcBorders>
                  <w:vAlign w:val="center"/>
                </w:tcPr>
                <w:p w14:paraId="26125A40">
                  <w:pPr>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曹庄子村</w:t>
                  </w:r>
                </w:p>
              </w:tc>
              <w:tc>
                <w:tcPr>
                  <w:tcW w:w="469" w:type="pct"/>
                  <w:tcBorders>
                    <w:top w:val="single" w:color="auto" w:sz="4" w:space="0"/>
                    <w:left w:val="single" w:color="auto" w:sz="4" w:space="0"/>
                    <w:bottom w:val="single" w:color="auto" w:sz="4" w:space="0"/>
                    <w:right w:val="single" w:color="auto" w:sz="4" w:space="0"/>
                  </w:tcBorders>
                  <w:vAlign w:val="center"/>
                </w:tcPr>
                <w:p w14:paraId="089C2E18">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118.577601</w:t>
                  </w:r>
                </w:p>
              </w:tc>
              <w:tc>
                <w:tcPr>
                  <w:tcW w:w="497" w:type="pct"/>
                  <w:tcBorders>
                    <w:top w:val="single" w:color="auto" w:sz="4" w:space="0"/>
                    <w:left w:val="single" w:color="auto" w:sz="4" w:space="0"/>
                    <w:bottom w:val="single" w:color="auto" w:sz="4" w:space="0"/>
                    <w:right w:val="single" w:color="auto" w:sz="4" w:space="0"/>
                  </w:tcBorders>
                  <w:vAlign w:val="center"/>
                </w:tcPr>
                <w:p w14:paraId="3ECEFFDB">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39.933751</w:t>
                  </w:r>
                </w:p>
              </w:tc>
              <w:tc>
                <w:tcPr>
                  <w:tcW w:w="360" w:type="pct"/>
                  <w:tcBorders>
                    <w:top w:val="single" w:color="auto" w:sz="4" w:space="0"/>
                    <w:left w:val="single" w:color="auto" w:sz="4" w:space="0"/>
                    <w:bottom w:val="single" w:color="auto" w:sz="4" w:space="0"/>
                    <w:right w:val="single" w:color="auto" w:sz="4" w:space="0"/>
                  </w:tcBorders>
                  <w:vAlign w:val="center"/>
                </w:tcPr>
                <w:p w14:paraId="737C310D">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S</w:t>
                  </w:r>
                </w:p>
              </w:tc>
              <w:tc>
                <w:tcPr>
                  <w:tcW w:w="419" w:type="pct"/>
                  <w:tcBorders>
                    <w:top w:val="single" w:color="auto" w:sz="4" w:space="0"/>
                    <w:left w:val="single" w:color="auto" w:sz="4" w:space="0"/>
                    <w:bottom w:val="single" w:color="auto" w:sz="4" w:space="0"/>
                    <w:right w:val="single" w:color="auto" w:sz="4" w:space="0"/>
                  </w:tcBorders>
                  <w:vAlign w:val="center"/>
                </w:tcPr>
                <w:p w14:paraId="16905A5F">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25</w:t>
                  </w:r>
                </w:p>
              </w:tc>
              <w:tc>
                <w:tcPr>
                  <w:tcW w:w="505" w:type="pct"/>
                  <w:tcBorders>
                    <w:left w:val="single" w:color="auto" w:sz="4" w:space="0"/>
                    <w:right w:val="single" w:color="auto" w:sz="4" w:space="0"/>
                  </w:tcBorders>
                  <w:vAlign w:val="center"/>
                </w:tcPr>
                <w:p w14:paraId="0169B7B0">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1190</w:t>
                  </w:r>
                </w:p>
              </w:tc>
              <w:tc>
                <w:tcPr>
                  <w:tcW w:w="685" w:type="pct"/>
                  <w:vMerge w:val="continue"/>
                  <w:tcBorders>
                    <w:left w:val="single" w:color="auto" w:sz="4" w:space="0"/>
                    <w:right w:val="single" w:color="auto" w:sz="4" w:space="0"/>
                  </w:tcBorders>
                  <w:vAlign w:val="center"/>
                </w:tcPr>
                <w:p w14:paraId="13888E41">
                  <w:pPr>
                    <w:spacing w:line="280" w:lineRule="exact"/>
                    <w:ind w:firstLine="0" w:firstLineChars="0"/>
                    <w:jc w:val="center"/>
                    <w:rPr>
                      <w:rFonts w:hint="default" w:ascii="Times New Roman" w:hAnsi="Times New Roman" w:cs="Times New Roman"/>
                      <w:bCs/>
                      <w:color w:val="auto"/>
                      <w:sz w:val="21"/>
                      <w:szCs w:val="21"/>
                    </w:rPr>
                  </w:pPr>
                </w:p>
              </w:tc>
              <w:tc>
                <w:tcPr>
                  <w:tcW w:w="505" w:type="pct"/>
                  <w:tcBorders>
                    <w:left w:val="single" w:color="auto" w:sz="4" w:space="0"/>
                    <w:right w:val="single" w:color="auto" w:sz="4" w:space="0"/>
                  </w:tcBorders>
                  <w:vAlign w:val="center"/>
                </w:tcPr>
                <w:p w14:paraId="48DF9260">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451</w:t>
                  </w:r>
                </w:p>
              </w:tc>
              <w:tc>
                <w:tcPr>
                  <w:tcW w:w="758" w:type="pct"/>
                  <w:vMerge w:val="continue"/>
                  <w:tcBorders>
                    <w:left w:val="single" w:color="auto" w:sz="4" w:space="0"/>
                    <w:right w:val="single" w:color="auto" w:sz="4" w:space="0"/>
                  </w:tcBorders>
                  <w:vAlign w:val="center"/>
                </w:tcPr>
                <w:p w14:paraId="3EBCA924">
                  <w:pPr>
                    <w:spacing w:line="280" w:lineRule="exact"/>
                    <w:ind w:firstLine="0" w:firstLineChars="0"/>
                    <w:jc w:val="center"/>
                    <w:rPr>
                      <w:rFonts w:hint="default" w:ascii="Times New Roman" w:hAnsi="Times New Roman" w:eastAsia="宋体" w:cs="Times New Roman"/>
                      <w:bCs/>
                      <w:color w:val="auto"/>
                      <w:sz w:val="21"/>
                      <w:szCs w:val="21"/>
                    </w:rPr>
                  </w:pPr>
                </w:p>
              </w:tc>
            </w:tr>
            <w:bookmarkEnd w:id="31"/>
            <w:bookmarkEnd w:id="32"/>
          </w:tbl>
          <w:p w14:paraId="4ECD6824">
            <w:pPr>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2、声环境：</w:t>
            </w:r>
            <w:r>
              <w:rPr>
                <w:rFonts w:hint="default" w:ascii="Times New Roman" w:hAnsi="Times New Roman" w:cs="Times New Roman"/>
                <w:color w:val="auto"/>
                <w:sz w:val="21"/>
                <w:szCs w:val="21"/>
                <w:lang w:val="en-US" w:eastAsia="zh-CN"/>
              </w:rPr>
              <w:t>项目</w:t>
            </w:r>
            <w:r>
              <w:rPr>
                <w:rFonts w:hint="default" w:ascii="Times New Roman" w:hAnsi="Times New Roman" w:cs="Times New Roman"/>
                <w:color w:val="auto"/>
                <w:sz w:val="21"/>
                <w:szCs w:val="21"/>
              </w:rPr>
              <w:t>厂界外50m范围内声环境保护目标</w:t>
            </w:r>
            <w:r>
              <w:rPr>
                <w:rFonts w:hint="default" w:ascii="Times New Roman" w:hAnsi="Times New Roman" w:cs="Times New Roman"/>
                <w:color w:val="auto"/>
                <w:sz w:val="21"/>
                <w:szCs w:val="21"/>
                <w:lang w:val="en-US" w:eastAsia="zh-CN"/>
              </w:rPr>
              <w:t>如下表</w:t>
            </w:r>
            <w:r>
              <w:rPr>
                <w:rFonts w:hint="default" w:ascii="Times New Roman" w:hAnsi="Times New Roman" w:cs="Times New Roman"/>
                <w:color w:val="auto"/>
                <w:sz w:val="21"/>
                <w:szCs w:val="21"/>
              </w:rPr>
              <w:t>。</w:t>
            </w:r>
          </w:p>
          <w:p w14:paraId="5EF98051">
            <w:pPr>
              <w:pStyle w:val="161"/>
              <w:spacing w:line="360" w:lineRule="auto"/>
              <w:ind w:left="0" w:leftChars="0" w:firstLine="0" w:firstLineChars="0"/>
              <w:jc w:val="center"/>
              <w:rPr>
                <w:rFonts w:hint="default" w:ascii="Times New Roman" w:hAnsi="Times New Roman" w:cs="Times New Roman"/>
                <w:color w:val="auto"/>
                <w:kern w:val="2"/>
                <w:sz w:val="21"/>
                <w:szCs w:val="21"/>
              </w:rPr>
            </w:pPr>
            <w:r>
              <w:rPr>
                <w:rFonts w:hint="default" w:ascii="Times New Roman" w:hAnsi="Times New Roman" w:cs="Times New Roman"/>
                <w:b/>
                <w:color w:val="auto"/>
                <w:sz w:val="21"/>
                <w:szCs w:val="21"/>
              </w:rPr>
              <w:t>表3-</w:t>
            </w:r>
            <w:r>
              <w:rPr>
                <w:rFonts w:hint="default" w:ascii="Times New Roman" w:hAnsi="Times New Roman" w:cs="Times New Roman"/>
                <w:b/>
                <w:color w:val="auto"/>
                <w:sz w:val="21"/>
                <w:szCs w:val="21"/>
                <w:lang w:val="en-US" w:eastAsia="zh-CN"/>
              </w:rPr>
              <w:t>6</w:t>
            </w:r>
            <w:r>
              <w:rPr>
                <w:rFonts w:hint="default" w:ascii="Times New Roman" w:hAnsi="Times New Roman" w:cs="Times New Roman"/>
                <w:b/>
                <w:color w:val="auto"/>
                <w:sz w:val="21"/>
                <w:szCs w:val="21"/>
              </w:rPr>
              <w:t xml:space="preserve">    </w:t>
            </w:r>
            <w:r>
              <w:rPr>
                <w:rFonts w:hint="default" w:ascii="Times New Roman" w:hAnsi="Times New Roman" w:cs="Times New Roman"/>
                <w:b/>
                <w:color w:val="auto"/>
                <w:sz w:val="21"/>
                <w:szCs w:val="21"/>
                <w:lang w:val="en-US" w:eastAsia="zh-CN"/>
              </w:rPr>
              <w:t>声环境</w:t>
            </w:r>
            <w:r>
              <w:rPr>
                <w:rFonts w:hint="default" w:ascii="Times New Roman" w:hAnsi="Times New Roman" w:cs="Times New Roman"/>
                <w:b/>
                <w:color w:val="auto"/>
                <w:sz w:val="21"/>
                <w:szCs w:val="21"/>
              </w:rPr>
              <w:t>保护目标一览表</w:t>
            </w:r>
          </w:p>
          <w:tbl>
            <w:tblPr>
              <w:tblStyle w:val="84"/>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05"/>
              <w:gridCol w:w="594"/>
              <w:gridCol w:w="1000"/>
              <w:gridCol w:w="903"/>
              <w:gridCol w:w="463"/>
              <w:gridCol w:w="877"/>
              <w:gridCol w:w="742"/>
              <w:gridCol w:w="730"/>
              <w:gridCol w:w="745"/>
              <w:gridCol w:w="1885"/>
            </w:tblGrid>
            <w:tr w14:paraId="20933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2" w:hRule="atLeast"/>
                <w:jc w:val="center"/>
              </w:trPr>
              <w:tc>
                <w:tcPr>
                  <w:tcW w:w="191" w:type="pct"/>
                  <w:vMerge w:val="restart"/>
                  <w:tcBorders>
                    <w:top w:val="single" w:color="auto" w:sz="4" w:space="0"/>
                    <w:left w:val="single" w:color="auto" w:sz="4" w:space="0"/>
                    <w:right w:val="single" w:color="auto" w:sz="4" w:space="0"/>
                  </w:tcBorders>
                  <w:vAlign w:val="center"/>
                </w:tcPr>
                <w:p w14:paraId="62298AF5">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环境</w:t>
                  </w:r>
                </w:p>
                <w:p w14:paraId="46B9FD70">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要素</w:t>
                  </w:r>
                </w:p>
              </w:tc>
              <w:tc>
                <w:tcPr>
                  <w:tcW w:w="366" w:type="pct"/>
                  <w:vMerge w:val="restart"/>
                  <w:tcBorders>
                    <w:top w:val="single" w:color="auto" w:sz="4" w:space="0"/>
                    <w:left w:val="single" w:color="auto" w:sz="4" w:space="0"/>
                    <w:right w:val="single" w:color="auto" w:sz="4" w:space="0"/>
                  </w:tcBorders>
                  <w:vAlign w:val="center"/>
                </w:tcPr>
                <w:p w14:paraId="6D5F79C0">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名称</w:t>
                  </w:r>
                </w:p>
              </w:tc>
              <w:tc>
                <w:tcPr>
                  <w:tcW w:w="1109" w:type="pct"/>
                  <w:gridSpan w:val="2"/>
                  <w:tcBorders>
                    <w:top w:val="single" w:color="auto" w:sz="4" w:space="0"/>
                    <w:left w:val="single" w:color="auto" w:sz="4" w:space="0"/>
                    <w:bottom w:val="single" w:color="auto" w:sz="4" w:space="0"/>
                    <w:right w:val="single" w:color="auto" w:sz="4" w:space="0"/>
                  </w:tcBorders>
                  <w:vAlign w:val="center"/>
                </w:tcPr>
                <w:p w14:paraId="287A3C4E">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坐标(o)</w:t>
                  </w:r>
                </w:p>
              </w:tc>
              <w:tc>
                <w:tcPr>
                  <w:tcW w:w="286" w:type="pct"/>
                  <w:vMerge w:val="restart"/>
                  <w:tcBorders>
                    <w:top w:val="single" w:color="auto" w:sz="4" w:space="0"/>
                    <w:left w:val="single" w:color="auto" w:sz="4" w:space="0"/>
                    <w:right w:val="single" w:color="auto" w:sz="4" w:space="0"/>
                  </w:tcBorders>
                  <w:vAlign w:val="center"/>
                </w:tcPr>
                <w:p w14:paraId="3C9258D4">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相对厂址方位</w:t>
                  </w:r>
                </w:p>
              </w:tc>
              <w:tc>
                <w:tcPr>
                  <w:tcW w:w="992" w:type="pct"/>
                  <w:gridSpan w:val="2"/>
                  <w:tcBorders>
                    <w:top w:val="single" w:color="auto" w:sz="4" w:space="0"/>
                    <w:left w:val="single" w:color="auto" w:sz="4" w:space="0"/>
                    <w:right w:val="single" w:color="auto" w:sz="4" w:space="0"/>
                  </w:tcBorders>
                  <w:vAlign w:val="center"/>
                </w:tcPr>
                <w:p w14:paraId="1FB79790">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相对距离(m)</w:t>
                  </w:r>
                </w:p>
              </w:tc>
              <w:tc>
                <w:tcPr>
                  <w:tcW w:w="448" w:type="pct"/>
                  <w:vMerge w:val="restart"/>
                  <w:tcBorders>
                    <w:left w:val="single" w:color="auto" w:sz="4" w:space="0"/>
                    <w:right w:val="single" w:color="auto" w:sz="4" w:space="0"/>
                  </w:tcBorders>
                  <w:vAlign w:val="center"/>
                </w:tcPr>
                <w:p w14:paraId="172AF953">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保护内容</w:t>
                  </w:r>
                </w:p>
              </w:tc>
              <w:tc>
                <w:tcPr>
                  <w:tcW w:w="457" w:type="pct"/>
                  <w:vMerge w:val="restart"/>
                  <w:tcBorders>
                    <w:left w:val="single" w:color="auto" w:sz="4" w:space="0"/>
                    <w:right w:val="single" w:color="auto" w:sz="4" w:space="0"/>
                  </w:tcBorders>
                  <w:vAlign w:val="center"/>
                </w:tcPr>
                <w:p w14:paraId="0341B4E5">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人口</w:t>
                  </w:r>
                </w:p>
              </w:tc>
              <w:tc>
                <w:tcPr>
                  <w:tcW w:w="1148" w:type="pct"/>
                  <w:vMerge w:val="restart"/>
                  <w:tcBorders>
                    <w:top w:val="single" w:color="auto" w:sz="4" w:space="0"/>
                    <w:left w:val="single" w:color="auto" w:sz="4" w:space="0"/>
                    <w:right w:val="single" w:color="auto" w:sz="4" w:space="0"/>
                  </w:tcBorders>
                  <w:vAlign w:val="center"/>
                </w:tcPr>
                <w:p w14:paraId="4735C473">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环境功能区</w:t>
                  </w:r>
                </w:p>
              </w:tc>
            </w:tr>
            <w:tr w14:paraId="21D0A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91" w:type="pct"/>
                  <w:vMerge w:val="continue"/>
                  <w:tcBorders>
                    <w:left w:val="single" w:color="auto" w:sz="4" w:space="0"/>
                    <w:bottom w:val="single" w:color="auto" w:sz="4" w:space="0"/>
                    <w:right w:val="single" w:color="auto" w:sz="4" w:space="0"/>
                  </w:tcBorders>
                  <w:vAlign w:val="center"/>
                </w:tcPr>
                <w:p w14:paraId="59EA71F2">
                  <w:pPr>
                    <w:spacing w:line="280" w:lineRule="exact"/>
                    <w:ind w:firstLine="0" w:firstLineChars="0"/>
                    <w:jc w:val="center"/>
                    <w:rPr>
                      <w:rFonts w:hint="default" w:ascii="Times New Roman" w:hAnsi="Times New Roman" w:cs="Times New Roman"/>
                      <w:bCs/>
                      <w:color w:val="auto"/>
                      <w:sz w:val="21"/>
                      <w:szCs w:val="21"/>
                    </w:rPr>
                  </w:pPr>
                </w:p>
              </w:tc>
              <w:tc>
                <w:tcPr>
                  <w:tcW w:w="366" w:type="pct"/>
                  <w:vMerge w:val="continue"/>
                  <w:tcBorders>
                    <w:left w:val="single" w:color="auto" w:sz="4" w:space="0"/>
                    <w:bottom w:val="single" w:color="auto" w:sz="4" w:space="0"/>
                    <w:right w:val="single" w:color="auto" w:sz="4" w:space="0"/>
                  </w:tcBorders>
                  <w:vAlign w:val="center"/>
                </w:tcPr>
                <w:p w14:paraId="59FD8299">
                  <w:pPr>
                    <w:spacing w:line="280" w:lineRule="exact"/>
                    <w:ind w:firstLine="0" w:firstLineChars="0"/>
                    <w:jc w:val="center"/>
                    <w:rPr>
                      <w:rFonts w:hint="default" w:ascii="Times New Roman" w:hAnsi="Times New Roman" w:cs="Times New Roman"/>
                      <w:bCs/>
                      <w:color w:val="auto"/>
                      <w:sz w:val="21"/>
                      <w:szCs w:val="21"/>
                    </w:rPr>
                  </w:pPr>
                </w:p>
              </w:tc>
              <w:tc>
                <w:tcPr>
                  <w:tcW w:w="600" w:type="pct"/>
                  <w:tcBorders>
                    <w:top w:val="single" w:color="auto" w:sz="4" w:space="0"/>
                    <w:left w:val="single" w:color="auto" w:sz="4" w:space="0"/>
                    <w:right w:val="single" w:color="auto" w:sz="4" w:space="0"/>
                  </w:tcBorders>
                  <w:vAlign w:val="center"/>
                </w:tcPr>
                <w:p w14:paraId="66DD1B9E">
                  <w:pPr>
                    <w:spacing w:line="280" w:lineRule="exact"/>
                    <w:ind w:firstLine="0" w:firstLine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东经(°)</w:t>
                  </w:r>
                </w:p>
              </w:tc>
              <w:tc>
                <w:tcPr>
                  <w:tcW w:w="509" w:type="pct"/>
                  <w:tcBorders>
                    <w:top w:val="single" w:color="auto" w:sz="4" w:space="0"/>
                    <w:left w:val="single" w:color="auto" w:sz="4" w:space="0"/>
                    <w:right w:val="single" w:color="auto" w:sz="4" w:space="0"/>
                  </w:tcBorders>
                  <w:vAlign w:val="center"/>
                </w:tcPr>
                <w:p w14:paraId="023E2311">
                  <w:pPr>
                    <w:spacing w:line="280" w:lineRule="exact"/>
                    <w:ind w:firstLine="0" w:firstLine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北纬(°)</w:t>
                  </w:r>
                </w:p>
              </w:tc>
              <w:tc>
                <w:tcPr>
                  <w:tcW w:w="286" w:type="pct"/>
                  <w:vMerge w:val="continue"/>
                  <w:tcBorders>
                    <w:left w:val="single" w:color="auto" w:sz="4" w:space="0"/>
                    <w:right w:val="single" w:color="auto" w:sz="4" w:space="0"/>
                  </w:tcBorders>
                  <w:vAlign w:val="center"/>
                </w:tcPr>
                <w:p w14:paraId="0BDE5034">
                  <w:pPr>
                    <w:spacing w:line="280" w:lineRule="exact"/>
                    <w:ind w:firstLine="0" w:firstLineChars="0"/>
                    <w:jc w:val="center"/>
                    <w:rPr>
                      <w:rFonts w:hint="default" w:ascii="Times New Roman" w:hAnsi="Times New Roman" w:cs="Times New Roman"/>
                      <w:bCs/>
                      <w:color w:val="auto"/>
                      <w:sz w:val="21"/>
                      <w:szCs w:val="21"/>
                    </w:rPr>
                  </w:pPr>
                </w:p>
              </w:tc>
              <w:tc>
                <w:tcPr>
                  <w:tcW w:w="537" w:type="pct"/>
                  <w:tcBorders>
                    <w:left w:val="single" w:color="auto" w:sz="4" w:space="0"/>
                    <w:right w:val="single" w:color="auto" w:sz="4" w:space="0"/>
                  </w:tcBorders>
                  <w:vAlign w:val="center"/>
                </w:tcPr>
                <w:p w14:paraId="60A7CE9D">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松汀公司厂界</w:t>
                  </w:r>
                </w:p>
              </w:tc>
              <w:tc>
                <w:tcPr>
                  <w:tcW w:w="454" w:type="pct"/>
                  <w:tcBorders>
                    <w:left w:val="single" w:color="auto" w:sz="4" w:space="0"/>
                    <w:right w:val="single" w:color="auto" w:sz="4" w:space="0"/>
                  </w:tcBorders>
                  <w:vAlign w:val="center"/>
                </w:tcPr>
                <w:p w14:paraId="327481DE">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项目</w:t>
                  </w:r>
                </w:p>
              </w:tc>
              <w:tc>
                <w:tcPr>
                  <w:tcW w:w="448" w:type="pct"/>
                  <w:vMerge w:val="continue"/>
                  <w:tcBorders>
                    <w:left w:val="single" w:color="auto" w:sz="4" w:space="0"/>
                    <w:right w:val="single" w:color="auto" w:sz="4" w:space="0"/>
                  </w:tcBorders>
                  <w:vAlign w:val="center"/>
                </w:tcPr>
                <w:p w14:paraId="66D572D0">
                  <w:pPr>
                    <w:spacing w:line="280" w:lineRule="exact"/>
                    <w:ind w:firstLine="0" w:firstLineChars="0"/>
                    <w:jc w:val="center"/>
                    <w:rPr>
                      <w:rFonts w:hint="default" w:ascii="Times New Roman" w:hAnsi="Times New Roman" w:cs="Times New Roman"/>
                      <w:bCs/>
                      <w:color w:val="auto"/>
                      <w:sz w:val="21"/>
                      <w:szCs w:val="21"/>
                    </w:rPr>
                  </w:pPr>
                </w:p>
              </w:tc>
              <w:tc>
                <w:tcPr>
                  <w:tcW w:w="457" w:type="pct"/>
                  <w:vMerge w:val="continue"/>
                  <w:tcBorders>
                    <w:left w:val="single" w:color="auto" w:sz="4" w:space="0"/>
                    <w:right w:val="single" w:color="auto" w:sz="4" w:space="0"/>
                  </w:tcBorders>
                  <w:vAlign w:val="center"/>
                </w:tcPr>
                <w:p w14:paraId="7BBCD56C">
                  <w:pPr>
                    <w:spacing w:line="280" w:lineRule="exact"/>
                    <w:ind w:firstLine="0" w:firstLineChars="0"/>
                    <w:jc w:val="center"/>
                    <w:rPr>
                      <w:rFonts w:hint="default" w:ascii="Times New Roman" w:hAnsi="Times New Roman" w:cs="Times New Roman"/>
                      <w:bCs/>
                      <w:color w:val="auto"/>
                      <w:sz w:val="21"/>
                      <w:szCs w:val="21"/>
                    </w:rPr>
                  </w:pPr>
                </w:p>
              </w:tc>
              <w:tc>
                <w:tcPr>
                  <w:tcW w:w="1148" w:type="pct"/>
                  <w:vMerge w:val="continue"/>
                  <w:tcBorders>
                    <w:left w:val="single" w:color="auto" w:sz="4" w:space="0"/>
                    <w:right w:val="single" w:color="auto" w:sz="4" w:space="0"/>
                  </w:tcBorders>
                  <w:vAlign w:val="center"/>
                </w:tcPr>
                <w:p w14:paraId="794B6FB7">
                  <w:pPr>
                    <w:spacing w:line="280" w:lineRule="exact"/>
                    <w:ind w:firstLine="0" w:firstLineChars="0"/>
                    <w:jc w:val="center"/>
                    <w:rPr>
                      <w:rFonts w:hint="default" w:ascii="Times New Roman" w:hAnsi="Times New Roman" w:cs="Times New Roman"/>
                      <w:bCs/>
                      <w:color w:val="auto"/>
                      <w:sz w:val="21"/>
                      <w:szCs w:val="21"/>
                    </w:rPr>
                  </w:pPr>
                </w:p>
              </w:tc>
            </w:tr>
            <w:tr w14:paraId="33E21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0" w:hRule="atLeast"/>
                <w:jc w:val="center"/>
              </w:trPr>
              <w:tc>
                <w:tcPr>
                  <w:tcW w:w="191" w:type="pct"/>
                  <w:vMerge w:val="restart"/>
                  <w:tcBorders>
                    <w:left w:val="single" w:color="auto" w:sz="4" w:space="0"/>
                    <w:right w:val="single" w:color="auto" w:sz="4" w:space="0"/>
                  </w:tcBorders>
                  <w:vAlign w:val="center"/>
                </w:tcPr>
                <w:p w14:paraId="7DB7219F">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环境空气</w:t>
                  </w:r>
                </w:p>
              </w:tc>
              <w:tc>
                <w:tcPr>
                  <w:tcW w:w="366" w:type="pct"/>
                  <w:tcBorders>
                    <w:top w:val="single" w:color="auto" w:sz="4" w:space="0"/>
                    <w:left w:val="single" w:color="auto" w:sz="4" w:space="0"/>
                    <w:bottom w:val="single" w:color="auto" w:sz="4" w:space="0"/>
                    <w:right w:val="single" w:color="auto" w:sz="4" w:space="0"/>
                  </w:tcBorders>
                  <w:vAlign w:val="center"/>
                </w:tcPr>
                <w:p w14:paraId="15464582">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木厂口村</w:t>
                  </w:r>
                </w:p>
              </w:tc>
              <w:tc>
                <w:tcPr>
                  <w:tcW w:w="600" w:type="pct"/>
                  <w:tcBorders>
                    <w:top w:val="single" w:color="auto" w:sz="4" w:space="0"/>
                    <w:left w:val="single" w:color="auto" w:sz="4" w:space="0"/>
                    <w:bottom w:val="single" w:color="auto" w:sz="4" w:space="0"/>
                    <w:right w:val="single" w:color="auto" w:sz="4" w:space="0"/>
                  </w:tcBorders>
                  <w:vAlign w:val="center"/>
                </w:tcPr>
                <w:p w14:paraId="61E10137">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118.585008</w:t>
                  </w:r>
                </w:p>
              </w:tc>
              <w:tc>
                <w:tcPr>
                  <w:tcW w:w="509" w:type="pct"/>
                  <w:tcBorders>
                    <w:top w:val="single" w:color="auto" w:sz="4" w:space="0"/>
                    <w:left w:val="single" w:color="auto" w:sz="4" w:space="0"/>
                    <w:bottom w:val="single" w:color="auto" w:sz="4" w:space="0"/>
                    <w:right w:val="single" w:color="auto" w:sz="4" w:space="0"/>
                  </w:tcBorders>
                  <w:vAlign w:val="center"/>
                </w:tcPr>
                <w:p w14:paraId="46178971">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39.938913</w:t>
                  </w:r>
                </w:p>
              </w:tc>
              <w:tc>
                <w:tcPr>
                  <w:tcW w:w="286" w:type="pct"/>
                  <w:tcBorders>
                    <w:top w:val="single" w:color="auto" w:sz="4" w:space="0"/>
                    <w:left w:val="single" w:color="auto" w:sz="4" w:space="0"/>
                    <w:bottom w:val="single" w:color="auto" w:sz="4" w:space="0"/>
                    <w:right w:val="single" w:color="auto" w:sz="4" w:space="0"/>
                  </w:tcBorders>
                  <w:vAlign w:val="center"/>
                </w:tcPr>
                <w:p w14:paraId="5AD0FC21">
                  <w:pPr>
                    <w:spacing w:line="280" w:lineRule="exact"/>
                    <w:ind w:firstLine="0" w:firstLineChars="0"/>
                    <w:jc w:val="center"/>
                    <w:rPr>
                      <w:rFonts w:hint="default" w:ascii="Times New Roman" w:hAnsi="Times New Roman" w:eastAsia="宋体" w:cs="Times New Roman"/>
                      <w:bCs/>
                      <w:color w:val="auto"/>
                      <w:sz w:val="21"/>
                      <w:szCs w:val="21"/>
                      <w:lang w:eastAsia="zh-CN"/>
                    </w:rPr>
                  </w:pPr>
                  <w:r>
                    <w:rPr>
                      <w:rFonts w:hint="default" w:ascii="Times New Roman" w:hAnsi="Times New Roman" w:cs="Times New Roman"/>
                      <w:bCs/>
                      <w:color w:val="auto"/>
                      <w:sz w:val="21"/>
                      <w:szCs w:val="21"/>
                      <w:lang w:val="en-US" w:eastAsia="zh-CN"/>
                    </w:rPr>
                    <w:t>E</w:t>
                  </w:r>
                </w:p>
              </w:tc>
              <w:tc>
                <w:tcPr>
                  <w:tcW w:w="537" w:type="pct"/>
                  <w:tcBorders>
                    <w:top w:val="single" w:color="auto" w:sz="4" w:space="0"/>
                    <w:left w:val="single" w:color="auto" w:sz="4" w:space="0"/>
                    <w:bottom w:val="single" w:color="auto" w:sz="4" w:space="0"/>
                    <w:right w:val="single" w:color="auto" w:sz="4" w:space="0"/>
                  </w:tcBorders>
                  <w:vAlign w:val="center"/>
                </w:tcPr>
                <w:p w14:paraId="2A9CD008">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50</w:t>
                  </w:r>
                </w:p>
              </w:tc>
              <w:tc>
                <w:tcPr>
                  <w:tcW w:w="454" w:type="pct"/>
                  <w:tcBorders>
                    <w:left w:val="single" w:color="auto" w:sz="4" w:space="0"/>
                    <w:right w:val="single" w:color="auto" w:sz="4" w:space="0"/>
                  </w:tcBorders>
                  <w:vAlign w:val="center"/>
                </w:tcPr>
                <w:p w14:paraId="300568DF">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1160</w:t>
                  </w:r>
                </w:p>
              </w:tc>
              <w:tc>
                <w:tcPr>
                  <w:tcW w:w="448" w:type="pct"/>
                  <w:vMerge w:val="restart"/>
                  <w:tcBorders>
                    <w:left w:val="single" w:color="auto" w:sz="4" w:space="0"/>
                    <w:right w:val="single" w:color="auto" w:sz="4" w:space="0"/>
                  </w:tcBorders>
                  <w:vAlign w:val="center"/>
                </w:tcPr>
                <w:p w14:paraId="55A63BC8">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lang w:val="en-US" w:eastAsia="zh-CN"/>
                    </w:rPr>
                    <w:t>居住区居民</w:t>
                  </w:r>
                </w:p>
              </w:tc>
              <w:tc>
                <w:tcPr>
                  <w:tcW w:w="457" w:type="pct"/>
                  <w:tcBorders>
                    <w:left w:val="single" w:color="auto" w:sz="4" w:space="0"/>
                    <w:right w:val="single" w:color="auto" w:sz="4" w:space="0"/>
                  </w:tcBorders>
                  <w:vAlign w:val="center"/>
                </w:tcPr>
                <w:p w14:paraId="1244AA3C">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3906</w:t>
                  </w:r>
                </w:p>
              </w:tc>
              <w:tc>
                <w:tcPr>
                  <w:tcW w:w="1148" w:type="pct"/>
                  <w:vMerge w:val="restart"/>
                  <w:tcBorders>
                    <w:left w:val="single" w:color="auto" w:sz="4" w:space="0"/>
                    <w:right w:val="single" w:color="auto" w:sz="4" w:space="0"/>
                  </w:tcBorders>
                  <w:vAlign w:val="center"/>
                </w:tcPr>
                <w:p w14:paraId="352DDFB5">
                  <w:pPr>
                    <w:spacing w:line="280" w:lineRule="exact"/>
                    <w:ind w:firstLine="0" w:firstLine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color w:val="auto"/>
                      <w:sz w:val="21"/>
                      <w:szCs w:val="21"/>
                      <w:highlight w:val="none"/>
                    </w:rPr>
                    <w:t>《声环境质量标准》(GB3096-2008)2类标准</w:t>
                  </w:r>
                </w:p>
              </w:tc>
            </w:tr>
            <w:tr w14:paraId="3C2F1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0" w:hRule="atLeast"/>
                <w:jc w:val="center"/>
              </w:trPr>
              <w:tc>
                <w:tcPr>
                  <w:tcW w:w="191" w:type="pct"/>
                  <w:vMerge w:val="continue"/>
                  <w:tcBorders>
                    <w:left w:val="single" w:color="auto" w:sz="4" w:space="0"/>
                    <w:right w:val="single" w:color="auto" w:sz="4" w:space="0"/>
                  </w:tcBorders>
                  <w:vAlign w:val="center"/>
                </w:tcPr>
                <w:p w14:paraId="3FE2B50B">
                  <w:pPr>
                    <w:spacing w:line="280" w:lineRule="exact"/>
                    <w:ind w:firstLine="0" w:firstLineChars="0"/>
                    <w:jc w:val="center"/>
                    <w:rPr>
                      <w:rFonts w:hint="default" w:ascii="Times New Roman" w:hAnsi="Times New Roman" w:cs="Times New Roman"/>
                      <w:bCs/>
                      <w:color w:val="auto"/>
                      <w:sz w:val="21"/>
                      <w:szCs w:val="21"/>
                    </w:rPr>
                  </w:pPr>
                </w:p>
              </w:tc>
              <w:tc>
                <w:tcPr>
                  <w:tcW w:w="366" w:type="pct"/>
                  <w:tcBorders>
                    <w:top w:val="single" w:color="auto" w:sz="4" w:space="0"/>
                    <w:left w:val="single" w:color="auto" w:sz="4" w:space="0"/>
                    <w:bottom w:val="single" w:color="auto" w:sz="4" w:space="0"/>
                    <w:right w:val="single" w:color="auto" w:sz="4" w:space="0"/>
                  </w:tcBorders>
                  <w:vAlign w:val="center"/>
                </w:tcPr>
                <w:p w14:paraId="7D7CB92B">
                  <w:pPr>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曹庄子村</w:t>
                  </w:r>
                </w:p>
              </w:tc>
              <w:tc>
                <w:tcPr>
                  <w:tcW w:w="600" w:type="pct"/>
                  <w:tcBorders>
                    <w:top w:val="single" w:color="auto" w:sz="4" w:space="0"/>
                    <w:left w:val="single" w:color="auto" w:sz="4" w:space="0"/>
                    <w:bottom w:val="single" w:color="auto" w:sz="4" w:space="0"/>
                    <w:right w:val="single" w:color="auto" w:sz="4" w:space="0"/>
                  </w:tcBorders>
                  <w:vAlign w:val="center"/>
                </w:tcPr>
                <w:p w14:paraId="6412CBD3">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118.577601</w:t>
                  </w:r>
                </w:p>
              </w:tc>
              <w:tc>
                <w:tcPr>
                  <w:tcW w:w="509" w:type="pct"/>
                  <w:tcBorders>
                    <w:top w:val="single" w:color="auto" w:sz="4" w:space="0"/>
                    <w:left w:val="single" w:color="auto" w:sz="4" w:space="0"/>
                    <w:bottom w:val="single" w:color="auto" w:sz="4" w:space="0"/>
                    <w:right w:val="single" w:color="auto" w:sz="4" w:space="0"/>
                  </w:tcBorders>
                  <w:vAlign w:val="center"/>
                </w:tcPr>
                <w:p w14:paraId="067B7E23">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39.933751</w:t>
                  </w:r>
                </w:p>
              </w:tc>
              <w:tc>
                <w:tcPr>
                  <w:tcW w:w="286" w:type="pct"/>
                  <w:tcBorders>
                    <w:top w:val="single" w:color="auto" w:sz="4" w:space="0"/>
                    <w:left w:val="single" w:color="auto" w:sz="4" w:space="0"/>
                    <w:bottom w:val="single" w:color="auto" w:sz="4" w:space="0"/>
                    <w:right w:val="single" w:color="auto" w:sz="4" w:space="0"/>
                  </w:tcBorders>
                  <w:vAlign w:val="center"/>
                </w:tcPr>
                <w:p w14:paraId="0B30EBDD">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S</w:t>
                  </w:r>
                </w:p>
              </w:tc>
              <w:tc>
                <w:tcPr>
                  <w:tcW w:w="537" w:type="pct"/>
                  <w:tcBorders>
                    <w:top w:val="single" w:color="auto" w:sz="4" w:space="0"/>
                    <w:left w:val="single" w:color="auto" w:sz="4" w:space="0"/>
                    <w:bottom w:val="single" w:color="auto" w:sz="4" w:space="0"/>
                    <w:right w:val="single" w:color="auto" w:sz="4" w:space="0"/>
                  </w:tcBorders>
                  <w:vAlign w:val="center"/>
                </w:tcPr>
                <w:p w14:paraId="0EB3D61C">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25</w:t>
                  </w:r>
                </w:p>
              </w:tc>
              <w:tc>
                <w:tcPr>
                  <w:tcW w:w="454" w:type="pct"/>
                  <w:tcBorders>
                    <w:left w:val="single" w:color="auto" w:sz="4" w:space="0"/>
                    <w:right w:val="single" w:color="auto" w:sz="4" w:space="0"/>
                  </w:tcBorders>
                  <w:vAlign w:val="center"/>
                </w:tcPr>
                <w:p w14:paraId="434796C6">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cs="Times New Roman"/>
                      <w:bCs/>
                      <w:color w:val="auto"/>
                      <w:sz w:val="21"/>
                      <w:szCs w:val="21"/>
                      <w:lang w:val="en-US" w:eastAsia="zh-CN"/>
                    </w:rPr>
                    <w:t>1190</w:t>
                  </w:r>
                </w:p>
              </w:tc>
              <w:tc>
                <w:tcPr>
                  <w:tcW w:w="448" w:type="pct"/>
                  <w:vMerge w:val="continue"/>
                  <w:tcBorders>
                    <w:left w:val="single" w:color="auto" w:sz="4" w:space="0"/>
                    <w:right w:val="single" w:color="auto" w:sz="4" w:space="0"/>
                  </w:tcBorders>
                  <w:vAlign w:val="center"/>
                </w:tcPr>
                <w:p w14:paraId="6B6C0480">
                  <w:pPr>
                    <w:spacing w:line="280" w:lineRule="exact"/>
                    <w:ind w:firstLine="0" w:firstLineChars="0"/>
                    <w:jc w:val="center"/>
                    <w:rPr>
                      <w:rFonts w:hint="default" w:ascii="Times New Roman" w:hAnsi="Times New Roman" w:cs="Times New Roman"/>
                      <w:bCs/>
                      <w:color w:val="auto"/>
                      <w:sz w:val="21"/>
                      <w:szCs w:val="21"/>
                    </w:rPr>
                  </w:pPr>
                </w:p>
              </w:tc>
              <w:tc>
                <w:tcPr>
                  <w:tcW w:w="457" w:type="pct"/>
                  <w:tcBorders>
                    <w:left w:val="single" w:color="auto" w:sz="4" w:space="0"/>
                    <w:right w:val="single" w:color="auto" w:sz="4" w:space="0"/>
                  </w:tcBorders>
                  <w:vAlign w:val="center"/>
                </w:tcPr>
                <w:p w14:paraId="79AE1394">
                  <w:pPr>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451</w:t>
                  </w:r>
                </w:p>
              </w:tc>
              <w:tc>
                <w:tcPr>
                  <w:tcW w:w="1148" w:type="pct"/>
                  <w:vMerge w:val="continue"/>
                  <w:tcBorders>
                    <w:left w:val="single" w:color="auto" w:sz="4" w:space="0"/>
                    <w:right w:val="single" w:color="auto" w:sz="4" w:space="0"/>
                  </w:tcBorders>
                  <w:vAlign w:val="center"/>
                </w:tcPr>
                <w:p w14:paraId="0679216D">
                  <w:pPr>
                    <w:spacing w:line="280" w:lineRule="exact"/>
                    <w:ind w:firstLine="0" w:firstLineChars="0"/>
                    <w:jc w:val="center"/>
                    <w:rPr>
                      <w:rFonts w:hint="default" w:ascii="Times New Roman" w:hAnsi="Times New Roman" w:eastAsia="宋体" w:cs="Times New Roman"/>
                      <w:bCs/>
                      <w:color w:val="auto"/>
                      <w:sz w:val="21"/>
                      <w:szCs w:val="21"/>
                    </w:rPr>
                  </w:pPr>
                </w:p>
              </w:tc>
            </w:tr>
          </w:tbl>
          <w:p w14:paraId="39210725">
            <w:pPr>
              <w:pStyle w:val="161"/>
              <w:spacing w:line="360" w:lineRule="auto"/>
              <w:ind w:firstLine="420"/>
              <w:jc w:val="both"/>
              <w:rPr>
                <w:rFonts w:hint="default" w:ascii="Times New Roman" w:hAnsi="Times New Roman" w:cs="Times New Roman"/>
                <w:color w:val="auto"/>
                <w:kern w:val="2"/>
                <w:sz w:val="21"/>
                <w:szCs w:val="21"/>
              </w:rPr>
            </w:pPr>
            <w:r>
              <w:rPr>
                <w:rFonts w:hint="default" w:ascii="Times New Roman" w:hAnsi="Times New Roman" w:cs="Times New Roman"/>
                <w:color w:val="auto"/>
                <w:kern w:val="2"/>
                <w:sz w:val="21"/>
                <w:szCs w:val="21"/>
              </w:rPr>
              <w:t>3、地下水环境：本项目厂界外500m范围内无地下水集中式饮用水水源和热水、矿泉水、温泉等特殊地下水资源，根据《建设项目环境影响报告表编制技术指南(污染影响类)(试行》可知，本项目无地下水环境保护目标。</w:t>
            </w:r>
          </w:p>
          <w:p w14:paraId="431BD6A8">
            <w:pPr>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4、生态环境</w:t>
            </w:r>
          </w:p>
          <w:p w14:paraId="1E06B80F">
            <w:pPr>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本项目位于</w:t>
            </w:r>
            <w:r>
              <w:rPr>
                <w:rFonts w:hint="default" w:ascii="Times New Roman" w:hAnsi="Times New Roman" w:cs="Times New Roman"/>
                <w:color w:val="auto"/>
                <w:sz w:val="21"/>
                <w:szCs w:val="21"/>
                <w:highlight w:val="none"/>
                <w:lang w:val="en-US" w:eastAsia="zh-CN"/>
              </w:rPr>
              <w:t>河北迁安经济开发区，公司现有厂区内，</w:t>
            </w:r>
            <w:r>
              <w:rPr>
                <w:rFonts w:hint="default" w:ascii="Times New Roman" w:hAnsi="Times New Roman" w:cs="Times New Roman"/>
                <w:color w:val="auto"/>
                <w:sz w:val="21"/>
                <w:szCs w:val="21"/>
              </w:rPr>
              <w:t>项目用地范围内无生态环境保护目标。</w:t>
            </w:r>
          </w:p>
          <w:p w14:paraId="02CFE6CD">
            <w:pPr>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5、地表水环境</w:t>
            </w:r>
          </w:p>
          <w:p w14:paraId="34D2AC0B">
            <w:pPr>
              <w:ind w:firstLine="480"/>
              <w:rPr>
                <w:rFonts w:hint="default" w:ascii="Times New Roman" w:hAnsi="Times New Roman" w:cs="Times New Roman"/>
                <w:color w:val="auto"/>
                <w:sz w:val="21"/>
                <w:szCs w:val="21"/>
              </w:rPr>
            </w:pPr>
            <w:r>
              <w:rPr>
                <w:rFonts w:hint="default" w:ascii="Times New Roman" w:hAnsi="Times New Roman" w:cs="Times New Roman"/>
                <w:color w:val="auto"/>
                <w:sz w:val="21"/>
                <w:szCs w:val="21"/>
                <w:highlight w:val="none"/>
                <w:lang w:val="en-US" w:eastAsia="zh-CN"/>
              </w:rPr>
              <w:t>项目洗车废水沉淀后循环使用，不外排</w:t>
            </w:r>
            <w:r>
              <w:rPr>
                <w:rFonts w:hint="default" w:ascii="Times New Roman" w:hAnsi="Times New Roman" w:cs="Times New Roman" w:eastAsiaTheme="minorEastAsia"/>
                <w:color w:val="auto"/>
                <w:sz w:val="21"/>
                <w:szCs w:val="21"/>
                <w:highlight w:val="none"/>
              </w:rPr>
              <w:t>。</w:t>
            </w:r>
            <w:r>
              <w:rPr>
                <w:rFonts w:hint="default" w:ascii="Times New Roman" w:hAnsi="Times New Roman" w:cs="Times New Roman"/>
                <w:color w:val="auto"/>
                <w:sz w:val="21"/>
                <w:szCs w:val="21"/>
                <w:highlight w:val="none"/>
              </w:rPr>
              <w:t>本项目无新增生活污水</w:t>
            </w:r>
            <w:r>
              <w:rPr>
                <w:rFonts w:hint="default" w:ascii="Times New Roman" w:hAnsi="Times New Roman" w:cs="Times New Roman"/>
                <w:color w:val="auto"/>
                <w:sz w:val="21"/>
                <w:szCs w:val="21"/>
              </w:rPr>
              <w:t>，无地表水环境保护目标。</w:t>
            </w:r>
          </w:p>
          <w:p w14:paraId="43C52481">
            <w:pPr>
              <w:pStyle w:val="2"/>
              <w:rPr>
                <w:rFonts w:hint="default"/>
                <w:color w:val="auto"/>
                <w:lang w:val="en-US" w:eastAsia="zh-CN"/>
              </w:rPr>
            </w:pPr>
            <w:r>
              <w:rPr>
                <w:rFonts w:hint="default"/>
                <w:color w:val="auto"/>
                <w:lang w:val="en-US" w:eastAsia="zh-CN"/>
              </w:rPr>
              <w:t>在</w:t>
            </w:r>
            <w:r>
              <w:rPr>
                <w:rFonts w:hint="eastAsia"/>
                <w:color w:val="auto"/>
                <w:lang w:val="en-US" w:eastAsia="zh-CN"/>
              </w:rPr>
              <w:t>峪沟料库西北侧入口处</w:t>
            </w:r>
            <w:r>
              <w:rPr>
                <w:rFonts w:hint="default"/>
                <w:color w:val="auto"/>
                <w:lang w:val="en-US" w:eastAsia="zh-CN"/>
              </w:rPr>
              <w:t>已设置红外控制全自动洗车台一座，安装运输车辆侧向全覆盖式强制喷淋清洗设施，清洗设施保证车辆冲洗效果，地面设置一排花式喷射喷头。喷淋设施充分考虑冷冻期结冰问题，合理优化地面基础设计，洗车平台低于地面(呈斜坡状)；清洗完成后车辆在洗车槽内短暂停留，避免因车身带水过多造成道路湿滑和冬季积水结冰等安全隐患；冲洗介质使用温水有效防冻措施；洗车废水通过水篦子流入导流系统然后自流入沉淀系统，清洗废水由排水管进入沉淀池，循环使用，不外排。</w:t>
            </w:r>
          </w:p>
          <w:p w14:paraId="72B3C35E">
            <w:pPr>
              <w:pStyle w:val="3"/>
              <w:rPr>
                <w:rFonts w:hint="default"/>
                <w:color w:val="auto"/>
              </w:rPr>
            </w:pPr>
            <w:r>
              <w:rPr>
                <w:rFonts w:hint="default"/>
                <w:color w:val="auto"/>
                <w:lang w:val="zh-CN" w:eastAsia="zh-CN"/>
              </w:rPr>
              <w:t>厂内初期雨水经道路排水边沟排入废水回收水池</w:t>
            </w:r>
            <w:r>
              <w:rPr>
                <w:rFonts w:hint="eastAsia"/>
                <w:color w:val="auto"/>
                <w:lang w:val="en-US" w:eastAsia="zh-CN"/>
              </w:rPr>
              <w:t>(依托现有)</w:t>
            </w:r>
            <w:r>
              <w:rPr>
                <w:rFonts w:hint="default"/>
                <w:color w:val="auto"/>
                <w:lang w:val="zh-CN" w:eastAsia="zh-CN"/>
              </w:rPr>
              <w:t>，送炼铁厂冲渣池再利用，不外排。</w:t>
            </w:r>
          </w:p>
        </w:tc>
      </w:tr>
      <w:tr w14:paraId="3CB3D5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73" w:hRule="atLeast"/>
          <w:jc w:val="center"/>
        </w:trPr>
        <w:tc>
          <w:tcPr>
            <w:tcW w:w="581" w:type="dxa"/>
            <w:tcMar>
              <w:left w:w="28" w:type="dxa"/>
              <w:right w:w="28" w:type="dxa"/>
            </w:tcMar>
            <w:vAlign w:val="center"/>
          </w:tcPr>
          <w:p w14:paraId="72CC5BEF">
            <w:pPr>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污染物排放控制标准</w:t>
            </w:r>
          </w:p>
        </w:tc>
        <w:tc>
          <w:tcPr>
            <w:tcW w:w="8478" w:type="dxa"/>
            <w:shd w:val="clear" w:color="auto" w:fill="auto"/>
            <w:vAlign w:val="center"/>
          </w:tcPr>
          <w:p w14:paraId="0D72DE29">
            <w:pPr>
              <w:pStyle w:val="40"/>
              <w:widowControl w:val="0"/>
              <w:spacing w:before="120" w:beforeLines="50"/>
              <w:ind w:firstLine="422"/>
              <w:rPr>
                <w:rFonts w:hint="default" w:ascii="Times New Roman" w:hAnsi="Times New Roman" w:cs="Times New Roman"/>
                <w:b/>
                <w:bCs w:val="0"/>
                <w:color w:val="auto"/>
                <w:sz w:val="21"/>
                <w:szCs w:val="21"/>
                <w:highlight w:val="none"/>
              </w:rPr>
            </w:pPr>
            <w:r>
              <w:rPr>
                <w:rFonts w:hint="eastAsia" w:ascii="Times New Roman" w:hAnsi="Times New Roman" w:cs="Times New Roman"/>
                <w:b/>
                <w:bCs w:val="0"/>
                <w:color w:val="auto"/>
                <w:sz w:val="21"/>
                <w:szCs w:val="21"/>
                <w:highlight w:val="none"/>
                <w:lang w:val="en-US" w:eastAsia="zh-CN"/>
              </w:rPr>
              <w:t>1</w:t>
            </w:r>
            <w:r>
              <w:rPr>
                <w:rFonts w:hint="default" w:ascii="Times New Roman" w:hAnsi="Times New Roman" w:cs="Times New Roman"/>
                <w:b/>
                <w:bCs w:val="0"/>
                <w:color w:val="auto"/>
                <w:sz w:val="21"/>
                <w:szCs w:val="21"/>
                <w:highlight w:val="none"/>
                <w:lang w:val="en-US" w:eastAsia="zh-CN"/>
              </w:rPr>
              <w:t>、</w:t>
            </w:r>
            <w:r>
              <w:rPr>
                <w:rFonts w:hint="default" w:ascii="Times New Roman" w:hAnsi="Times New Roman" w:cs="Times New Roman"/>
                <w:b/>
                <w:bCs w:val="0"/>
                <w:color w:val="auto"/>
                <w:sz w:val="21"/>
                <w:szCs w:val="21"/>
                <w:highlight w:val="none"/>
              </w:rPr>
              <w:t>营运期污染物排放标准</w:t>
            </w:r>
          </w:p>
          <w:p w14:paraId="114C9F2C">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(1)废气</w:t>
            </w:r>
          </w:p>
          <w:p w14:paraId="2E683469">
            <w:pPr>
              <w:pStyle w:val="40"/>
              <w:widowControl w:val="0"/>
              <w:snapToGrid w:val="0"/>
              <w:ind w:firstLine="480"/>
              <w:jc w:val="both"/>
              <w:rPr>
                <w:rFonts w:hint="default" w:ascii="Times New Roman" w:hAnsi="Times New Roman" w:cs="Times New Roman"/>
                <w:color w:val="auto"/>
                <w:sz w:val="21"/>
                <w:szCs w:val="21"/>
                <w:highlight w:val="none"/>
              </w:rPr>
            </w:pPr>
            <w:r>
              <w:rPr>
                <w:rFonts w:hint="eastAsia" w:ascii="Times New Roman" w:hAnsi="Times New Roman"/>
                <w:color w:val="auto"/>
                <w:sz w:val="21"/>
                <w:szCs w:val="21"/>
                <w:highlight w:val="none"/>
                <w:lang w:val="en-US" w:eastAsia="zh-CN"/>
              </w:rPr>
              <w:t>入</w:t>
            </w:r>
            <w:r>
              <w:rPr>
                <w:rFonts w:hint="eastAsia" w:ascii="Times New Roman" w:hAnsi="Times New Roman"/>
                <w:color w:val="auto"/>
                <w:sz w:val="21"/>
                <w:szCs w:val="21"/>
                <w:highlight w:val="none"/>
              </w:rPr>
              <w:t>料、</w:t>
            </w:r>
            <w:r>
              <w:rPr>
                <w:rFonts w:hint="eastAsia" w:ascii="Times New Roman" w:hAnsi="Times New Roman"/>
                <w:color w:val="auto"/>
                <w:sz w:val="21"/>
                <w:szCs w:val="21"/>
                <w:highlight w:val="none"/>
                <w:lang w:val="en-US" w:eastAsia="zh-CN"/>
              </w:rPr>
              <w:t>筛分、搅拌</w:t>
            </w:r>
            <w:r>
              <w:rPr>
                <w:rFonts w:hint="eastAsia" w:ascii="Times New Roman" w:hAnsi="Times New Roman"/>
                <w:color w:val="auto"/>
                <w:sz w:val="21"/>
                <w:szCs w:val="21"/>
                <w:highlight w:val="none"/>
              </w:rPr>
              <w:t>等过程有组织颗粒物排放参照执行《钢铁工业大气污染物超低排放标准》</w:t>
            </w:r>
            <w:r>
              <w:rPr>
                <w:rFonts w:hint="eastAsia" w:ascii="Times New Roman" w:hAnsi="Times New Roman"/>
                <w:color w:val="auto"/>
                <w:sz w:val="21"/>
                <w:szCs w:val="21"/>
                <w:highlight w:val="none"/>
                <w:lang w:eastAsia="zh-CN"/>
              </w:rPr>
              <w:t>(</w:t>
            </w:r>
            <w:r>
              <w:rPr>
                <w:rFonts w:hint="eastAsia" w:ascii="Times New Roman" w:hAnsi="Times New Roman"/>
                <w:color w:val="auto"/>
                <w:sz w:val="21"/>
                <w:szCs w:val="21"/>
                <w:highlight w:val="none"/>
              </w:rPr>
              <w:t>DB</w:t>
            </w:r>
            <w:r>
              <w:rPr>
                <w:rFonts w:ascii="Times New Roman" w:hAnsi="Times New Roman"/>
                <w:color w:val="auto"/>
                <w:sz w:val="21"/>
                <w:szCs w:val="21"/>
                <w:highlight w:val="none"/>
              </w:rPr>
              <w:t>13</w:t>
            </w:r>
            <w:r>
              <w:rPr>
                <w:rFonts w:hint="eastAsia" w:ascii="Times New Roman" w:hAnsi="Times New Roman"/>
                <w:color w:val="auto"/>
                <w:sz w:val="21"/>
                <w:szCs w:val="21"/>
                <w:highlight w:val="none"/>
              </w:rPr>
              <w:t>/2169-2018)</w:t>
            </w:r>
            <w:r>
              <w:rPr>
                <w:rFonts w:hint="eastAsia" w:ascii="Times New Roman" w:hAnsi="Times New Roman" w:cs="Times New Roman"/>
                <w:snapToGrid w:val="0"/>
                <w:color w:val="auto"/>
                <w:sz w:val="21"/>
                <w:szCs w:val="21"/>
                <w:highlight w:val="none"/>
                <w:lang w:val="en-US" w:eastAsia="zh-CN"/>
              </w:rPr>
              <w:t>表1高炉炼铁原料系统、煤粉系统、其他生产设施排放限值</w:t>
            </w:r>
            <w:r>
              <w:rPr>
                <w:rFonts w:hint="eastAsia" w:ascii="Times New Roman" w:hAnsi="Times New Roman"/>
                <w:color w:val="auto"/>
                <w:sz w:val="21"/>
                <w:szCs w:val="21"/>
                <w:highlight w:val="none"/>
              </w:rPr>
              <w:t>；项目</w:t>
            </w:r>
            <w:r>
              <w:rPr>
                <w:rFonts w:hint="eastAsia" w:ascii="Times New Roman" w:hAnsi="Times New Roman"/>
                <w:color w:val="auto"/>
                <w:sz w:val="21"/>
                <w:szCs w:val="21"/>
                <w:highlight w:val="none"/>
                <w:lang w:val="en-US" w:eastAsia="zh-CN"/>
              </w:rPr>
              <w:t>厂界</w:t>
            </w:r>
            <w:r>
              <w:rPr>
                <w:rFonts w:hint="eastAsia" w:ascii="Times New Roman" w:hAnsi="Times New Roman"/>
                <w:color w:val="auto"/>
                <w:sz w:val="21"/>
                <w:szCs w:val="21"/>
                <w:highlight w:val="none"/>
              </w:rPr>
              <w:t>无组织颗粒物排放参照执行《钢铁工业大气污染物超低排放标准》</w:t>
            </w:r>
            <w:r>
              <w:rPr>
                <w:rFonts w:hint="eastAsia" w:ascii="Times New Roman" w:hAnsi="Times New Roman"/>
                <w:color w:val="auto"/>
                <w:sz w:val="21"/>
                <w:szCs w:val="21"/>
                <w:highlight w:val="none"/>
                <w:lang w:eastAsia="zh-CN"/>
              </w:rPr>
              <w:t>(</w:t>
            </w:r>
            <w:r>
              <w:rPr>
                <w:rFonts w:ascii="Times New Roman" w:hAnsi="Times New Roman"/>
                <w:color w:val="auto"/>
                <w:sz w:val="21"/>
                <w:szCs w:val="21"/>
                <w:highlight w:val="none"/>
              </w:rPr>
              <w:t>DB13/2169-2018)表5无组织排放浓度限值</w:t>
            </w:r>
            <w:r>
              <w:rPr>
                <w:rFonts w:hint="eastAsia" w:ascii="Times New Roman" w:hAnsi="Times New Roman"/>
                <w:color w:val="auto"/>
                <w:sz w:val="21"/>
                <w:szCs w:val="21"/>
                <w:highlight w:val="none"/>
                <w:lang w:eastAsia="zh-CN"/>
              </w:rPr>
              <w:t>，同时满足《唐山市人民政府关于执行重点行业大气污染物排放特别要求的通知》(唐政字[2021]82号)中厂界无组织排放浓度限值要求。</w:t>
            </w:r>
            <w:r>
              <w:rPr>
                <w:rFonts w:hint="default" w:ascii="Times New Roman" w:hAnsi="Times New Roman" w:cs="Times New Roman"/>
                <w:color w:val="auto"/>
                <w:sz w:val="21"/>
                <w:szCs w:val="21"/>
                <w:highlight w:val="none"/>
              </w:rPr>
              <w:t>具体见表</w:t>
            </w:r>
            <w:r>
              <w:rPr>
                <w:rFonts w:hint="default" w:ascii="Times New Roman" w:hAnsi="Times New Roman" w:cs="Times New Roman"/>
                <w:color w:val="auto"/>
                <w:sz w:val="21"/>
                <w:szCs w:val="21"/>
                <w:highlight w:val="none"/>
                <w:lang w:val="en-US" w:eastAsia="zh-CN"/>
              </w:rPr>
              <w:t>3-7</w:t>
            </w:r>
            <w:r>
              <w:rPr>
                <w:rFonts w:hint="default" w:ascii="Times New Roman" w:hAnsi="Times New Roman" w:cs="Times New Roman"/>
                <w:color w:val="auto"/>
                <w:sz w:val="21"/>
                <w:szCs w:val="21"/>
                <w:highlight w:val="none"/>
              </w:rPr>
              <w:t>。</w:t>
            </w:r>
          </w:p>
          <w:p w14:paraId="0DECE3E3">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default" w:ascii="Times New Roman" w:hAnsi="Times New Roman" w:cs="Times New Roman"/>
                <w:b/>
                <w:bCs w:val="0"/>
                <w:color w:val="auto"/>
                <w:sz w:val="21"/>
                <w:szCs w:val="21"/>
                <w:highlight w:val="none"/>
              </w:rPr>
            </w:pPr>
            <w:r>
              <w:rPr>
                <w:rFonts w:hint="default" w:ascii="Times New Roman" w:hAnsi="Times New Roman" w:cs="Times New Roman"/>
                <w:b/>
                <w:bCs w:val="0"/>
                <w:color w:val="auto"/>
                <w:sz w:val="21"/>
                <w:szCs w:val="21"/>
                <w:highlight w:val="none"/>
              </w:rPr>
              <w:t>表</w:t>
            </w:r>
            <w:r>
              <w:rPr>
                <w:rFonts w:hint="default" w:ascii="Times New Roman" w:hAnsi="Times New Roman" w:cs="Times New Roman"/>
                <w:b/>
                <w:bCs w:val="0"/>
                <w:color w:val="auto"/>
                <w:sz w:val="21"/>
                <w:szCs w:val="21"/>
                <w:highlight w:val="none"/>
                <w:lang w:val="en-US" w:eastAsia="zh-CN"/>
              </w:rPr>
              <w:t>3-7</w:t>
            </w:r>
            <w:r>
              <w:rPr>
                <w:rFonts w:hint="default" w:ascii="Times New Roman" w:hAnsi="Times New Roman" w:cs="Times New Roman"/>
                <w:b/>
                <w:bCs w:val="0"/>
                <w:color w:val="auto"/>
                <w:sz w:val="21"/>
                <w:szCs w:val="21"/>
                <w:highlight w:val="none"/>
              </w:rPr>
              <w:t xml:space="preserve">    项目大气污染物排放标准一览表</w:t>
            </w:r>
          </w:p>
          <w:tbl>
            <w:tblPr>
              <w:tblStyle w:val="8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307"/>
              <w:gridCol w:w="709"/>
              <w:gridCol w:w="337"/>
              <w:gridCol w:w="565"/>
              <w:gridCol w:w="343"/>
              <w:gridCol w:w="3000"/>
              <w:gridCol w:w="423"/>
              <w:gridCol w:w="2024"/>
              <w:gridCol w:w="544"/>
            </w:tblGrid>
            <w:tr w14:paraId="6E477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0" w:type="auto"/>
                  <w:gridSpan w:val="2"/>
                  <w:vAlign w:val="center"/>
                </w:tcPr>
                <w:p w14:paraId="4D5C95EB">
                  <w:pPr>
                    <w:snapToGrid w:val="0"/>
                    <w:spacing w:line="240" w:lineRule="auto"/>
                    <w:ind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排放方式</w:t>
                  </w:r>
                </w:p>
              </w:tc>
              <w:tc>
                <w:tcPr>
                  <w:tcW w:w="0" w:type="auto"/>
                  <w:vAlign w:val="center"/>
                </w:tcPr>
                <w:p w14:paraId="71C2F28B">
                  <w:pPr>
                    <w:snapToGrid w:val="0"/>
                    <w:spacing w:line="240" w:lineRule="auto"/>
                    <w:ind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污染因子</w:t>
                  </w:r>
                </w:p>
              </w:tc>
              <w:tc>
                <w:tcPr>
                  <w:tcW w:w="0" w:type="auto"/>
                  <w:vAlign w:val="center"/>
                </w:tcPr>
                <w:p w14:paraId="36218468">
                  <w:pPr>
                    <w:snapToGrid w:val="0"/>
                    <w:spacing w:line="240" w:lineRule="auto"/>
                    <w:ind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单位</w:t>
                  </w:r>
                </w:p>
              </w:tc>
              <w:tc>
                <w:tcPr>
                  <w:tcW w:w="0" w:type="auto"/>
                  <w:vAlign w:val="center"/>
                </w:tcPr>
                <w:p w14:paraId="068FA876">
                  <w:pPr>
                    <w:snapToGrid w:val="0"/>
                    <w:spacing w:line="240" w:lineRule="auto"/>
                    <w:ind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标准值</w:t>
                  </w:r>
                </w:p>
              </w:tc>
              <w:tc>
                <w:tcPr>
                  <w:tcW w:w="0" w:type="auto"/>
                  <w:vAlign w:val="center"/>
                </w:tcPr>
                <w:p w14:paraId="186C73E8">
                  <w:pPr>
                    <w:snapToGrid w:val="0"/>
                    <w:spacing w:line="240" w:lineRule="auto"/>
                    <w:ind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标准名称</w:t>
                  </w:r>
                </w:p>
              </w:tc>
              <w:tc>
                <w:tcPr>
                  <w:tcW w:w="423" w:type="dxa"/>
                  <w:vAlign w:val="center"/>
                </w:tcPr>
                <w:p w14:paraId="30203597">
                  <w:pPr>
                    <w:snapToGrid w:val="0"/>
                    <w:spacing w:line="240" w:lineRule="auto"/>
                    <w:ind w:firstLine="0" w:firstLineChars="0"/>
                    <w:jc w:val="center"/>
                    <w:rPr>
                      <w:rFonts w:hint="default" w:ascii="Times New Roman" w:hAnsi="Times New Roman" w:eastAsia="宋体" w:cs="Times New Roman"/>
                      <w:color w:val="auto"/>
                      <w:spacing w:val="-10"/>
                      <w:sz w:val="21"/>
                      <w:szCs w:val="21"/>
                      <w:highlight w:val="none"/>
                      <w:lang w:val="en-US" w:eastAsia="zh-CN"/>
                    </w:rPr>
                  </w:pPr>
                  <w:r>
                    <w:rPr>
                      <w:rFonts w:hint="eastAsia" w:ascii="Times New Roman" w:hAnsi="Times New Roman" w:cs="Times New Roman"/>
                      <w:color w:val="auto"/>
                      <w:spacing w:val="-10"/>
                      <w:sz w:val="21"/>
                      <w:szCs w:val="21"/>
                      <w:highlight w:val="none"/>
                      <w:lang w:val="en-US" w:eastAsia="zh-CN"/>
                    </w:rPr>
                    <w:t>管控值</w:t>
                  </w:r>
                </w:p>
              </w:tc>
              <w:tc>
                <w:tcPr>
                  <w:tcW w:w="2024" w:type="dxa"/>
                  <w:vAlign w:val="center"/>
                </w:tcPr>
                <w:p w14:paraId="25913073">
                  <w:pPr>
                    <w:snapToGrid w:val="0"/>
                    <w:spacing w:line="240" w:lineRule="auto"/>
                    <w:ind w:firstLine="0" w:firstLineChars="0"/>
                    <w:jc w:val="center"/>
                    <w:rPr>
                      <w:rFonts w:hint="default" w:ascii="Times New Roman" w:hAnsi="Times New Roman" w:eastAsia="宋体" w:cs="Times New Roman"/>
                      <w:color w:val="auto"/>
                      <w:spacing w:val="-10"/>
                      <w:sz w:val="21"/>
                      <w:szCs w:val="21"/>
                      <w:highlight w:val="none"/>
                      <w:lang w:val="en-US" w:eastAsia="zh-CN"/>
                    </w:rPr>
                  </w:pPr>
                  <w:r>
                    <w:rPr>
                      <w:rFonts w:hint="eastAsia" w:ascii="Times New Roman" w:hAnsi="Times New Roman" w:cs="Times New Roman"/>
                      <w:color w:val="auto"/>
                      <w:spacing w:val="-10"/>
                      <w:sz w:val="21"/>
                      <w:szCs w:val="21"/>
                      <w:highlight w:val="none"/>
                      <w:lang w:val="en-US" w:eastAsia="zh-CN"/>
                    </w:rPr>
                    <w:t>文件</w:t>
                  </w:r>
                </w:p>
              </w:tc>
              <w:tc>
                <w:tcPr>
                  <w:tcW w:w="0" w:type="auto"/>
                  <w:vAlign w:val="center"/>
                </w:tcPr>
                <w:p w14:paraId="32B2ADEB">
                  <w:pPr>
                    <w:snapToGrid w:val="0"/>
                    <w:spacing w:line="240" w:lineRule="auto"/>
                    <w:ind w:firstLine="0" w:firstLineChars="0"/>
                    <w:jc w:val="center"/>
                    <w:rPr>
                      <w:rFonts w:hint="default" w:ascii="Times New Roman" w:hAnsi="Times New Roman" w:cs="Times New Roman"/>
                      <w:color w:val="auto"/>
                      <w:spacing w:val="-10"/>
                      <w:sz w:val="21"/>
                      <w:szCs w:val="21"/>
                      <w:highlight w:val="none"/>
                      <w:lang w:val="en-US" w:eastAsia="zh-CN"/>
                    </w:rPr>
                  </w:pPr>
                  <w:r>
                    <w:rPr>
                      <w:rFonts w:hint="eastAsia" w:ascii="Times New Roman" w:hAnsi="Times New Roman" w:cs="Times New Roman"/>
                      <w:color w:val="auto"/>
                      <w:spacing w:val="-10"/>
                      <w:sz w:val="21"/>
                      <w:szCs w:val="21"/>
                      <w:highlight w:val="none"/>
                      <w:lang w:val="en-US" w:eastAsia="zh-CN"/>
                    </w:rPr>
                    <w:t>本项目排放限值</w:t>
                  </w:r>
                </w:p>
              </w:tc>
            </w:tr>
            <w:tr w14:paraId="2BBBA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0" w:type="auto"/>
                  <w:vAlign w:val="center"/>
                </w:tcPr>
                <w:p w14:paraId="67B13134">
                  <w:pPr>
                    <w:snapToGrid w:val="0"/>
                    <w:spacing w:line="240" w:lineRule="auto"/>
                    <w:ind w:firstLine="0" w:firstLineChars="0"/>
                    <w:jc w:val="both"/>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有组织</w:t>
                  </w:r>
                </w:p>
              </w:tc>
              <w:tc>
                <w:tcPr>
                  <w:tcW w:w="0" w:type="auto"/>
                  <w:vAlign w:val="center"/>
                </w:tcPr>
                <w:p w14:paraId="3AE2F8F8">
                  <w:pPr>
                    <w:snapToGrid w:val="0"/>
                    <w:spacing w:line="240" w:lineRule="auto"/>
                    <w:ind w:firstLine="0" w:firstLineChars="0"/>
                    <w:jc w:val="both"/>
                    <w:rPr>
                      <w:rFonts w:hint="default" w:ascii="Times New Roman" w:hAnsi="Times New Roman"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入料、筛分、搅拌</w:t>
                  </w:r>
                  <w:r>
                    <w:rPr>
                      <w:rFonts w:hint="default" w:ascii="Times New Roman" w:hAnsi="Times New Roman" w:cs="Times New Roman"/>
                      <w:color w:val="auto"/>
                      <w:spacing w:val="-10"/>
                      <w:sz w:val="21"/>
                      <w:szCs w:val="21"/>
                      <w:highlight w:val="none"/>
                    </w:rPr>
                    <w:t>等废气</w:t>
                  </w:r>
                </w:p>
              </w:tc>
              <w:tc>
                <w:tcPr>
                  <w:tcW w:w="0" w:type="auto"/>
                  <w:vAlign w:val="center"/>
                </w:tcPr>
                <w:p w14:paraId="71C382E9">
                  <w:pPr>
                    <w:snapToGrid w:val="0"/>
                    <w:spacing w:line="240" w:lineRule="auto"/>
                    <w:ind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颗粒物</w:t>
                  </w:r>
                </w:p>
              </w:tc>
              <w:tc>
                <w:tcPr>
                  <w:tcW w:w="0" w:type="auto"/>
                  <w:vAlign w:val="center"/>
                </w:tcPr>
                <w:p w14:paraId="6465C20E">
                  <w:pPr>
                    <w:snapToGrid w:val="0"/>
                    <w:spacing w:line="240" w:lineRule="auto"/>
                    <w:ind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mg/m</w:t>
                  </w:r>
                  <w:r>
                    <w:rPr>
                      <w:rFonts w:hint="default" w:ascii="Times New Roman" w:hAnsi="Times New Roman" w:cs="Times New Roman"/>
                      <w:color w:val="auto"/>
                      <w:spacing w:val="-10"/>
                      <w:sz w:val="21"/>
                      <w:szCs w:val="21"/>
                      <w:highlight w:val="none"/>
                      <w:vertAlign w:val="superscript"/>
                    </w:rPr>
                    <w:t>3</w:t>
                  </w:r>
                </w:p>
              </w:tc>
              <w:tc>
                <w:tcPr>
                  <w:tcW w:w="0" w:type="auto"/>
                  <w:vAlign w:val="center"/>
                </w:tcPr>
                <w:p w14:paraId="419244C4">
                  <w:pPr>
                    <w:snapToGrid w:val="0"/>
                    <w:spacing w:line="240" w:lineRule="auto"/>
                    <w:ind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10</w:t>
                  </w:r>
                </w:p>
              </w:tc>
              <w:tc>
                <w:tcPr>
                  <w:tcW w:w="0" w:type="auto"/>
                  <w:vAlign w:val="center"/>
                </w:tcPr>
                <w:p w14:paraId="514F4F53">
                  <w:pPr>
                    <w:snapToGrid w:val="0"/>
                    <w:spacing w:line="240" w:lineRule="auto"/>
                    <w:ind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参照执行《钢铁工业大气污染物超低排放标准》</w:t>
                  </w:r>
                  <w:r>
                    <w:rPr>
                      <w:rFonts w:hint="default" w:ascii="Times New Roman" w:hAnsi="Times New Roman" w:cs="Times New Roman"/>
                      <w:color w:val="auto"/>
                      <w:spacing w:val="-10"/>
                      <w:sz w:val="21"/>
                      <w:szCs w:val="21"/>
                      <w:highlight w:val="none"/>
                      <w:lang w:eastAsia="zh-CN"/>
                    </w:rPr>
                    <w:t>(</w:t>
                  </w:r>
                  <w:r>
                    <w:rPr>
                      <w:rFonts w:hint="default" w:ascii="Times New Roman" w:hAnsi="Times New Roman" w:cs="Times New Roman"/>
                      <w:color w:val="auto"/>
                      <w:spacing w:val="-10"/>
                      <w:sz w:val="21"/>
                      <w:szCs w:val="21"/>
                      <w:highlight w:val="none"/>
                    </w:rPr>
                    <w:t>DB13/2169-2018)</w:t>
                  </w:r>
                  <w:r>
                    <w:rPr>
                      <w:rFonts w:hint="default" w:ascii="Times New Roman" w:hAnsi="Times New Roman" w:cs="Times New Roman"/>
                      <w:snapToGrid w:val="0"/>
                      <w:color w:val="auto"/>
                      <w:sz w:val="21"/>
                      <w:szCs w:val="21"/>
                      <w:highlight w:val="none"/>
                      <w:lang w:val="en-US" w:eastAsia="zh-CN"/>
                    </w:rPr>
                    <w:t>表1高炉炼铁原料系统、煤粉系统、其他生产设施排放限值</w:t>
                  </w:r>
                </w:p>
              </w:tc>
              <w:tc>
                <w:tcPr>
                  <w:tcW w:w="423" w:type="dxa"/>
                  <w:vAlign w:val="center"/>
                </w:tcPr>
                <w:p w14:paraId="6DE525DF">
                  <w:pPr>
                    <w:snapToGrid w:val="0"/>
                    <w:spacing w:line="240" w:lineRule="auto"/>
                    <w:ind w:firstLine="0" w:firstLineChars="0"/>
                    <w:jc w:val="center"/>
                    <w:rPr>
                      <w:rFonts w:hint="eastAsia" w:ascii="Times New Roman" w:hAnsi="Times New Roman" w:eastAsia="宋体" w:cs="Times New Roman"/>
                      <w:color w:val="auto"/>
                      <w:spacing w:val="-10"/>
                      <w:sz w:val="21"/>
                      <w:szCs w:val="21"/>
                      <w:highlight w:val="none"/>
                      <w:lang w:eastAsia="zh-CN"/>
                    </w:rPr>
                  </w:pPr>
                  <w:r>
                    <w:rPr>
                      <w:rFonts w:hint="eastAsia" w:ascii="Times New Roman" w:hAnsi="Times New Roman" w:cs="Times New Roman"/>
                      <w:color w:val="auto"/>
                      <w:spacing w:val="-10"/>
                      <w:sz w:val="21"/>
                      <w:szCs w:val="21"/>
                      <w:highlight w:val="none"/>
                      <w:lang w:eastAsia="zh-CN"/>
                    </w:rPr>
                    <w:t>—</w:t>
                  </w:r>
                </w:p>
              </w:tc>
              <w:tc>
                <w:tcPr>
                  <w:tcW w:w="2024" w:type="dxa"/>
                  <w:vAlign w:val="center"/>
                </w:tcPr>
                <w:p w14:paraId="6D56270B">
                  <w:pPr>
                    <w:snapToGrid w:val="0"/>
                    <w:spacing w:line="240" w:lineRule="auto"/>
                    <w:ind w:firstLine="0" w:firstLineChars="0"/>
                    <w:jc w:val="center"/>
                    <w:rPr>
                      <w:rFonts w:hint="eastAsia" w:ascii="Times New Roman" w:hAnsi="Times New Roman" w:eastAsia="宋体" w:cs="Times New Roman"/>
                      <w:color w:val="auto"/>
                      <w:spacing w:val="-10"/>
                      <w:sz w:val="21"/>
                      <w:szCs w:val="21"/>
                      <w:highlight w:val="none"/>
                      <w:lang w:eastAsia="zh-CN"/>
                    </w:rPr>
                  </w:pPr>
                  <w:r>
                    <w:rPr>
                      <w:rFonts w:hint="eastAsia" w:ascii="Times New Roman" w:hAnsi="Times New Roman" w:cs="Times New Roman"/>
                      <w:color w:val="auto"/>
                      <w:spacing w:val="-10"/>
                      <w:sz w:val="21"/>
                      <w:szCs w:val="21"/>
                      <w:highlight w:val="none"/>
                      <w:lang w:eastAsia="zh-CN"/>
                    </w:rPr>
                    <w:t>—</w:t>
                  </w:r>
                </w:p>
              </w:tc>
              <w:tc>
                <w:tcPr>
                  <w:tcW w:w="0" w:type="auto"/>
                  <w:vAlign w:val="center"/>
                </w:tcPr>
                <w:p w14:paraId="441532AF">
                  <w:pPr>
                    <w:snapToGrid w:val="0"/>
                    <w:spacing w:line="240" w:lineRule="auto"/>
                    <w:ind w:firstLine="0" w:firstLineChars="0"/>
                    <w:jc w:val="center"/>
                    <w:rPr>
                      <w:rFonts w:hint="default" w:ascii="Times New Roman" w:hAnsi="Times New Roman" w:eastAsia="宋体" w:cs="Times New Roman"/>
                      <w:color w:val="auto"/>
                      <w:spacing w:val="-10"/>
                      <w:sz w:val="21"/>
                      <w:szCs w:val="21"/>
                      <w:highlight w:val="none"/>
                      <w:lang w:val="en-US" w:eastAsia="zh-CN"/>
                    </w:rPr>
                  </w:pPr>
                  <w:r>
                    <w:rPr>
                      <w:rFonts w:hint="eastAsia" w:ascii="Times New Roman" w:hAnsi="Times New Roman" w:cs="Times New Roman"/>
                      <w:color w:val="auto"/>
                      <w:spacing w:val="-10"/>
                      <w:sz w:val="21"/>
                      <w:szCs w:val="21"/>
                      <w:highlight w:val="none"/>
                      <w:lang w:val="en-US" w:eastAsia="zh-CN"/>
                    </w:rPr>
                    <w:t>10</w:t>
                  </w:r>
                </w:p>
              </w:tc>
            </w:tr>
            <w:tr w14:paraId="08C6B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0" w:type="auto"/>
                  <w:gridSpan w:val="2"/>
                  <w:vAlign w:val="center"/>
                </w:tcPr>
                <w:p w14:paraId="21233FC8">
                  <w:pPr>
                    <w:snapToGrid w:val="0"/>
                    <w:spacing w:line="240" w:lineRule="auto"/>
                    <w:ind w:firstLine="0" w:firstLineChars="0"/>
                    <w:jc w:val="center"/>
                    <w:rPr>
                      <w:rFonts w:hint="eastAsia" w:eastAsia="宋体"/>
                      <w:color w:val="auto"/>
                      <w:spacing w:val="-10"/>
                      <w:sz w:val="21"/>
                      <w:szCs w:val="21"/>
                      <w:highlight w:val="none"/>
                      <w:lang w:val="en-US" w:eastAsia="zh-CN"/>
                    </w:rPr>
                  </w:pPr>
                  <w:r>
                    <w:rPr>
                      <w:rFonts w:hint="eastAsia"/>
                      <w:color w:val="auto"/>
                      <w:spacing w:val="-10"/>
                      <w:sz w:val="21"/>
                      <w:szCs w:val="21"/>
                      <w:highlight w:val="none"/>
                    </w:rPr>
                    <w:t>无组织排放</w:t>
                  </w:r>
                </w:p>
              </w:tc>
              <w:tc>
                <w:tcPr>
                  <w:tcW w:w="0" w:type="auto"/>
                  <w:vAlign w:val="center"/>
                </w:tcPr>
                <w:p w14:paraId="7985140A">
                  <w:pPr>
                    <w:snapToGrid w:val="0"/>
                    <w:spacing w:line="240" w:lineRule="auto"/>
                    <w:ind w:firstLine="0" w:firstLineChars="0"/>
                    <w:jc w:val="center"/>
                    <w:rPr>
                      <w:color w:val="auto"/>
                      <w:spacing w:val="-10"/>
                      <w:sz w:val="21"/>
                      <w:szCs w:val="21"/>
                      <w:highlight w:val="none"/>
                    </w:rPr>
                  </w:pPr>
                  <w:r>
                    <w:rPr>
                      <w:rFonts w:hint="eastAsia"/>
                      <w:color w:val="auto"/>
                      <w:spacing w:val="-10"/>
                      <w:sz w:val="21"/>
                      <w:szCs w:val="21"/>
                      <w:highlight w:val="none"/>
                    </w:rPr>
                    <w:t>颗粒物</w:t>
                  </w:r>
                </w:p>
              </w:tc>
              <w:tc>
                <w:tcPr>
                  <w:tcW w:w="0" w:type="auto"/>
                  <w:vAlign w:val="center"/>
                </w:tcPr>
                <w:p w14:paraId="563C622E">
                  <w:pPr>
                    <w:snapToGrid w:val="0"/>
                    <w:spacing w:line="240" w:lineRule="auto"/>
                    <w:ind w:firstLine="0" w:firstLineChars="0"/>
                    <w:jc w:val="center"/>
                    <w:rPr>
                      <w:rFonts w:hint="eastAsia"/>
                      <w:color w:val="auto"/>
                      <w:spacing w:val="-10"/>
                      <w:sz w:val="21"/>
                      <w:szCs w:val="21"/>
                      <w:highlight w:val="none"/>
                    </w:rPr>
                  </w:pPr>
                  <w:r>
                    <w:rPr>
                      <w:rFonts w:hint="eastAsia"/>
                      <w:color w:val="auto"/>
                      <w:spacing w:val="-10"/>
                      <w:sz w:val="21"/>
                      <w:szCs w:val="21"/>
                      <w:highlight w:val="none"/>
                    </w:rPr>
                    <w:t>mg/m</w:t>
                  </w:r>
                  <w:r>
                    <w:rPr>
                      <w:rFonts w:hint="eastAsia"/>
                      <w:color w:val="auto"/>
                      <w:spacing w:val="-10"/>
                      <w:sz w:val="21"/>
                      <w:szCs w:val="21"/>
                      <w:highlight w:val="none"/>
                      <w:vertAlign w:val="superscript"/>
                    </w:rPr>
                    <w:t>3</w:t>
                  </w:r>
                </w:p>
              </w:tc>
              <w:tc>
                <w:tcPr>
                  <w:tcW w:w="0" w:type="auto"/>
                  <w:vAlign w:val="center"/>
                </w:tcPr>
                <w:p w14:paraId="62B4B898">
                  <w:pPr>
                    <w:snapToGrid w:val="0"/>
                    <w:spacing w:line="240" w:lineRule="auto"/>
                    <w:ind w:firstLine="0" w:firstLineChars="0"/>
                    <w:jc w:val="center"/>
                    <w:rPr>
                      <w:color w:val="auto"/>
                      <w:spacing w:val="-10"/>
                      <w:sz w:val="21"/>
                      <w:szCs w:val="21"/>
                      <w:highlight w:val="none"/>
                    </w:rPr>
                  </w:pPr>
                  <w:r>
                    <w:rPr>
                      <w:rFonts w:hint="eastAsia"/>
                      <w:color w:val="auto"/>
                      <w:spacing w:val="-10"/>
                      <w:sz w:val="21"/>
                      <w:szCs w:val="21"/>
                      <w:highlight w:val="none"/>
                    </w:rPr>
                    <w:t>1.0</w:t>
                  </w:r>
                </w:p>
              </w:tc>
              <w:tc>
                <w:tcPr>
                  <w:tcW w:w="0" w:type="auto"/>
                  <w:vAlign w:val="center"/>
                </w:tcPr>
                <w:p w14:paraId="0F6C6A00">
                  <w:pPr>
                    <w:snapToGrid w:val="0"/>
                    <w:spacing w:line="240" w:lineRule="auto"/>
                    <w:ind w:firstLine="0" w:firstLineChars="0"/>
                    <w:jc w:val="center"/>
                    <w:rPr>
                      <w:color w:val="auto"/>
                      <w:spacing w:val="-10"/>
                      <w:sz w:val="21"/>
                      <w:szCs w:val="21"/>
                      <w:highlight w:val="none"/>
                    </w:rPr>
                  </w:pPr>
                  <w:r>
                    <w:rPr>
                      <w:rFonts w:hint="eastAsia"/>
                      <w:color w:val="auto"/>
                      <w:spacing w:val="-10"/>
                      <w:sz w:val="21"/>
                      <w:szCs w:val="21"/>
                      <w:highlight w:val="none"/>
                    </w:rPr>
                    <w:t>参照执行《钢铁工业大气污染物超低排放标准》</w:t>
                  </w:r>
                  <w:r>
                    <w:rPr>
                      <w:rFonts w:hint="eastAsia"/>
                      <w:color w:val="auto"/>
                      <w:spacing w:val="-10"/>
                      <w:sz w:val="21"/>
                      <w:szCs w:val="21"/>
                      <w:highlight w:val="none"/>
                      <w:lang w:eastAsia="zh-CN"/>
                    </w:rPr>
                    <w:t>(</w:t>
                  </w:r>
                  <w:r>
                    <w:rPr>
                      <w:color w:val="auto"/>
                      <w:spacing w:val="-10"/>
                      <w:sz w:val="21"/>
                      <w:szCs w:val="21"/>
                      <w:highlight w:val="none"/>
                    </w:rPr>
                    <w:t>DB13/2169-2018)表5无组织排放浓度限值</w:t>
                  </w:r>
                </w:p>
              </w:tc>
              <w:tc>
                <w:tcPr>
                  <w:tcW w:w="423" w:type="dxa"/>
                  <w:vAlign w:val="center"/>
                </w:tcPr>
                <w:p w14:paraId="1E727FE0">
                  <w:pPr>
                    <w:snapToGrid w:val="0"/>
                    <w:spacing w:line="240" w:lineRule="auto"/>
                    <w:ind w:firstLine="0" w:firstLineChars="0"/>
                    <w:jc w:val="center"/>
                    <w:rPr>
                      <w:rFonts w:hint="default" w:eastAsia="宋体"/>
                      <w:color w:val="auto"/>
                      <w:spacing w:val="-10"/>
                      <w:sz w:val="21"/>
                      <w:szCs w:val="21"/>
                      <w:highlight w:val="none"/>
                      <w:lang w:val="en-US" w:eastAsia="zh-CN"/>
                    </w:rPr>
                  </w:pPr>
                  <w:r>
                    <w:rPr>
                      <w:rFonts w:hint="eastAsia"/>
                      <w:color w:val="auto"/>
                      <w:spacing w:val="-10"/>
                      <w:sz w:val="21"/>
                      <w:szCs w:val="21"/>
                      <w:highlight w:val="none"/>
                      <w:lang w:val="en-US" w:eastAsia="zh-CN"/>
                    </w:rPr>
                    <w:t>0.15</w:t>
                  </w:r>
                </w:p>
              </w:tc>
              <w:tc>
                <w:tcPr>
                  <w:tcW w:w="2024" w:type="dxa"/>
                  <w:vAlign w:val="center"/>
                </w:tcPr>
                <w:p w14:paraId="504AD39A">
                  <w:pPr>
                    <w:snapToGrid w:val="0"/>
                    <w:spacing w:line="240" w:lineRule="auto"/>
                    <w:ind w:firstLine="0" w:firstLineChars="0"/>
                    <w:jc w:val="center"/>
                    <w:rPr>
                      <w:rFonts w:hint="eastAsia"/>
                      <w:color w:val="auto"/>
                      <w:spacing w:val="-10"/>
                      <w:sz w:val="21"/>
                      <w:szCs w:val="21"/>
                      <w:highlight w:val="none"/>
                    </w:rPr>
                  </w:pPr>
                  <w:r>
                    <w:rPr>
                      <w:rFonts w:hint="eastAsia" w:ascii="Times New Roman" w:hAnsi="Times New Roman"/>
                      <w:color w:val="auto"/>
                      <w:sz w:val="21"/>
                      <w:szCs w:val="21"/>
                      <w:highlight w:val="none"/>
                      <w:lang w:eastAsia="zh-CN"/>
                    </w:rPr>
                    <w:t>《唐山市人民政府关于执行重点行业大气污染物排放特别要求的通知》(唐政字[2021]82号)</w:t>
                  </w:r>
                </w:p>
              </w:tc>
              <w:tc>
                <w:tcPr>
                  <w:tcW w:w="0" w:type="auto"/>
                  <w:vAlign w:val="center"/>
                </w:tcPr>
                <w:p w14:paraId="5DFA1486">
                  <w:pPr>
                    <w:snapToGrid w:val="0"/>
                    <w:spacing w:line="240" w:lineRule="auto"/>
                    <w:ind w:firstLine="0" w:firstLineChars="0"/>
                    <w:jc w:val="center"/>
                    <w:rPr>
                      <w:rFonts w:hint="default" w:eastAsia="宋体"/>
                      <w:color w:val="auto"/>
                      <w:spacing w:val="-10"/>
                      <w:sz w:val="21"/>
                      <w:szCs w:val="21"/>
                      <w:highlight w:val="none"/>
                      <w:lang w:val="en-US" w:eastAsia="zh-CN"/>
                    </w:rPr>
                  </w:pPr>
                  <w:r>
                    <w:rPr>
                      <w:rFonts w:hint="eastAsia"/>
                      <w:color w:val="auto"/>
                      <w:spacing w:val="-10"/>
                      <w:sz w:val="21"/>
                      <w:szCs w:val="21"/>
                      <w:highlight w:val="none"/>
                      <w:lang w:val="en-US" w:eastAsia="zh-CN"/>
                    </w:rPr>
                    <w:t>0.15</w:t>
                  </w:r>
                </w:p>
              </w:tc>
            </w:tr>
          </w:tbl>
          <w:p w14:paraId="0BC29225">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r>
              <w:rPr>
                <w:rFonts w:hint="eastAsia"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)噪声</w:t>
            </w:r>
          </w:p>
          <w:p w14:paraId="35FE31FF">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营运期噪声排放厂界执行《工业企业厂界环境噪声排放标准》(GB12348-2008)</w:t>
            </w: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类标准。即：</w:t>
            </w: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类：昼间6</w:t>
            </w:r>
            <w:r>
              <w:rPr>
                <w:rFonts w:hint="eastAsia"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dB(A)，夜间5</w:t>
            </w:r>
            <w:r>
              <w:rPr>
                <w:rFonts w:hint="eastAsia"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dB(A)。</w:t>
            </w:r>
          </w:p>
          <w:p w14:paraId="7D214192">
            <w:pPr>
              <w:pStyle w:val="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)固废</w:t>
            </w:r>
          </w:p>
          <w:p w14:paraId="52C3EE2D">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项目产生的固体废物的处理、处置均应满足《排污许可申请与核发技术规范 工业固体废物(试行)》(HJ 1200-2021)中的有关规定要求</w:t>
            </w:r>
            <w:r>
              <w:rPr>
                <w:rFonts w:hint="eastAsia" w:cs="Times New Roman"/>
                <w:color w:val="auto"/>
                <w:sz w:val="21"/>
                <w:szCs w:val="21"/>
                <w:highlight w:val="none"/>
                <w:lang w:val="en-US" w:eastAsia="zh-CN"/>
              </w:rPr>
              <w:t>，</w:t>
            </w:r>
            <w:r>
              <w:rPr>
                <w:color w:val="auto"/>
                <w:sz w:val="21"/>
                <w:szCs w:val="21"/>
                <w:highlight w:val="none"/>
              </w:rPr>
              <w:t>危险废物执行《危险废物贮存污染控制标准》</w:t>
            </w:r>
            <w:r>
              <w:rPr>
                <w:rFonts w:hint="eastAsia"/>
                <w:color w:val="auto"/>
                <w:sz w:val="21"/>
                <w:szCs w:val="21"/>
                <w:highlight w:val="none"/>
                <w:lang w:eastAsia="zh-CN"/>
              </w:rPr>
              <w:t>(</w:t>
            </w:r>
            <w:r>
              <w:rPr>
                <w:color w:val="auto"/>
                <w:sz w:val="21"/>
                <w:szCs w:val="21"/>
                <w:highlight w:val="none"/>
              </w:rPr>
              <w:t>GB18597-20</w:t>
            </w:r>
            <w:r>
              <w:rPr>
                <w:rFonts w:hint="eastAsia"/>
                <w:color w:val="auto"/>
                <w:sz w:val="21"/>
                <w:szCs w:val="21"/>
                <w:highlight w:val="none"/>
                <w:lang w:val="en-US" w:eastAsia="zh-CN"/>
              </w:rPr>
              <w:t>23</w:t>
            </w:r>
            <w:r>
              <w:rPr>
                <w:rFonts w:hint="eastAsia"/>
                <w:color w:val="auto"/>
                <w:sz w:val="21"/>
                <w:szCs w:val="21"/>
                <w:highlight w:val="none"/>
              </w:rPr>
              <w:t>)</w:t>
            </w:r>
            <w:r>
              <w:rPr>
                <w:color w:val="auto"/>
                <w:sz w:val="21"/>
                <w:szCs w:val="21"/>
                <w:highlight w:val="none"/>
              </w:rPr>
              <w:t>的相关规定。</w:t>
            </w:r>
          </w:p>
        </w:tc>
      </w:tr>
      <w:tr w14:paraId="582A0F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581" w:type="dxa"/>
            <w:vAlign w:val="center"/>
          </w:tcPr>
          <w:p w14:paraId="4A2FFC12">
            <w:pPr>
              <w:spacing w:line="240" w:lineRule="auto"/>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总量</w:t>
            </w:r>
          </w:p>
          <w:p w14:paraId="3F5426D4">
            <w:pPr>
              <w:spacing w:line="240" w:lineRule="auto"/>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控制</w:t>
            </w:r>
          </w:p>
          <w:p w14:paraId="603B2ED2">
            <w:pPr>
              <w:spacing w:line="240" w:lineRule="auto"/>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指标</w:t>
            </w:r>
          </w:p>
        </w:tc>
        <w:tc>
          <w:tcPr>
            <w:tcW w:w="8478" w:type="dxa"/>
            <w:vAlign w:val="center"/>
          </w:tcPr>
          <w:p w14:paraId="207721D1">
            <w:pPr>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根据《全国主要污染物排放总量控制计划》、《“十三五”主要污染物总量控制规划编制技术指南》、《建设项目主要污染物排放总量指标审核及管理暂行办法》的通知(环发[2014]197号)、《关于进一步改革和优化建设项目主要污染物排放总量核定工作的通知》(冀环总[2014]283号)等文件的相关要求进行核算，总量控制因子为：COD、NH</w:t>
            </w:r>
            <w:r>
              <w:rPr>
                <w:rFonts w:hint="default" w:ascii="Times New Roman" w:hAnsi="Times New Roman" w:cs="Times New Roman"/>
                <w:color w:val="auto"/>
                <w:sz w:val="21"/>
                <w:szCs w:val="21"/>
                <w:highlight w:val="none"/>
                <w:vertAlign w:val="subscript"/>
              </w:rPr>
              <w:t>3</w:t>
            </w:r>
            <w:r>
              <w:rPr>
                <w:rFonts w:hint="default" w:ascii="Times New Roman" w:hAnsi="Times New Roman" w:cs="Times New Roman"/>
                <w:color w:val="auto"/>
                <w:sz w:val="21"/>
                <w:szCs w:val="21"/>
                <w:highlight w:val="none"/>
              </w:rPr>
              <w:t>-N、SO</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sz w:val="21"/>
                <w:szCs w:val="21"/>
                <w:highlight w:val="none"/>
              </w:rPr>
              <w:t>、NOx。</w:t>
            </w:r>
          </w:p>
          <w:p w14:paraId="5CA5BA1C">
            <w:pPr>
              <w:keepNext w:val="0"/>
              <w:keepLines w:val="0"/>
              <w:widowControl/>
              <w:suppressLineNumbers w:val="0"/>
              <w:jc w:val="left"/>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项目不产生</w:t>
            </w:r>
            <w:r>
              <w:rPr>
                <w:rFonts w:hint="default" w:ascii="Times New Roman" w:hAnsi="Times New Roman" w:cs="Times New Roman"/>
                <w:color w:val="auto"/>
                <w:kern w:val="24"/>
                <w:sz w:val="21"/>
                <w:szCs w:val="21"/>
                <w:highlight w:val="none"/>
              </w:rPr>
              <w:t>SO</w:t>
            </w:r>
            <w:r>
              <w:rPr>
                <w:rFonts w:hint="default" w:ascii="Times New Roman" w:hAnsi="Times New Roman" w:cs="Times New Roman"/>
                <w:color w:val="auto"/>
                <w:kern w:val="24"/>
                <w:sz w:val="21"/>
                <w:szCs w:val="21"/>
                <w:highlight w:val="none"/>
                <w:vertAlign w:val="subscript"/>
              </w:rPr>
              <w:t>2</w:t>
            </w:r>
            <w:r>
              <w:rPr>
                <w:rFonts w:hint="default" w:ascii="Times New Roman" w:hAnsi="Times New Roman" w:cs="Times New Roman"/>
                <w:color w:val="auto"/>
                <w:kern w:val="24"/>
                <w:sz w:val="21"/>
                <w:szCs w:val="21"/>
                <w:highlight w:val="none"/>
              </w:rPr>
              <w:t>和NOx，</w:t>
            </w:r>
            <w:r>
              <w:rPr>
                <w:rFonts w:hint="eastAsia" w:ascii="宋体" w:hAnsi="宋体" w:eastAsia="宋体" w:cs="宋体"/>
                <w:color w:val="auto"/>
                <w:kern w:val="0"/>
                <w:sz w:val="20"/>
                <w:szCs w:val="20"/>
                <w:highlight w:val="none"/>
                <w:lang w:val="en-US" w:eastAsia="zh-CN" w:bidi="ar"/>
              </w:rPr>
              <w:t>项目无废水外排。</w:t>
            </w:r>
          </w:p>
          <w:p w14:paraId="06E2EEBE">
            <w:pPr>
              <w:pStyle w:val="2"/>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确定项目污染物排放总量控制指标核定为：</w:t>
            </w:r>
          </w:p>
          <w:p w14:paraId="37A548BB">
            <w:pPr>
              <w:pStyle w:val="2"/>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COD ：</w:t>
            </w:r>
            <w:r>
              <w:rPr>
                <w:rFonts w:hint="default" w:ascii="Times New Roman" w:hAnsi="Times New Roman" w:cs="Times New Roman"/>
                <w:color w:val="auto"/>
                <w:kern w:val="2"/>
                <w:sz w:val="21"/>
                <w:szCs w:val="21"/>
                <w:highlight w:val="none"/>
                <w:lang w:val="en-US" w:eastAsia="zh-CN" w:bidi="ar-SA"/>
              </w:rPr>
              <w:t>0</w:t>
            </w:r>
            <w:r>
              <w:rPr>
                <w:rFonts w:hint="default" w:ascii="Times New Roman" w:hAnsi="Times New Roman" w:eastAsia="宋体" w:cs="Times New Roman"/>
                <w:color w:val="auto"/>
                <w:kern w:val="2"/>
                <w:sz w:val="21"/>
                <w:szCs w:val="21"/>
                <w:highlight w:val="none"/>
                <w:lang w:val="en-US" w:eastAsia="zh-CN" w:bidi="ar-SA"/>
              </w:rPr>
              <w:t>t/a，NH</w:t>
            </w:r>
            <w:r>
              <w:rPr>
                <w:rFonts w:hint="default" w:ascii="Times New Roman" w:hAnsi="Times New Roman" w:eastAsia="宋体" w:cs="Times New Roman"/>
                <w:color w:val="auto"/>
                <w:kern w:val="2"/>
                <w:sz w:val="21"/>
                <w:szCs w:val="21"/>
                <w:highlight w:val="none"/>
                <w:vertAlign w:val="subscript"/>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-N ：</w:t>
            </w:r>
            <w:r>
              <w:rPr>
                <w:rFonts w:hint="default" w:ascii="Times New Roman" w:hAnsi="Times New Roman" w:cs="Times New Roman"/>
                <w:color w:val="auto"/>
                <w:kern w:val="2"/>
                <w:sz w:val="21"/>
                <w:szCs w:val="21"/>
                <w:highlight w:val="none"/>
                <w:lang w:val="en-US" w:eastAsia="zh-CN" w:bidi="ar-SA"/>
              </w:rPr>
              <w:t>0</w:t>
            </w:r>
            <w:r>
              <w:rPr>
                <w:rFonts w:hint="default" w:ascii="Times New Roman" w:hAnsi="Times New Roman" w:eastAsia="宋体" w:cs="Times New Roman"/>
                <w:color w:val="auto"/>
                <w:kern w:val="2"/>
                <w:sz w:val="21"/>
                <w:szCs w:val="21"/>
                <w:highlight w:val="none"/>
                <w:lang w:val="en-US" w:eastAsia="zh-CN" w:bidi="ar-SA"/>
              </w:rPr>
              <w:t>t/a。</w:t>
            </w:r>
          </w:p>
          <w:p w14:paraId="2555864F">
            <w:pP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2"/>
                <w:sz w:val="21"/>
                <w:szCs w:val="21"/>
                <w:highlight w:val="none"/>
                <w:lang w:val="en-US" w:eastAsia="zh-CN" w:bidi="ar-SA"/>
              </w:rPr>
              <w:t>SO</w:t>
            </w:r>
            <w:r>
              <w:rPr>
                <w:rFonts w:hint="default" w:ascii="Times New Roman" w:hAnsi="Times New Roman" w:eastAsia="宋体" w:cs="Times New Roman"/>
                <w:color w:val="auto"/>
                <w:kern w:val="2"/>
                <w:sz w:val="21"/>
                <w:szCs w:val="21"/>
                <w:highlight w:val="none"/>
                <w:vertAlign w:val="subscript"/>
                <w:lang w:val="en-US" w:eastAsia="zh-CN" w:bidi="ar-SA"/>
              </w:rPr>
              <w:t>2</w:t>
            </w:r>
            <w:r>
              <w:rPr>
                <w:rFonts w:hint="default" w:ascii="Times New Roman" w:hAnsi="Times New Roman" w:eastAsia="宋体" w:cs="Times New Roman"/>
                <w:color w:val="auto"/>
                <w:kern w:val="2"/>
                <w:sz w:val="21"/>
                <w:szCs w:val="21"/>
                <w:highlight w:val="none"/>
                <w:lang w:val="en-US" w:eastAsia="zh-CN" w:bidi="ar-SA"/>
              </w:rPr>
              <w:t>：0t/a，NOx ：0t/a。</w:t>
            </w:r>
          </w:p>
        </w:tc>
      </w:tr>
    </w:tbl>
    <w:p w14:paraId="6591E69A">
      <w:pPr>
        <w:pStyle w:val="77"/>
        <w:numPr>
          <w:ilvl w:val="0"/>
          <w:numId w:val="6"/>
        </w:numPr>
        <w:spacing w:before="0" w:beforeAutospacing="0" w:after="0" w:afterAutospacing="0" w:line="240" w:lineRule="auto"/>
        <w:ind w:firstLine="0" w:firstLineChars="0"/>
        <w:outlineLvl w:val="0"/>
        <w:rPr>
          <w:rFonts w:ascii="Times New Roman" w:hAnsi="Times New Roman" w:eastAsiaTheme="minorEastAsia"/>
          <w:b/>
          <w:bCs/>
          <w:snapToGrid w:val="0"/>
          <w:color w:val="auto"/>
          <w:sz w:val="32"/>
          <w:szCs w:val="32"/>
          <w:highlight w:val="none"/>
        </w:rPr>
      </w:pPr>
      <w:r>
        <w:rPr>
          <w:rFonts w:ascii="Times New Roman" w:hAnsi="Times New Roman" w:eastAsiaTheme="minorEastAsia"/>
          <w:snapToGrid w:val="0"/>
          <w:color w:val="auto"/>
          <w:sz w:val="44"/>
          <w:szCs w:val="44"/>
          <w:highlight w:val="yellow"/>
        </w:rPr>
        <w:br w:type="page"/>
      </w:r>
      <w:r>
        <w:rPr>
          <w:rFonts w:ascii="Times New Roman" w:hAnsi="Times New Roman" w:eastAsiaTheme="minorEastAsia"/>
          <w:b/>
          <w:bCs/>
          <w:snapToGrid w:val="0"/>
          <w:color w:val="auto"/>
          <w:sz w:val="32"/>
          <w:szCs w:val="32"/>
          <w:highlight w:val="none"/>
        </w:rPr>
        <w:t>主要环境影响和保护措施</w:t>
      </w:r>
    </w:p>
    <w:tbl>
      <w:tblPr>
        <w:tblStyle w:val="84"/>
        <w:tblW w:w="5089"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4"/>
        <w:gridCol w:w="8485"/>
      </w:tblGrid>
      <w:tr w14:paraId="3371E7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357" w:type="pct"/>
            <w:tcMar>
              <w:left w:w="28" w:type="dxa"/>
              <w:right w:w="28" w:type="dxa"/>
            </w:tcMar>
            <w:vAlign w:val="center"/>
          </w:tcPr>
          <w:p w14:paraId="63F901B8">
            <w:pPr>
              <w:spacing w:line="240" w:lineRule="auto"/>
              <w:ind w:firstLine="0" w:firstLineChars="0"/>
              <w:jc w:val="center"/>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color w:val="auto"/>
                <w:sz w:val="21"/>
                <w:szCs w:val="21"/>
                <w:highlight w:val="none"/>
              </w:rPr>
              <w:t>施</w:t>
            </w:r>
            <w:r>
              <w:rPr>
                <w:rFonts w:hint="default" w:ascii="Times New Roman" w:hAnsi="Times New Roman" w:cs="Times New Roman"/>
                <w:color w:val="auto"/>
                <w:sz w:val="21"/>
                <w:szCs w:val="21"/>
                <w:highlight w:val="none"/>
              </w:rPr>
              <w:t>工期环境保护措施</w:t>
            </w:r>
          </w:p>
        </w:tc>
        <w:tc>
          <w:tcPr>
            <w:tcW w:w="4642" w:type="pct"/>
            <w:vAlign w:val="center"/>
          </w:tcPr>
          <w:p w14:paraId="32CF5095">
            <w:pPr>
              <w:pStyle w:val="161"/>
              <w:keepNext w:val="0"/>
              <w:keepLines w:val="0"/>
              <w:pageBreakBefore w:val="0"/>
              <w:kinsoku/>
              <w:wordWrap/>
              <w:overflowPunct/>
              <w:topLinePunct w:val="0"/>
              <w:bidi w:val="0"/>
              <w:spacing w:line="360" w:lineRule="auto"/>
              <w:ind w:firstLine="489"/>
              <w:textAlignment w:val="auto"/>
              <w:rPr>
                <w:rFonts w:hint="default" w:eastAsia="宋体" w:cs="Times New Roman"/>
                <w:color w:val="auto"/>
                <w:highlight w:val="none"/>
                <w:lang w:val="en-US" w:eastAsia="zh-CN"/>
              </w:rPr>
            </w:pPr>
            <w:r>
              <w:rPr>
                <w:rFonts w:hint="eastAsia"/>
                <w:color w:val="auto"/>
                <w:sz w:val="21"/>
                <w:szCs w:val="21"/>
                <w:highlight w:val="none"/>
              </w:rPr>
              <w:t>项目利用</w:t>
            </w:r>
            <w:r>
              <w:rPr>
                <w:rFonts w:hint="eastAsia"/>
                <w:color w:val="auto"/>
                <w:sz w:val="21"/>
                <w:szCs w:val="21"/>
                <w:highlight w:val="none"/>
                <w:lang w:eastAsia="zh-CN"/>
              </w:rPr>
              <w:t>现有</w:t>
            </w:r>
            <w:r>
              <w:rPr>
                <w:rFonts w:hint="eastAsia"/>
                <w:color w:val="auto"/>
                <w:sz w:val="21"/>
                <w:szCs w:val="21"/>
                <w:highlight w:val="none"/>
              </w:rPr>
              <w:t>的车间，项目利用</w:t>
            </w:r>
            <w:r>
              <w:rPr>
                <w:rFonts w:hint="eastAsia"/>
                <w:color w:val="auto"/>
                <w:sz w:val="21"/>
                <w:szCs w:val="21"/>
                <w:highlight w:val="none"/>
                <w:lang w:eastAsia="zh-CN"/>
              </w:rPr>
              <w:t>现有</w:t>
            </w:r>
            <w:r>
              <w:rPr>
                <w:rFonts w:hint="eastAsia"/>
                <w:color w:val="auto"/>
                <w:sz w:val="21"/>
                <w:szCs w:val="21"/>
                <w:highlight w:val="none"/>
              </w:rPr>
              <w:t>的车间，施工期对环境的影响主要为设备安装过程产生的噪声</w:t>
            </w:r>
            <w:r>
              <w:rPr>
                <w:rFonts w:hint="eastAsia"/>
                <w:color w:val="auto"/>
                <w:sz w:val="21"/>
                <w:szCs w:val="21"/>
                <w:highlight w:val="none"/>
                <w:lang w:val="en-US" w:eastAsia="zh-CN"/>
              </w:rPr>
              <w:t>和安装产生的固废</w:t>
            </w:r>
            <w:r>
              <w:rPr>
                <w:rFonts w:hint="eastAsia"/>
                <w:color w:val="auto"/>
                <w:sz w:val="21"/>
                <w:szCs w:val="21"/>
                <w:highlight w:val="none"/>
              </w:rPr>
              <w:t>，施工噪声随着施工结束而消失，</w:t>
            </w:r>
            <w:r>
              <w:rPr>
                <w:rFonts w:cs="Times New Roman"/>
                <w:color w:val="auto"/>
                <w:highlight w:val="none"/>
              </w:rPr>
              <w:t>建设单位应要求施工单位选用低噪声机械设备，在施工中有专人对其进行维护保养，并对设备使用人员进行培训，严格按操作规范使用各类机械</w:t>
            </w:r>
            <w:r>
              <w:rPr>
                <w:rFonts w:hint="eastAsia" w:cs="Times New Roman"/>
                <w:color w:val="auto"/>
                <w:highlight w:val="none"/>
                <w:lang w:eastAsia="zh-CN"/>
              </w:rPr>
              <w:t>，</w:t>
            </w:r>
            <w:r>
              <w:rPr>
                <w:rFonts w:hint="eastAsia" w:cs="Times New Roman"/>
                <w:color w:val="auto"/>
                <w:highlight w:val="none"/>
                <w:lang w:val="en-US" w:eastAsia="zh-CN"/>
              </w:rPr>
              <w:t>施工时关闭生产车间的大门</w:t>
            </w:r>
            <w:r>
              <w:rPr>
                <w:rFonts w:cs="Times New Roman"/>
                <w:color w:val="auto"/>
                <w:highlight w:val="none"/>
              </w:rPr>
              <w:t>，减轻施工噪声对外环境的影响</w:t>
            </w:r>
            <w:r>
              <w:rPr>
                <w:rFonts w:hint="eastAsia" w:cs="Times New Roman"/>
                <w:color w:val="auto"/>
                <w:highlight w:val="none"/>
                <w:lang w:eastAsia="zh-CN"/>
              </w:rPr>
              <w:t>，</w:t>
            </w:r>
            <w:r>
              <w:rPr>
                <w:rFonts w:hint="eastAsia" w:cs="Times New Roman"/>
                <w:color w:val="auto"/>
                <w:highlight w:val="none"/>
                <w:lang w:val="en-US" w:eastAsia="zh-CN"/>
              </w:rPr>
              <w:t>合理安排施工时间，避免在</w:t>
            </w:r>
            <w:r>
              <w:rPr>
                <w:rFonts w:hint="default" w:ascii="Times New Roman" w:hAnsi="Times New Roman" w:cs="Times New Roman"/>
                <w:color w:val="auto"/>
                <w:highlight w:val="none"/>
              </w:rPr>
              <w:t>中午12:00～14:00和夜间22:00～次日6:00进行施工作业</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lang w:val="en-US" w:eastAsia="zh-CN"/>
              </w:rPr>
              <w:t>施工产生的固废</w:t>
            </w:r>
            <w:r>
              <w:rPr>
                <w:rFonts w:hint="eastAsia" w:cs="Times New Roman"/>
                <w:color w:val="auto"/>
                <w:highlight w:val="none"/>
              </w:rPr>
              <w:t>运送至城市主管部门指定位置处置，运输过程</w:t>
            </w:r>
            <w:r>
              <w:rPr>
                <w:rFonts w:hint="eastAsia" w:cs="Times New Roman"/>
                <w:color w:val="auto"/>
                <w:highlight w:val="none"/>
                <w:lang w:val="en-US" w:eastAsia="zh-CN"/>
              </w:rPr>
              <w:t>进行</w:t>
            </w:r>
            <w:r>
              <w:rPr>
                <w:rFonts w:hint="eastAsia" w:cs="Times New Roman"/>
                <w:color w:val="auto"/>
                <w:highlight w:val="none"/>
              </w:rPr>
              <w:t>遮盖。</w:t>
            </w:r>
          </w:p>
          <w:p w14:paraId="3DCB6ADB">
            <w:pPr>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项目</w:t>
            </w:r>
            <w:r>
              <w:rPr>
                <w:rFonts w:hint="eastAsia"/>
                <w:color w:val="auto"/>
                <w:sz w:val="21"/>
                <w:szCs w:val="21"/>
                <w:highlight w:val="none"/>
              </w:rPr>
              <w:t>施工期短，施工期对周边环境影响很小。</w:t>
            </w:r>
          </w:p>
        </w:tc>
      </w:tr>
      <w:tr w14:paraId="0F6DE6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7" w:type="pct"/>
            <w:tcMar>
              <w:left w:w="28" w:type="dxa"/>
              <w:right w:w="28" w:type="dxa"/>
            </w:tcMar>
            <w:vAlign w:val="center"/>
          </w:tcPr>
          <w:p w14:paraId="3FFFDDC4">
            <w:pPr>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运营</w:t>
            </w:r>
          </w:p>
          <w:p w14:paraId="21240EEB">
            <w:pPr>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期环</w:t>
            </w:r>
          </w:p>
          <w:p w14:paraId="7052A1FD">
            <w:pPr>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境影</w:t>
            </w:r>
          </w:p>
          <w:p w14:paraId="6FCED0A7">
            <w:pPr>
              <w:spacing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响和</w:t>
            </w:r>
          </w:p>
          <w:p w14:paraId="1C4E0C79">
            <w:pPr>
              <w:pStyle w:val="77"/>
              <w:spacing w:before="0" w:beforeAutospacing="0" w:after="0" w:afterAutospacing="0" w:line="240" w:lineRule="auto"/>
              <w:ind w:firstLine="0" w:firstLineChars="0"/>
              <w:jc w:val="center"/>
              <w:rPr>
                <w:rFonts w:hint="default" w:ascii="Times New Roman" w:hAnsi="Times New Roman" w:cs="Times New Roman" w:eastAsiaTheme="minorEastAsia"/>
                <w:color w:val="auto"/>
                <w:kern w:val="2"/>
                <w:sz w:val="21"/>
                <w:szCs w:val="21"/>
                <w:highlight w:val="none"/>
              </w:rPr>
            </w:pPr>
            <w:r>
              <w:rPr>
                <w:rFonts w:hint="default" w:ascii="Times New Roman" w:hAnsi="Times New Roman" w:cs="Times New Roman"/>
                <w:color w:val="auto"/>
                <w:sz w:val="21"/>
                <w:szCs w:val="21"/>
                <w:highlight w:val="none"/>
              </w:rPr>
              <w:t>保护措施</w:t>
            </w:r>
          </w:p>
        </w:tc>
        <w:tc>
          <w:tcPr>
            <w:tcW w:w="4642" w:type="pct"/>
            <w:vAlign w:val="center"/>
          </w:tcPr>
          <w:p w14:paraId="5C4AB73B">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1、废气治理措施及影响分析</w:t>
            </w:r>
          </w:p>
          <w:p w14:paraId="3FEB040E">
            <w:pPr>
              <w:adjustRightInd w:val="0"/>
              <w:snapToGrid w:val="0"/>
              <w:ind w:firstLine="480"/>
              <w:rPr>
                <w:rFonts w:hint="eastAsia"/>
                <w:color w:val="auto"/>
                <w:sz w:val="21"/>
                <w:szCs w:val="21"/>
                <w:highlight w:val="none"/>
                <w:lang w:eastAsia="zh-CN"/>
              </w:rPr>
            </w:pPr>
            <w:r>
              <w:rPr>
                <w:color w:val="auto"/>
                <w:sz w:val="21"/>
                <w:szCs w:val="21"/>
                <w:highlight w:val="none"/>
              </w:rPr>
              <w:t>本项目运营期废气污染物主要为</w:t>
            </w:r>
            <w:r>
              <w:rPr>
                <w:rFonts w:hint="eastAsia"/>
                <w:color w:val="auto"/>
                <w:sz w:val="21"/>
                <w:szCs w:val="21"/>
                <w:highlight w:val="none"/>
              </w:rPr>
              <w:t>原料</w:t>
            </w:r>
            <w:r>
              <w:rPr>
                <w:rFonts w:hint="eastAsia"/>
                <w:color w:val="auto"/>
                <w:sz w:val="21"/>
                <w:szCs w:val="21"/>
                <w:highlight w:val="none"/>
                <w:lang w:eastAsia="zh-CN"/>
              </w:rPr>
              <w:t>、</w:t>
            </w:r>
            <w:r>
              <w:rPr>
                <w:rFonts w:hint="eastAsia"/>
                <w:color w:val="auto"/>
                <w:sz w:val="21"/>
                <w:szCs w:val="21"/>
                <w:highlight w:val="none"/>
                <w:lang w:val="en-US" w:eastAsia="zh-CN"/>
              </w:rPr>
              <w:t>半成品、</w:t>
            </w:r>
            <w:r>
              <w:rPr>
                <w:rFonts w:hint="eastAsia" w:cs="Times New Roman"/>
                <w:color w:val="auto"/>
                <w:kern w:val="2"/>
                <w:sz w:val="21"/>
                <w:szCs w:val="21"/>
                <w:highlight w:val="none"/>
                <w:lang w:val="en-US" w:eastAsia="zh-CN"/>
              </w:rPr>
              <w:t>半成品筛分筛下物、</w:t>
            </w:r>
            <w:r>
              <w:rPr>
                <w:rFonts w:hint="eastAsia"/>
                <w:color w:val="auto"/>
                <w:sz w:val="21"/>
                <w:szCs w:val="21"/>
                <w:highlight w:val="none"/>
                <w:lang w:val="en-US" w:eastAsia="zh-CN"/>
              </w:rPr>
              <w:t>大粒径物料</w:t>
            </w:r>
            <w:r>
              <w:rPr>
                <w:rFonts w:hint="eastAsia"/>
                <w:color w:val="auto"/>
                <w:sz w:val="21"/>
                <w:szCs w:val="21"/>
                <w:highlight w:val="none"/>
              </w:rPr>
              <w:t>装卸和堆存过程中产生的颗粒物废气，</w:t>
            </w:r>
            <w:r>
              <w:rPr>
                <w:rFonts w:hint="eastAsia"/>
                <w:color w:val="auto"/>
                <w:sz w:val="21"/>
                <w:szCs w:val="21"/>
                <w:highlight w:val="none"/>
                <w:lang w:val="en-US" w:eastAsia="zh-CN"/>
              </w:rPr>
              <w:t>原料入料、粘合剂入料、物料筛分搅拌过程，半成品上料、筛分过程筛分区入料、筛分过程，</w:t>
            </w:r>
            <w:r>
              <w:rPr>
                <w:rFonts w:hint="eastAsia"/>
                <w:color w:val="auto"/>
                <w:sz w:val="21"/>
                <w:szCs w:val="21"/>
                <w:highlight w:val="none"/>
              </w:rPr>
              <w:t>其中原料</w:t>
            </w:r>
            <w:r>
              <w:rPr>
                <w:rFonts w:hint="eastAsia"/>
                <w:color w:val="auto"/>
                <w:sz w:val="21"/>
                <w:szCs w:val="21"/>
                <w:highlight w:val="none"/>
                <w:lang w:eastAsia="zh-CN"/>
              </w:rPr>
              <w:t>、</w:t>
            </w:r>
            <w:r>
              <w:rPr>
                <w:rFonts w:hint="eastAsia"/>
                <w:color w:val="auto"/>
                <w:sz w:val="21"/>
                <w:szCs w:val="21"/>
                <w:highlight w:val="none"/>
                <w:lang w:val="en-US" w:eastAsia="zh-CN"/>
              </w:rPr>
              <w:t>半成品、</w:t>
            </w:r>
            <w:r>
              <w:rPr>
                <w:rFonts w:hint="eastAsia" w:cs="Times New Roman"/>
                <w:color w:val="auto"/>
                <w:kern w:val="2"/>
                <w:sz w:val="21"/>
                <w:szCs w:val="21"/>
                <w:highlight w:val="none"/>
                <w:lang w:val="en-US" w:eastAsia="zh-CN"/>
              </w:rPr>
              <w:t>半成品筛分筛下物、</w:t>
            </w:r>
            <w:r>
              <w:rPr>
                <w:rFonts w:hint="eastAsia"/>
                <w:color w:val="auto"/>
                <w:sz w:val="21"/>
                <w:szCs w:val="21"/>
                <w:highlight w:val="none"/>
                <w:lang w:val="en-US" w:eastAsia="zh-CN"/>
              </w:rPr>
              <w:t>大粒径物料</w:t>
            </w:r>
            <w:r>
              <w:rPr>
                <w:rFonts w:hint="eastAsia"/>
                <w:color w:val="auto"/>
                <w:sz w:val="21"/>
                <w:szCs w:val="21"/>
                <w:highlight w:val="none"/>
              </w:rPr>
              <w:t>装卸和堆存在封闭库房内进行，并设置喷雾抑</w:t>
            </w:r>
            <w:r>
              <w:rPr>
                <w:rFonts w:hint="eastAsia"/>
                <w:color w:val="auto"/>
                <w:sz w:val="21"/>
                <w:szCs w:val="21"/>
                <w:highlight w:val="none"/>
                <w:lang w:eastAsia="zh-CN"/>
              </w:rPr>
              <w:t>尘装置；</w:t>
            </w:r>
            <w:r>
              <w:rPr>
                <w:rFonts w:hint="eastAsia"/>
                <w:color w:val="auto"/>
                <w:sz w:val="21"/>
                <w:szCs w:val="21"/>
                <w:highlight w:val="none"/>
                <w:lang w:val="en-US" w:eastAsia="zh-CN"/>
              </w:rPr>
              <w:t>原料入料、粘合剂入料、物料筛分搅拌，半成品上料、筛分处</w:t>
            </w:r>
            <w:r>
              <w:rPr>
                <w:rFonts w:hint="eastAsia" w:cs="Times New Roman" w:eastAsiaTheme="minorEastAsia"/>
                <w:color w:val="auto"/>
                <w:sz w:val="21"/>
                <w:szCs w:val="21"/>
                <w:highlight w:val="none"/>
                <w:lang w:val="en-US" w:eastAsia="zh-CN"/>
              </w:rPr>
              <w:t>采用集气装置将废气收集后</w:t>
            </w:r>
            <w:r>
              <w:rPr>
                <w:rFonts w:hint="eastAsia"/>
                <w:color w:val="auto"/>
                <w:sz w:val="21"/>
                <w:szCs w:val="21"/>
                <w:highlight w:val="none"/>
                <w:lang w:val="en-US" w:eastAsia="zh-CN"/>
              </w:rPr>
              <w:t>依托现有质检筛分除尘</w:t>
            </w:r>
            <w:r>
              <w:rPr>
                <w:rFonts w:hint="eastAsia"/>
                <w:color w:val="auto"/>
                <w:sz w:val="21"/>
                <w:szCs w:val="21"/>
                <w:highlight w:val="none"/>
                <w:lang w:eastAsia="zh-CN"/>
              </w:rPr>
              <w:t>处理后由</w:t>
            </w:r>
            <w:r>
              <w:rPr>
                <w:rFonts w:hint="eastAsia"/>
                <w:color w:val="auto"/>
                <w:sz w:val="21"/>
                <w:szCs w:val="21"/>
                <w:highlight w:val="none"/>
                <w:lang w:val="en-US" w:eastAsia="zh-CN"/>
              </w:rPr>
              <w:t>24</w:t>
            </w:r>
            <w:r>
              <w:rPr>
                <w:rFonts w:hint="eastAsia"/>
                <w:color w:val="auto"/>
                <w:sz w:val="21"/>
                <w:szCs w:val="21"/>
                <w:highlight w:val="none"/>
                <w:lang w:eastAsia="zh-CN"/>
              </w:rPr>
              <w:t>m高排气筒排放。</w:t>
            </w:r>
          </w:p>
          <w:p w14:paraId="6B92B6BA">
            <w:pPr>
              <w:adjustRightInd w:val="0"/>
              <w:snapToGrid w:val="0"/>
              <w:ind w:firstLine="480"/>
              <w:rPr>
                <w:color w:val="auto"/>
                <w:sz w:val="21"/>
                <w:szCs w:val="21"/>
                <w:highlight w:val="none"/>
              </w:rPr>
            </w:pPr>
            <w:r>
              <w:rPr>
                <w:rFonts w:hint="eastAsia"/>
                <w:color w:val="auto"/>
                <w:sz w:val="21"/>
                <w:szCs w:val="21"/>
                <w:highlight w:val="none"/>
                <w:lang w:val="en-US" w:eastAsia="zh-CN"/>
              </w:rPr>
              <w:t>1.1</w:t>
            </w:r>
            <w:r>
              <w:rPr>
                <w:rFonts w:hint="eastAsia"/>
                <w:color w:val="auto"/>
                <w:sz w:val="21"/>
                <w:szCs w:val="21"/>
                <w:highlight w:val="none"/>
              </w:rPr>
              <w:t>废气源强</w:t>
            </w:r>
          </w:p>
          <w:p w14:paraId="22B179EB">
            <w:pPr>
              <w:widowControl/>
              <w:ind w:firstLine="480"/>
              <w:jc w:val="both"/>
              <w:rPr>
                <w:color w:val="auto"/>
                <w:sz w:val="21"/>
                <w:szCs w:val="21"/>
                <w:highlight w:val="none"/>
              </w:rPr>
            </w:pPr>
            <w:r>
              <w:rPr>
                <w:rFonts w:hint="eastAsia"/>
                <w:color w:val="auto"/>
                <w:sz w:val="21"/>
                <w:szCs w:val="21"/>
                <w:highlight w:val="none"/>
                <w:lang w:val="en-US" w:eastAsia="zh-CN"/>
              </w:rPr>
              <w:t>1.1.1</w:t>
            </w:r>
            <w:r>
              <w:rPr>
                <w:rFonts w:hint="eastAsia"/>
                <w:color w:val="auto"/>
                <w:sz w:val="21"/>
                <w:szCs w:val="21"/>
                <w:highlight w:val="none"/>
              </w:rPr>
              <w:t>有组织源强核算</w:t>
            </w:r>
          </w:p>
          <w:p w14:paraId="686A644C">
            <w:pPr>
              <w:widowControl/>
              <w:ind w:firstLine="480"/>
              <w:jc w:val="both"/>
              <w:rPr>
                <w:color w:val="auto"/>
                <w:sz w:val="21"/>
                <w:szCs w:val="21"/>
                <w:highlight w:val="none"/>
              </w:rPr>
            </w:pPr>
            <w:r>
              <w:rPr>
                <w:rFonts w:hint="eastAsia"/>
                <w:color w:val="auto"/>
                <w:sz w:val="21"/>
                <w:szCs w:val="21"/>
                <w:highlight w:val="none"/>
                <w:lang w:val="en-US" w:eastAsia="zh-CN"/>
              </w:rPr>
              <w:t>原料入料、粘合剂入料、物料筛分搅拌，半成品上料、筛分过程中</w:t>
            </w:r>
            <w:r>
              <w:rPr>
                <w:rFonts w:hint="eastAsia"/>
                <w:color w:val="auto"/>
                <w:sz w:val="21"/>
                <w:szCs w:val="21"/>
                <w:highlight w:val="none"/>
              </w:rPr>
              <w:t>产生的颗粒物废气</w:t>
            </w:r>
          </w:p>
          <w:p w14:paraId="30713859">
            <w:pPr>
              <w:widowControl/>
              <w:ind w:firstLine="480"/>
              <w:jc w:val="both"/>
              <w:rPr>
                <w:rFonts w:hint="default"/>
                <w:color w:val="auto"/>
                <w:highlight w:val="none"/>
                <w:lang w:val="en-US" w:eastAsia="zh-CN"/>
              </w:rPr>
            </w:pPr>
            <w:r>
              <w:rPr>
                <w:rFonts w:hint="eastAsia"/>
                <w:color w:val="auto"/>
                <w:sz w:val="21"/>
                <w:szCs w:val="21"/>
                <w:highlight w:val="none"/>
                <w:lang w:val="en-US" w:eastAsia="zh-CN"/>
              </w:rPr>
              <w:t>根据《排放源统计调查产排污核算方法和系数手册》中的“42废弃资源综合利用行业手册”，同时结合物料性质，原料入料、粘合剂入料、物料筛分搅拌过</w:t>
            </w:r>
            <w:r>
              <w:rPr>
                <w:rFonts w:hint="eastAsia"/>
                <w:color w:val="auto"/>
                <w:sz w:val="21"/>
                <w:szCs w:val="21"/>
                <w:highlight w:val="none"/>
                <w:lang w:eastAsia="zh-CN"/>
              </w:rPr>
              <w:t>程产生的颗粒物</w:t>
            </w:r>
            <w:r>
              <w:rPr>
                <w:rFonts w:hint="eastAsia"/>
                <w:color w:val="auto"/>
                <w:sz w:val="21"/>
                <w:szCs w:val="21"/>
                <w:highlight w:val="none"/>
                <w:lang w:val="en-US" w:eastAsia="zh-CN"/>
              </w:rPr>
              <w:t>按400克/吨-干原料计算</w:t>
            </w:r>
            <w:r>
              <w:rPr>
                <w:rFonts w:hint="eastAsia"/>
                <w:color w:val="auto"/>
                <w:sz w:val="21"/>
                <w:szCs w:val="21"/>
                <w:highlight w:val="none"/>
                <w:lang w:eastAsia="zh-CN"/>
              </w:rPr>
              <w:t>，</w:t>
            </w:r>
            <w:r>
              <w:rPr>
                <w:rFonts w:hint="eastAsia"/>
                <w:color w:val="auto"/>
                <w:sz w:val="21"/>
                <w:szCs w:val="21"/>
                <w:highlight w:val="none"/>
                <w:lang w:val="en-US" w:eastAsia="zh-CN"/>
              </w:rPr>
              <w:t>原料量为10.58万t，半成品筛分返料0.1万t/a，大粒径物料破碎返料1.5万t/a，</w:t>
            </w:r>
            <w:r>
              <w:rPr>
                <w:rFonts w:hint="eastAsia"/>
                <w:color w:val="auto"/>
                <w:sz w:val="21"/>
                <w:szCs w:val="21"/>
                <w:highlight w:val="none"/>
                <w:lang w:eastAsia="zh-CN"/>
              </w:rPr>
              <w:t>则</w:t>
            </w:r>
            <w:r>
              <w:rPr>
                <w:rFonts w:hint="eastAsia"/>
                <w:color w:val="auto"/>
                <w:sz w:val="21"/>
                <w:szCs w:val="21"/>
                <w:highlight w:val="none"/>
              </w:rPr>
              <w:t>颗粒物的产生量</w:t>
            </w:r>
            <w:r>
              <w:rPr>
                <w:rFonts w:hint="eastAsia"/>
                <w:color w:val="auto"/>
                <w:sz w:val="21"/>
                <w:szCs w:val="21"/>
                <w:highlight w:val="none"/>
                <w:lang w:val="en-US" w:eastAsia="zh-CN"/>
              </w:rPr>
              <w:t>48.72</w:t>
            </w:r>
            <w:r>
              <w:rPr>
                <w:color w:val="auto"/>
                <w:sz w:val="21"/>
                <w:szCs w:val="21"/>
                <w:highlight w:val="none"/>
              </w:rPr>
              <w:t>t/a</w:t>
            </w:r>
            <w:r>
              <w:rPr>
                <w:rFonts w:hint="eastAsia"/>
                <w:color w:val="auto"/>
                <w:sz w:val="21"/>
                <w:szCs w:val="21"/>
                <w:highlight w:val="none"/>
                <w:lang w:eastAsia="zh-CN"/>
              </w:rPr>
              <w:t>(</w:t>
            </w:r>
            <w:r>
              <w:rPr>
                <w:rFonts w:hint="eastAsia"/>
                <w:color w:val="auto"/>
                <w:sz w:val="21"/>
                <w:szCs w:val="21"/>
                <w:highlight w:val="none"/>
                <w:lang w:val="en-US" w:eastAsia="zh-CN"/>
              </w:rPr>
              <w:t>6.767</w:t>
            </w:r>
            <w:r>
              <w:rPr>
                <w:rFonts w:hint="eastAsia"/>
                <w:color w:val="auto"/>
                <w:sz w:val="21"/>
                <w:szCs w:val="21"/>
                <w:highlight w:val="none"/>
              </w:rPr>
              <w:t>kg/h)</w:t>
            </w:r>
            <w:r>
              <w:rPr>
                <w:rFonts w:hint="eastAsia"/>
                <w:color w:val="auto"/>
                <w:sz w:val="21"/>
                <w:szCs w:val="21"/>
                <w:highlight w:val="none"/>
                <w:lang w:eastAsia="zh-CN"/>
              </w:rPr>
              <w:t>；</w:t>
            </w:r>
            <w:r>
              <w:rPr>
                <w:rFonts w:hint="eastAsia"/>
                <w:color w:val="auto"/>
                <w:sz w:val="21"/>
                <w:szCs w:val="21"/>
                <w:highlight w:val="none"/>
                <w:lang w:val="en-US" w:eastAsia="zh-CN"/>
              </w:rPr>
              <w:t>半成品上料、筛分过程中</w:t>
            </w:r>
            <w:r>
              <w:rPr>
                <w:rFonts w:hint="eastAsia"/>
                <w:color w:val="auto"/>
                <w:sz w:val="21"/>
                <w:szCs w:val="21"/>
                <w:highlight w:val="none"/>
              </w:rPr>
              <w:t>产生</w:t>
            </w:r>
            <w:r>
              <w:rPr>
                <w:rFonts w:hint="eastAsia"/>
                <w:color w:val="auto"/>
                <w:sz w:val="21"/>
                <w:szCs w:val="21"/>
                <w:highlight w:val="none"/>
                <w:lang w:eastAsia="zh-CN"/>
              </w:rPr>
              <w:t>的颗粒物</w:t>
            </w:r>
            <w:r>
              <w:rPr>
                <w:rFonts w:hint="eastAsia"/>
                <w:color w:val="auto"/>
                <w:sz w:val="21"/>
                <w:szCs w:val="21"/>
                <w:highlight w:val="none"/>
                <w:lang w:val="en-US" w:eastAsia="zh-CN"/>
              </w:rPr>
              <w:t>按250克/吨-原料计算，</w:t>
            </w:r>
            <w:r>
              <w:rPr>
                <w:rFonts w:hint="eastAsia"/>
                <w:color w:val="auto"/>
              </w:rPr>
              <w:t>原料量为10.9万t，则颗粒物的产生量27.25</w:t>
            </w:r>
            <w:r>
              <w:rPr>
                <w:color w:val="auto"/>
              </w:rPr>
              <w:t>t/a</w:t>
            </w:r>
            <w:r>
              <w:rPr>
                <w:rFonts w:hint="eastAsia"/>
                <w:color w:val="auto"/>
              </w:rPr>
              <w:t>(3.785kg/h)，合计为</w:t>
            </w:r>
            <w:r>
              <w:rPr>
                <w:rFonts w:hint="eastAsia"/>
                <w:color w:val="auto"/>
                <w:lang w:val="en-US" w:eastAsia="zh-CN"/>
              </w:rPr>
              <w:t>75.97</w:t>
            </w:r>
            <w:r>
              <w:rPr>
                <w:rFonts w:hint="eastAsia"/>
                <w:color w:val="auto"/>
              </w:rPr>
              <w:t>t/a(</w:t>
            </w:r>
            <w:r>
              <w:rPr>
                <w:rFonts w:hint="eastAsia"/>
                <w:color w:val="auto"/>
                <w:lang w:val="en-US" w:eastAsia="zh-CN"/>
              </w:rPr>
              <w:t>10.552</w:t>
            </w:r>
            <w:r>
              <w:rPr>
                <w:rFonts w:hint="eastAsia"/>
                <w:color w:val="auto"/>
              </w:rPr>
              <w:t>kg/h)。</w:t>
            </w:r>
            <w:r>
              <w:rPr>
                <w:rFonts w:hint="eastAsia"/>
                <w:color w:val="auto"/>
                <w:sz w:val="21"/>
                <w:szCs w:val="21"/>
                <w:highlight w:val="none"/>
                <w:lang w:val="en-US" w:eastAsia="zh-CN"/>
              </w:rPr>
              <w:t>项目年工作时间为7200h。</w:t>
            </w:r>
          </w:p>
          <w:p w14:paraId="51A9E9F6">
            <w:pPr>
              <w:widowControl/>
              <w:ind w:firstLine="480"/>
              <w:jc w:val="both"/>
              <w:rPr>
                <w:rFonts w:hint="eastAsia" w:eastAsia="宋体"/>
                <w:color w:val="auto"/>
                <w:sz w:val="21"/>
                <w:szCs w:val="21"/>
                <w:highlight w:val="none"/>
                <w:lang w:eastAsia="zh-CN"/>
              </w:rPr>
            </w:pPr>
            <w:r>
              <w:rPr>
                <w:rFonts w:hint="eastAsia"/>
                <w:color w:val="auto"/>
                <w:sz w:val="21"/>
                <w:szCs w:val="21"/>
                <w:highlight w:val="none"/>
              </w:rPr>
              <w:t>在</w:t>
            </w:r>
            <w:r>
              <w:rPr>
                <w:rFonts w:hint="eastAsia"/>
                <w:color w:val="auto"/>
                <w:sz w:val="21"/>
                <w:szCs w:val="21"/>
                <w:highlight w:val="none"/>
                <w:lang w:val="en-US" w:eastAsia="zh-CN"/>
              </w:rPr>
              <w:t>原料</w:t>
            </w:r>
            <w:r>
              <w:rPr>
                <w:rFonts w:hint="eastAsia"/>
                <w:color w:val="auto"/>
                <w:sz w:val="21"/>
                <w:szCs w:val="21"/>
                <w:highlight w:val="none"/>
              </w:rPr>
              <w:t>入料口、</w:t>
            </w:r>
            <w:r>
              <w:rPr>
                <w:rFonts w:hint="eastAsia"/>
                <w:color w:val="auto"/>
                <w:sz w:val="21"/>
                <w:szCs w:val="21"/>
                <w:highlight w:val="none"/>
                <w:lang w:val="en-US" w:eastAsia="zh-CN"/>
              </w:rPr>
              <w:t>粘合剂入料口、筛分搅拌处、半成品上料口、筛分处用</w:t>
            </w:r>
            <w:r>
              <w:rPr>
                <w:rFonts w:hint="eastAsia"/>
                <w:color w:val="auto"/>
                <w:sz w:val="21"/>
                <w:szCs w:val="21"/>
                <w:highlight w:val="none"/>
              </w:rPr>
              <w:t>集气罩将产生的废气进行收集</w:t>
            </w:r>
            <w:r>
              <w:rPr>
                <w:rFonts w:hint="eastAsia"/>
                <w:color w:val="auto"/>
                <w:sz w:val="21"/>
                <w:szCs w:val="21"/>
                <w:highlight w:val="none"/>
                <w:lang w:eastAsia="zh-CN"/>
              </w:rPr>
              <w:t>，</w:t>
            </w:r>
            <w:r>
              <w:rPr>
                <w:rFonts w:hint="eastAsia"/>
                <w:color w:val="auto"/>
                <w:sz w:val="21"/>
                <w:szCs w:val="21"/>
                <w:highlight w:val="none"/>
              </w:rPr>
              <w:t>收集后的颗粒物</w:t>
            </w:r>
            <w:r>
              <w:rPr>
                <w:rFonts w:hint="eastAsia"/>
                <w:color w:val="auto"/>
                <w:sz w:val="21"/>
                <w:szCs w:val="21"/>
                <w:highlight w:val="none"/>
                <w:lang w:val="en-US" w:eastAsia="zh-CN"/>
              </w:rPr>
              <w:t>依托厂区现有原料质检筛分除尘器处理后由24</w:t>
            </w:r>
            <w:r>
              <w:rPr>
                <w:rFonts w:hint="eastAsia"/>
                <w:color w:val="auto"/>
                <w:sz w:val="21"/>
                <w:szCs w:val="21"/>
                <w:highlight w:val="none"/>
              </w:rPr>
              <w:t>m高排气筒排放</w:t>
            </w:r>
            <w:r>
              <w:rPr>
                <w:rFonts w:hint="eastAsia"/>
                <w:color w:val="auto"/>
                <w:sz w:val="21"/>
                <w:szCs w:val="21"/>
                <w:highlight w:val="none"/>
                <w:lang w:eastAsia="zh-CN"/>
              </w:rPr>
              <w:t>，</w:t>
            </w:r>
            <w:r>
              <w:rPr>
                <w:color w:val="auto"/>
                <w:sz w:val="21"/>
                <w:szCs w:val="21"/>
                <w:highlight w:val="none"/>
              </w:rPr>
              <w:t>集气罩收集率为95%，</w:t>
            </w:r>
            <w:r>
              <w:rPr>
                <w:rFonts w:hint="eastAsia"/>
                <w:color w:val="auto"/>
                <w:sz w:val="21"/>
                <w:szCs w:val="21"/>
                <w:highlight w:val="none"/>
              </w:rPr>
              <w:t>则收集的颗粒物为</w:t>
            </w:r>
            <w:r>
              <w:rPr>
                <w:rFonts w:hint="eastAsia"/>
                <w:color w:val="auto"/>
                <w:sz w:val="21"/>
                <w:szCs w:val="21"/>
                <w:highlight w:val="none"/>
                <w:lang w:val="en-US" w:eastAsia="zh-CN"/>
              </w:rPr>
              <w:t>72.172</w:t>
            </w:r>
            <w:r>
              <w:rPr>
                <w:rFonts w:hint="eastAsia"/>
                <w:color w:val="auto"/>
                <w:sz w:val="21"/>
                <w:szCs w:val="21"/>
                <w:highlight w:val="none"/>
              </w:rPr>
              <w:t>t/a</w:t>
            </w:r>
            <w:r>
              <w:rPr>
                <w:rFonts w:hint="eastAsia"/>
                <w:color w:val="auto"/>
                <w:sz w:val="21"/>
                <w:szCs w:val="21"/>
                <w:highlight w:val="none"/>
                <w:lang w:eastAsia="zh-CN"/>
              </w:rPr>
              <w:t>。</w:t>
            </w:r>
          </w:p>
          <w:p w14:paraId="4B774450">
            <w:pPr>
              <w:widowControl/>
              <w:ind w:firstLine="480"/>
              <w:jc w:val="both"/>
              <w:rPr>
                <w:rFonts w:hint="eastAsia" w:cs="Times New Roman" w:eastAsiaTheme="minorEastAsia"/>
                <w:color w:val="auto"/>
                <w:kern w:val="0"/>
                <w:szCs w:val="21"/>
                <w:highlight w:val="none"/>
                <w:lang w:val="en-US" w:eastAsia="zh-CN"/>
              </w:rPr>
            </w:pPr>
            <w:r>
              <w:rPr>
                <w:rFonts w:hint="eastAsia"/>
                <w:color w:val="auto"/>
                <w:sz w:val="21"/>
                <w:szCs w:val="21"/>
                <w:highlight w:val="none"/>
                <w:lang w:val="en-US" w:eastAsia="zh-CN"/>
              </w:rPr>
              <w:t>现有质检筛分除尘器的设计风量为230000m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/h，现有质检筛分已利用风量为148262</w:t>
            </w:r>
            <w:r>
              <w:rPr>
                <w:color w:val="auto"/>
                <w:sz w:val="21"/>
                <w:szCs w:val="21"/>
                <w:highlight w:val="none"/>
              </w:rPr>
              <w:t>m</w:t>
            </w:r>
            <w:r>
              <w:rPr>
                <w:color w:val="auto"/>
                <w:sz w:val="21"/>
                <w:szCs w:val="21"/>
                <w:highlight w:val="none"/>
                <w:vertAlign w:val="superscript"/>
              </w:rPr>
              <w:t>3</w:t>
            </w:r>
            <w:r>
              <w:rPr>
                <w:color w:val="auto"/>
                <w:sz w:val="21"/>
                <w:szCs w:val="21"/>
                <w:highlight w:val="none"/>
              </w:rPr>
              <w:t>/h</w:t>
            </w:r>
            <w:r>
              <w:rPr>
                <w:rFonts w:hint="eastAsia"/>
                <w:color w:val="auto"/>
                <w:sz w:val="21"/>
                <w:szCs w:val="21"/>
                <w:highlight w:val="none"/>
                <w:lang w:eastAsia="zh-CN"/>
              </w:rPr>
              <w:t>，</w:t>
            </w:r>
            <w:r>
              <w:rPr>
                <w:rFonts w:hint="eastAsia"/>
                <w:color w:val="auto"/>
                <w:sz w:val="21"/>
                <w:szCs w:val="21"/>
                <w:highlight w:val="none"/>
                <w:lang w:val="en-US" w:eastAsia="zh-CN"/>
              </w:rPr>
              <w:t>颗粒物排放浓度为</w:t>
            </w:r>
            <w:r>
              <w:rPr>
                <w:rFonts w:hint="eastAsia" w:cs="Times New Roman" w:eastAsiaTheme="minorEastAsia"/>
                <w:color w:val="auto"/>
                <w:kern w:val="0"/>
                <w:szCs w:val="21"/>
                <w:highlight w:val="none"/>
                <w:lang w:val="en-US" w:eastAsia="zh-CN"/>
              </w:rPr>
              <w:t>1.4mg/m</w:t>
            </w:r>
            <w:r>
              <w:rPr>
                <w:rFonts w:hint="eastAsia" w:cs="Times New Roman" w:eastAsiaTheme="minorEastAsia"/>
                <w:color w:val="auto"/>
                <w:kern w:val="0"/>
                <w:szCs w:val="21"/>
                <w:highlight w:val="none"/>
                <w:vertAlign w:val="superscript"/>
                <w:lang w:val="en-US" w:eastAsia="zh-CN"/>
              </w:rPr>
              <w:t>3</w:t>
            </w:r>
            <w:r>
              <w:rPr>
                <w:rFonts w:hint="eastAsia" w:cs="Times New Roman" w:eastAsiaTheme="minorEastAsia"/>
                <w:color w:val="auto"/>
                <w:kern w:val="0"/>
                <w:szCs w:val="21"/>
                <w:highlight w:val="none"/>
                <w:lang w:val="en-US" w:eastAsia="zh-CN"/>
              </w:rPr>
              <w:t>，排放速率为0.208kg/h。</w:t>
            </w:r>
          </w:p>
          <w:p w14:paraId="2E3D699A">
            <w:pPr>
              <w:widowControl/>
              <w:ind w:firstLine="480"/>
              <w:jc w:val="both"/>
              <w:rPr>
                <w:rFonts w:hint="default"/>
                <w:color w:val="auto"/>
                <w:sz w:val="21"/>
                <w:szCs w:val="21"/>
                <w:highlight w:val="none"/>
                <w:lang w:val="en-US" w:eastAsia="zh-CN"/>
              </w:rPr>
            </w:pPr>
            <w:r>
              <w:rPr>
                <w:rFonts w:hint="eastAsia"/>
                <w:color w:val="auto"/>
                <w:sz w:val="21"/>
                <w:szCs w:val="21"/>
                <w:highlight w:val="none"/>
                <w:lang w:val="en-US" w:eastAsia="zh-CN"/>
              </w:rPr>
              <w:t>脉冲布袋除尘器净化效率按98%计，风机风量为80000m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/h，则颗粒物排放量为1.443t/a(0.2kg/h，年工作时间7200h/a)，排放浓度为2.5mg/m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，排放浓度满足《钢铁工业大气污染物超低排放标准》(DB13/2169-2018)</w:t>
            </w:r>
            <w:r>
              <w:rPr>
                <w:rFonts w:hint="eastAsia" w:cs="Times New Roman"/>
                <w:snapToGrid w:val="0"/>
                <w:color w:val="auto"/>
                <w:sz w:val="21"/>
                <w:szCs w:val="21"/>
                <w:highlight w:val="none"/>
                <w:lang w:val="en-US" w:eastAsia="zh-CN"/>
              </w:rPr>
              <w:t>表1高炉炼铁原料系统、煤粉系统、其他生产设施排放限值</w:t>
            </w:r>
            <w:r>
              <w:rPr>
                <w:rFonts w:hint="eastAsia"/>
                <w:color w:val="auto"/>
                <w:sz w:val="21"/>
                <w:szCs w:val="21"/>
                <w:highlight w:val="none"/>
                <w:lang w:val="en-US" w:eastAsia="zh-CN"/>
              </w:rPr>
              <w:t>。</w:t>
            </w:r>
          </w:p>
          <w:p w14:paraId="5E413CE3">
            <w:pPr>
              <w:widowControl/>
              <w:ind w:firstLine="480"/>
              <w:jc w:val="both"/>
              <w:rPr>
                <w:rFonts w:hint="eastAsia"/>
                <w:b/>
                <w:color w:val="auto"/>
                <w:sz w:val="21"/>
                <w:szCs w:val="21"/>
                <w:highlight w:val="none"/>
                <w:lang w:val="en-US" w:eastAsia="zh-CN"/>
              </w:rPr>
            </w:pPr>
            <w:r>
              <w:rPr>
                <w:rFonts w:hint="eastAsia"/>
                <w:color w:val="auto"/>
                <w:sz w:val="21"/>
                <w:szCs w:val="21"/>
                <w:highlight w:val="none"/>
                <w:lang w:val="en-US" w:eastAsia="zh-CN"/>
              </w:rPr>
              <w:t>项目实施前后，质检筛分除尘器的排放情况见下表。</w:t>
            </w:r>
          </w:p>
          <w:p w14:paraId="1246050F">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default"/>
                <w:b/>
                <w:color w:val="auto"/>
                <w:sz w:val="21"/>
                <w:szCs w:val="21"/>
                <w:highlight w:val="none"/>
                <w:lang w:val="en-US" w:eastAsia="zh-CN"/>
              </w:rPr>
            </w:pPr>
            <w:r>
              <w:rPr>
                <w:rFonts w:hint="eastAsia"/>
                <w:b/>
                <w:color w:val="auto"/>
                <w:sz w:val="21"/>
                <w:szCs w:val="21"/>
                <w:highlight w:val="none"/>
                <w:lang w:val="en-US" w:eastAsia="zh-CN"/>
              </w:rPr>
              <w:t>表4-1    项目实施前后质检筛分除尘器系统污染物排放情况一览表</w:t>
            </w:r>
          </w:p>
          <w:tbl>
            <w:tblPr>
              <w:tblStyle w:val="84"/>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6"/>
              <w:gridCol w:w="1366"/>
              <w:gridCol w:w="946"/>
              <w:gridCol w:w="1147"/>
              <w:gridCol w:w="1115"/>
              <w:gridCol w:w="924"/>
              <w:gridCol w:w="848"/>
              <w:gridCol w:w="920"/>
            </w:tblGrid>
            <w:tr w14:paraId="2D4A2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97" w:type="pct"/>
                  <w:noWrap w:val="0"/>
                  <w:vAlign w:val="center"/>
                </w:tcPr>
                <w:p w14:paraId="72D38A63">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宋体" w:cs="Times New Roman"/>
                      <w:color w:val="auto"/>
                      <w:kern w:val="2"/>
                      <w:sz w:val="21"/>
                      <w:szCs w:val="21"/>
                      <w:highlight w:val="none"/>
                      <w:lang w:eastAsia="zh-CN"/>
                    </w:rPr>
                  </w:pPr>
                  <w:r>
                    <w:rPr>
                      <w:rFonts w:hint="eastAsia" w:cs="Times New Roman"/>
                      <w:color w:val="auto"/>
                      <w:kern w:val="2"/>
                      <w:sz w:val="21"/>
                      <w:szCs w:val="21"/>
                      <w:highlight w:val="none"/>
                      <w:lang w:val="en-US" w:eastAsia="zh-CN"/>
                    </w:rPr>
                    <w:t>时段</w:t>
                  </w:r>
                </w:p>
              </w:tc>
              <w:tc>
                <w:tcPr>
                  <w:tcW w:w="827" w:type="pct"/>
                  <w:noWrap w:val="0"/>
                  <w:vAlign w:val="center"/>
                </w:tcPr>
                <w:p w14:paraId="17448CEF">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点位</w:t>
                  </w:r>
                </w:p>
              </w:tc>
              <w:tc>
                <w:tcPr>
                  <w:tcW w:w="573" w:type="pct"/>
                  <w:noWrap w:val="0"/>
                  <w:vAlign w:val="center"/>
                </w:tcPr>
                <w:p w14:paraId="7F36D0E7">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宋体" w:cs="Times New Roman"/>
                      <w:color w:val="auto"/>
                      <w:kern w:val="2"/>
                      <w:sz w:val="21"/>
                      <w:szCs w:val="21"/>
                      <w:highlight w:val="none"/>
                      <w:lang w:eastAsia="zh-CN"/>
                    </w:rPr>
                  </w:pPr>
                  <w:r>
                    <w:rPr>
                      <w:rFonts w:hint="eastAsia" w:cs="Times New Roman"/>
                      <w:color w:val="auto"/>
                      <w:kern w:val="2"/>
                      <w:sz w:val="21"/>
                      <w:szCs w:val="21"/>
                      <w:highlight w:val="none"/>
                      <w:lang w:val="en-US" w:eastAsia="zh-CN"/>
                    </w:rPr>
                    <w:t>风量(m</w:t>
                  </w:r>
                  <w:r>
                    <w:rPr>
                      <w:rFonts w:hint="eastAsia" w:cs="Times New Roman"/>
                      <w:color w:val="auto"/>
                      <w:kern w:val="2"/>
                      <w:sz w:val="21"/>
                      <w:szCs w:val="21"/>
                      <w:highlight w:val="none"/>
                      <w:vertAlign w:val="superscript"/>
                      <w:lang w:val="en-US" w:eastAsia="zh-CN"/>
                    </w:rPr>
                    <w:t>3</w:t>
                  </w:r>
                  <w:r>
                    <w:rPr>
                      <w:rFonts w:hint="eastAsia" w:cs="Times New Roman"/>
                      <w:color w:val="auto"/>
                      <w:kern w:val="2"/>
                      <w:sz w:val="21"/>
                      <w:szCs w:val="21"/>
                      <w:highlight w:val="none"/>
                      <w:lang w:val="en-US" w:eastAsia="zh-CN"/>
                    </w:rPr>
                    <w:t>/h)</w:t>
                  </w:r>
                </w:p>
              </w:tc>
              <w:tc>
                <w:tcPr>
                  <w:tcW w:w="694" w:type="pct"/>
                  <w:noWrap w:val="0"/>
                  <w:vAlign w:val="center"/>
                </w:tcPr>
                <w:p w14:paraId="756C70BE">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排放浓度(mg/m</w:t>
                  </w:r>
                  <w:r>
                    <w:rPr>
                      <w:rFonts w:hint="eastAsia" w:cs="Times New Roman"/>
                      <w:color w:val="auto"/>
                      <w:kern w:val="2"/>
                      <w:sz w:val="21"/>
                      <w:szCs w:val="21"/>
                      <w:highlight w:val="none"/>
                      <w:vertAlign w:val="superscript"/>
                      <w:lang w:val="en-US" w:eastAsia="zh-CN"/>
                    </w:rPr>
                    <w:t>3</w:t>
                  </w:r>
                  <w:r>
                    <w:rPr>
                      <w:rFonts w:hint="eastAsia" w:cs="Times New Roman"/>
                      <w:color w:val="auto"/>
                      <w:kern w:val="2"/>
                      <w:sz w:val="21"/>
                      <w:szCs w:val="21"/>
                      <w:highlight w:val="none"/>
                      <w:lang w:val="en-US" w:eastAsia="zh-CN"/>
                    </w:rPr>
                    <w:t>)</w:t>
                  </w:r>
                </w:p>
              </w:tc>
              <w:tc>
                <w:tcPr>
                  <w:tcW w:w="676" w:type="pct"/>
                  <w:noWrap w:val="0"/>
                  <w:vAlign w:val="center"/>
                </w:tcPr>
                <w:p w14:paraId="2BB520F5">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排放速率(kg/h)</w:t>
                  </w:r>
                </w:p>
              </w:tc>
              <w:tc>
                <w:tcPr>
                  <w:tcW w:w="559" w:type="pct"/>
                  <w:noWrap w:val="0"/>
                  <w:vAlign w:val="center"/>
                </w:tcPr>
                <w:p w14:paraId="4165B250">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排放量(t/a)</w:t>
                  </w:r>
                </w:p>
              </w:tc>
              <w:tc>
                <w:tcPr>
                  <w:tcW w:w="513" w:type="pct"/>
                  <w:noWrap w:val="0"/>
                  <w:vAlign w:val="center"/>
                </w:tcPr>
                <w:p w14:paraId="79D7F328">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年排放时间(h)</w:t>
                  </w:r>
                </w:p>
              </w:tc>
              <w:tc>
                <w:tcPr>
                  <w:tcW w:w="557" w:type="pct"/>
                  <w:noWrap w:val="0"/>
                  <w:vAlign w:val="center"/>
                </w:tcPr>
                <w:p w14:paraId="746EFA0E">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标准值(mg/m</w:t>
                  </w:r>
                  <w:r>
                    <w:rPr>
                      <w:rFonts w:hint="eastAsia" w:cs="Times New Roman"/>
                      <w:color w:val="auto"/>
                      <w:kern w:val="2"/>
                      <w:sz w:val="21"/>
                      <w:szCs w:val="21"/>
                      <w:highlight w:val="none"/>
                      <w:vertAlign w:val="superscript"/>
                      <w:lang w:val="en-US" w:eastAsia="zh-CN"/>
                    </w:rPr>
                    <w:t>3</w:t>
                  </w:r>
                  <w:r>
                    <w:rPr>
                      <w:rFonts w:hint="eastAsia" w:cs="Times New Roman"/>
                      <w:color w:val="auto"/>
                      <w:kern w:val="2"/>
                      <w:sz w:val="21"/>
                      <w:szCs w:val="21"/>
                      <w:highlight w:val="none"/>
                      <w:lang w:val="en-US" w:eastAsia="zh-CN"/>
                    </w:rPr>
                    <w:t>)</w:t>
                  </w:r>
                </w:p>
              </w:tc>
            </w:tr>
            <w:tr w14:paraId="11DBA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97" w:type="pct"/>
                  <w:noWrap w:val="0"/>
                  <w:vAlign w:val="center"/>
                </w:tcPr>
                <w:p w14:paraId="5B42A756">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项目实施前</w:t>
                  </w:r>
                </w:p>
              </w:tc>
              <w:tc>
                <w:tcPr>
                  <w:tcW w:w="827" w:type="pct"/>
                  <w:noWrap w:val="0"/>
                  <w:vAlign w:val="center"/>
                </w:tcPr>
                <w:p w14:paraId="62EA6C99">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质检筛分除尘系统</w:t>
                  </w:r>
                </w:p>
              </w:tc>
              <w:tc>
                <w:tcPr>
                  <w:tcW w:w="946" w:type="dxa"/>
                  <w:noWrap w:val="0"/>
                  <w:vAlign w:val="center"/>
                </w:tcPr>
                <w:p w14:paraId="0DE898F1">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148262</w:t>
                  </w:r>
                </w:p>
              </w:tc>
              <w:tc>
                <w:tcPr>
                  <w:tcW w:w="1147" w:type="dxa"/>
                  <w:noWrap w:val="0"/>
                  <w:vAlign w:val="center"/>
                </w:tcPr>
                <w:p w14:paraId="21F1CA50">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1.4</w:t>
                  </w:r>
                </w:p>
              </w:tc>
              <w:tc>
                <w:tcPr>
                  <w:tcW w:w="1115" w:type="dxa"/>
                  <w:noWrap w:val="0"/>
                  <w:vAlign w:val="center"/>
                </w:tcPr>
                <w:p w14:paraId="05FF9724">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0.208</w:t>
                  </w:r>
                </w:p>
              </w:tc>
              <w:tc>
                <w:tcPr>
                  <w:tcW w:w="924" w:type="dxa"/>
                  <w:noWrap w:val="0"/>
                  <w:vAlign w:val="center"/>
                </w:tcPr>
                <w:p w14:paraId="08A67494">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1.647</w:t>
                  </w:r>
                </w:p>
              </w:tc>
              <w:tc>
                <w:tcPr>
                  <w:tcW w:w="848" w:type="dxa"/>
                  <w:noWrap w:val="0"/>
                  <w:vAlign w:val="center"/>
                </w:tcPr>
                <w:p w14:paraId="26FF9167">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7920</w:t>
                  </w:r>
                </w:p>
              </w:tc>
              <w:tc>
                <w:tcPr>
                  <w:tcW w:w="920" w:type="dxa"/>
                  <w:noWrap w:val="0"/>
                  <w:vAlign w:val="center"/>
                </w:tcPr>
                <w:p w14:paraId="1F4C487B">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10</w:t>
                  </w:r>
                </w:p>
              </w:tc>
            </w:tr>
            <w:tr w14:paraId="73B87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97" w:type="pct"/>
                  <w:noWrap w:val="0"/>
                  <w:vAlign w:val="center"/>
                </w:tcPr>
                <w:p w14:paraId="005E9849">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本项目</w:t>
                  </w:r>
                </w:p>
              </w:tc>
              <w:tc>
                <w:tcPr>
                  <w:tcW w:w="827" w:type="pct"/>
                  <w:noWrap w:val="0"/>
                  <w:vAlign w:val="center"/>
                </w:tcPr>
                <w:p w14:paraId="75B37AAA">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含铁废料综合利用项目</w:t>
                  </w:r>
                </w:p>
              </w:tc>
              <w:tc>
                <w:tcPr>
                  <w:tcW w:w="946" w:type="dxa"/>
                  <w:noWrap w:val="0"/>
                  <w:vAlign w:val="center"/>
                </w:tcPr>
                <w:p w14:paraId="31CEA1C8">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80000</w:t>
                  </w:r>
                </w:p>
              </w:tc>
              <w:tc>
                <w:tcPr>
                  <w:tcW w:w="1147" w:type="dxa"/>
                  <w:noWrap w:val="0"/>
                  <w:vAlign w:val="center"/>
                </w:tcPr>
                <w:p w14:paraId="7B084A51">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2.5</w:t>
                  </w:r>
                </w:p>
              </w:tc>
              <w:tc>
                <w:tcPr>
                  <w:tcW w:w="1115" w:type="dxa"/>
                  <w:noWrap w:val="0"/>
                  <w:vAlign w:val="center"/>
                </w:tcPr>
                <w:p w14:paraId="51E29DE4">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0.2</w:t>
                  </w:r>
                </w:p>
              </w:tc>
              <w:tc>
                <w:tcPr>
                  <w:tcW w:w="924" w:type="dxa"/>
                  <w:noWrap w:val="0"/>
                  <w:vAlign w:val="center"/>
                </w:tcPr>
                <w:p w14:paraId="46FCB64A">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1.443</w:t>
                  </w:r>
                </w:p>
              </w:tc>
              <w:tc>
                <w:tcPr>
                  <w:tcW w:w="848" w:type="dxa"/>
                  <w:noWrap w:val="0"/>
                  <w:vAlign w:val="center"/>
                </w:tcPr>
                <w:p w14:paraId="04864FF4">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7200</w:t>
                  </w:r>
                </w:p>
              </w:tc>
              <w:tc>
                <w:tcPr>
                  <w:tcW w:w="920" w:type="dxa"/>
                  <w:noWrap w:val="0"/>
                  <w:vAlign w:val="center"/>
                </w:tcPr>
                <w:p w14:paraId="2BFCA70B">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10</w:t>
                  </w:r>
                </w:p>
              </w:tc>
            </w:tr>
            <w:tr w14:paraId="68E29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97" w:type="pct"/>
                  <w:noWrap w:val="0"/>
                  <w:vAlign w:val="center"/>
                </w:tcPr>
                <w:p w14:paraId="20881520">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项目实施后</w:t>
                  </w:r>
                </w:p>
              </w:tc>
              <w:tc>
                <w:tcPr>
                  <w:tcW w:w="827" w:type="pct"/>
                  <w:noWrap w:val="0"/>
                  <w:vAlign w:val="center"/>
                </w:tcPr>
                <w:p w14:paraId="61A658D6">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质检筛分除尘系统(合并本项目后)</w:t>
                  </w:r>
                </w:p>
              </w:tc>
              <w:tc>
                <w:tcPr>
                  <w:tcW w:w="946" w:type="dxa"/>
                  <w:noWrap w:val="0"/>
                  <w:vAlign w:val="center"/>
                </w:tcPr>
                <w:p w14:paraId="7C7388F6">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228262</w:t>
                  </w:r>
                </w:p>
              </w:tc>
              <w:tc>
                <w:tcPr>
                  <w:tcW w:w="1147" w:type="dxa"/>
                  <w:noWrap w:val="0"/>
                  <w:vAlign w:val="center"/>
                </w:tcPr>
                <w:p w14:paraId="01458DFA">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1.79</w:t>
                  </w:r>
                </w:p>
              </w:tc>
              <w:tc>
                <w:tcPr>
                  <w:tcW w:w="1115" w:type="dxa"/>
                  <w:noWrap w:val="0"/>
                  <w:vAlign w:val="center"/>
                </w:tcPr>
                <w:p w14:paraId="31553734">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0.408</w:t>
                  </w:r>
                </w:p>
              </w:tc>
              <w:tc>
                <w:tcPr>
                  <w:tcW w:w="924" w:type="dxa"/>
                  <w:noWrap w:val="0"/>
                  <w:vAlign w:val="center"/>
                </w:tcPr>
                <w:p w14:paraId="360C622B">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3.09</w:t>
                  </w:r>
                </w:p>
              </w:tc>
              <w:tc>
                <w:tcPr>
                  <w:tcW w:w="848" w:type="dxa"/>
                  <w:noWrap w:val="0"/>
                  <w:vAlign w:val="center"/>
                </w:tcPr>
                <w:p w14:paraId="19627FC1">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7920</w:t>
                  </w:r>
                </w:p>
              </w:tc>
              <w:tc>
                <w:tcPr>
                  <w:tcW w:w="920" w:type="dxa"/>
                  <w:noWrap w:val="0"/>
                  <w:vAlign w:val="center"/>
                </w:tcPr>
                <w:p w14:paraId="5E264350">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default" w:cs="Times New Roman"/>
                      <w:color w:val="auto"/>
                      <w:kern w:val="2"/>
                      <w:sz w:val="21"/>
                      <w:szCs w:val="21"/>
                      <w:highlight w:val="none"/>
                      <w:lang w:val="en-US" w:eastAsia="zh-CN"/>
                    </w:rPr>
                    <w:t>10</w:t>
                  </w:r>
                </w:p>
              </w:tc>
            </w:tr>
          </w:tbl>
          <w:p w14:paraId="68D93972">
            <w:pPr>
              <w:widowControl/>
              <w:ind w:firstLine="480"/>
              <w:jc w:val="both"/>
              <w:rPr>
                <w:rFonts w:hint="eastAsia"/>
                <w:color w:val="auto"/>
                <w:sz w:val="21"/>
                <w:szCs w:val="21"/>
                <w:highlight w:val="none"/>
              </w:rPr>
            </w:pPr>
            <w:r>
              <w:rPr>
                <w:rFonts w:hint="eastAsia"/>
                <w:color w:val="auto"/>
                <w:sz w:val="21"/>
                <w:szCs w:val="21"/>
                <w:highlight w:val="none"/>
              </w:rPr>
              <w:t>未收集颗粒物的量为</w:t>
            </w:r>
            <w:r>
              <w:rPr>
                <w:rFonts w:hint="eastAsia"/>
                <w:color w:val="auto"/>
                <w:sz w:val="21"/>
                <w:szCs w:val="21"/>
                <w:highlight w:val="none"/>
                <w:lang w:val="en-US" w:eastAsia="zh-CN"/>
              </w:rPr>
              <w:t>3.799</w:t>
            </w:r>
            <w:r>
              <w:rPr>
                <w:rFonts w:hint="eastAsia"/>
                <w:color w:val="auto"/>
                <w:sz w:val="21"/>
                <w:szCs w:val="21"/>
                <w:highlight w:val="none"/>
              </w:rPr>
              <w:t>t/a。</w:t>
            </w:r>
          </w:p>
          <w:p w14:paraId="4CF8F813">
            <w:pPr>
              <w:widowControl/>
              <w:ind w:firstLine="480"/>
              <w:jc w:val="both"/>
              <w:rPr>
                <w:color w:val="auto"/>
                <w:sz w:val="21"/>
                <w:szCs w:val="21"/>
                <w:highlight w:val="none"/>
              </w:rPr>
            </w:pPr>
            <w:r>
              <w:rPr>
                <w:rFonts w:hint="eastAsia"/>
                <w:color w:val="auto"/>
                <w:sz w:val="21"/>
                <w:szCs w:val="21"/>
                <w:highlight w:val="none"/>
                <w:lang w:val="en-US" w:eastAsia="zh-CN"/>
              </w:rPr>
              <w:t>1.1.2</w:t>
            </w:r>
            <w:r>
              <w:rPr>
                <w:rFonts w:hint="eastAsia"/>
                <w:color w:val="auto"/>
                <w:sz w:val="21"/>
                <w:szCs w:val="21"/>
                <w:highlight w:val="none"/>
              </w:rPr>
              <w:t>无组织源强核算</w:t>
            </w:r>
          </w:p>
          <w:p w14:paraId="738A6023">
            <w:pPr>
              <w:adjustRightInd w:val="0"/>
              <w:snapToGrid w:val="0"/>
              <w:ind w:firstLine="480"/>
              <w:rPr>
                <w:color w:val="auto"/>
                <w:sz w:val="21"/>
                <w:szCs w:val="21"/>
                <w:highlight w:val="none"/>
              </w:rPr>
            </w:pPr>
            <w:r>
              <w:rPr>
                <w:rFonts w:hint="eastAsia"/>
                <w:color w:val="auto"/>
                <w:sz w:val="21"/>
                <w:szCs w:val="21"/>
                <w:highlight w:val="none"/>
                <w:lang w:val="en-US" w:eastAsia="zh-CN"/>
              </w:rPr>
              <w:t>(1)物</w:t>
            </w:r>
            <w:r>
              <w:rPr>
                <w:color w:val="auto"/>
                <w:sz w:val="21"/>
                <w:szCs w:val="21"/>
                <w:highlight w:val="none"/>
              </w:rPr>
              <w:t>料卸料及堆存废气</w:t>
            </w:r>
          </w:p>
          <w:p w14:paraId="50B2B509">
            <w:pPr>
              <w:spacing w:line="360" w:lineRule="auto"/>
              <w:ind w:firstLine="480"/>
              <w:rPr>
                <w:color w:val="auto"/>
                <w:kern w:val="2"/>
                <w:sz w:val="21"/>
                <w:szCs w:val="21"/>
                <w:highlight w:val="none"/>
              </w:rPr>
            </w:pPr>
            <w:r>
              <w:rPr>
                <w:color w:val="auto"/>
                <w:kern w:val="2"/>
                <w:sz w:val="21"/>
                <w:szCs w:val="21"/>
                <w:highlight w:val="none"/>
              </w:rPr>
              <w:t>物料装卸及堆存过程颗粒物产生量根据《关于发布&lt;排放源统计调查产排污核算方法和系数手册&gt;的公告》</w:t>
            </w:r>
            <w:r>
              <w:rPr>
                <w:rFonts w:hint="eastAsia"/>
                <w:color w:val="auto"/>
                <w:kern w:val="2"/>
                <w:sz w:val="21"/>
                <w:szCs w:val="21"/>
                <w:highlight w:val="none"/>
                <w:lang w:eastAsia="zh-CN"/>
              </w:rPr>
              <w:t>(</w:t>
            </w:r>
            <w:r>
              <w:rPr>
                <w:color w:val="auto"/>
                <w:kern w:val="2"/>
                <w:sz w:val="21"/>
                <w:szCs w:val="21"/>
                <w:highlight w:val="none"/>
              </w:rPr>
              <w:t>生态环境部2021年第24号公告</w:t>
            </w:r>
            <w:r>
              <w:rPr>
                <w:rFonts w:hint="eastAsia"/>
                <w:color w:val="auto"/>
                <w:kern w:val="2"/>
                <w:sz w:val="21"/>
                <w:szCs w:val="21"/>
                <w:highlight w:val="none"/>
                <w:lang w:eastAsia="zh-CN"/>
              </w:rPr>
              <w:t>)</w:t>
            </w:r>
            <w:r>
              <w:rPr>
                <w:color w:val="auto"/>
                <w:kern w:val="2"/>
                <w:sz w:val="21"/>
                <w:szCs w:val="21"/>
                <w:highlight w:val="none"/>
              </w:rPr>
              <w:t>中《固体物料堆存颗粒物产排污核算系数手册》计算方法进行计算。</w:t>
            </w:r>
          </w:p>
          <w:p w14:paraId="6BD3DFA2">
            <w:pPr>
              <w:spacing w:line="360" w:lineRule="auto"/>
              <w:ind w:firstLine="480"/>
              <w:rPr>
                <w:color w:val="auto"/>
                <w:kern w:val="2"/>
                <w:sz w:val="21"/>
                <w:szCs w:val="21"/>
                <w:highlight w:val="none"/>
              </w:rPr>
            </w:pPr>
            <w:r>
              <w:rPr>
                <w:rFonts w:hint="eastAsia"/>
                <w:color w:val="auto"/>
                <w:sz w:val="21"/>
                <w:szCs w:val="21"/>
                <w:highlight w:val="none"/>
                <w:lang w:val="en-US" w:eastAsia="zh-CN"/>
              </w:rPr>
              <w:t>a</w:t>
            </w:r>
            <w:r>
              <w:rPr>
                <w:rFonts w:hint="eastAsia"/>
                <w:color w:val="auto"/>
                <w:sz w:val="21"/>
                <w:szCs w:val="21"/>
                <w:highlight w:val="none"/>
                <w:lang w:eastAsia="zh-CN"/>
              </w:rPr>
              <w:t>、</w:t>
            </w:r>
            <w:r>
              <w:rPr>
                <w:color w:val="auto"/>
                <w:kern w:val="2"/>
                <w:sz w:val="21"/>
                <w:szCs w:val="21"/>
                <w:highlight w:val="none"/>
              </w:rPr>
              <w:t>颗粒物产生量核算公式：</w:t>
            </w:r>
          </w:p>
          <w:p w14:paraId="138AD5C2">
            <w:pPr>
              <w:spacing w:line="360" w:lineRule="auto"/>
              <w:ind w:firstLine="480"/>
              <w:rPr>
                <w:color w:val="auto"/>
                <w:kern w:val="2"/>
                <w:sz w:val="21"/>
                <w:szCs w:val="21"/>
                <w:highlight w:val="none"/>
              </w:rPr>
            </w:pPr>
            <w:r>
              <w:rPr>
                <w:color w:val="auto"/>
                <w:kern w:val="2"/>
                <w:sz w:val="21"/>
                <w:szCs w:val="21"/>
                <w:highlight w:val="none"/>
              </w:rPr>
              <w:t>P=ZC</w:t>
            </w:r>
            <w:r>
              <w:rPr>
                <w:color w:val="auto"/>
                <w:kern w:val="2"/>
                <w:sz w:val="21"/>
                <w:szCs w:val="21"/>
                <w:highlight w:val="none"/>
                <w:vertAlign w:val="subscript"/>
              </w:rPr>
              <w:t>y</w:t>
            </w:r>
            <w:r>
              <w:rPr>
                <w:color w:val="auto"/>
                <w:kern w:val="2"/>
                <w:sz w:val="21"/>
                <w:szCs w:val="21"/>
                <w:highlight w:val="none"/>
              </w:rPr>
              <w:t>+FC</w:t>
            </w:r>
            <w:r>
              <w:rPr>
                <w:color w:val="auto"/>
                <w:kern w:val="2"/>
                <w:sz w:val="21"/>
                <w:szCs w:val="21"/>
                <w:highlight w:val="none"/>
                <w:vertAlign w:val="subscript"/>
              </w:rPr>
              <w:t>y</w:t>
            </w:r>
            <w:r>
              <w:rPr>
                <w:color w:val="auto"/>
                <w:kern w:val="2"/>
                <w:sz w:val="21"/>
                <w:szCs w:val="21"/>
                <w:highlight w:val="none"/>
              </w:rPr>
              <w:t>=｛N</w:t>
            </w:r>
            <w:r>
              <w:rPr>
                <w:color w:val="auto"/>
                <w:kern w:val="2"/>
                <w:sz w:val="21"/>
                <w:szCs w:val="21"/>
                <w:highlight w:val="none"/>
                <w:vertAlign w:val="subscript"/>
              </w:rPr>
              <w:t>c</w:t>
            </w:r>
            <w:r>
              <w:rPr>
                <w:color w:val="auto"/>
                <w:kern w:val="2"/>
                <w:sz w:val="21"/>
                <w:szCs w:val="21"/>
                <w:highlight w:val="none"/>
              </w:rPr>
              <w:t>×D×</w:t>
            </w:r>
            <w:r>
              <w:rPr>
                <w:rFonts w:hint="eastAsia"/>
                <w:color w:val="auto"/>
                <w:kern w:val="2"/>
                <w:sz w:val="21"/>
                <w:szCs w:val="21"/>
                <w:highlight w:val="none"/>
                <w:lang w:eastAsia="zh-CN"/>
              </w:rPr>
              <w:t>(</w:t>
            </w:r>
            <w:r>
              <w:rPr>
                <w:color w:val="auto"/>
                <w:kern w:val="2"/>
                <w:sz w:val="21"/>
                <w:szCs w:val="21"/>
                <w:highlight w:val="none"/>
              </w:rPr>
              <w:t>a/b</w:t>
            </w:r>
            <w:r>
              <w:rPr>
                <w:rFonts w:hint="eastAsia"/>
                <w:color w:val="auto"/>
                <w:kern w:val="2"/>
                <w:sz w:val="21"/>
                <w:szCs w:val="21"/>
                <w:highlight w:val="none"/>
                <w:lang w:eastAsia="zh-CN"/>
              </w:rPr>
              <w:t>)</w:t>
            </w:r>
            <w:r>
              <w:rPr>
                <w:color w:val="auto"/>
                <w:kern w:val="2"/>
                <w:sz w:val="21"/>
                <w:szCs w:val="21"/>
                <w:highlight w:val="none"/>
              </w:rPr>
              <w:t>+2×E</w:t>
            </w:r>
            <w:r>
              <w:rPr>
                <w:color w:val="auto"/>
                <w:kern w:val="2"/>
                <w:sz w:val="21"/>
                <w:szCs w:val="21"/>
                <w:highlight w:val="none"/>
                <w:vertAlign w:val="subscript"/>
              </w:rPr>
              <w:t>f</w:t>
            </w:r>
            <w:r>
              <w:rPr>
                <w:color w:val="auto"/>
                <w:kern w:val="2"/>
                <w:sz w:val="21"/>
                <w:szCs w:val="21"/>
                <w:highlight w:val="none"/>
              </w:rPr>
              <w:t>×S｝×10</w:t>
            </w:r>
            <w:r>
              <w:rPr>
                <w:color w:val="auto"/>
                <w:kern w:val="2"/>
                <w:sz w:val="21"/>
                <w:szCs w:val="21"/>
                <w:highlight w:val="none"/>
                <w:vertAlign w:val="superscript"/>
              </w:rPr>
              <w:t>-3</w:t>
            </w:r>
            <w:r>
              <w:rPr>
                <w:color w:val="auto"/>
                <w:kern w:val="2"/>
                <w:sz w:val="21"/>
                <w:szCs w:val="21"/>
                <w:highlight w:val="none"/>
              </w:rPr>
              <w:t>：</w:t>
            </w:r>
          </w:p>
          <w:p w14:paraId="75C100B5">
            <w:pPr>
              <w:pStyle w:val="826"/>
              <w:spacing w:line="360" w:lineRule="auto"/>
              <w:rPr>
                <w:color w:val="auto"/>
                <w:sz w:val="21"/>
                <w:szCs w:val="21"/>
                <w:highlight w:val="none"/>
              </w:rPr>
            </w:pPr>
            <w:r>
              <w:rPr>
                <w:color w:val="auto"/>
                <w:sz w:val="21"/>
                <w:szCs w:val="21"/>
                <w:highlight w:val="none"/>
              </w:rPr>
              <w:t>式中：</w:t>
            </w:r>
          </w:p>
          <w:p w14:paraId="3A8CED87">
            <w:pPr>
              <w:pStyle w:val="826"/>
              <w:spacing w:line="360" w:lineRule="auto"/>
              <w:rPr>
                <w:color w:val="auto"/>
                <w:sz w:val="21"/>
                <w:szCs w:val="21"/>
                <w:highlight w:val="none"/>
              </w:rPr>
            </w:pPr>
            <w:r>
              <w:rPr>
                <w:color w:val="auto"/>
                <w:sz w:val="21"/>
                <w:szCs w:val="21"/>
                <w:highlight w:val="none"/>
              </w:rPr>
              <w:t>P—指颗粒物产生量</w:t>
            </w:r>
            <w:r>
              <w:rPr>
                <w:rFonts w:hint="eastAsia"/>
                <w:color w:val="auto"/>
                <w:sz w:val="21"/>
                <w:szCs w:val="21"/>
                <w:highlight w:val="none"/>
                <w:lang w:eastAsia="zh-CN"/>
              </w:rPr>
              <w:t>(</w:t>
            </w:r>
            <w:r>
              <w:rPr>
                <w:color w:val="auto"/>
                <w:sz w:val="21"/>
                <w:szCs w:val="21"/>
                <w:highlight w:val="none"/>
              </w:rPr>
              <w:t>单位：吨</w:t>
            </w:r>
            <w:r>
              <w:rPr>
                <w:rFonts w:hint="eastAsia"/>
                <w:color w:val="auto"/>
                <w:sz w:val="21"/>
                <w:szCs w:val="21"/>
                <w:highlight w:val="none"/>
                <w:lang w:eastAsia="zh-CN"/>
              </w:rPr>
              <w:t>)</w:t>
            </w:r>
            <w:r>
              <w:rPr>
                <w:color w:val="auto"/>
                <w:sz w:val="21"/>
                <w:szCs w:val="21"/>
                <w:highlight w:val="none"/>
              </w:rPr>
              <w:t>；</w:t>
            </w:r>
          </w:p>
          <w:p w14:paraId="7EEBAC7C">
            <w:pPr>
              <w:pStyle w:val="826"/>
              <w:spacing w:line="360" w:lineRule="auto"/>
              <w:rPr>
                <w:color w:val="auto"/>
                <w:sz w:val="21"/>
                <w:szCs w:val="21"/>
                <w:highlight w:val="none"/>
              </w:rPr>
            </w:pPr>
            <w:r>
              <w:rPr>
                <w:color w:val="auto"/>
                <w:sz w:val="21"/>
                <w:szCs w:val="21"/>
                <w:highlight w:val="none"/>
              </w:rPr>
              <w:t>ZC</w:t>
            </w:r>
            <w:r>
              <w:rPr>
                <w:color w:val="auto"/>
                <w:sz w:val="21"/>
                <w:szCs w:val="21"/>
                <w:highlight w:val="none"/>
                <w:vertAlign w:val="subscript"/>
              </w:rPr>
              <w:t>y</w:t>
            </w:r>
            <w:r>
              <w:rPr>
                <w:color w:val="auto"/>
                <w:sz w:val="21"/>
                <w:szCs w:val="21"/>
                <w:highlight w:val="none"/>
              </w:rPr>
              <w:t xml:space="preserve"> —指装卸扬尘产生量</w:t>
            </w:r>
            <w:r>
              <w:rPr>
                <w:rFonts w:hint="eastAsia"/>
                <w:color w:val="auto"/>
                <w:sz w:val="21"/>
                <w:szCs w:val="21"/>
                <w:highlight w:val="none"/>
                <w:lang w:eastAsia="zh-CN"/>
              </w:rPr>
              <w:t>(</w:t>
            </w:r>
            <w:r>
              <w:rPr>
                <w:color w:val="auto"/>
                <w:sz w:val="21"/>
                <w:szCs w:val="21"/>
                <w:highlight w:val="none"/>
              </w:rPr>
              <w:t>单位：吨</w:t>
            </w:r>
            <w:r>
              <w:rPr>
                <w:rFonts w:hint="eastAsia"/>
                <w:color w:val="auto"/>
                <w:sz w:val="21"/>
                <w:szCs w:val="21"/>
                <w:highlight w:val="none"/>
                <w:lang w:eastAsia="zh-CN"/>
              </w:rPr>
              <w:t>)</w:t>
            </w:r>
            <w:r>
              <w:rPr>
                <w:color w:val="auto"/>
                <w:sz w:val="21"/>
                <w:szCs w:val="21"/>
                <w:highlight w:val="none"/>
              </w:rPr>
              <w:t>；</w:t>
            </w:r>
          </w:p>
          <w:p w14:paraId="6AE30B8C">
            <w:pPr>
              <w:pStyle w:val="826"/>
              <w:spacing w:line="360" w:lineRule="auto"/>
              <w:rPr>
                <w:color w:val="auto"/>
                <w:sz w:val="21"/>
                <w:szCs w:val="21"/>
                <w:highlight w:val="none"/>
              </w:rPr>
            </w:pPr>
            <w:r>
              <w:rPr>
                <w:color w:val="auto"/>
                <w:sz w:val="21"/>
                <w:szCs w:val="21"/>
                <w:highlight w:val="none"/>
              </w:rPr>
              <w:t>FC</w:t>
            </w:r>
            <w:r>
              <w:rPr>
                <w:color w:val="auto"/>
                <w:sz w:val="21"/>
                <w:szCs w:val="21"/>
                <w:highlight w:val="none"/>
                <w:vertAlign w:val="subscript"/>
              </w:rPr>
              <w:t>y</w:t>
            </w:r>
            <w:r>
              <w:rPr>
                <w:color w:val="auto"/>
                <w:sz w:val="21"/>
                <w:szCs w:val="21"/>
                <w:highlight w:val="none"/>
              </w:rPr>
              <w:t xml:space="preserve"> —指风蚀扬尘产生量</w:t>
            </w:r>
            <w:r>
              <w:rPr>
                <w:rFonts w:hint="eastAsia"/>
                <w:color w:val="auto"/>
                <w:sz w:val="21"/>
                <w:szCs w:val="21"/>
                <w:highlight w:val="none"/>
                <w:lang w:eastAsia="zh-CN"/>
              </w:rPr>
              <w:t>(</w:t>
            </w:r>
            <w:r>
              <w:rPr>
                <w:color w:val="auto"/>
                <w:sz w:val="21"/>
                <w:szCs w:val="21"/>
                <w:highlight w:val="none"/>
              </w:rPr>
              <w:t>单位：吨</w:t>
            </w:r>
            <w:r>
              <w:rPr>
                <w:rFonts w:hint="eastAsia"/>
                <w:color w:val="auto"/>
                <w:sz w:val="21"/>
                <w:szCs w:val="21"/>
                <w:highlight w:val="none"/>
                <w:lang w:eastAsia="zh-CN"/>
              </w:rPr>
              <w:t>)</w:t>
            </w:r>
            <w:r>
              <w:rPr>
                <w:color w:val="auto"/>
                <w:sz w:val="21"/>
                <w:szCs w:val="21"/>
                <w:highlight w:val="none"/>
              </w:rPr>
              <w:t>；</w:t>
            </w:r>
          </w:p>
          <w:p w14:paraId="6E7CE89E">
            <w:pPr>
              <w:pStyle w:val="826"/>
              <w:spacing w:line="360" w:lineRule="auto"/>
              <w:rPr>
                <w:color w:val="auto"/>
                <w:sz w:val="21"/>
                <w:szCs w:val="21"/>
                <w:highlight w:val="none"/>
              </w:rPr>
            </w:pPr>
            <w:r>
              <w:rPr>
                <w:color w:val="auto"/>
                <w:sz w:val="21"/>
                <w:szCs w:val="21"/>
                <w:highlight w:val="none"/>
              </w:rPr>
              <w:t>N</w:t>
            </w:r>
            <w:r>
              <w:rPr>
                <w:color w:val="auto"/>
                <w:sz w:val="21"/>
                <w:szCs w:val="21"/>
                <w:highlight w:val="none"/>
                <w:vertAlign w:val="subscript"/>
              </w:rPr>
              <w:t>c</w:t>
            </w:r>
            <w:r>
              <w:rPr>
                <w:color w:val="auto"/>
                <w:sz w:val="21"/>
                <w:szCs w:val="21"/>
                <w:highlight w:val="none"/>
              </w:rPr>
              <w:t>—指年物料运输车次</w:t>
            </w:r>
            <w:r>
              <w:rPr>
                <w:rFonts w:hint="eastAsia"/>
                <w:color w:val="auto"/>
                <w:sz w:val="21"/>
                <w:szCs w:val="21"/>
                <w:highlight w:val="none"/>
                <w:lang w:eastAsia="zh-CN"/>
              </w:rPr>
              <w:t>(</w:t>
            </w:r>
            <w:r>
              <w:rPr>
                <w:color w:val="auto"/>
                <w:sz w:val="21"/>
                <w:szCs w:val="21"/>
                <w:highlight w:val="none"/>
              </w:rPr>
              <w:t>单位：车</w:t>
            </w:r>
            <w:r>
              <w:rPr>
                <w:rFonts w:hint="eastAsia"/>
                <w:color w:val="auto"/>
                <w:sz w:val="21"/>
                <w:szCs w:val="21"/>
                <w:highlight w:val="none"/>
                <w:lang w:eastAsia="zh-CN"/>
              </w:rPr>
              <w:t>)</w:t>
            </w:r>
            <w:r>
              <w:rPr>
                <w:color w:val="auto"/>
                <w:sz w:val="21"/>
                <w:szCs w:val="21"/>
                <w:highlight w:val="none"/>
              </w:rPr>
              <w:t>；</w:t>
            </w:r>
          </w:p>
          <w:p w14:paraId="6EBFA844">
            <w:pPr>
              <w:pStyle w:val="826"/>
              <w:spacing w:line="360" w:lineRule="auto"/>
              <w:rPr>
                <w:color w:val="auto"/>
                <w:sz w:val="21"/>
                <w:szCs w:val="21"/>
                <w:highlight w:val="none"/>
              </w:rPr>
            </w:pPr>
            <w:r>
              <w:rPr>
                <w:color w:val="auto"/>
                <w:sz w:val="21"/>
                <w:szCs w:val="21"/>
                <w:highlight w:val="none"/>
              </w:rPr>
              <w:t>D—指单车平均运载量</w:t>
            </w:r>
            <w:r>
              <w:rPr>
                <w:rFonts w:hint="eastAsia"/>
                <w:color w:val="auto"/>
                <w:sz w:val="21"/>
                <w:szCs w:val="21"/>
                <w:highlight w:val="none"/>
                <w:lang w:eastAsia="zh-CN"/>
              </w:rPr>
              <w:t>(</w:t>
            </w:r>
            <w:r>
              <w:rPr>
                <w:color w:val="auto"/>
                <w:sz w:val="21"/>
                <w:szCs w:val="21"/>
                <w:highlight w:val="none"/>
              </w:rPr>
              <w:t>单位：吨/车</w:t>
            </w:r>
            <w:r>
              <w:rPr>
                <w:rFonts w:hint="eastAsia"/>
                <w:color w:val="auto"/>
                <w:sz w:val="21"/>
                <w:szCs w:val="21"/>
                <w:highlight w:val="none"/>
                <w:lang w:eastAsia="zh-CN"/>
              </w:rPr>
              <w:t>)</w:t>
            </w:r>
            <w:r>
              <w:rPr>
                <w:color w:val="auto"/>
                <w:sz w:val="21"/>
                <w:szCs w:val="21"/>
                <w:highlight w:val="none"/>
              </w:rPr>
              <w:t>；</w:t>
            </w:r>
          </w:p>
          <w:p w14:paraId="71007A01">
            <w:pPr>
              <w:pStyle w:val="826"/>
              <w:spacing w:line="360" w:lineRule="auto"/>
              <w:ind w:left="0" w:leftChars="0" w:firstLine="420" w:firstLineChars="200"/>
              <w:rPr>
                <w:rFonts w:hint="default"/>
                <w:color w:val="auto"/>
                <w:sz w:val="21"/>
                <w:szCs w:val="21"/>
                <w:highlight w:val="none"/>
                <w:lang w:val="en-US"/>
              </w:rPr>
            </w:pPr>
            <w:r>
              <w:rPr>
                <w:rFonts w:hint="eastAsia"/>
                <w:color w:val="auto"/>
                <w:sz w:val="21"/>
                <w:szCs w:val="21"/>
                <w:highlight w:val="none"/>
                <w:lang w:eastAsia="zh-CN"/>
              </w:rPr>
              <w:t>(</w:t>
            </w:r>
            <w:r>
              <w:rPr>
                <w:color w:val="auto"/>
                <w:sz w:val="21"/>
                <w:szCs w:val="21"/>
                <w:highlight w:val="none"/>
              </w:rPr>
              <w:t>a/b</w:t>
            </w:r>
            <w:r>
              <w:rPr>
                <w:rFonts w:hint="eastAsia"/>
                <w:color w:val="auto"/>
                <w:sz w:val="21"/>
                <w:szCs w:val="21"/>
                <w:highlight w:val="none"/>
                <w:lang w:eastAsia="zh-CN"/>
              </w:rPr>
              <w:t>)</w:t>
            </w:r>
            <w:r>
              <w:rPr>
                <w:color w:val="auto"/>
                <w:sz w:val="21"/>
                <w:szCs w:val="21"/>
                <w:highlight w:val="none"/>
              </w:rPr>
              <w:t>—指装卸扬尘概化系数</w:t>
            </w:r>
            <w:r>
              <w:rPr>
                <w:rFonts w:hint="eastAsia"/>
                <w:color w:val="auto"/>
                <w:sz w:val="21"/>
                <w:szCs w:val="21"/>
                <w:highlight w:val="none"/>
                <w:lang w:eastAsia="zh-CN"/>
              </w:rPr>
              <w:t>(</w:t>
            </w:r>
            <w:r>
              <w:rPr>
                <w:color w:val="auto"/>
                <w:sz w:val="21"/>
                <w:szCs w:val="21"/>
                <w:highlight w:val="none"/>
              </w:rPr>
              <w:t>单位：千克/吨</w:t>
            </w:r>
            <w:r>
              <w:rPr>
                <w:rFonts w:hint="eastAsia"/>
                <w:color w:val="auto"/>
                <w:sz w:val="21"/>
                <w:szCs w:val="21"/>
                <w:highlight w:val="none"/>
                <w:lang w:eastAsia="zh-CN"/>
              </w:rPr>
              <w:t>)</w:t>
            </w:r>
            <w:r>
              <w:rPr>
                <w:color w:val="auto"/>
                <w:sz w:val="21"/>
                <w:szCs w:val="21"/>
                <w:highlight w:val="none"/>
              </w:rPr>
              <w:t>，a 指各省风速概化系数，</w:t>
            </w:r>
            <w:r>
              <w:rPr>
                <w:rFonts w:hint="eastAsia"/>
                <w:color w:val="auto"/>
                <w:sz w:val="21"/>
                <w:szCs w:val="21"/>
                <w:highlight w:val="none"/>
                <w:lang w:val="en-US" w:eastAsia="zh-CN"/>
              </w:rPr>
              <w:t>根据附录1，</w:t>
            </w:r>
            <w:r>
              <w:rPr>
                <w:color w:val="auto"/>
                <w:sz w:val="21"/>
                <w:szCs w:val="21"/>
                <w:highlight w:val="none"/>
              </w:rPr>
              <w:t>取值0.0010</w:t>
            </w:r>
            <w:r>
              <w:rPr>
                <w:rFonts w:hint="eastAsia"/>
                <w:color w:val="auto"/>
                <w:sz w:val="21"/>
                <w:szCs w:val="21"/>
                <w:highlight w:val="none"/>
                <w:lang w:eastAsia="zh-CN"/>
              </w:rPr>
              <w:t>；</w:t>
            </w:r>
            <w:r>
              <w:rPr>
                <w:color w:val="auto"/>
                <w:sz w:val="21"/>
                <w:szCs w:val="21"/>
                <w:highlight w:val="none"/>
              </w:rPr>
              <w:t>b指物料含水率概化系数，</w:t>
            </w:r>
            <w:r>
              <w:rPr>
                <w:rFonts w:hint="eastAsia"/>
                <w:color w:val="auto"/>
                <w:sz w:val="21"/>
                <w:szCs w:val="21"/>
                <w:highlight w:val="none"/>
                <w:lang w:val="en-US" w:eastAsia="zh-CN"/>
              </w:rPr>
              <w:t>根据</w:t>
            </w:r>
            <w:r>
              <w:rPr>
                <w:color w:val="auto"/>
                <w:sz w:val="21"/>
                <w:szCs w:val="21"/>
                <w:highlight w:val="none"/>
              </w:rPr>
              <w:t>附录2</w:t>
            </w:r>
            <w:r>
              <w:rPr>
                <w:rFonts w:hint="eastAsia"/>
                <w:color w:val="auto"/>
                <w:sz w:val="21"/>
                <w:szCs w:val="21"/>
                <w:highlight w:val="none"/>
                <w:lang w:eastAsia="zh-CN"/>
              </w:rPr>
              <w:t>，</w:t>
            </w:r>
            <w:r>
              <w:rPr>
                <w:rFonts w:hint="eastAsia"/>
                <w:color w:val="auto"/>
                <w:sz w:val="21"/>
                <w:szCs w:val="21"/>
                <w:highlight w:val="none"/>
                <w:lang w:val="en-US" w:eastAsia="zh-CN"/>
              </w:rPr>
              <w:t>除尘灰和</w:t>
            </w:r>
            <w:r>
              <w:rPr>
                <w:rFonts w:hint="eastAsia"/>
                <w:color w:val="auto"/>
                <w:sz w:val="21"/>
                <w:szCs w:val="21"/>
                <w:highlight w:val="red"/>
                <w:lang w:val="en-US" w:eastAsia="zh-CN"/>
              </w:rPr>
              <w:t>含铁沉泥</w:t>
            </w:r>
            <w:r>
              <w:rPr>
                <w:rFonts w:hint="eastAsia"/>
                <w:color w:val="auto"/>
                <w:sz w:val="21"/>
                <w:szCs w:val="21"/>
                <w:highlight w:val="none"/>
                <w:lang w:val="en-US" w:eastAsia="zh-CN"/>
              </w:rPr>
              <w:t>按照烟道灰计算，取值0.0092计算，矿粉含水率和表土类似，取值0.0151计算，半成品压球、大粒径物料和</w:t>
            </w:r>
            <w:r>
              <w:rPr>
                <w:rFonts w:hint="eastAsia" w:cs="Times New Roman"/>
                <w:color w:val="auto"/>
                <w:kern w:val="2"/>
                <w:sz w:val="21"/>
                <w:szCs w:val="21"/>
                <w:highlight w:val="none"/>
                <w:lang w:val="en-US" w:eastAsia="zh-CN"/>
              </w:rPr>
              <w:t>半成品筛分筛下物与铁矿石类似，取值0.0074计算。</w:t>
            </w:r>
          </w:p>
          <w:p w14:paraId="069DFE37">
            <w:pPr>
              <w:pStyle w:val="826"/>
              <w:spacing w:line="360" w:lineRule="auto"/>
              <w:rPr>
                <w:color w:val="auto"/>
                <w:sz w:val="21"/>
                <w:szCs w:val="21"/>
                <w:highlight w:val="none"/>
              </w:rPr>
            </w:pPr>
            <w:r>
              <w:rPr>
                <w:color w:val="auto"/>
                <w:sz w:val="21"/>
                <w:szCs w:val="21"/>
                <w:highlight w:val="none"/>
              </w:rPr>
              <w:t>E</w:t>
            </w:r>
            <w:r>
              <w:rPr>
                <w:color w:val="auto"/>
                <w:sz w:val="21"/>
                <w:szCs w:val="21"/>
                <w:highlight w:val="none"/>
                <w:vertAlign w:val="subscript"/>
              </w:rPr>
              <w:t>f</w:t>
            </w:r>
            <w:r>
              <w:rPr>
                <w:color w:val="auto"/>
                <w:sz w:val="21"/>
                <w:szCs w:val="21"/>
                <w:highlight w:val="none"/>
              </w:rPr>
              <w:t>—指堆场风蚀扬尘概化系数</w:t>
            </w:r>
            <w:r>
              <w:rPr>
                <w:rFonts w:hint="eastAsia"/>
                <w:color w:val="auto"/>
                <w:sz w:val="21"/>
                <w:szCs w:val="21"/>
                <w:highlight w:val="none"/>
                <w:lang w:eastAsia="zh-CN"/>
              </w:rPr>
              <w:t>(</w:t>
            </w:r>
            <w:r>
              <w:rPr>
                <w:color w:val="auto"/>
                <w:sz w:val="21"/>
                <w:szCs w:val="21"/>
                <w:highlight w:val="none"/>
              </w:rPr>
              <w:t>单位：千克/平方米</w:t>
            </w:r>
            <w:r>
              <w:rPr>
                <w:rFonts w:hint="eastAsia"/>
                <w:color w:val="auto"/>
                <w:sz w:val="21"/>
                <w:szCs w:val="21"/>
                <w:highlight w:val="none"/>
                <w:lang w:eastAsia="zh-CN"/>
              </w:rPr>
              <w:t>)</w:t>
            </w:r>
            <w:r>
              <w:rPr>
                <w:color w:val="auto"/>
                <w:sz w:val="21"/>
                <w:szCs w:val="21"/>
                <w:highlight w:val="none"/>
              </w:rPr>
              <w:t>，</w:t>
            </w:r>
            <w:r>
              <w:rPr>
                <w:rFonts w:hint="eastAsia"/>
                <w:color w:val="auto"/>
                <w:sz w:val="21"/>
                <w:szCs w:val="21"/>
                <w:highlight w:val="none"/>
                <w:lang w:val="en-US" w:eastAsia="zh-CN"/>
              </w:rPr>
              <w:t>参考表土</w:t>
            </w:r>
            <w:r>
              <w:rPr>
                <w:color w:val="auto"/>
                <w:sz w:val="21"/>
                <w:szCs w:val="21"/>
                <w:highlight w:val="none"/>
              </w:rPr>
              <w:t>阈值摩擦风速为</w:t>
            </w:r>
            <w:r>
              <w:rPr>
                <w:rFonts w:hint="eastAsia"/>
                <w:color w:val="auto"/>
                <w:sz w:val="21"/>
                <w:szCs w:val="21"/>
                <w:highlight w:val="none"/>
                <w:lang w:val="en-US" w:eastAsia="zh-CN"/>
              </w:rPr>
              <w:t>0.82</w:t>
            </w:r>
            <w:r>
              <w:rPr>
                <w:color w:val="auto"/>
                <w:kern w:val="2"/>
                <w:sz w:val="21"/>
                <w:szCs w:val="21"/>
                <w:highlight w:val="none"/>
              </w:rPr>
              <w:t>m/s，项目</w:t>
            </w:r>
            <w:r>
              <w:rPr>
                <w:rFonts w:hint="eastAsia"/>
                <w:color w:val="auto"/>
                <w:kern w:val="2"/>
                <w:sz w:val="21"/>
                <w:szCs w:val="21"/>
                <w:highlight w:val="none"/>
                <w:lang w:val="en-US" w:eastAsia="zh-CN"/>
              </w:rPr>
              <w:t>原料及成品均</w:t>
            </w:r>
            <w:r>
              <w:rPr>
                <w:color w:val="auto"/>
                <w:kern w:val="2"/>
                <w:sz w:val="21"/>
                <w:szCs w:val="21"/>
                <w:highlight w:val="none"/>
              </w:rPr>
              <w:t>堆存于封闭</w:t>
            </w:r>
            <w:r>
              <w:rPr>
                <w:rFonts w:hint="eastAsia"/>
                <w:color w:val="auto"/>
                <w:kern w:val="2"/>
                <w:sz w:val="21"/>
                <w:szCs w:val="21"/>
                <w:highlight w:val="none"/>
                <w:lang w:val="en-US" w:eastAsia="zh-CN"/>
              </w:rPr>
              <w:t>车间</w:t>
            </w:r>
            <w:r>
              <w:rPr>
                <w:color w:val="auto"/>
                <w:kern w:val="2"/>
                <w:sz w:val="21"/>
                <w:szCs w:val="21"/>
                <w:highlight w:val="none"/>
              </w:rPr>
              <w:t>内，属于静小风模式，封闭库房内平均风速取</w:t>
            </w:r>
            <w:r>
              <w:rPr>
                <w:rFonts w:hint="eastAsia"/>
                <w:color w:val="auto"/>
                <w:kern w:val="2"/>
                <w:sz w:val="21"/>
                <w:szCs w:val="21"/>
                <w:highlight w:val="none"/>
                <w:lang w:val="en-US" w:eastAsia="zh-CN"/>
              </w:rPr>
              <w:t>0.12</w:t>
            </w:r>
            <w:r>
              <w:rPr>
                <w:color w:val="auto"/>
                <w:kern w:val="2"/>
                <w:sz w:val="21"/>
                <w:szCs w:val="21"/>
                <w:highlight w:val="none"/>
              </w:rPr>
              <w:t>m/s，低于阈值摩擦风速，因此，</w:t>
            </w:r>
            <w:r>
              <w:rPr>
                <w:color w:val="auto"/>
                <w:sz w:val="21"/>
                <w:szCs w:val="21"/>
                <w:highlight w:val="none"/>
              </w:rPr>
              <w:t>取值0；</w:t>
            </w:r>
          </w:p>
          <w:p w14:paraId="035AE9FA">
            <w:pPr>
              <w:pStyle w:val="826"/>
              <w:spacing w:line="360" w:lineRule="auto"/>
              <w:rPr>
                <w:color w:val="auto"/>
                <w:sz w:val="21"/>
                <w:szCs w:val="21"/>
                <w:highlight w:val="none"/>
              </w:rPr>
            </w:pPr>
            <w:r>
              <w:rPr>
                <w:color w:val="auto"/>
                <w:sz w:val="21"/>
                <w:szCs w:val="21"/>
                <w:highlight w:val="none"/>
              </w:rPr>
              <w:t>S—指堆场占地面积</w:t>
            </w:r>
            <w:r>
              <w:rPr>
                <w:rFonts w:hint="eastAsia"/>
                <w:color w:val="auto"/>
                <w:sz w:val="21"/>
                <w:szCs w:val="21"/>
                <w:highlight w:val="none"/>
                <w:lang w:eastAsia="zh-CN"/>
              </w:rPr>
              <w:t>(</w:t>
            </w:r>
            <w:r>
              <w:rPr>
                <w:color w:val="auto"/>
                <w:sz w:val="21"/>
                <w:szCs w:val="21"/>
                <w:highlight w:val="none"/>
              </w:rPr>
              <w:t>单位：平方米</w:t>
            </w:r>
            <w:r>
              <w:rPr>
                <w:rFonts w:hint="eastAsia"/>
                <w:color w:val="auto"/>
                <w:sz w:val="21"/>
                <w:szCs w:val="21"/>
                <w:highlight w:val="none"/>
                <w:lang w:eastAsia="zh-CN"/>
              </w:rPr>
              <w:t>)</w:t>
            </w:r>
            <w:r>
              <w:rPr>
                <w:color w:val="auto"/>
                <w:sz w:val="21"/>
                <w:szCs w:val="21"/>
                <w:highlight w:val="none"/>
              </w:rPr>
              <w:t>，</w:t>
            </w:r>
            <w:r>
              <w:rPr>
                <w:rFonts w:hint="eastAsia"/>
                <w:color w:val="auto"/>
                <w:sz w:val="21"/>
                <w:szCs w:val="21"/>
                <w:highlight w:val="none"/>
                <w:lang w:val="en-US" w:eastAsia="zh-CN"/>
              </w:rPr>
              <w:t>除尘灰、</w:t>
            </w:r>
            <w:r>
              <w:rPr>
                <w:rFonts w:hint="eastAsia"/>
                <w:color w:val="auto"/>
                <w:sz w:val="21"/>
                <w:szCs w:val="21"/>
                <w:highlight w:val="red"/>
                <w:lang w:val="en-US" w:eastAsia="zh-CN"/>
              </w:rPr>
              <w:t>含铁沉泥</w:t>
            </w:r>
            <w:r>
              <w:rPr>
                <w:rFonts w:hint="eastAsia"/>
                <w:color w:val="auto"/>
                <w:sz w:val="21"/>
                <w:szCs w:val="21"/>
                <w:highlight w:val="none"/>
                <w:lang w:val="en-US" w:eastAsia="zh-CN"/>
              </w:rPr>
              <w:t>、矿粉、半成品筛分筛下物堆存的面积约500m</w:t>
            </w:r>
            <w:r>
              <w:rPr>
                <w:rFonts w:hint="eastAsia"/>
                <w:color w:val="auto"/>
                <w:sz w:val="21"/>
                <w:szCs w:val="21"/>
                <w:highlight w:val="none"/>
                <w:vertAlign w:val="superscript"/>
                <w:lang w:val="en-US" w:eastAsia="zh-CN"/>
              </w:rPr>
              <w:t>2</w:t>
            </w:r>
            <w:r>
              <w:rPr>
                <w:rFonts w:hint="eastAsia"/>
                <w:color w:val="auto"/>
                <w:sz w:val="21"/>
                <w:szCs w:val="21"/>
                <w:highlight w:val="none"/>
                <w:lang w:val="en-US" w:eastAsia="zh-CN"/>
              </w:rPr>
              <w:t>，半成品压球的晾晒区约300m</w:t>
            </w:r>
            <w:r>
              <w:rPr>
                <w:rFonts w:hint="eastAsia"/>
                <w:color w:val="auto"/>
                <w:sz w:val="21"/>
                <w:szCs w:val="21"/>
                <w:highlight w:val="none"/>
                <w:vertAlign w:val="superscript"/>
                <w:lang w:val="en-US" w:eastAsia="zh-CN"/>
              </w:rPr>
              <w:t>2</w:t>
            </w:r>
            <w:r>
              <w:rPr>
                <w:rFonts w:hint="eastAsia"/>
                <w:color w:val="auto"/>
                <w:sz w:val="21"/>
                <w:szCs w:val="21"/>
                <w:highlight w:val="none"/>
                <w:lang w:val="en-US" w:eastAsia="zh-CN"/>
              </w:rPr>
              <w:t>，大粒径物料堆存的面积为10m</w:t>
            </w:r>
            <w:r>
              <w:rPr>
                <w:rFonts w:hint="eastAsia"/>
                <w:color w:val="auto"/>
                <w:sz w:val="21"/>
                <w:szCs w:val="21"/>
                <w:highlight w:val="none"/>
                <w:vertAlign w:val="superscript"/>
                <w:lang w:val="en-US" w:eastAsia="zh-CN"/>
              </w:rPr>
              <w:t>2</w:t>
            </w:r>
            <w:r>
              <w:rPr>
                <w:color w:val="auto"/>
                <w:sz w:val="21"/>
                <w:szCs w:val="21"/>
                <w:highlight w:val="none"/>
              </w:rPr>
              <w:t>。</w:t>
            </w:r>
          </w:p>
          <w:p w14:paraId="2921D85D">
            <w:pPr>
              <w:pStyle w:val="826"/>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1"/>
                <w:szCs w:val="21"/>
                <w:highlight w:val="none"/>
              </w:rPr>
            </w:pPr>
            <w:r>
              <w:rPr>
                <w:color w:val="auto"/>
                <w:sz w:val="21"/>
                <w:szCs w:val="21"/>
                <w:highlight w:val="none"/>
              </w:rPr>
              <w:t>本项目参数N</w:t>
            </w:r>
            <w:r>
              <w:rPr>
                <w:color w:val="auto"/>
                <w:sz w:val="21"/>
                <w:szCs w:val="21"/>
                <w:highlight w:val="none"/>
                <w:vertAlign w:val="subscript"/>
              </w:rPr>
              <w:t>c</w:t>
            </w:r>
            <w:r>
              <w:rPr>
                <w:color w:val="auto"/>
                <w:sz w:val="21"/>
                <w:szCs w:val="21"/>
                <w:highlight w:val="none"/>
              </w:rPr>
              <w:t>、D 取值如下表</w:t>
            </w:r>
            <w:r>
              <w:rPr>
                <w:rFonts w:hint="eastAsia"/>
                <w:color w:val="auto"/>
                <w:sz w:val="21"/>
                <w:szCs w:val="21"/>
                <w:highlight w:val="none"/>
                <w:lang w:val="en-US" w:eastAsia="zh-CN"/>
              </w:rPr>
              <w:t>4-2</w:t>
            </w:r>
            <w:r>
              <w:rPr>
                <w:color w:val="auto"/>
                <w:sz w:val="21"/>
                <w:szCs w:val="21"/>
                <w:highlight w:val="none"/>
              </w:rPr>
              <w:t>。</w:t>
            </w:r>
          </w:p>
          <w:p w14:paraId="4C676D8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bCs w:val="0"/>
                <w:color w:val="auto"/>
                <w:kern w:val="2"/>
                <w:sz w:val="21"/>
                <w:szCs w:val="21"/>
                <w:highlight w:val="none"/>
              </w:rPr>
            </w:pPr>
            <w:r>
              <w:rPr>
                <w:b/>
                <w:bCs w:val="0"/>
                <w:color w:val="auto"/>
                <w:kern w:val="2"/>
                <w:sz w:val="21"/>
                <w:szCs w:val="21"/>
                <w:highlight w:val="none"/>
              </w:rPr>
              <w:t>表</w:t>
            </w:r>
            <w:r>
              <w:rPr>
                <w:rFonts w:hint="eastAsia"/>
                <w:b/>
                <w:bCs w:val="0"/>
                <w:color w:val="auto"/>
                <w:kern w:val="2"/>
                <w:sz w:val="21"/>
                <w:szCs w:val="21"/>
                <w:highlight w:val="none"/>
                <w:lang w:val="en-US" w:eastAsia="zh-CN"/>
              </w:rPr>
              <w:t>4-2</w:t>
            </w:r>
            <w:r>
              <w:rPr>
                <w:b/>
                <w:bCs w:val="0"/>
                <w:color w:val="auto"/>
                <w:kern w:val="2"/>
                <w:sz w:val="21"/>
                <w:szCs w:val="21"/>
                <w:highlight w:val="none"/>
              </w:rPr>
              <w:t xml:space="preserve"> </w:t>
            </w:r>
            <w:r>
              <w:rPr>
                <w:rFonts w:hint="eastAsia"/>
                <w:b/>
                <w:bCs w:val="0"/>
                <w:color w:val="auto"/>
                <w:kern w:val="2"/>
                <w:sz w:val="21"/>
                <w:szCs w:val="21"/>
                <w:highlight w:val="none"/>
                <w:lang w:val="en-US" w:eastAsia="zh-CN"/>
              </w:rPr>
              <w:t xml:space="preserve">  </w:t>
            </w:r>
            <w:r>
              <w:rPr>
                <w:b/>
                <w:bCs w:val="0"/>
                <w:color w:val="auto"/>
                <w:kern w:val="2"/>
                <w:sz w:val="21"/>
                <w:szCs w:val="21"/>
                <w:highlight w:val="none"/>
              </w:rPr>
              <w:t xml:space="preserve"> 参数N</w:t>
            </w:r>
            <w:r>
              <w:rPr>
                <w:b/>
                <w:bCs w:val="0"/>
                <w:color w:val="auto"/>
                <w:kern w:val="2"/>
                <w:sz w:val="21"/>
                <w:szCs w:val="21"/>
                <w:highlight w:val="none"/>
                <w:vertAlign w:val="subscript"/>
              </w:rPr>
              <w:t>c</w:t>
            </w:r>
            <w:r>
              <w:rPr>
                <w:b/>
                <w:bCs w:val="0"/>
                <w:color w:val="auto"/>
                <w:kern w:val="2"/>
                <w:sz w:val="21"/>
                <w:szCs w:val="21"/>
                <w:highlight w:val="none"/>
              </w:rPr>
              <w:t>、D 取值表</w:t>
            </w:r>
          </w:p>
          <w:tbl>
            <w:tblPr>
              <w:tblStyle w:val="8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50"/>
              <w:gridCol w:w="2753"/>
              <w:gridCol w:w="2753"/>
            </w:tblGrid>
            <w:tr w14:paraId="47705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65" w:type="pct"/>
                  <w:noWrap w:val="0"/>
                  <w:vAlign w:val="center"/>
                </w:tcPr>
                <w:p w14:paraId="35038E72">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类别</w:t>
                  </w:r>
                </w:p>
              </w:tc>
              <w:tc>
                <w:tcPr>
                  <w:tcW w:w="1667" w:type="pct"/>
                  <w:noWrap w:val="0"/>
                  <w:vAlign w:val="center"/>
                </w:tcPr>
                <w:p w14:paraId="51450D20">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default" w:ascii="Times New Roman" w:hAnsi="Times New Roman" w:eastAsia="宋体" w:cs="Times New Roman"/>
                      <w:color w:val="auto"/>
                      <w:kern w:val="2"/>
                      <w:sz w:val="21"/>
                      <w:szCs w:val="21"/>
                      <w:highlight w:val="none"/>
                    </w:rPr>
                    <w:t>运输车辆载重</w:t>
                  </w:r>
                  <w:r>
                    <w:rPr>
                      <w:rFonts w:hint="eastAsia" w:ascii="Times New Roman" w:hAnsi="Times New Roman" w:eastAsia="宋体" w:cs="Times New Roman"/>
                      <w:color w:val="auto"/>
                      <w:kern w:val="2"/>
                      <w:sz w:val="21"/>
                      <w:szCs w:val="21"/>
                      <w:highlight w:val="none"/>
                      <w:lang w:eastAsia="zh-CN"/>
                    </w:rPr>
                    <w:t>(</w:t>
                  </w:r>
                  <w:r>
                    <w:rPr>
                      <w:rFonts w:hint="default" w:ascii="Times New Roman" w:hAnsi="Times New Roman" w:eastAsia="宋体" w:cs="Times New Roman"/>
                      <w:color w:val="auto"/>
                      <w:kern w:val="2"/>
                      <w:sz w:val="21"/>
                      <w:szCs w:val="21"/>
                      <w:highlight w:val="none"/>
                    </w:rPr>
                    <w:t>D</w:t>
                  </w:r>
                  <w:r>
                    <w:rPr>
                      <w:rFonts w:hint="eastAsia" w:ascii="Times New Roman" w:hAnsi="Times New Roman" w:eastAsia="宋体" w:cs="Times New Roman"/>
                      <w:color w:val="auto"/>
                      <w:kern w:val="2"/>
                      <w:sz w:val="21"/>
                      <w:szCs w:val="21"/>
                      <w:highlight w:val="none"/>
                      <w:lang w:eastAsia="zh-CN"/>
                    </w:rPr>
                    <w:t>)</w:t>
                  </w:r>
                  <w:r>
                    <w:rPr>
                      <w:rFonts w:hint="default" w:ascii="Times New Roman" w:hAnsi="Times New Roman" w:eastAsia="宋体" w:cs="Times New Roman"/>
                      <w:color w:val="auto"/>
                      <w:kern w:val="2"/>
                      <w:sz w:val="21"/>
                      <w:szCs w:val="21"/>
                      <w:highlight w:val="none"/>
                      <w:lang w:val="en-US" w:eastAsia="zh-CN"/>
                    </w:rPr>
                    <w:t>/一次</w:t>
                  </w:r>
                  <w:r>
                    <w:rPr>
                      <w:rFonts w:hint="eastAsia" w:ascii="Times New Roman" w:hAnsi="Times New Roman" w:eastAsia="宋体" w:cs="Times New Roman"/>
                      <w:color w:val="auto"/>
                      <w:kern w:val="2"/>
                      <w:sz w:val="21"/>
                      <w:szCs w:val="21"/>
                      <w:highlight w:val="none"/>
                      <w:lang w:val="en-US" w:eastAsia="zh-CN"/>
                    </w:rPr>
                    <w:t>入料</w:t>
                  </w:r>
                  <w:r>
                    <w:rPr>
                      <w:rFonts w:hint="default" w:ascii="Times New Roman" w:hAnsi="Times New Roman" w:eastAsia="宋体" w:cs="Times New Roman"/>
                      <w:color w:val="auto"/>
                      <w:kern w:val="2"/>
                      <w:sz w:val="21"/>
                      <w:szCs w:val="21"/>
                      <w:highlight w:val="none"/>
                      <w:lang w:val="en-US" w:eastAsia="zh-CN"/>
                    </w:rPr>
                    <w:t>量</w:t>
                  </w:r>
                </w:p>
              </w:tc>
              <w:tc>
                <w:tcPr>
                  <w:tcW w:w="1667" w:type="pct"/>
                  <w:noWrap w:val="0"/>
                  <w:vAlign w:val="center"/>
                </w:tcPr>
                <w:p w14:paraId="6C5D3D58">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宋体" w:cs="Times New Roman"/>
                      <w:color w:val="auto"/>
                      <w:kern w:val="2"/>
                      <w:sz w:val="21"/>
                      <w:szCs w:val="21"/>
                      <w:highlight w:val="none"/>
                      <w:lang w:eastAsia="zh-CN"/>
                    </w:rPr>
                  </w:pPr>
                  <w:r>
                    <w:rPr>
                      <w:rFonts w:hint="default" w:ascii="Times New Roman" w:hAnsi="Times New Roman" w:eastAsia="宋体" w:cs="Times New Roman"/>
                      <w:color w:val="auto"/>
                      <w:kern w:val="2"/>
                      <w:sz w:val="21"/>
                      <w:szCs w:val="21"/>
                      <w:highlight w:val="none"/>
                    </w:rPr>
                    <w:t>装卸次数</w:t>
                  </w:r>
                  <w:r>
                    <w:rPr>
                      <w:rFonts w:hint="eastAsia" w:ascii="Times New Roman" w:hAnsi="Times New Roman" w:eastAsia="宋体" w:cs="Times New Roman"/>
                      <w:color w:val="auto"/>
                      <w:kern w:val="2"/>
                      <w:sz w:val="21"/>
                      <w:szCs w:val="21"/>
                      <w:highlight w:val="none"/>
                      <w:lang w:eastAsia="zh-CN"/>
                    </w:rPr>
                    <w:t>(</w:t>
                  </w:r>
                  <w:r>
                    <w:rPr>
                      <w:rFonts w:hint="default" w:ascii="Times New Roman" w:hAnsi="Times New Roman" w:eastAsia="宋体" w:cs="Times New Roman"/>
                      <w:color w:val="auto"/>
                      <w:kern w:val="2"/>
                      <w:sz w:val="21"/>
                      <w:szCs w:val="21"/>
                      <w:highlight w:val="none"/>
                    </w:rPr>
                    <w:t>N</w:t>
                  </w:r>
                  <w:r>
                    <w:rPr>
                      <w:rFonts w:hint="default" w:ascii="Times New Roman" w:hAnsi="Times New Roman" w:eastAsia="宋体" w:cs="Times New Roman"/>
                      <w:color w:val="auto"/>
                      <w:kern w:val="2"/>
                      <w:sz w:val="21"/>
                      <w:szCs w:val="21"/>
                      <w:highlight w:val="none"/>
                      <w:vertAlign w:val="subscript"/>
                    </w:rPr>
                    <w:t>c</w:t>
                  </w:r>
                  <w:r>
                    <w:rPr>
                      <w:rFonts w:hint="eastAsia" w:ascii="Times New Roman" w:hAnsi="Times New Roman" w:eastAsia="宋体" w:cs="Times New Roman"/>
                      <w:color w:val="auto"/>
                      <w:kern w:val="2"/>
                      <w:sz w:val="21"/>
                      <w:szCs w:val="21"/>
                      <w:highlight w:val="none"/>
                      <w:lang w:eastAsia="zh-CN"/>
                    </w:rPr>
                    <w:t>)</w:t>
                  </w:r>
                </w:p>
              </w:tc>
            </w:tr>
            <w:tr w14:paraId="20340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65" w:type="pct"/>
                  <w:noWrap w:val="0"/>
                  <w:vAlign w:val="center"/>
                </w:tcPr>
                <w:p w14:paraId="1DA5BDD9">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除尘灰、</w:t>
                  </w:r>
                  <w:r>
                    <w:rPr>
                      <w:rFonts w:hint="eastAsia" w:cs="Times New Roman"/>
                      <w:color w:val="auto"/>
                      <w:kern w:val="2"/>
                      <w:sz w:val="21"/>
                      <w:szCs w:val="21"/>
                      <w:highlight w:val="red"/>
                      <w:lang w:val="en-US" w:eastAsia="zh-CN"/>
                    </w:rPr>
                    <w:t>含铁沉泥</w:t>
                  </w:r>
                </w:p>
              </w:tc>
              <w:tc>
                <w:tcPr>
                  <w:tcW w:w="1667" w:type="pct"/>
                  <w:noWrap w:val="0"/>
                  <w:vAlign w:val="center"/>
                </w:tcPr>
                <w:p w14:paraId="6CEAA29E">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20t/车</w:t>
                  </w:r>
                </w:p>
              </w:tc>
              <w:tc>
                <w:tcPr>
                  <w:tcW w:w="1667" w:type="pct"/>
                  <w:noWrap w:val="0"/>
                  <w:vAlign w:val="center"/>
                </w:tcPr>
                <w:p w14:paraId="67565932">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2075</w:t>
                  </w:r>
                </w:p>
              </w:tc>
            </w:tr>
            <w:tr w14:paraId="4D3FB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65" w:type="pct"/>
                  <w:noWrap w:val="0"/>
                  <w:vAlign w:val="center"/>
                </w:tcPr>
                <w:p w14:paraId="58A4B88F">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矿粉</w:t>
                  </w:r>
                </w:p>
              </w:tc>
              <w:tc>
                <w:tcPr>
                  <w:tcW w:w="1667" w:type="pct"/>
                  <w:noWrap w:val="0"/>
                  <w:vAlign w:val="center"/>
                </w:tcPr>
                <w:p w14:paraId="1535E742">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20t/车</w:t>
                  </w:r>
                </w:p>
              </w:tc>
              <w:tc>
                <w:tcPr>
                  <w:tcW w:w="1667" w:type="pct"/>
                  <w:noWrap w:val="0"/>
                  <w:vAlign w:val="center"/>
                </w:tcPr>
                <w:p w14:paraId="4A1E6B9A">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2405</w:t>
                  </w:r>
                </w:p>
              </w:tc>
            </w:tr>
            <w:tr w14:paraId="7EE4E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65" w:type="pct"/>
                  <w:noWrap w:val="0"/>
                  <w:vAlign w:val="center"/>
                </w:tcPr>
                <w:p w14:paraId="0B855FB9">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半成品压球</w:t>
                  </w:r>
                </w:p>
              </w:tc>
              <w:tc>
                <w:tcPr>
                  <w:tcW w:w="1667" w:type="pct"/>
                  <w:noWrap w:val="0"/>
                  <w:vAlign w:val="center"/>
                </w:tcPr>
                <w:p w14:paraId="46E5069B">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rPr>
                  </w:pPr>
                  <w:r>
                    <w:rPr>
                      <w:rFonts w:hint="eastAsia" w:cs="Times New Roman"/>
                      <w:color w:val="auto"/>
                      <w:kern w:val="2"/>
                      <w:sz w:val="21"/>
                      <w:szCs w:val="21"/>
                      <w:highlight w:val="none"/>
                      <w:lang w:val="en-US" w:eastAsia="zh-CN"/>
                    </w:rPr>
                    <w:t>5t/铲</w:t>
                  </w:r>
                </w:p>
              </w:tc>
              <w:tc>
                <w:tcPr>
                  <w:tcW w:w="1667" w:type="pct"/>
                  <w:noWrap w:val="0"/>
                  <w:vAlign w:val="center"/>
                </w:tcPr>
                <w:p w14:paraId="5C7A1AA0">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21800</w:t>
                  </w:r>
                </w:p>
              </w:tc>
            </w:tr>
            <w:tr w14:paraId="286CD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65" w:type="pct"/>
                  <w:noWrap w:val="0"/>
                  <w:vAlign w:val="center"/>
                </w:tcPr>
                <w:p w14:paraId="095C940D">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半成品筛分筛下物</w:t>
                  </w:r>
                </w:p>
              </w:tc>
              <w:tc>
                <w:tcPr>
                  <w:tcW w:w="1667" w:type="pct"/>
                  <w:noWrap w:val="0"/>
                  <w:vAlign w:val="center"/>
                </w:tcPr>
                <w:p w14:paraId="1D63E3DE">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5t/铲</w:t>
                  </w:r>
                </w:p>
              </w:tc>
              <w:tc>
                <w:tcPr>
                  <w:tcW w:w="1667" w:type="pct"/>
                  <w:noWrap w:val="0"/>
                  <w:vAlign w:val="center"/>
                </w:tcPr>
                <w:p w14:paraId="6F9EED13">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200</w:t>
                  </w:r>
                </w:p>
              </w:tc>
            </w:tr>
            <w:tr w14:paraId="1AFC4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65" w:type="pct"/>
                  <w:noWrap w:val="0"/>
                  <w:vAlign w:val="center"/>
                </w:tcPr>
                <w:p w14:paraId="700D4762">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olor w:val="auto"/>
                      <w:sz w:val="21"/>
                      <w:szCs w:val="21"/>
                      <w:highlight w:val="none"/>
                      <w:lang w:val="en-US" w:eastAsia="zh-CN"/>
                    </w:rPr>
                    <w:t>大粒径物料</w:t>
                  </w:r>
                </w:p>
              </w:tc>
              <w:tc>
                <w:tcPr>
                  <w:tcW w:w="1667" w:type="pct"/>
                  <w:noWrap w:val="0"/>
                  <w:vAlign w:val="center"/>
                </w:tcPr>
                <w:p w14:paraId="38D43B11">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5t/铲</w:t>
                  </w:r>
                </w:p>
              </w:tc>
              <w:tc>
                <w:tcPr>
                  <w:tcW w:w="1667" w:type="pct"/>
                  <w:noWrap w:val="0"/>
                  <w:vAlign w:val="center"/>
                </w:tcPr>
                <w:p w14:paraId="1463A67B">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200</w:t>
                  </w:r>
                </w:p>
              </w:tc>
            </w:tr>
          </w:tbl>
          <w:p w14:paraId="14673975">
            <w:pPr>
              <w:pStyle w:val="826"/>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2"/>
                <w:sz w:val="21"/>
                <w:szCs w:val="21"/>
                <w:highlight w:val="none"/>
                <w:lang w:val="en-US" w:eastAsia="zh-CN"/>
              </w:rPr>
            </w:pPr>
            <w:r>
              <w:rPr>
                <w:rFonts w:hint="eastAsia"/>
                <w:color w:val="auto"/>
                <w:sz w:val="21"/>
                <w:szCs w:val="21"/>
                <w:highlight w:val="none"/>
                <w:lang w:val="en-US" w:eastAsia="zh-CN"/>
              </w:rPr>
              <w:t>物料</w:t>
            </w:r>
            <w:r>
              <w:rPr>
                <w:color w:val="auto"/>
                <w:sz w:val="21"/>
                <w:szCs w:val="21"/>
                <w:highlight w:val="none"/>
              </w:rPr>
              <w:t>堆存及装卸</w:t>
            </w:r>
            <w:r>
              <w:rPr>
                <w:rFonts w:hint="eastAsia"/>
                <w:color w:val="auto"/>
                <w:sz w:val="21"/>
                <w:szCs w:val="21"/>
                <w:highlight w:val="none"/>
                <w:lang w:val="en-US" w:eastAsia="zh-CN"/>
              </w:rPr>
              <w:t>过程</w:t>
            </w:r>
            <w:r>
              <w:rPr>
                <w:color w:val="auto"/>
                <w:kern w:val="2"/>
                <w:sz w:val="21"/>
                <w:szCs w:val="21"/>
                <w:highlight w:val="none"/>
              </w:rPr>
              <w:t>颗粒物产生量</w:t>
            </w:r>
            <w:r>
              <w:rPr>
                <w:rFonts w:hint="eastAsia"/>
                <w:color w:val="auto"/>
                <w:kern w:val="2"/>
                <w:sz w:val="21"/>
                <w:szCs w:val="21"/>
                <w:highlight w:val="none"/>
                <w:lang w:val="en-US" w:eastAsia="zh-CN"/>
              </w:rPr>
              <w:t>如下表</w:t>
            </w:r>
            <w:r>
              <w:rPr>
                <w:rFonts w:hint="eastAsia"/>
                <w:color w:val="auto"/>
                <w:sz w:val="21"/>
                <w:szCs w:val="21"/>
                <w:highlight w:val="none"/>
                <w:lang w:val="en-US" w:eastAsia="zh-CN"/>
              </w:rPr>
              <w:t>4-3</w:t>
            </w:r>
            <w:r>
              <w:rPr>
                <w:color w:val="auto"/>
                <w:sz w:val="21"/>
                <w:szCs w:val="21"/>
                <w:highlight w:val="none"/>
              </w:rPr>
              <w:t>。</w:t>
            </w:r>
          </w:p>
          <w:p w14:paraId="78DC059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bCs w:val="0"/>
                <w:color w:val="auto"/>
                <w:kern w:val="2"/>
                <w:sz w:val="21"/>
                <w:szCs w:val="21"/>
                <w:highlight w:val="none"/>
              </w:rPr>
            </w:pPr>
            <w:r>
              <w:rPr>
                <w:b/>
                <w:bCs w:val="0"/>
                <w:color w:val="auto"/>
                <w:kern w:val="2"/>
                <w:sz w:val="21"/>
                <w:szCs w:val="21"/>
                <w:highlight w:val="none"/>
              </w:rPr>
              <w:t>表</w:t>
            </w:r>
            <w:r>
              <w:rPr>
                <w:rFonts w:hint="eastAsia"/>
                <w:b/>
                <w:bCs w:val="0"/>
                <w:color w:val="auto"/>
                <w:kern w:val="2"/>
                <w:sz w:val="21"/>
                <w:szCs w:val="21"/>
                <w:highlight w:val="none"/>
                <w:lang w:val="en-US" w:eastAsia="zh-CN"/>
              </w:rPr>
              <w:t xml:space="preserve">4-3   </w:t>
            </w:r>
            <w:r>
              <w:rPr>
                <w:b/>
                <w:bCs w:val="0"/>
                <w:color w:val="auto"/>
                <w:kern w:val="2"/>
                <w:sz w:val="21"/>
                <w:szCs w:val="21"/>
                <w:highlight w:val="none"/>
              </w:rPr>
              <w:t xml:space="preserve"> </w:t>
            </w:r>
            <w:r>
              <w:rPr>
                <w:rFonts w:hint="eastAsia"/>
                <w:b/>
                <w:bCs w:val="0"/>
                <w:color w:val="auto"/>
                <w:kern w:val="2"/>
                <w:sz w:val="21"/>
                <w:szCs w:val="21"/>
                <w:highlight w:val="none"/>
                <w:lang w:val="en-US" w:eastAsia="zh-CN"/>
              </w:rPr>
              <w:t>物料</w:t>
            </w:r>
            <w:r>
              <w:rPr>
                <w:rFonts w:hint="eastAsia" w:ascii="Times New Roman" w:hAnsi="Times New Roman" w:eastAsia="宋体" w:cs="Times New Roman"/>
                <w:b/>
                <w:bCs w:val="0"/>
                <w:color w:val="auto"/>
                <w:kern w:val="2"/>
                <w:sz w:val="21"/>
                <w:szCs w:val="21"/>
                <w:highlight w:val="none"/>
              </w:rPr>
              <w:t>堆存及装卸颗粒</w:t>
            </w:r>
            <w:r>
              <w:rPr>
                <w:rFonts w:hint="eastAsia"/>
                <w:b/>
                <w:bCs w:val="0"/>
                <w:color w:val="auto"/>
                <w:kern w:val="2"/>
                <w:sz w:val="21"/>
                <w:szCs w:val="21"/>
                <w:highlight w:val="none"/>
              </w:rPr>
              <w:t>物产生量</w:t>
            </w:r>
          </w:p>
          <w:tbl>
            <w:tblPr>
              <w:tblStyle w:val="8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27"/>
              <w:gridCol w:w="4129"/>
            </w:tblGrid>
            <w:tr w14:paraId="6CAA9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499" w:type="pct"/>
                  <w:noWrap w:val="0"/>
                  <w:vAlign w:val="center"/>
                </w:tcPr>
                <w:p w14:paraId="509D20C8">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类别</w:t>
                  </w:r>
                </w:p>
              </w:tc>
              <w:tc>
                <w:tcPr>
                  <w:tcW w:w="2500" w:type="pct"/>
                  <w:noWrap w:val="0"/>
                  <w:vAlign w:val="center"/>
                </w:tcPr>
                <w:p w14:paraId="744CE9A9">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rPr>
                  </w:pPr>
                  <w:r>
                    <w:rPr>
                      <w:rFonts w:hint="default" w:ascii="Times New Roman" w:hAnsi="Times New Roman" w:eastAsia="宋体" w:cs="Times New Roman"/>
                      <w:color w:val="auto"/>
                      <w:kern w:val="2"/>
                      <w:sz w:val="21"/>
                      <w:szCs w:val="21"/>
                      <w:highlight w:val="none"/>
                    </w:rPr>
                    <w:t>颗粒物产生量</w:t>
                  </w:r>
                  <w:r>
                    <w:rPr>
                      <w:rFonts w:hint="eastAsia" w:ascii="Times New Roman" w:hAnsi="Times New Roman" w:eastAsia="宋体" w:cs="Times New Roman"/>
                      <w:color w:val="auto"/>
                      <w:kern w:val="2"/>
                      <w:sz w:val="21"/>
                      <w:szCs w:val="21"/>
                      <w:highlight w:val="none"/>
                      <w:lang w:eastAsia="zh-CN"/>
                    </w:rPr>
                    <w:t>(</w:t>
                  </w:r>
                  <w:r>
                    <w:rPr>
                      <w:rFonts w:hint="eastAsia" w:ascii="Times New Roman" w:hAnsi="Times New Roman" w:eastAsia="宋体" w:cs="Times New Roman"/>
                      <w:color w:val="auto"/>
                      <w:kern w:val="2"/>
                      <w:sz w:val="21"/>
                      <w:szCs w:val="21"/>
                      <w:highlight w:val="none"/>
                      <w:lang w:val="en-US" w:eastAsia="zh-CN"/>
                    </w:rPr>
                    <w:t>P</w:t>
                  </w:r>
                  <w:r>
                    <w:rPr>
                      <w:rFonts w:hint="eastAsia" w:ascii="Times New Roman" w:hAnsi="Times New Roman" w:eastAsia="宋体" w:cs="Times New Roman"/>
                      <w:color w:val="auto"/>
                      <w:kern w:val="2"/>
                      <w:sz w:val="21"/>
                      <w:szCs w:val="21"/>
                      <w:highlight w:val="none"/>
                      <w:lang w:eastAsia="zh-CN"/>
                    </w:rPr>
                    <w:t>)</w:t>
                  </w:r>
                </w:p>
              </w:tc>
            </w:tr>
            <w:tr w14:paraId="53792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058" w:type="dxa"/>
                  <w:noWrap w:val="0"/>
                  <w:vAlign w:val="center"/>
                </w:tcPr>
                <w:p w14:paraId="38EA6C78">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除尘灰、含铁沉泥</w:t>
                  </w:r>
                </w:p>
              </w:tc>
              <w:tc>
                <w:tcPr>
                  <w:tcW w:w="4061" w:type="dxa"/>
                  <w:noWrap w:val="0"/>
                  <w:vAlign w:val="center"/>
                </w:tcPr>
                <w:p w14:paraId="0FFAEC75">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4.511t</w:t>
                  </w:r>
                </w:p>
              </w:tc>
            </w:tr>
            <w:tr w14:paraId="724EF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058" w:type="dxa"/>
                  <w:noWrap w:val="0"/>
                  <w:vAlign w:val="center"/>
                </w:tcPr>
                <w:p w14:paraId="2EBBDDA7">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矿粉</w:t>
                  </w:r>
                </w:p>
              </w:tc>
              <w:tc>
                <w:tcPr>
                  <w:tcW w:w="4061" w:type="dxa"/>
                  <w:noWrap w:val="0"/>
                  <w:vAlign w:val="center"/>
                </w:tcPr>
                <w:p w14:paraId="41C635DF">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3.185t</w:t>
                  </w:r>
                </w:p>
              </w:tc>
            </w:tr>
            <w:tr w14:paraId="0280E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058" w:type="dxa"/>
                  <w:noWrap w:val="0"/>
                  <w:vAlign w:val="center"/>
                </w:tcPr>
                <w:p w14:paraId="10A95C4B">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半成品压球</w:t>
                  </w:r>
                </w:p>
              </w:tc>
              <w:tc>
                <w:tcPr>
                  <w:tcW w:w="4061" w:type="dxa"/>
                  <w:noWrap w:val="0"/>
                  <w:vAlign w:val="center"/>
                </w:tcPr>
                <w:p w14:paraId="00DC8625">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14.73t</w:t>
                  </w:r>
                </w:p>
              </w:tc>
            </w:tr>
            <w:tr w14:paraId="2FC40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058" w:type="dxa"/>
                  <w:noWrap w:val="0"/>
                  <w:vAlign w:val="center"/>
                </w:tcPr>
                <w:p w14:paraId="387C95F1">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半成品筛分筛下物</w:t>
                  </w:r>
                </w:p>
              </w:tc>
              <w:tc>
                <w:tcPr>
                  <w:tcW w:w="4061" w:type="dxa"/>
                  <w:noWrap w:val="0"/>
                  <w:vAlign w:val="center"/>
                </w:tcPr>
                <w:p w14:paraId="3F70DEA5">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0.135t</w:t>
                  </w:r>
                </w:p>
              </w:tc>
            </w:tr>
            <w:tr w14:paraId="2C04F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058" w:type="dxa"/>
                  <w:noWrap w:val="0"/>
                  <w:vAlign w:val="center"/>
                </w:tcPr>
                <w:p w14:paraId="09D5D9F0">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olor w:val="auto"/>
                      <w:sz w:val="21"/>
                      <w:szCs w:val="21"/>
                      <w:highlight w:val="none"/>
                      <w:lang w:val="en-US" w:eastAsia="zh-CN"/>
                    </w:rPr>
                    <w:t>大粒径物料</w:t>
                  </w:r>
                </w:p>
              </w:tc>
              <w:tc>
                <w:tcPr>
                  <w:tcW w:w="4061" w:type="dxa"/>
                  <w:noWrap w:val="0"/>
                  <w:vAlign w:val="center"/>
                </w:tcPr>
                <w:p w14:paraId="57AEB75A">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0.135t</w:t>
                  </w:r>
                </w:p>
              </w:tc>
            </w:tr>
          </w:tbl>
          <w:p w14:paraId="2512AF2F">
            <w:pPr>
              <w:pStyle w:val="826"/>
              <w:spacing w:line="360" w:lineRule="auto"/>
              <w:rPr>
                <w:color w:val="auto"/>
                <w:kern w:val="2"/>
                <w:sz w:val="21"/>
                <w:szCs w:val="21"/>
                <w:highlight w:val="none"/>
              </w:rPr>
            </w:pPr>
            <w:r>
              <w:rPr>
                <w:rFonts w:hint="eastAsia" w:ascii="宋体" w:hAnsi="宋体" w:cs="宋体"/>
                <w:color w:val="auto"/>
                <w:kern w:val="2"/>
                <w:sz w:val="21"/>
                <w:szCs w:val="21"/>
                <w:highlight w:val="none"/>
                <w:lang w:val="en-US" w:eastAsia="zh-CN"/>
              </w:rPr>
              <w:t>b、</w:t>
            </w:r>
            <w:r>
              <w:rPr>
                <w:color w:val="auto"/>
                <w:kern w:val="2"/>
                <w:sz w:val="21"/>
                <w:szCs w:val="21"/>
                <w:highlight w:val="none"/>
              </w:rPr>
              <w:t>颗粒物排放量核算公式：</w:t>
            </w:r>
          </w:p>
          <w:p w14:paraId="5A43CF76">
            <w:pPr>
              <w:pStyle w:val="826"/>
              <w:spacing w:line="360" w:lineRule="auto"/>
              <w:rPr>
                <w:rFonts w:hint="eastAsia" w:eastAsia="宋体"/>
                <w:color w:val="auto"/>
                <w:kern w:val="2"/>
                <w:sz w:val="21"/>
                <w:szCs w:val="21"/>
                <w:highlight w:val="none"/>
                <w:lang w:eastAsia="zh-CN"/>
              </w:rPr>
            </w:pPr>
            <w:r>
              <w:rPr>
                <w:color w:val="auto"/>
                <w:kern w:val="2"/>
                <w:sz w:val="21"/>
                <w:szCs w:val="21"/>
                <w:highlight w:val="none"/>
              </w:rPr>
              <w:t>U</w:t>
            </w:r>
            <w:r>
              <w:rPr>
                <w:color w:val="auto"/>
                <w:kern w:val="2"/>
                <w:sz w:val="21"/>
                <w:szCs w:val="21"/>
                <w:highlight w:val="none"/>
                <w:vertAlign w:val="subscript"/>
              </w:rPr>
              <w:t>c</w:t>
            </w:r>
            <w:r>
              <w:rPr>
                <w:color w:val="auto"/>
                <w:kern w:val="2"/>
                <w:sz w:val="21"/>
                <w:szCs w:val="21"/>
                <w:highlight w:val="none"/>
              </w:rPr>
              <w:t>=P×(1-C</w:t>
            </w:r>
            <w:r>
              <w:rPr>
                <w:color w:val="auto"/>
                <w:kern w:val="2"/>
                <w:sz w:val="21"/>
                <w:szCs w:val="21"/>
                <w:highlight w:val="none"/>
                <w:vertAlign w:val="subscript"/>
              </w:rPr>
              <w:t>m</w:t>
            </w:r>
            <w:r>
              <w:rPr>
                <w:rFonts w:hint="eastAsia"/>
                <w:color w:val="auto"/>
                <w:kern w:val="2"/>
                <w:sz w:val="21"/>
                <w:szCs w:val="21"/>
                <w:highlight w:val="none"/>
                <w:lang w:eastAsia="zh-CN"/>
              </w:rPr>
              <w:t>)</w:t>
            </w:r>
            <w:r>
              <w:rPr>
                <w:color w:val="auto"/>
                <w:kern w:val="2"/>
                <w:sz w:val="21"/>
                <w:szCs w:val="21"/>
                <w:highlight w:val="none"/>
              </w:rPr>
              <w:t>×</w:t>
            </w:r>
            <w:r>
              <w:rPr>
                <w:rFonts w:hint="eastAsia"/>
                <w:color w:val="auto"/>
                <w:kern w:val="2"/>
                <w:sz w:val="21"/>
                <w:szCs w:val="21"/>
                <w:highlight w:val="none"/>
                <w:lang w:eastAsia="zh-CN"/>
              </w:rPr>
              <w:t>(</w:t>
            </w:r>
            <w:r>
              <w:rPr>
                <w:color w:val="auto"/>
                <w:kern w:val="2"/>
                <w:sz w:val="21"/>
                <w:szCs w:val="21"/>
                <w:highlight w:val="none"/>
              </w:rPr>
              <w:t>1-T</w:t>
            </w:r>
            <w:r>
              <w:rPr>
                <w:color w:val="auto"/>
                <w:kern w:val="2"/>
                <w:sz w:val="21"/>
                <w:szCs w:val="21"/>
                <w:highlight w:val="none"/>
                <w:vertAlign w:val="subscript"/>
              </w:rPr>
              <w:t>m</w:t>
            </w:r>
            <w:r>
              <w:rPr>
                <w:rFonts w:hint="eastAsia"/>
                <w:color w:val="auto"/>
                <w:kern w:val="2"/>
                <w:sz w:val="21"/>
                <w:szCs w:val="21"/>
                <w:highlight w:val="none"/>
                <w:lang w:eastAsia="zh-CN"/>
              </w:rPr>
              <w:t>)</w:t>
            </w:r>
          </w:p>
          <w:p w14:paraId="6299FF5E">
            <w:pPr>
              <w:pStyle w:val="826"/>
              <w:spacing w:line="360" w:lineRule="auto"/>
              <w:rPr>
                <w:color w:val="auto"/>
                <w:kern w:val="2"/>
                <w:sz w:val="21"/>
                <w:szCs w:val="21"/>
                <w:highlight w:val="none"/>
              </w:rPr>
            </w:pPr>
            <w:r>
              <w:rPr>
                <w:color w:val="auto"/>
                <w:kern w:val="2"/>
                <w:sz w:val="21"/>
                <w:szCs w:val="21"/>
                <w:highlight w:val="none"/>
              </w:rPr>
              <w:t>式中：</w:t>
            </w:r>
          </w:p>
          <w:p w14:paraId="7835765B">
            <w:pPr>
              <w:pStyle w:val="826"/>
              <w:spacing w:line="360" w:lineRule="auto"/>
              <w:rPr>
                <w:color w:val="auto"/>
                <w:kern w:val="2"/>
                <w:sz w:val="21"/>
                <w:szCs w:val="21"/>
                <w:highlight w:val="none"/>
              </w:rPr>
            </w:pPr>
            <w:r>
              <w:rPr>
                <w:color w:val="auto"/>
                <w:kern w:val="2"/>
                <w:sz w:val="21"/>
                <w:szCs w:val="21"/>
                <w:highlight w:val="none"/>
              </w:rPr>
              <w:t>P—指颗粒物产生量</w:t>
            </w:r>
            <w:r>
              <w:rPr>
                <w:rFonts w:hint="eastAsia"/>
                <w:color w:val="auto"/>
                <w:kern w:val="2"/>
                <w:sz w:val="21"/>
                <w:szCs w:val="21"/>
                <w:highlight w:val="none"/>
                <w:lang w:eastAsia="zh-CN"/>
              </w:rPr>
              <w:t>(</w:t>
            </w:r>
            <w:r>
              <w:rPr>
                <w:color w:val="auto"/>
                <w:kern w:val="2"/>
                <w:sz w:val="21"/>
                <w:szCs w:val="21"/>
                <w:highlight w:val="none"/>
              </w:rPr>
              <w:t>单位：吨</w:t>
            </w:r>
            <w:r>
              <w:rPr>
                <w:rFonts w:hint="eastAsia"/>
                <w:color w:val="auto"/>
                <w:kern w:val="2"/>
                <w:sz w:val="21"/>
                <w:szCs w:val="21"/>
                <w:highlight w:val="none"/>
                <w:lang w:eastAsia="zh-CN"/>
              </w:rPr>
              <w:t>)</w:t>
            </w:r>
            <w:r>
              <w:rPr>
                <w:color w:val="auto"/>
                <w:kern w:val="2"/>
                <w:sz w:val="21"/>
                <w:szCs w:val="21"/>
                <w:highlight w:val="none"/>
              </w:rPr>
              <w:t>；</w:t>
            </w:r>
          </w:p>
          <w:p w14:paraId="2B1DCA9D">
            <w:pPr>
              <w:pStyle w:val="826"/>
              <w:spacing w:line="360" w:lineRule="auto"/>
              <w:rPr>
                <w:color w:val="auto"/>
                <w:kern w:val="2"/>
                <w:sz w:val="21"/>
                <w:szCs w:val="21"/>
                <w:highlight w:val="none"/>
              </w:rPr>
            </w:pPr>
            <w:r>
              <w:rPr>
                <w:color w:val="auto"/>
                <w:kern w:val="2"/>
                <w:sz w:val="21"/>
                <w:szCs w:val="21"/>
                <w:highlight w:val="none"/>
              </w:rPr>
              <w:t>U</w:t>
            </w:r>
            <w:r>
              <w:rPr>
                <w:color w:val="auto"/>
                <w:kern w:val="2"/>
                <w:sz w:val="21"/>
                <w:szCs w:val="21"/>
                <w:highlight w:val="none"/>
                <w:vertAlign w:val="subscript"/>
              </w:rPr>
              <w:t>c</w:t>
            </w:r>
            <w:r>
              <w:rPr>
                <w:color w:val="auto"/>
                <w:kern w:val="2"/>
                <w:sz w:val="21"/>
                <w:szCs w:val="21"/>
                <w:highlight w:val="none"/>
              </w:rPr>
              <w:t xml:space="preserve"> —指颗粒物排放量</w:t>
            </w:r>
            <w:r>
              <w:rPr>
                <w:rFonts w:hint="eastAsia"/>
                <w:color w:val="auto"/>
                <w:kern w:val="2"/>
                <w:sz w:val="21"/>
                <w:szCs w:val="21"/>
                <w:highlight w:val="none"/>
                <w:lang w:eastAsia="zh-CN"/>
              </w:rPr>
              <w:t>(</w:t>
            </w:r>
            <w:r>
              <w:rPr>
                <w:color w:val="auto"/>
                <w:kern w:val="2"/>
                <w:sz w:val="21"/>
                <w:szCs w:val="21"/>
                <w:highlight w:val="none"/>
              </w:rPr>
              <w:t>单位：吨</w:t>
            </w:r>
            <w:r>
              <w:rPr>
                <w:rFonts w:hint="eastAsia"/>
                <w:color w:val="auto"/>
                <w:kern w:val="2"/>
                <w:sz w:val="21"/>
                <w:szCs w:val="21"/>
                <w:highlight w:val="none"/>
                <w:lang w:eastAsia="zh-CN"/>
              </w:rPr>
              <w:t>)</w:t>
            </w:r>
            <w:r>
              <w:rPr>
                <w:color w:val="auto"/>
                <w:kern w:val="2"/>
                <w:sz w:val="21"/>
                <w:szCs w:val="21"/>
                <w:highlight w:val="none"/>
              </w:rPr>
              <w:t>；</w:t>
            </w:r>
          </w:p>
          <w:p w14:paraId="651A4225">
            <w:pPr>
              <w:pStyle w:val="826"/>
              <w:spacing w:line="360" w:lineRule="auto"/>
              <w:rPr>
                <w:color w:val="auto"/>
                <w:kern w:val="2"/>
                <w:sz w:val="21"/>
                <w:szCs w:val="21"/>
                <w:highlight w:val="none"/>
              </w:rPr>
            </w:pPr>
            <w:r>
              <w:rPr>
                <w:color w:val="auto"/>
                <w:kern w:val="2"/>
                <w:sz w:val="21"/>
                <w:szCs w:val="21"/>
                <w:highlight w:val="none"/>
              </w:rPr>
              <w:t>C</w:t>
            </w:r>
            <w:r>
              <w:rPr>
                <w:color w:val="auto"/>
                <w:kern w:val="2"/>
                <w:sz w:val="21"/>
                <w:szCs w:val="21"/>
                <w:highlight w:val="none"/>
                <w:vertAlign w:val="subscript"/>
              </w:rPr>
              <w:t>m</w:t>
            </w:r>
            <w:r>
              <w:rPr>
                <w:color w:val="auto"/>
                <w:kern w:val="2"/>
                <w:sz w:val="21"/>
                <w:szCs w:val="21"/>
                <w:highlight w:val="none"/>
              </w:rPr>
              <w:t xml:space="preserve"> —指颗粒物控制措施控制效率</w:t>
            </w:r>
            <w:r>
              <w:rPr>
                <w:rFonts w:hint="eastAsia"/>
                <w:color w:val="auto"/>
                <w:kern w:val="2"/>
                <w:sz w:val="21"/>
                <w:szCs w:val="21"/>
                <w:highlight w:val="none"/>
                <w:lang w:eastAsia="zh-CN"/>
              </w:rPr>
              <w:t>(</w:t>
            </w:r>
            <w:r>
              <w:rPr>
                <w:color w:val="auto"/>
                <w:kern w:val="2"/>
                <w:sz w:val="21"/>
                <w:szCs w:val="21"/>
                <w:highlight w:val="none"/>
              </w:rPr>
              <w:t>单位：%</w:t>
            </w:r>
            <w:r>
              <w:rPr>
                <w:rFonts w:hint="eastAsia"/>
                <w:color w:val="auto"/>
                <w:kern w:val="2"/>
                <w:sz w:val="21"/>
                <w:szCs w:val="21"/>
                <w:highlight w:val="none"/>
                <w:lang w:eastAsia="zh-CN"/>
              </w:rPr>
              <w:t>)</w:t>
            </w:r>
            <w:r>
              <w:rPr>
                <w:color w:val="auto"/>
                <w:kern w:val="2"/>
                <w:sz w:val="21"/>
                <w:szCs w:val="21"/>
                <w:highlight w:val="none"/>
              </w:rPr>
              <w:t>，根据《固体物料堆存颗粒物产排污核算系数手册》附录4，本项目采取的粉尘控制措施为</w:t>
            </w:r>
            <w:r>
              <w:rPr>
                <w:rFonts w:hint="eastAsia"/>
                <w:color w:val="auto"/>
                <w:kern w:val="2"/>
                <w:sz w:val="21"/>
                <w:szCs w:val="21"/>
                <w:highlight w:val="none"/>
                <w:lang w:val="en-US" w:eastAsia="zh-CN"/>
              </w:rPr>
              <w:t>喷淋</w:t>
            </w:r>
            <w:r>
              <w:rPr>
                <w:color w:val="auto"/>
                <w:kern w:val="2"/>
                <w:sz w:val="21"/>
                <w:szCs w:val="21"/>
                <w:highlight w:val="none"/>
              </w:rPr>
              <w:t>抑尘，控制效率74%。</w:t>
            </w:r>
          </w:p>
          <w:p w14:paraId="35C1A902">
            <w:pPr>
              <w:pStyle w:val="826"/>
              <w:spacing w:line="360" w:lineRule="auto"/>
              <w:rPr>
                <w:color w:val="auto"/>
                <w:kern w:val="2"/>
                <w:sz w:val="21"/>
                <w:szCs w:val="21"/>
                <w:highlight w:val="none"/>
              </w:rPr>
            </w:pPr>
            <w:r>
              <w:rPr>
                <w:color w:val="auto"/>
                <w:kern w:val="2"/>
                <w:sz w:val="21"/>
                <w:szCs w:val="21"/>
                <w:highlight w:val="none"/>
              </w:rPr>
              <w:t>Tm—指堆场类型控制效率</w:t>
            </w:r>
            <w:r>
              <w:rPr>
                <w:rFonts w:hint="eastAsia"/>
                <w:color w:val="auto"/>
                <w:kern w:val="2"/>
                <w:sz w:val="21"/>
                <w:szCs w:val="21"/>
                <w:highlight w:val="none"/>
                <w:lang w:eastAsia="zh-CN"/>
              </w:rPr>
              <w:t>(</w:t>
            </w:r>
            <w:r>
              <w:rPr>
                <w:color w:val="auto"/>
                <w:kern w:val="2"/>
                <w:sz w:val="21"/>
                <w:szCs w:val="21"/>
                <w:highlight w:val="none"/>
              </w:rPr>
              <w:t>单位：%</w:t>
            </w:r>
            <w:r>
              <w:rPr>
                <w:rFonts w:hint="eastAsia"/>
                <w:color w:val="auto"/>
                <w:kern w:val="2"/>
                <w:sz w:val="21"/>
                <w:szCs w:val="21"/>
                <w:highlight w:val="none"/>
                <w:lang w:eastAsia="zh-CN"/>
              </w:rPr>
              <w:t>)</w:t>
            </w:r>
            <w:r>
              <w:rPr>
                <w:color w:val="auto"/>
                <w:kern w:val="2"/>
                <w:sz w:val="21"/>
                <w:szCs w:val="21"/>
                <w:highlight w:val="none"/>
              </w:rPr>
              <w:t>，根据《固体物料堆存颗粒物产排污核算系数手册》附录5 密闭式堆场类型控制效率取值99%。</w:t>
            </w:r>
          </w:p>
          <w:p w14:paraId="0FDCB850">
            <w:pPr>
              <w:adjustRightInd w:val="0"/>
              <w:snapToGrid w:val="0"/>
              <w:spacing w:line="360" w:lineRule="auto"/>
              <w:ind w:firstLine="0" w:firstLineChars="0"/>
              <w:jc w:val="center"/>
              <w:rPr>
                <w:b/>
                <w:bCs w:val="0"/>
                <w:color w:val="auto"/>
                <w:kern w:val="2"/>
                <w:sz w:val="21"/>
                <w:szCs w:val="21"/>
                <w:highlight w:val="none"/>
              </w:rPr>
            </w:pPr>
            <w:r>
              <w:rPr>
                <w:b/>
                <w:bCs w:val="0"/>
                <w:color w:val="auto"/>
                <w:kern w:val="2"/>
                <w:sz w:val="21"/>
                <w:szCs w:val="21"/>
                <w:highlight w:val="none"/>
              </w:rPr>
              <w:t>表</w:t>
            </w:r>
            <w:r>
              <w:rPr>
                <w:rFonts w:hint="eastAsia"/>
                <w:b/>
                <w:bCs w:val="0"/>
                <w:color w:val="auto"/>
                <w:kern w:val="2"/>
                <w:sz w:val="21"/>
                <w:szCs w:val="21"/>
                <w:highlight w:val="none"/>
                <w:lang w:val="en-US" w:eastAsia="zh-CN"/>
              </w:rPr>
              <w:t xml:space="preserve">4-4 </w:t>
            </w:r>
            <w:r>
              <w:rPr>
                <w:b/>
                <w:bCs w:val="0"/>
                <w:color w:val="auto"/>
                <w:kern w:val="2"/>
                <w:sz w:val="21"/>
                <w:szCs w:val="21"/>
                <w:highlight w:val="none"/>
              </w:rPr>
              <w:t xml:space="preserve">   堆场扬尘排放量</w:t>
            </w:r>
          </w:p>
          <w:tbl>
            <w:tblPr>
              <w:tblStyle w:val="8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36"/>
              <w:gridCol w:w="1278"/>
              <w:gridCol w:w="1554"/>
              <w:gridCol w:w="1630"/>
              <w:gridCol w:w="1358"/>
            </w:tblGrid>
            <w:tr w14:paraId="7B308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75" w:type="pct"/>
                  <w:noWrap w:val="0"/>
                  <w:vAlign w:val="center"/>
                </w:tcPr>
                <w:p w14:paraId="4DA9156B">
                  <w:pPr>
                    <w:pStyle w:val="826"/>
                    <w:spacing w:line="280" w:lineRule="exact"/>
                    <w:ind w:firstLine="0" w:firstLineChars="0"/>
                    <w:jc w:val="center"/>
                    <w:rPr>
                      <w:color w:val="auto"/>
                      <w:kern w:val="2"/>
                      <w:sz w:val="21"/>
                      <w:szCs w:val="21"/>
                      <w:highlight w:val="none"/>
                    </w:rPr>
                  </w:pPr>
                  <w:r>
                    <w:rPr>
                      <w:color w:val="auto"/>
                      <w:kern w:val="2"/>
                      <w:sz w:val="21"/>
                      <w:szCs w:val="21"/>
                      <w:highlight w:val="none"/>
                    </w:rPr>
                    <w:t>堆场物料</w:t>
                  </w:r>
                </w:p>
              </w:tc>
              <w:tc>
                <w:tcPr>
                  <w:tcW w:w="774" w:type="pct"/>
                  <w:noWrap w:val="0"/>
                  <w:vAlign w:val="center"/>
                </w:tcPr>
                <w:p w14:paraId="7A4033E9">
                  <w:pPr>
                    <w:pStyle w:val="826"/>
                    <w:spacing w:line="280" w:lineRule="exact"/>
                    <w:ind w:firstLine="0" w:firstLineChars="0"/>
                    <w:jc w:val="center"/>
                    <w:rPr>
                      <w:rFonts w:hint="eastAsia" w:ascii="Times New Roman" w:hAnsi="Times New Roman" w:eastAsia="宋体" w:cs="Times New Roman"/>
                      <w:color w:val="auto"/>
                      <w:kern w:val="2"/>
                      <w:sz w:val="21"/>
                      <w:szCs w:val="21"/>
                      <w:highlight w:val="none"/>
                      <w:lang w:eastAsia="zh-CN"/>
                    </w:rPr>
                  </w:pPr>
                  <w:r>
                    <w:rPr>
                      <w:rFonts w:hint="default" w:ascii="Times New Roman" w:hAnsi="Times New Roman" w:cs="Times New Roman"/>
                      <w:color w:val="auto"/>
                      <w:kern w:val="2"/>
                      <w:sz w:val="21"/>
                      <w:szCs w:val="21"/>
                      <w:highlight w:val="none"/>
                    </w:rPr>
                    <w:t>P</w:t>
                  </w:r>
                  <w:r>
                    <w:rPr>
                      <w:rFonts w:hint="eastAsia" w:ascii="Times New Roman" w:hAnsi="Times New Roman" w:cs="Times New Roman"/>
                      <w:color w:val="auto"/>
                      <w:kern w:val="2"/>
                      <w:sz w:val="21"/>
                      <w:szCs w:val="21"/>
                      <w:highlight w:val="none"/>
                      <w:lang w:eastAsia="zh-CN"/>
                    </w:rPr>
                    <w:t>(</w:t>
                  </w:r>
                  <w:r>
                    <w:rPr>
                      <w:rFonts w:hint="default" w:ascii="Times New Roman" w:hAnsi="Times New Roman" w:cs="Times New Roman"/>
                      <w:color w:val="auto"/>
                      <w:kern w:val="2"/>
                      <w:sz w:val="21"/>
                      <w:szCs w:val="21"/>
                      <w:highlight w:val="none"/>
                    </w:rPr>
                    <w:t>t</w:t>
                  </w:r>
                  <w:r>
                    <w:rPr>
                      <w:rFonts w:hint="eastAsia" w:ascii="Times New Roman" w:hAnsi="Times New Roman" w:cs="Times New Roman"/>
                      <w:color w:val="auto"/>
                      <w:kern w:val="2"/>
                      <w:sz w:val="21"/>
                      <w:szCs w:val="21"/>
                      <w:highlight w:val="none"/>
                      <w:lang w:eastAsia="zh-CN"/>
                    </w:rPr>
                    <w:t>)</w:t>
                  </w:r>
                </w:p>
              </w:tc>
              <w:tc>
                <w:tcPr>
                  <w:tcW w:w="941" w:type="pct"/>
                  <w:noWrap w:val="0"/>
                  <w:vAlign w:val="center"/>
                </w:tcPr>
                <w:p w14:paraId="67A3F770">
                  <w:pPr>
                    <w:pStyle w:val="826"/>
                    <w:spacing w:line="280" w:lineRule="exact"/>
                    <w:ind w:firstLine="0" w:firstLineChars="0"/>
                    <w:jc w:val="center"/>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kern w:val="2"/>
                      <w:sz w:val="21"/>
                      <w:szCs w:val="21"/>
                      <w:highlight w:val="none"/>
                    </w:rPr>
                    <w:t>C</w:t>
                  </w:r>
                  <w:r>
                    <w:rPr>
                      <w:rFonts w:hint="default" w:ascii="Times New Roman" w:hAnsi="Times New Roman" w:cs="Times New Roman"/>
                      <w:color w:val="auto"/>
                      <w:kern w:val="2"/>
                      <w:sz w:val="21"/>
                      <w:szCs w:val="21"/>
                      <w:highlight w:val="none"/>
                      <w:vertAlign w:val="subscript"/>
                    </w:rPr>
                    <w:t>m</w:t>
                  </w:r>
                  <w:r>
                    <w:rPr>
                      <w:rFonts w:hint="default" w:ascii="Times New Roman" w:hAnsi="Times New Roman" w:cs="Times New Roman"/>
                      <w:color w:val="auto"/>
                      <w:kern w:val="2"/>
                      <w:sz w:val="21"/>
                      <w:szCs w:val="21"/>
                      <w:highlight w:val="none"/>
                    </w:rPr>
                    <w:t>(%)</w:t>
                  </w:r>
                </w:p>
              </w:tc>
              <w:tc>
                <w:tcPr>
                  <w:tcW w:w="986" w:type="pct"/>
                  <w:noWrap w:val="0"/>
                  <w:vAlign w:val="center"/>
                </w:tcPr>
                <w:p w14:paraId="2DB24C4A">
                  <w:pPr>
                    <w:pStyle w:val="826"/>
                    <w:spacing w:line="280" w:lineRule="exact"/>
                    <w:ind w:firstLine="0" w:firstLineChars="0"/>
                    <w:jc w:val="center"/>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kern w:val="2"/>
                      <w:sz w:val="21"/>
                      <w:szCs w:val="21"/>
                      <w:highlight w:val="none"/>
                    </w:rPr>
                    <w:t>T</w:t>
                  </w:r>
                  <w:r>
                    <w:rPr>
                      <w:rFonts w:hint="default" w:ascii="Times New Roman" w:hAnsi="Times New Roman" w:cs="Times New Roman"/>
                      <w:color w:val="auto"/>
                      <w:kern w:val="2"/>
                      <w:sz w:val="21"/>
                      <w:szCs w:val="21"/>
                      <w:highlight w:val="none"/>
                      <w:vertAlign w:val="subscript"/>
                    </w:rPr>
                    <w:t>m</w:t>
                  </w:r>
                  <w:r>
                    <w:rPr>
                      <w:rFonts w:hint="default" w:ascii="Times New Roman" w:hAnsi="Times New Roman" w:cs="Times New Roman"/>
                      <w:color w:val="auto"/>
                      <w:kern w:val="2"/>
                      <w:sz w:val="21"/>
                      <w:szCs w:val="21"/>
                      <w:highlight w:val="none"/>
                    </w:rPr>
                    <w:t>(%)</w:t>
                  </w:r>
                </w:p>
              </w:tc>
              <w:tc>
                <w:tcPr>
                  <w:tcW w:w="822" w:type="pct"/>
                  <w:noWrap w:val="0"/>
                  <w:vAlign w:val="center"/>
                </w:tcPr>
                <w:p w14:paraId="3C863E95">
                  <w:pPr>
                    <w:pStyle w:val="826"/>
                    <w:spacing w:line="280" w:lineRule="exact"/>
                    <w:ind w:firstLine="0" w:firstLineChars="0"/>
                    <w:jc w:val="center"/>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kern w:val="2"/>
                      <w:sz w:val="21"/>
                      <w:szCs w:val="21"/>
                      <w:highlight w:val="none"/>
                    </w:rPr>
                    <w:t>Uc(t/a)</w:t>
                  </w:r>
                </w:p>
              </w:tc>
            </w:tr>
            <w:tr w14:paraId="33583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75" w:type="pct"/>
                  <w:noWrap w:val="0"/>
                  <w:vAlign w:val="center"/>
                </w:tcPr>
                <w:p w14:paraId="4221351A">
                  <w:pPr>
                    <w:pStyle w:val="826"/>
                    <w:spacing w:line="280" w:lineRule="exact"/>
                    <w:ind w:firstLine="0" w:firstLineChars="0"/>
                    <w:jc w:val="center"/>
                    <w:rPr>
                      <w:color w:val="auto"/>
                      <w:kern w:val="2"/>
                      <w:sz w:val="21"/>
                      <w:szCs w:val="21"/>
                      <w:highlight w:val="none"/>
                    </w:rPr>
                  </w:pPr>
                  <w:r>
                    <w:rPr>
                      <w:rFonts w:hint="eastAsia"/>
                      <w:color w:val="auto"/>
                      <w:kern w:val="2"/>
                      <w:sz w:val="21"/>
                      <w:szCs w:val="21"/>
                      <w:highlight w:val="none"/>
                      <w:lang w:val="en-US" w:eastAsia="zh-CN"/>
                    </w:rPr>
                    <w:t>除尘灰、含铁沉泥</w:t>
                  </w:r>
                </w:p>
              </w:tc>
              <w:tc>
                <w:tcPr>
                  <w:tcW w:w="1323" w:type="dxa"/>
                  <w:noWrap w:val="0"/>
                  <w:vAlign w:val="center"/>
                </w:tcPr>
                <w:p w14:paraId="40D6596F">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color w:val="auto"/>
                      <w:kern w:val="2"/>
                      <w:sz w:val="21"/>
                      <w:szCs w:val="21"/>
                      <w:highlight w:val="none"/>
                      <w:lang w:val="en-US" w:eastAsia="zh-CN"/>
                    </w:rPr>
                  </w:pPr>
                  <w:r>
                    <w:rPr>
                      <w:rFonts w:hint="eastAsia" w:cs="Times New Roman"/>
                      <w:color w:val="auto"/>
                      <w:kern w:val="2"/>
                      <w:sz w:val="21"/>
                      <w:szCs w:val="21"/>
                      <w:highlight w:val="none"/>
                      <w:lang w:val="en-US" w:eastAsia="zh-CN"/>
                    </w:rPr>
                    <w:t>4.511</w:t>
                  </w:r>
                </w:p>
              </w:tc>
              <w:tc>
                <w:tcPr>
                  <w:tcW w:w="941" w:type="pct"/>
                  <w:noWrap w:val="0"/>
                  <w:vAlign w:val="center"/>
                </w:tcPr>
                <w:p w14:paraId="1471CEF8">
                  <w:pPr>
                    <w:pStyle w:val="826"/>
                    <w:spacing w:line="280" w:lineRule="exact"/>
                    <w:ind w:firstLine="0" w:firstLineChars="0"/>
                    <w:jc w:val="center"/>
                    <w:rPr>
                      <w:color w:val="auto"/>
                      <w:kern w:val="2"/>
                      <w:sz w:val="21"/>
                      <w:szCs w:val="21"/>
                      <w:highlight w:val="none"/>
                    </w:rPr>
                  </w:pPr>
                  <w:r>
                    <w:rPr>
                      <w:color w:val="auto"/>
                      <w:kern w:val="2"/>
                      <w:sz w:val="21"/>
                      <w:szCs w:val="21"/>
                      <w:highlight w:val="none"/>
                    </w:rPr>
                    <w:t>74</w:t>
                  </w:r>
                </w:p>
              </w:tc>
              <w:tc>
                <w:tcPr>
                  <w:tcW w:w="986" w:type="pct"/>
                  <w:noWrap w:val="0"/>
                  <w:vAlign w:val="center"/>
                </w:tcPr>
                <w:p w14:paraId="56F490EE">
                  <w:pPr>
                    <w:pStyle w:val="826"/>
                    <w:spacing w:line="280" w:lineRule="exact"/>
                    <w:ind w:firstLine="0" w:firstLineChars="0"/>
                    <w:jc w:val="center"/>
                    <w:rPr>
                      <w:color w:val="auto"/>
                      <w:kern w:val="2"/>
                      <w:sz w:val="21"/>
                      <w:szCs w:val="21"/>
                      <w:highlight w:val="none"/>
                    </w:rPr>
                  </w:pPr>
                  <w:r>
                    <w:rPr>
                      <w:color w:val="auto"/>
                      <w:kern w:val="2"/>
                      <w:sz w:val="21"/>
                      <w:szCs w:val="21"/>
                      <w:highlight w:val="none"/>
                    </w:rPr>
                    <w:t>99</w:t>
                  </w:r>
                </w:p>
              </w:tc>
              <w:tc>
                <w:tcPr>
                  <w:tcW w:w="822" w:type="pct"/>
                  <w:noWrap w:val="0"/>
                  <w:vAlign w:val="center"/>
                </w:tcPr>
                <w:p w14:paraId="0B0FF803">
                  <w:pPr>
                    <w:pStyle w:val="826"/>
                    <w:spacing w:line="280" w:lineRule="exact"/>
                    <w:ind w:firstLine="0" w:firstLineChars="0"/>
                    <w:jc w:val="center"/>
                    <w:rPr>
                      <w:rFonts w:hint="default"/>
                      <w:color w:val="auto"/>
                      <w:kern w:val="2"/>
                      <w:sz w:val="21"/>
                      <w:szCs w:val="21"/>
                      <w:highlight w:val="none"/>
                      <w:lang w:val="en-US" w:eastAsia="zh-CN"/>
                    </w:rPr>
                  </w:pPr>
                  <w:r>
                    <w:rPr>
                      <w:rFonts w:hint="default"/>
                      <w:color w:val="auto"/>
                      <w:kern w:val="2"/>
                      <w:sz w:val="21"/>
                      <w:szCs w:val="21"/>
                      <w:highlight w:val="none"/>
                      <w:lang w:val="en-US" w:eastAsia="zh-CN"/>
                    </w:rPr>
                    <w:t>0.01</w:t>
                  </w:r>
                  <w:r>
                    <w:rPr>
                      <w:rFonts w:hint="eastAsia"/>
                      <w:color w:val="auto"/>
                      <w:kern w:val="2"/>
                      <w:sz w:val="21"/>
                      <w:szCs w:val="21"/>
                      <w:highlight w:val="none"/>
                      <w:lang w:val="en-US" w:eastAsia="zh-CN"/>
                    </w:rPr>
                    <w:t>2</w:t>
                  </w:r>
                </w:p>
              </w:tc>
            </w:tr>
            <w:tr w14:paraId="5EE2B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75" w:type="pct"/>
                  <w:noWrap w:val="0"/>
                  <w:vAlign w:val="center"/>
                </w:tcPr>
                <w:p w14:paraId="34010155">
                  <w:pPr>
                    <w:pStyle w:val="826"/>
                    <w:spacing w:line="280" w:lineRule="exact"/>
                    <w:ind w:firstLine="0" w:firstLineChars="0"/>
                    <w:jc w:val="center"/>
                    <w:rPr>
                      <w:rFonts w:hint="eastAsia"/>
                      <w:color w:val="auto"/>
                      <w:kern w:val="2"/>
                      <w:sz w:val="21"/>
                      <w:szCs w:val="21"/>
                      <w:highlight w:val="none"/>
                      <w:lang w:val="en-US" w:eastAsia="zh-CN"/>
                    </w:rPr>
                  </w:pPr>
                  <w:r>
                    <w:rPr>
                      <w:rFonts w:hint="eastAsia"/>
                      <w:color w:val="auto"/>
                      <w:kern w:val="2"/>
                      <w:sz w:val="21"/>
                      <w:szCs w:val="21"/>
                      <w:highlight w:val="none"/>
                      <w:lang w:val="en-US" w:eastAsia="zh-CN"/>
                    </w:rPr>
                    <w:t>矿粉</w:t>
                  </w:r>
                </w:p>
              </w:tc>
              <w:tc>
                <w:tcPr>
                  <w:tcW w:w="1323" w:type="dxa"/>
                  <w:noWrap w:val="0"/>
                  <w:vAlign w:val="center"/>
                </w:tcPr>
                <w:p w14:paraId="264CD9C3">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olor w:val="auto"/>
                      <w:kern w:val="2"/>
                      <w:sz w:val="21"/>
                      <w:szCs w:val="21"/>
                      <w:highlight w:val="none"/>
                      <w:lang w:val="en-US" w:eastAsia="zh-CN"/>
                    </w:rPr>
                  </w:pPr>
                  <w:r>
                    <w:rPr>
                      <w:rFonts w:hint="eastAsia" w:cs="Times New Roman"/>
                      <w:color w:val="auto"/>
                      <w:kern w:val="2"/>
                      <w:sz w:val="21"/>
                      <w:szCs w:val="21"/>
                      <w:highlight w:val="none"/>
                      <w:lang w:val="en-US" w:eastAsia="zh-CN"/>
                    </w:rPr>
                    <w:t>3.185</w:t>
                  </w:r>
                </w:p>
              </w:tc>
              <w:tc>
                <w:tcPr>
                  <w:tcW w:w="941" w:type="pct"/>
                  <w:noWrap w:val="0"/>
                  <w:vAlign w:val="center"/>
                </w:tcPr>
                <w:p w14:paraId="12DB202B">
                  <w:pPr>
                    <w:pStyle w:val="826"/>
                    <w:spacing w:line="280" w:lineRule="exact"/>
                    <w:ind w:firstLine="0" w:firstLineChars="0"/>
                    <w:jc w:val="center"/>
                    <w:rPr>
                      <w:color w:val="auto"/>
                      <w:kern w:val="2"/>
                      <w:sz w:val="21"/>
                      <w:szCs w:val="21"/>
                      <w:highlight w:val="none"/>
                    </w:rPr>
                  </w:pPr>
                  <w:r>
                    <w:rPr>
                      <w:color w:val="auto"/>
                      <w:kern w:val="2"/>
                      <w:sz w:val="21"/>
                      <w:szCs w:val="21"/>
                      <w:highlight w:val="none"/>
                    </w:rPr>
                    <w:t>74</w:t>
                  </w:r>
                </w:p>
              </w:tc>
              <w:tc>
                <w:tcPr>
                  <w:tcW w:w="986" w:type="pct"/>
                  <w:noWrap w:val="0"/>
                  <w:vAlign w:val="center"/>
                </w:tcPr>
                <w:p w14:paraId="3C40A4C0">
                  <w:pPr>
                    <w:pStyle w:val="826"/>
                    <w:spacing w:line="280" w:lineRule="exact"/>
                    <w:ind w:firstLine="0" w:firstLineChars="0"/>
                    <w:jc w:val="center"/>
                    <w:rPr>
                      <w:color w:val="auto"/>
                      <w:kern w:val="2"/>
                      <w:sz w:val="21"/>
                      <w:szCs w:val="21"/>
                      <w:highlight w:val="none"/>
                    </w:rPr>
                  </w:pPr>
                  <w:r>
                    <w:rPr>
                      <w:color w:val="auto"/>
                      <w:kern w:val="2"/>
                      <w:sz w:val="21"/>
                      <w:szCs w:val="21"/>
                      <w:highlight w:val="none"/>
                    </w:rPr>
                    <w:t>99</w:t>
                  </w:r>
                </w:p>
              </w:tc>
              <w:tc>
                <w:tcPr>
                  <w:tcW w:w="822" w:type="pct"/>
                  <w:noWrap w:val="0"/>
                  <w:vAlign w:val="center"/>
                </w:tcPr>
                <w:p w14:paraId="2D69FB01">
                  <w:pPr>
                    <w:pStyle w:val="826"/>
                    <w:spacing w:line="280" w:lineRule="exact"/>
                    <w:ind w:firstLine="0" w:firstLineChars="0"/>
                    <w:jc w:val="center"/>
                    <w:rPr>
                      <w:rFonts w:hint="eastAsia"/>
                      <w:color w:val="auto"/>
                      <w:kern w:val="2"/>
                      <w:sz w:val="21"/>
                      <w:szCs w:val="21"/>
                      <w:highlight w:val="none"/>
                      <w:lang w:val="en-US" w:eastAsia="zh-CN"/>
                    </w:rPr>
                  </w:pPr>
                  <w:r>
                    <w:rPr>
                      <w:rFonts w:hint="default"/>
                      <w:color w:val="auto"/>
                      <w:kern w:val="2"/>
                      <w:sz w:val="21"/>
                      <w:szCs w:val="21"/>
                      <w:highlight w:val="none"/>
                      <w:lang w:val="en-US" w:eastAsia="zh-CN"/>
                    </w:rPr>
                    <w:t>0.008</w:t>
                  </w:r>
                </w:p>
              </w:tc>
            </w:tr>
            <w:tr w14:paraId="2AE4F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75" w:type="pct"/>
                  <w:noWrap w:val="0"/>
                  <w:vAlign w:val="center"/>
                </w:tcPr>
                <w:p w14:paraId="75B92BE9">
                  <w:pPr>
                    <w:pStyle w:val="826"/>
                    <w:spacing w:line="280" w:lineRule="exact"/>
                    <w:ind w:firstLine="0" w:firstLineChars="0"/>
                    <w:jc w:val="center"/>
                    <w:rPr>
                      <w:rFonts w:hint="eastAsia"/>
                      <w:color w:val="auto"/>
                      <w:kern w:val="2"/>
                      <w:sz w:val="21"/>
                      <w:szCs w:val="21"/>
                      <w:highlight w:val="none"/>
                      <w:lang w:val="en-US" w:eastAsia="zh-CN"/>
                    </w:rPr>
                  </w:pPr>
                  <w:r>
                    <w:rPr>
                      <w:rFonts w:hint="eastAsia"/>
                      <w:color w:val="auto"/>
                      <w:kern w:val="2"/>
                      <w:sz w:val="21"/>
                      <w:szCs w:val="21"/>
                      <w:highlight w:val="none"/>
                      <w:lang w:val="en-US" w:eastAsia="zh-CN"/>
                    </w:rPr>
                    <w:t>半成品压球</w:t>
                  </w:r>
                </w:p>
              </w:tc>
              <w:tc>
                <w:tcPr>
                  <w:tcW w:w="1323" w:type="dxa"/>
                  <w:noWrap w:val="0"/>
                  <w:vAlign w:val="center"/>
                </w:tcPr>
                <w:p w14:paraId="1AED8E3B">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olor w:val="auto"/>
                      <w:kern w:val="2"/>
                      <w:sz w:val="21"/>
                      <w:szCs w:val="21"/>
                      <w:highlight w:val="none"/>
                      <w:lang w:val="en-US" w:eastAsia="zh-CN"/>
                    </w:rPr>
                  </w:pPr>
                  <w:r>
                    <w:rPr>
                      <w:rFonts w:hint="eastAsia" w:cs="Times New Roman"/>
                      <w:color w:val="auto"/>
                      <w:kern w:val="2"/>
                      <w:sz w:val="21"/>
                      <w:szCs w:val="21"/>
                      <w:highlight w:val="none"/>
                      <w:lang w:val="en-US" w:eastAsia="zh-CN"/>
                    </w:rPr>
                    <w:t>14.73</w:t>
                  </w:r>
                </w:p>
              </w:tc>
              <w:tc>
                <w:tcPr>
                  <w:tcW w:w="941" w:type="pct"/>
                  <w:noWrap w:val="0"/>
                  <w:vAlign w:val="center"/>
                </w:tcPr>
                <w:p w14:paraId="2DE5CEFF">
                  <w:pPr>
                    <w:pStyle w:val="826"/>
                    <w:spacing w:line="280" w:lineRule="exact"/>
                    <w:ind w:firstLine="0" w:firstLineChars="0"/>
                    <w:jc w:val="center"/>
                    <w:rPr>
                      <w:color w:val="auto"/>
                      <w:kern w:val="2"/>
                      <w:sz w:val="21"/>
                      <w:szCs w:val="21"/>
                      <w:highlight w:val="none"/>
                    </w:rPr>
                  </w:pPr>
                  <w:r>
                    <w:rPr>
                      <w:color w:val="auto"/>
                      <w:kern w:val="2"/>
                      <w:sz w:val="21"/>
                      <w:szCs w:val="21"/>
                      <w:highlight w:val="none"/>
                    </w:rPr>
                    <w:t>74</w:t>
                  </w:r>
                </w:p>
              </w:tc>
              <w:tc>
                <w:tcPr>
                  <w:tcW w:w="986" w:type="pct"/>
                  <w:noWrap w:val="0"/>
                  <w:vAlign w:val="center"/>
                </w:tcPr>
                <w:p w14:paraId="49D4A2BB">
                  <w:pPr>
                    <w:pStyle w:val="826"/>
                    <w:spacing w:line="280" w:lineRule="exact"/>
                    <w:ind w:firstLine="0" w:firstLineChars="0"/>
                    <w:jc w:val="center"/>
                    <w:rPr>
                      <w:color w:val="auto"/>
                      <w:kern w:val="2"/>
                      <w:sz w:val="21"/>
                      <w:szCs w:val="21"/>
                      <w:highlight w:val="none"/>
                    </w:rPr>
                  </w:pPr>
                  <w:r>
                    <w:rPr>
                      <w:color w:val="auto"/>
                      <w:kern w:val="2"/>
                      <w:sz w:val="21"/>
                      <w:szCs w:val="21"/>
                      <w:highlight w:val="none"/>
                    </w:rPr>
                    <w:t>99</w:t>
                  </w:r>
                </w:p>
              </w:tc>
              <w:tc>
                <w:tcPr>
                  <w:tcW w:w="822" w:type="pct"/>
                  <w:noWrap w:val="0"/>
                  <w:vAlign w:val="center"/>
                </w:tcPr>
                <w:p w14:paraId="5796A286">
                  <w:pPr>
                    <w:pStyle w:val="826"/>
                    <w:spacing w:line="280" w:lineRule="exact"/>
                    <w:ind w:firstLine="0" w:firstLineChars="0"/>
                    <w:jc w:val="center"/>
                    <w:rPr>
                      <w:rFonts w:hint="eastAsia"/>
                      <w:color w:val="auto"/>
                      <w:kern w:val="2"/>
                      <w:sz w:val="21"/>
                      <w:szCs w:val="21"/>
                      <w:highlight w:val="none"/>
                      <w:lang w:val="en-US" w:eastAsia="zh-CN"/>
                    </w:rPr>
                  </w:pPr>
                  <w:r>
                    <w:rPr>
                      <w:rFonts w:hint="default"/>
                      <w:color w:val="auto"/>
                      <w:kern w:val="2"/>
                      <w:sz w:val="21"/>
                      <w:szCs w:val="21"/>
                      <w:highlight w:val="none"/>
                      <w:lang w:val="en-US" w:eastAsia="zh-CN"/>
                    </w:rPr>
                    <w:t>0.038</w:t>
                  </w:r>
                </w:p>
              </w:tc>
            </w:tr>
            <w:tr w14:paraId="3E97A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75" w:type="pct"/>
                  <w:noWrap w:val="0"/>
                  <w:vAlign w:val="center"/>
                </w:tcPr>
                <w:p w14:paraId="010DF8C0">
                  <w:pPr>
                    <w:pStyle w:val="826"/>
                    <w:spacing w:line="280" w:lineRule="exact"/>
                    <w:ind w:firstLine="0" w:firstLineChars="0"/>
                    <w:jc w:val="center"/>
                    <w:rPr>
                      <w:rFonts w:hint="eastAsia"/>
                      <w:color w:val="auto"/>
                      <w:kern w:val="2"/>
                      <w:sz w:val="21"/>
                      <w:szCs w:val="21"/>
                      <w:highlight w:val="none"/>
                      <w:lang w:val="en-US" w:eastAsia="zh-CN"/>
                    </w:rPr>
                  </w:pPr>
                  <w:r>
                    <w:rPr>
                      <w:rFonts w:hint="eastAsia"/>
                      <w:color w:val="auto"/>
                      <w:kern w:val="2"/>
                      <w:sz w:val="21"/>
                      <w:szCs w:val="21"/>
                      <w:highlight w:val="none"/>
                      <w:lang w:val="en-US" w:eastAsia="zh-CN"/>
                    </w:rPr>
                    <w:t>半成品筛分筛下物</w:t>
                  </w:r>
                </w:p>
              </w:tc>
              <w:tc>
                <w:tcPr>
                  <w:tcW w:w="1323" w:type="dxa"/>
                  <w:noWrap w:val="0"/>
                  <w:vAlign w:val="center"/>
                </w:tcPr>
                <w:p w14:paraId="4375A00A">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olor w:val="auto"/>
                      <w:kern w:val="2"/>
                      <w:sz w:val="21"/>
                      <w:szCs w:val="21"/>
                      <w:highlight w:val="none"/>
                      <w:lang w:val="en-US" w:eastAsia="zh-CN"/>
                    </w:rPr>
                  </w:pPr>
                  <w:r>
                    <w:rPr>
                      <w:rFonts w:hint="eastAsia" w:cs="Times New Roman"/>
                      <w:color w:val="auto"/>
                      <w:kern w:val="2"/>
                      <w:sz w:val="21"/>
                      <w:szCs w:val="21"/>
                      <w:highlight w:val="none"/>
                      <w:lang w:val="en-US" w:eastAsia="zh-CN"/>
                    </w:rPr>
                    <w:t>0.135</w:t>
                  </w:r>
                </w:p>
              </w:tc>
              <w:tc>
                <w:tcPr>
                  <w:tcW w:w="941" w:type="pct"/>
                  <w:noWrap w:val="0"/>
                  <w:vAlign w:val="center"/>
                </w:tcPr>
                <w:p w14:paraId="2F10985F">
                  <w:pPr>
                    <w:pStyle w:val="826"/>
                    <w:spacing w:line="280" w:lineRule="exact"/>
                    <w:ind w:firstLine="0" w:firstLineChars="0"/>
                    <w:jc w:val="center"/>
                    <w:rPr>
                      <w:color w:val="auto"/>
                      <w:kern w:val="2"/>
                      <w:sz w:val="21"/>
                      <w:szCs w:val="21"/>
                      <w:highlight w:val="none"/>
                    </w:rPr>
                  </w:pPr>
                  <w:r>
                    <w:rPr>
                      <w:color w:val="auto"/>
                      <w:kern w:val="2"/>
                      <w:sz w:val="21"/>
                      <w:szCs w:val="21"/>
                      <w:highlight w:val="none"/>
                    </w:rPr>
                    <w:t>74</w:t>
                  </w:r>
                </w:p>
              </w:tc>
              <w:tc>
                <w:tcPr>
                  <w:tcW w:w="986" w:type="pct"/>
                  <w:noWrap w:val="0"/>
                  <w:vAlign w:val="center"/>
                </w:tcPr>
                <w:p w14:paraId="45DF0223">
                  <w:pPr>
                    <w:pStyle w:val="826"/>
                    <w:spacing w:line="280" w:lineRule="exact"/>
                    <w:ind w:firstLine="0" w:firstLineChars="0"/>
                    <w:jc w:val="center"/>
                    <w:rPr>
                      <w:color w:val="auto"/>
                      <w:kern w:val="2"/>
                      <w:sz w:val="21"/>
                      <w:szCs w:val="21"/>
                      <w:highlight w:val="none"/>
                    </w:rPr>
                  </w:pPr>
                  <w:r>
                    <w:rPr>
                      <w:color w:val="auto"/>
                      <w:kern w:val="2"/>
                      <w:sz w:val="21"/>
                      <w:szCs w:val="21"/>
                      <w:highlight w:val="none"/>
                    </w:rPr>
                    <w:t>99</w:t>
                  </w:r>
                </w:p>
              </w:tc>
              <w:tc>
                <w:tcPr>
                  <w:tcW w:w="822" w:type="pct"/>
                  <w:noWrap w:val="0"/>
                  <w:vAlign w:val="center"/>
                </w:tcPr>
                <w:p w14:paraId="6F1D3DF7">
                  <w:pPr>
                    <w:pStyle w:val="826"/>
                    <w:spacing w:line="280" w:lineRule="exact"/>
                    <w:ind w:firstLine="0" w:firstLineChars="0"/>
                    <w:jc w:val="center"/>
                    <w:rPr>
                      <w:rFonts w:hint="eastAsia"/>
                      <w:color w:val="auto"/>
                      <w:kern w:val="2"/>
                      <w:sz w:val="21"/>
                      <w:szCs w:val="21"/>
                      <w:highlight w:val="none"/>
                      <w:lang w:val="en-US" w:eastAsia="zh-CN"/>
                    </w:rPr>
                  </w:pPr>
                  <w:r>
                    <w:rPr>
                      <w:rFonts w:hint="default"/>
                      <w:color w:val="auto"/>
                      <w:kern w:val="2"/>
                      <w:sz w:val="21"/>
                      <w:szCs w:val="21"/>
                      <w:highlight w:val="none"/>
                      <w:lang w:val="en-US" w:eastAsia="zh-CN"/>
                    </w:rPr>
                    <w:t>0.0004</w:t>
                  </w:r>
                </w:p>
              </w:tc>
            </w:tr>
            <w:tr w14:paraId="6D140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75" w:type="pct"/>
                  <w:noWrap w:val="0"/>
                  <w:vAlign w:val="center"/>
                </w:tcPr>
                <w:p w14:paraId="2DA40A67">
                  <w:pPr>
                    <w:pStyle w:val="826"/>
                    <w:spacing w:line="280" w:lineRule="exact"/>
                    <w:ind w:firstLine="0" w:firstLineChars="0"/>
                    <w:jc w:val="center"/>
                    <w:rPr>
                      <w:rFonts w:hint="eastAsia"/>
                      <w:color w:val="auto"/>
                      <w:kern w:val="2"/>
                      <w:sz w:val="21"/>
                      <w:szCs w:val="21"/>
                      <w:highlight w:val="none"/>
                      <w:lang w:val="en-US" w:eastAsia="zh-CN"/>
                    </w:rPr>
                  </w:pPr>
                  <w:r>
                    <w:rPr>
                      <w:rFonts w:hint="eastAsia"/>
                      <w:color w:val="auto"/>
                      <w:sz w:val="21"/>
                      <w:szCs w:val="21"/>
                      <w:highlight w:val="none"/>
                      <w:lang w:val="en-US" w:eastAsia="zh-CN"/>
                    </w:rPr>
                    <w:t>大粒径物料</w:t>
                  </w:r>
                </w:p>
              </w:tc>
              <w:tc>
                <w:tcPr>
                  <w:tcW w:w="1323" w:type="dxa"/>
                  <w:noWrap w:val="0"/>
                  <w:vAlign w:val="center"/>
                </w:tcPr>
                <w:p w14:paraId="51D4F923">
                  <w:pPr>
                    <w:pStyle w:val="826"/>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0.135</w:t>
                  </w:r>
                </w:p>
              </w:tc>
              <w:tc>
                <w:tcPr>
                  <w:tcW w:w="1608" w:type="dxa"/>
                  <w:noWrap w:val="0"/>
                  <w:vAlign w:val="center"/>
                </w:tcPr>
                <w:p w14:paraId="50B5629D">
                  <w:pPr>
                    <w:pStyle w:val="826"/>
                    <w:spacing w:line="280" w:lineRule="exact"/>
                    <w:ind w:firstLine="0" w:firstLineChars="0"/>
                    <w:jc w:val="center"/>
                    <w:rPr>
                      <w:color w:val="auto"/>
                      <w:kern w:val="2"/>
                      <w:sz w:val="21"/>
                      <w:szCs w:val="21"/>
                      <w:highlight w:val="none"/>
                    </w:rPr>
                  </w:pPr>
                  <w:r>
                    <w:rPr>
                      <w:color w:val="auto"/>
                      <w:kern w:val="2"/>
                      <w:sz w:val="21"/>
                      <w:szCs w:val="21"/>
                      <w:highlight w:val="none"/>
                    </w:rPr>
                    <w:t>74</w:t>
                  </w:r>
                </w:p>
              </w:tc>
              <w:tc>
                <w:tcPr>
                  <w:tcW w:w="1687" w:type="dxa"/>
                  <w:noWrap w:val="0"/>
                  <w:vAlign w:val="center"/>
                </w:tcPr>
                <w:p w14:paraId="0BC7C927">
                  <w:pPr>
                    <w:pStyle w:val="826"/>
                    <w:spacing w:line="280" w:lineRule="exact"/>
                    <w:ind w:firstLine="0" w:firstLineChars="0"/>
                    <w:jc w:val="center"/>
                    <w:rPr>
                      <w:color w:val="auto"/>
                      <w:kern w:val="2"/>
                      <w:sz w:val="21"/>
                      <w:szCs w:val="21"/>
                      <w:highlight w:val="none"/>
                    </w:rPr>
                  </w:pPr>
                  <w:r>
                    <w:rPr>
                      <w:color w:val="auto"/>
                      <w:kern w:val="2"/>
                      <w:sz w:val="21"/>
                      <w:szCs w:val="21"/>
                      <w:highlight w:val="none"/>
                    </w:rPr>
                    <w:t>99</w:t>
                  </w:r>
                </w:p>
              </w:tc>
              <w:tc>
                <w:tcPr>
                  <w:tcW w:w="1405" w:type="dxa"/>
                  <w:noWrap w:val="0"/>
                  <w:vAlign w:val="center"/>
                </w:tcPr>
                <w:p w14:paraId="049377A5">
                  <w:pPr>
                    <w:pStyle w:val="826"/>
                    <w:spacing w:line="280" w:lineRule="exact"/>
                    <w:ind w:firstLine="0" w:firstLineChars="0"/>
                    <w:jc w:val="center"/>
                    <w:rPr>
                      <w:rFonts w:hint="default"/>
                      <w:color w:val="auto"/>
                      <w:kern w:val="2"/>
                      <w:sz w:val="21"/>
                      <w:szCs w:val="21"/>
                      <w:highlight w:val="none"/>
                      <w:lang w:val="en-US" w:eastAsia="zh-CN"/>
                    </w:rPr>
                  </w:pPr>
                  <w:r>
                    <w:rPr>
                      <w:rFonts w:hint="default"/>
                      <w:color w:val="auto"/>
                      <w:kern w:val="2"/>
                      <w:sz w:val="21"/>
                      <w:szCs w:val="21"/>
                      <w:highlight w:val="none"/>
                      <w:lang w:val="en-US" w:eastAsia="zh-CN"/>
                    </w:rPr>
                    <w:t>0.0004</w:t>
                  </w:r>
                </w:p>
              </w:tc>
            </w:tr>
            <w:tr w14:paraId="7EA86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177" w:type="pct"/>
                  <w:gridSpan w:val="4"/>
                  <w:noWrap w:val="0"/>
                  <w:vAlign w:val="center"/>
                </w:tcPr>
                <w:p w14:paraId="163FA997">
                  <w:pPr>
                    <w:pStyle w:val="826"/>
                    <w:spacing w:line="280" w:lineRule="exact"/>
                    <w:ind w:firstLine="0" w:firstLineChars="0"/>
                    <w:jc w:val="center"/>
                    <w:rPr>
                      <w:color w:val="auto"/>
                      <w:kern w:val="2"/>
                      <w:sz w:val="21"/>
                      <w:szCs w:val="21"/>
                      <w:highlight w:val="none"/>
                    </w:rPr>
                  </w:pPr>
                  <w:r>
                    <w:rPr>
                      <w:rFonts w:hint="eastAsia"/>
                      <w:color w:val="auto"/>
                      <w:kern w:val="2"/>
                      <w:sz w:val="21"/>
                      <w:szCs w:val="21"/>
                      <w:highlight w:val="none"/>
                      <w:lang w:val="en-US" w:eastAsia="zh-CN"/>
                    </w:rPr>
                    <w:t>合计</w:t>
                  </w:r>
                </w:p>
              </w:tc>
              <w:tc>
                <w:tcPr>
                  <w:tcW w:w="822" w:type="pct"/>
                  <w:noWrap w:val="0"/>
                  <w:vAlign w:val="center"/>
                </w:tcPr>
                <w:p w14:paraId="2031C244">
                  <w:pPr>
                    <w:pStyle w:val="826"/>
                    <w:spacing w:line="280" w:lineRule="exact"/>
                    <w:ind w:firstLine="0" w:firstLineChars="0"/>
                    <w:jc w:val="center"/>
                    <w:rPr>
                      <w:rFonts w:hint="default"/>
                      <w:color w:val="auto"/>
                      <w:kern w:val="2"/>
                      <w:sz w:val="21"/>
                      <w:szCs w:val="21"/>
                      <w:highlight w:val="none"/>
                      <w:lang w:val="en-US" w:eastAsia="zh-CN"/>
                    </w:rPr>
                  </w:pPr>
                  <w:r>
                    <w:rPr>
                      <w:rFonts w:hint="eastAsia"/>
                      <w:color w:val="auto"/>
                      <w:kern w:val="2"/>
                      <w:sz w:val="21"/>
                      <w:szCs w:val="21"/>
                      <w:highlight w:val="none"/>
                      <w:lang w:val="en-US" w:eastAsia="zh-CN"/>
                    </w:rPr>
                    <w:t>0.059</w:t>
                  </w:r>
                </w:p>
              </w:tc>
            </w:tr>
          </w:tbl>
          <w:p w14:paraId="7CFA057A">
            <w:pPr>
              <w:adjustRightInd w:val="0"/>
              <w:snapToGrid w:val="0"/>
              <w:ind w:firstLine="480"/>
              <w:rPr>
                <w:color w:val="auto"/>
                <w:sz w:val="21"/>
                <w:szCs w:val="21"/>
                <w:highlight w:val="none"/>
              </w:rPr>
            </w:pPr>
            <w:r>
              <w:rPr>
                <w:color w:val="auto"/>
                <w:sz w:val="21"/>
                <w:szCs w:val="21"/>
                <w:highlight w:val="none"/>
              </w:rPr>
              <w:t>由上述计算，项目物料装卸及堆存过程采用封闭库房内、喷雾抑尘等措施后，颗粒物排放量合计为</w:t>
            </w:r>
            <w:r>
              <w:rPr>
                <w:rFonts w:hint="eastAsia"/>
                <w:color w:val="auto"/>
                <w:sz w:val="21"/>
                <w:szCs w:val="21"/>
                <w:highlight w:val="none"/>
                <w:lang w:val="en-US" w:eastAsia="zh-CN"/>
              </w:rPr>
              <w:t>0.059</w:t>
            </w:r>
            <w:r>
              <w:rPr>
                <w:color w:val="auto"/>
                <w:sz w:val="21"/>
                <w:szCs w:val="21"/>
                <w:highlight w:val="none"/>
              </w:rPr>
              <w:t>t/a。</w:t>
            </w:r>
          </w:p>
          <w:p w14:paraId="4E012836">
            <w:pPr>
              <w:widowControl/>
              <w:ind w:firstLine="480"/>
              <w:jc w:val="both"/>
              <w:rPr>
                <w:color w:val="auto"/>
                <w:sz w:val="21"/>
                <w:szCs w:val="21"/>
                <w:highlight w:val="none"/>
              </w:rPr>
            </w:pPr>
            <w:r>
              <w:rPr>
                <w:rFonts w:hint="eastAsia"/>
                <w:color w:val="auto"/>
                <w:sz w:val="21"/>
                <w:szCs w:val="21"/>
                <w:highlight w:val="none"/>
                <w:lang w:val="en-US" w:eastAsia="zh-CN"/>
              </w:rPr>
              <w:t>(2)</w:t>
            </w:r>
            <w:r>
              <w:rPr>
                <w:rFonts w:hint="eastAsia"/>
                <w:color w:val="auto"/>
                <w:sz w:val="21"/>
                <w:szCs w:val="21"/>
                <w:highlight w:val="none"/>
              </w:rPr>
              <w:t>未收集的无组织废</w:t>
            </w:r>
            <w:r>
              <w:rPr>
                <w:color w:val="auto"/>
                <w:sz w:val="21"/>
                <w:szCs w:val="21"/>
                <w:highlight w:val="none"/>
              </w:rPr>
              <w:t>气</w:t>
            </w:r>
          </w:p>
          <w:p w14:paraId="5F65C858">
            <w:pPr>
              <w:widowControl/>
              <w:ind w:firstLine="480"/>
              <w:jc w:val="both"/>
              <w:rPr>
                <w:color w:val="auto"/>
                <w:sz w:val="21"/>
                <w:szCs w:val="21"/>
                <w:highlight w:val="none"/>
              </w:rPr>
            </w:pPr>
            <w:r>
              <w:rPr>
                <w:rFonts w:hint="eastAsia"/>
                <w:color w:val="auto"/>
                <w:sz w:val="21"/>
                <w:szCs w:val="21"/>
                <w:highlight w:val="none"/>
              </w:rPr>
              <w:t>未收集的无组织废气量为</w:t>
            </w:r>
            <w:r>
              <w:rPr>
                <w:rFonts w:hint="eastAsia"/>
                <w:color w:val="auto"/>
                <w:sz w:val="21"/>
                <w:szCs w:val="21"/>
                <w:highlight w:val="none"/>
                <w:lang w:val="en-US" w:eastAsia="zh-CN"/>
              </w:rPr>
              <w:t>3.799</w:t>
            </w:r>
            <w:r>
              <w:rPr>
                <w:rFonts w:hint="eastAsia"/>
                <w:color w:val="auto"/>
                <w:sz w:val="21"/>
                <w:szCs w:val="21"/>
                <w:highlight w:val="none"/>
              </w:rPr>
              <w:t>t/a。项目生产位于封闭车间内，抑尘效率为9</w:t>
            </w:r>
            <w:r>
              <w:rPr>
                <w:rFonts w:hint="eastAsia"/>
                <w:color w:val="auto"/>
                <w:sz w:val="21"/>
                <w:szCs w:val="21"/>
                <w:highlight w:val="none"/>
                <w:lang w:val="en-US" w:eastAsia="zh-CN"/>
              </w:rPr>
              <w:t>9</w:t>
            </w:r>
            <w:r>
              <w:rPr>
                <w:rFonts w:hint="eastAsia"/>
                <w:color w:val="auto"/>
                <w:sz w:val="21"/>
                <w:szCs w:val="21"/>
                <w:highlight w:val="none"/>
              </w:rPr>
              <w:t>%，则无组织排放的废气为</w:t>
            </w:r>
            <w:r>
              <w:rPr>
                <w:rFonts w:hint="eastAsia"/>
                <w:color w:val="auto"/>
                <w:sz w:val="21"/>
                <w:szCs w:val="21"/>
                <w:highlight w:val="none"/>
                <w:lang w:val="en-US" w:eastAsia="zh-CN"/>
              </w:rPr>
              <w:t>0.0387</w:t>
            </w:r>
            <w:r>
              <w:rPr>
                <w:rFonts w:hint="eastAsia"/>
                <w:color w:val="auto"/>
                <w:sz w:val="21"/>
                <w:szCs w:val="21"/>
                <w:highlight w:val="none"/>
              </w:rPr>
              <w:t>t/a。</w:t>
            </w:r>
          </w:p>
          <w:p w14:paraId="4B8CA000">
            <w:pPr>
              <w:adjustRightInd w:val="0"/>
              <w:snapToGrid w:val="0"/>
              <w:ind w:firstLine="480"/>
              <w:rPr>
                <w:color w:val="auto"/>
                <w:sz w:val="21"/>
                <w:szCs w:val="21"/>
                <w:highlight w:val="none"/>
              </w:rPr>
            </w:pPr>
            <w:r>
              <w:rPr>
                <w:rFonts w:hint="eastAsia"/>
                <w:color w:val="auto"/>
                <w:sz w:val="21"/>
                <w:szCs w:val="21"/>
                <w:highlight w:val="none"/>
              </w:rPr>
              <w:t>综上，项目无组织排放的颗粒物为</w:t>
            </w:r>
            <w:r>
              <w:rPr>
                <w:rFonts w:hint="eastAsia"/>
                <w:color w:val="auto"/>
                <w:sz w:val="21"/>
                <w:szCs w:val="21"/>
                <w:highlight w:val="none"/>
                <w:lang w:val="en-US" w:eastAsia="zh-CN"/>
              </w:rPr>
              <w:t>0.097</w:t>
            </w:r>
            <w:r>
              <w:rPr>
                <w:rFonts w:hint="eastAsia"/>
                <w:color w:val="auto"/>
                <w:sz w:val="21"/>
                <w:szCs w:val="21"/>
                <w:highlight w:val="none"/>
              </w:rPr>
              <w:t>t/a。</w:t>
            </w:r>
          </w:p>
          <w:p w14:paraId="59B13724">
            <w:pPr>
              <w:ind w:firstLine="480"/>
              <w:rPr>
                <w:color w:val="auto"/>
                <w:sz w:val="21"/>
                <w:szCs w:val="21"/>
                <w:highlight w:val="none"/>
              </w:rPr>
            </w:pPr>
            <w:r>
              <w:rPr>
                <w:color w:val="auto"/>
                <w:sz w:val="21"/>
                <w:szCs w:val="21"/>
                <w:highlight w:val="none"/>
              </w:rPr>
              <w:t>项目废气产生、排放情况见表</w:t>
            </w:r>
            <w:r>
              <w:rPr>
                <w:rFonts w:hint="eastAsia"/>
                <w:color w:val="auto"/>
                <w:sz w:val="21"/>
                <w:szCs w:val="21"/>
                <w:highlight w:val="none"/>
                <w:lang w:val="en-US" w:eastAsia="zh-CN"/>
              </w:rPr>
              <w:t>4-5</w:t>
            </w:r>
            <w:r>
              <w:rPr>
                <w:color w:val="auto"/>
                <w:sz w:val="21"/>
                <w:szCs w:val="21"/>
                <w:highlight w:val="none"/>
              </w:rPr>
              <w:t>。</w:t>
            </w:r>
          </w:p>
          <w:p w14:paraId="0D6BB4F6">
            <w:pPr>
              <w:pStyle w:val="1732"/>
              <w:adjustRightInd w:val="0"/>
              <w:snapToGrid w:val="0"/>
              <w:ind w:firstLine="0" w:firstLineChars="0"/>
              <w:jc w:val="center"/>
              <w:rPr>
                <w:b/>
                <w:bCs/>
                <w:color w:val="auto"/>
                <w:sz w:val="21"/>
                <w:szCs w:val="21"/>
                <w:highlight w:val="none"/>
              </w:rPr>
            </w:pPr>
            <w:r>
              <w:rPr>
                <w:b/>
                <w:bCs w:val="0"/>
                <w:color w:val="auto"/>
                <w:kern w:val="2"/>
                <w:sz w:val="21"/>
                <w:szCs w:val="21"/>
                <w:highlight w:val="none"/>
              </w:rPr>
              <w:t>表</w:t>
            </w:r>
            <w:r>
              <w:rPr>
                <w:rFonts w:hint="eastAsia"/>
                <w:b/>
                <w:bCs w:val="0"/>
                <w:color w:val="auto"/>
                <w:kern w:val="2"/>
                <w:sz w:val="21"/>
                <w:szCs w:val="21"/>
                <w:highlight w:val="none"/>
                <w:lang w:val="en-US" w:eastAsia="zh-CN"/>
              </w:rPr>
              <w:t>4-5</w:t>
            </w:r>
            <w:r>
              <w:rPr>
                <w:b/>
                <w:bCs/>
                <w:color w:val="auto"/>
                <w:sz w:val="21"/>
                <w:szCs w:val="21"/>
                <w:highlight w:val="none"/>
              </w:rPr>
              <w:t xml:space="preserve">    项目废气产生、排放情况</w:t>
            </w:r>
          </w:p>
          <w:tbl>
            <w:tblPr>
              <w:tblStyle w:val="84"/>
              <w:tblW w:w="4996"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28" w:type="dxa"/>
                <w:left w:w="0" w:type="dxa"/>
                <w:bottom w:w="28" w:type="dxa"/>
                <w:right w:w="0" w:type="dxa"/>
              </w:tblCellMar>
            </w:tblPr>
            <w:tblGrid>
              <w:gridCol w:w="491"/>
              <w:gridCol w:w="271"/>
              <w:gridCol w:w="590"/>
              <w:gridCol w:w="597"/>
              <w:gridCol w:w="634"/>
              <w:gridCol w:w="855"/>
              <w:gridCol w:w="710"/>
              <w:gridCol w:w="428"/>
              <w:gridCol w:w="441"/>
              <w:gridCol w:w="560"/>
              <w:gridCol w:w="543"/>
              <w:gridCol w:w="466"/>
              <w:gridCol w:w="619"/>
              <w:gridCol w:w="627"/>
              <w:gridCol w:w="422"/>
            </w:tblGrid>
            <w:tr w14:paraId="774F3B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trPr>
              <w:tc>
                <w:tcPr>
                  <w:tcW w:w="297" w:type="pct"/>
                  <w:vMerge w:val="restart"/>
                  <w:tcBorders>
                    <w:top w:val="single" w:color="000000" w:sz="4" w:space="0"/>
                    <w:left w:val="single" w:color="000000" w:sz="4" w:space="0"/>
                    <w:bottom w:val="single" w:color="000000" w:sz="4" w:space="0"/>
                    <w:right w:val="single" w:color="000000" w:sz="4" w:space="0"/>
                  </w:tcBorders>
                  <w:vAlign w:val="center"/>
                </w:tcPr>
                <w:p w14:paraId="77BF6491">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bCs/>
                      <w:color w:val="auto"/>
                      <w:sz w:val="21"/>
                      <w:szCs w:val="21"/>
                      <w:highlight w:val="none"/>
                    </w:rPr>
                  </w:pPr>
                  <w:r>
                    <w:rPr>
                      <w:rFonts w:ascii="Times New Roman"/>
                      <w:bCs/>
                      <w:color w:val="auto"/>
                      <w:sz w:val="21"/>
                      <w:szCs w:val="21"/>
                      <w:highlight w:val="none"/>
                    </w:rPr>
                    <w:t>污染源</w:t>
                  </w:r>
                </w:p>
              </w:tc>
              <w:tc>
                <w:tcPr>
                  <w:tcW w:w="164" w:type="pct"/>
                  <w:vMerge w:val="restart"/>
                  <w:tcBorders>
                    <w:top w:val="single" w:color="000000" w:sz="4" w:space="0"/>
                    <w:left w:val="single" w:color="000000" w:sz="4" w:space="0"/>
                    <w:bottom w:val="single" w:color="000000" w:sz="4" w:space="0"/>
                    <w:right w:val="single" w:color="000000" w:sz="4" w:space="0"/>
                  </w:tcBorders>
                  <w:vAlign w:val="center"/>
                </w:tcPr>
                <w:p w14:paraId="6AFA3337">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bCs/>
                      <w:color w:val="auto"/>
                      <w:sz w:val="21"/>
                      <w:szCs w:val="21"/>
                      <w:highlight w:val="none"/>
                    </w:rPr>
                  </w:pPr>
                  <w:r>
                    <w:rPr>
                      <w:rFonts w:ascii="Times New Roman"/>
                      <w:bCs/>
                      <w:color w:val="auto"/>
                      <w:sz w:val="21"/>
                      <w:szCs w:val="21"/>
                      <w:highlight w:val="none"/>
                    </w:rPr>
                    <w:t>污染物</w:t>
                  </w:r>
                </w:p>
              </w:tc>
              <w:tc>
                <w:tcPr>
                  <w:tcW w:w="1103" w:type="pct"/>
                  <w:gridSpan w:val="3"/>
                  <w:tcBorders>
                    <w:top w:val="single" w:color="000000" w:sz="4" w:space="0"/>
                    <w:left w:val="single" w:color="000000" w:sz="4" w:space="0"/>
                    <w:bottom w:val="single" w:color="000000" w:sz="4" w:space="0"/>
                    <w:right w:val="single" w:color="000000" w:sz="4" w:space="0"/>
                  </w:tcBorders>
                  <w:vAlign w:val="center"/>
                </w:tcPr>
                <w:p w14:paraId="3FC8085E">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bCs/>
                      <w:color w:val="auto"/>
                      <w:sz w:val="21"/>
                      <w:szCs w:val="21"/>
                      <w:highlight w:val="none"/>
                    </w:rPr>
                  </w:pPr>
                  <w:r>
                    <w:rPr>
                      <w:rFonts w:ascii="Times New Roman"/>
                      <w:bCs/>
                      <w:color w:val="auto"/>
                      <w:sz w:val="21"/>
                      <w:szCs w:val="21"/>
                      <w:highlight w:val="none"/>
                    </w:rPr>
                    <w:t>污染物产生</w:t>
                  </w:r>
                </w:p>
              </w:tc>
              <w:tc>
                <w:tcPr>
                  <w:tcW w:w="1474" w:type="pct"/>
                  <w:gridSpan w:val="4"/>
                  <w:tcBorders>
                    <w:top w:val="single" w:color="000000" w:sz="4" w:space="0"/>
                    <w:left w:val="single" w:color="000000" w:sz="4" w:space="0"/>
                    <w:bottom w:val="single" w:color="000000" w:sz="4" w:space="0"/>
                    <w:right w:val="single" w:color="000000" w:sz="4" w:space="0"/>
                  </w:tcBorders>
                  <w:vAlign w:val="center"/>
                </w:tcPr>
                <w:p w14:paraId="3B57C781">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bCs/>
                      <w:color w:val="auto"/>
                      <w:sz w:val="21"/>
                      <w:szCs w:val="21"/>
                      <w:highlight w:val="none"/>
                    </w:rPr>
                  </w:pPr>
                  <w:r>
                    <w:rPr>
                      <w:rFonts w:ascii="Times New Roman"/>
                      <w:bCs/>
                      <w:color w:val="auto"/>
                      <w:sz w:val="21"/>
                      <w:szCs w:val="21"/>
                      <w:highlight w:val="none"/>
                    </w:rPr>
                    <w:t>治理措施</w:t>
                  </w:r>
                </w:p>
              </w:tc>
              <w:tc>
                <w:tcPr>
                  <w:tcW w:w="1325" w:type="pct"/>
                  <w:gridSpan w:val="4"/>
                  <w:tcBorders>
                    <w:top w:val="single" w:color="000000" w:sz="4" w:space="0"/>
                    <w:left w:val="single" w:color="000000" w:sz="4" w:space="0"/>
                    <w:bottom w:val="single" w:color="000000" w:sz="4" w:space="0"/>
                    <w:right w:val="single" w:color="000000" w:sz="4" w:space="0"/>
                  </w:tcBorders>
                  <w:vAlign w:val="center"/>
                </w:tcPr>
                <w:p w14:paraId="09C87778">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bCs/>
                      <w:color w:val="auto"/>
                      <w:sz w:val="21"/>
                      <w:szCs w:val="21"/>
                      <w:highlight w:val="none"/>
                    </w:rPr>
                  </w:pPr>
                  <w:r>
                    <w:rPr>
                      <w:rFonts w:ascii="Times New Roman"/>
                      <w:bCs/>
                      <w:color w:val="auto"/>
                      <w:sz w:val="21"/>
                      <w:szCs w:val="21"/>
                      <w:highlight w:val="none"/>
                    </w:rPr>
                    <w:t>污染物排放</w:t>
                  </w:r>
                </w:p>
              </w:tc>
              <w:tc>
                <w:tcPr>
                  <w:tcW w:w="379" w:type="pct"/>
                  <w:vMerge w:val="restart"/>
                  <w:tcBorders>
                    <w:top w:val="single" w:color="000000" w:sz="4" w:space="0"/>
                    <w:left w:val="single" w:color="000000" w:sz="4" w:space="0"/>
                    <w:bottom w:val="single" w:color="000000" w:sz="4" w:space="0"/>
                    <w:right w:val="single" w:color="000000" w:sz="4" w:space="0"/>
                  </w:tcBorders>
                  <w:vAlign w:val="center"/>
                </w:tcPr>
                <w:p w14:paraId="0F9CE4D9">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bCs/>
                      <w:color w:val="auto"/>
                      <w:sz w:val="21"/>
                      <w:szCs w:val="21"/>
                      <w:highlight w:val="none"/>
                    </w:rPr>
                  </w:pPr>
                  <w:r>
                    <w:rPr>
                      <w:rFonts w:ascii="Times New Roman"/>
                      <w:bCs/>
                      <w:color w:val="auto"/>
                      <w:sz w:val="21"/>
                      <w:szCs w:val="21"/>
                      <w:highlight w:val="none"/>
                    </w:rPr>
                    <w:t>排放标准值</w:t>
                  </w:r>
                </w:p>
                <w:p w14:paraId="7E200E2A">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bCs/>
                      <w:color w:val="auto"/>
                      <w:sz w:val="21"/>
                      <w:szCs w:val="21"/>
                      <w:highlight w:val="none"/>
                    </w:rPr>
                  </w:pPr>
                  <w:r>
                    <w:rPr>
                      <w:rFonts w:ascii="Times New Roman"/>
                      <w:bCs/>
                      <w:color w:val="auto"/>
                      <w:sz w:val="21"/>
                      <w:szCs w:val="21"/>
                      <w:highlight w:val="none"/>
                    </w:rPr>
                    <w:t>mg/m³</w:t>
                  </w:r>
                </w:p>
              </w:tc>
              <w:tc>
                <w:tcPr>
                  <w:tcW w:w="255" w:type="pct"/>
                  <w:vMerge w:val="restart"/>
                  <w:tcBorders>
                    <w:top w:val="single" w:color="000000" w:sz="4" w:space="0"/>
                    <w:left w:val="single" w:color="000000" w:sz="4" w:space="0"/>
                    <w:bottom w:val="single" w:color="000000" w:sz="4" w:space="0"/>
                    <w:right w:val="single" w:color="000000" w:sz="4" w:space="0"/>
                  </w:tcBorders>
                  <w:vAlign w:val="center"/>
                </w:tcPr>
                <w:p w14:paraId="15BE4ECB">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bCs/>
                      <w:color w:val="auto"/>
                      <w:sz w:val="21"/>
                      <w:szCs w:val="21"/>
                      <w:highlight w:val="none"/>
                    </w:rPr>
                  </w:pPr>
                  <w:r>
                    <w:rPr>
                      <w:rFonts w:ascii="Times New Roman"/>
                      <w:bCs/>
                      <w:color w:val="auto"/>
                      <w:sz w:val="21"/>
                      <w:szCs w:val="21"/>
                      <w:highlight w:val="none"/>
                    </w:rPr>
                    <w:t>排放时间h</w:t>
                  </w:r>
                </w:p>
              </w:tc>
            </w:tr>
            <w:tr w14:paraId="165182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trPr>
              <w:tc>
                <w:tcPr>
                  <w:tcW w:w="297" w:type="pct"/>
                  <w:vMerge w:val="continue"/>
                  <w:tcBorders>
                    <w:top w:val="single" w:color="000000" w:sz="4" w:space="0"/>
                    <w:left w:val="single" w:color="000000" w:sz="4" w:space="0"/>
                    <w:bottom w:val="single" w:color="000000" w:sz="4" w:space="0"/>
                    <w:right w:val="single" w:color="000000" w:sz="4" w:space="0"/>
                  </w:tcBorders>
                  <w:vAlign w:val="center"/>
                </w:tcPr>
                <w:p w14:paraId="3A0BB70D">
                  <w:pPr>
                    <w:keepNext w:val="0"/>
                    <w:keepLines w:val="0"/>
                    <w:pageBreakBefore w:val="0"/>
                    <w:widowControl/>
                    <w:kinsoku/>
                    <w:wordWrap/>
                    <w:overflowPunct/>
                    <w:topLinePunct w:val="0"/>
                    <w:autoSpaceDN/>
                    <w:bidi w:val="0"/>
                    <w:spacing w:line="240" w:lineRule="exact"/>
                    <w:ind w:firstLine="0" w:firstLineChars="0"/>
                    <w:jc w:val="center"/>
                    <w:textAlignment w:val="auto"/>
                    <w:rPr>
                      <w:bCs/>
                      <w:color w:val="auto"/>
                      <w:kern w:val="0"/>
                      <w:sz w:val="21"/>
                      <w:szCs w:val="21"/>
                      <w:highlight w:val="none"/>
                    </w:rPr>
                  </w:pPr>
                </w:p>
              </w:tc>
              <w:tc>
                <w:tcPr>
                  <w:tcW w:w="164" w:type="pct"/>
                  <w:vMerge w:val="continue"/>
                  <w:tcBorders>
                    <w:top w:val="single" w:color="000000" w:sz="4" w:space="0"/>
                    <w:left w:val="single" w:color="000000" w:sz="4" w:space="0"/>
                    <w:bottom w:val="single" w:color="000000" w:sz="4" w:space="0"/>
                    <w:right w:val="single" w:color="000000" w:sz="4" w:space="0"/>
                  </w:tcBorders>
                  <w:vAlign w:val="center"/>
                </w:tcPr>
                <w:p w14:paraId="5E061E13">
                  <w:pPr>
                    <w:keepNext w:val="0"/>
                    <w:keepLines w:val="0"/>
                    <w:pageBreakBefore w:val="0"/>
                    <w:widowControl/>
                    <w:kinsoku/>
                    <w:wordWrap/>
                    <w:overflowPunct/>
                    <w:topLinePunct w:val="0"/>
                    <w:autoSpaceDN/>
                    <w:bidi w:val="0"/>
                    <w:spacing w:line="240" w:lineRule="exact"/>
                    <w:ind w:firstLine="0" w:firstLineChars="0"/>
                    <w:jc w:val="center"/>
                    <w:textAlignment w:val="auto"/>
                    <w:rPr>
                      <w:bCs/>
                      <w:color w:val="auto"/>
                      <w:kern w:val="0"/>
                      <w:sz w:val="21"/>
                      <w:szCs w:val="21"/>
                      <w:highlight w:val="none"/>
                    </w:rPr>
                  </w:pPr>
                </w:p>
              </w:tc>
              <w:tc>
                <w:tcPr>
                  <w:tcW w:w="357" w:type="pct"/>
                  <w:tcBorders>
                    <w:top w:val="single" w:color="000000" w:sz="4" w:space="0"/>
                    <w:left w:val="single" w:color="000000" w:sz="4" w:space="0"/>
                    <w:bottom w:val="single" w:color="000000" w:sz="4" w:space="0"/>
                    <w:right w:val="single" w:color="000000" w:sz="4" w:space="0"/>
                  </w:tcBorders>
                  <w:vAlign w:val="center"/>
                </w:tcPr>
                <w:p w14:paraId="47D3936B">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产生浓度mg/m³</w:t>
                  </w:r>
                </w:p>
              </w:tc>
              <w:tc>
                <w:tcPr>
                  <w:tcW w:w="361" w:type="pct"/>
                  <w:tcBorders>
                    <w:top w:val="single" w:color="000000" w:sz="4" w:space="0"/>
                    <w:left w:val="single" w:color="000000" w:sz="4" w:space="0"/>
                    <w:bottom w:val="single" w:color="000000" w:sz="4" w:space="0"/>
                    <w:right w:val="single" w:color="000000" w:sz="4" w:space="0"/>
                  </w:tcBorders>
                  <w:vAlign w:val="center"/>
                </w:tcPr>
                <w:p w14:paraId="4039E170">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产生速率kg/h</w:t>
                  </w:r>
                </w:p>
              </w:tc>
              <w:tc>
                <w:tcPr>
                  <w:tcW w:w="384" w:type="pct"/>
                  <w:tcBorders>
                    <w:top w:val="single" w:color="000000" w:sz="4" w:space="0"/>
                    <w:left w:val="single" w:color="000000" w:sz="4" w:space="0"/>
                    <w:bottom w:val="single" w:color="000000" w:sz="4" w:space="0"/>
                    <w:right w:val="single" w:color="000000" w:sz="4" w:space="0"/>
                  </w:tcBorders>
                  <w:vAlign w:val="center"/>
                </w:tcPr>
                <w:p w14:paraId="20998310">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产生量</w:t>
                  </w:r>
                </w:p>
                <w:p w14:paraId="454B1A64">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t/a</w:t>
                  </w:r>
                </w:p>
              </w:tc>
              <w:tc>
                <w:tcPr>
                  <w:tcW w:w="517" w:type="pct"/>
                  <w:tcBorders>
                    <w:top w:val="single" w:color="000000" w:sz="4" w:space="0"/>
                    <w:left w:val="single" w:color="000000" w:sz="4" w:space="0"/>
                    <w:bottom w:val="single" w:color="000000" w:sz="4" w:space="0"/>
                    <w:right w:val="single" w:color="000000" w:sz="4" w:space="0"/>
                  </w:tcBorders>
                  <w:vAlign w:val="center"/>
                </w:tcPr>
                <w:p w14:paraId="6219446C">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工艺</w:t>
                  </w:r>
                </w:p>
              </w:tc>
              <w:tc>
                <w:tcPr>
                  <w:tcW w:w="430" w:type="pct"/>
                  <w:tcBorders>
                    <w:top w:val="single" w:color="000000" w:sz="4" w:space="0"/>
                    <w:left w:val="single" w:color="000000" w:sz="4" w:space="0"/>
                    <w:bottom w:val="single" w:color="000000" w:sz="4" w:space="0"/>
                    <w:right w:val="single" w:color="000000" w:sz="4" w:space="0"/>
                  </w:tcBorders>
                  <w:vAlign w:val="center"/>
                </w:tcPr>
                <w:p w14:paraId="2D3090B9">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处理风量Nm³/h</w:t>
                  </w:r>
                </w:p>
              </w:tc>
              <w:tc>
                <w:tcPr>
                  <w:tcW w:w="259" w:type="pct"/>
                  <w:tcBorders>
                    <w:top w:val="single" w:color="000000" w:sz="4" w:space="0"/>
                    <w:left w:val="single" w:color="000000" w:sz="4" w:space="0"/>
                    <w:bottom w:val="single" w:color="000000" w:sz="4" w:space="0"/>
                    <w:right w:val="single" w:color="000000" w:sz="4" w:space="0"/>
                  </w:tcBorders>
                  <w:vAlign w:val="center"/>
                </w:tcPr>
                <w:p w14:paraId="3658F16B">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去除率</w:t>
                  </w:r>
                </w:p>
                <w:p w14:paraId="426C3AD7">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w:t>
                  </w:r>
                </w:p>
              </w:tc>
              <w:tc>
                <w:tcPr>
                  <w:tcW w:w="267" w:type="pct"/>
                  <w:tcBorders>
                    <w:top w:val="single" w:color="000000" w:sz="4" w:space="0"/>
                    <w:left w:val="single" w:color="000000" w:sz="4" w:space="0"/>
                    <w:bottom w:val="single" w:color="000000" w:sz="4" w:space="0"/>
                    <w:right w:val="single" w:color="000000" w:sz="4" w:space="0"/>
                  </w:tcBorders>
                  <w:vAlign w:val="center"/>
                </w:tcPr>
                <w:p w14:paraId="70F85CB4">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是否可行性技术</w:t>
                  </w:r>
                </w:p>
              </w:tc>
              <w:tc>
                <w:tcPr>
                  <w:tcW w:w="339" w:type="pct"/>
                  <w:tcBorders>
                    <w:top w:val="single" w:color="000000" w:sz="4" w:space="0"/>
                    <w:left w:val="single" w:color="000000" w:sz="4" w:space="0"/>
                    <w:bottom w:val="single" w:color="000000" w:sz="4" w:space="0"/>
                    <w:right w:val="single" w:color="000000" w:sz="4" w:space="0"/>
                  </w:tcBorders>
                  <w:vAlign w:val="center"/>
                </w:tcPr>
                <w:p w14:paraId="4F0E65A5">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排放形式</w:t>
                  </w:r>
                </w:p>
              </w:tc>
              <w:tc>
                <w:tcPr>
                  <w:tcW w:w="328" w:type="pct"/>
                  <w:tcBorders>
                    <w:top w:val="single" w:color="000000" w:sz="4" w:space="0"/>
                    <w:left w:val="single" w:color="000000" w:sz="4" w:space="0"/>
                    <w:bottom w:val="single" w:color="000000" w:sz="4" w:space="0"/>
                    <w:right w:val="single" w:color="000000" w:sz="4" w:space="0"/>
                  </w:tcBorders>
                  <w:vAlign w:val="center"/>
                </w:tcPr>
                <w:p w14:paraId="4EFAF70F">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hint="eastAsia" w:ascii="Times New Roman" w:eastAsia="宋体"/>
                      <w:color w:val="auto"/>
                      <w:sz w:val="21"/>
                      <w:szCs w:val="21"/>
                      <w:highlight w:val="none"/>
                      <w:lang w:val="en-US" w:eastAsia="zh-CN"/>
                    </w:rPr>
                  </w:pPr>
                  <w:r>
                    <w:rPr>
                      <w:rFonts w:ascii="Times New Roman"/>
                      <w:color w:val="auto"/>
                      <w:sz w:val="21"/>
                      <w:szCs w:val="21"/>
                      <w:highlight w:val="none"/>
                    </w:rPr>
                    <w:t>排放浓度mg/m</w:t>
                  </w:r>
                  <w:r>
                    <w:rPr>
                      <w:rFonts w:hint="eastAsia" w:ascii="Times New Roman"/>
                      <w:color w:val="auto"/>
                      <w:sz w:val="21"/>
                      <w:szCs w:val="21"/>
                      <w:highlight w:val="none"/>
                      <w:vertAlign w:val="superscript"/>
                      <w:lang w:val="en-US" w:eastAsia="zh-CN"/>
                    </w:rPr>
                    <w:t>3</w:t>
                  </w:r>
                </w:p>
              </w:tc>
              <w:tc>
                <w:tcPr>
                  <w:tcW w:w="282" w:type="pct"/>
                  <w:tcBorders>
                    <w:top w:val="single" w:color="000000" w:sz="4" w:space="0"/>
                    <w:left w:val="single" w:color="000000" w:sz="4" w:space="0"/>
                    <w:bottom w:val="single" w:color="000000" w:sz="4" w:space="0"/>
                    <w:right w:val="single" w:color="000000" w:sz="4" w:space="0"/>
                  </w:tcBorders>
                  <w:vAlign w:val="center"/>
                </w:tcPr>
                <w:p w14:paraId="3F55FBCF">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排放速率</w:t>
                  </w:r>
                </w:p>
                <w:p w14:paraId="1C12276F">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kg/h</w:t>
                  </w:r>
                </w:p>
              </w:tc>
              <w:tc>
                <w:tcPr>
                  <w:tcW w:w="374" w:type="pct"/>
                  <w:tcBorders>
                    <w:top w:val="single" w:color="000000" w:sz="4" w:space="0"/>
                    <w:left w:val="single" w:color="000000" w:sz="4" w:space="0"/>
                    <w:bottom w:val="single" w:color="000000" w:sz="4" w:space="0"/>
                    <w:right w:val="single" w:color="000000" w:sz="4" w:space="0"/>
                  </w:tcBorders>
                  <w:vAlign w:val="center"/>
                </w:tcPr>
                <w:p w14:paraId="596517E1">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排放量</w:t>
                  </w:r>
                </w:p>
                <w:p w14:paraId="6A8B3CEF">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ascii="Times New Roman"/>
                      <w:color w:val="auto"/>
                      <w:sz w:val="21"/>
                      <w:szCs w:val="21"/>
                      <w:highlight w:val="none"/>
                    </w:rPr>
                  </w:pPr>
                  <w:r>
                    <w:rPr>
                      <w:rFonts w:ascii="Times New Roman"/>
                      <w:color w:val="auto"/>
                      <w:sz w:val="21"/>
                      <w:szCs w:val="21"/>
                      <w:highlight w:val="none"/>
                    </w:rPr>
                    <w:t>t/a</w:t>
                  </w:r>
                </w:p>
              </w:tc>
              <w:tc>
                <w:tcPr>
                  <w:tcW w:w="379" w:type="pct"/>
                  <w:vMerge w:val="continue"/>
                  <w:tcBorders>
                    <w:top w:val="single" w:color="000000" w:sz="4" w:space="0"/>
                    <w:left w:val="single" w:color="000000" w:sz="4" w:space="0"/>
                    <w:bottom w:val="single" w:color="000000" w:sz="4" w:space="0"/>
                    <w:right w:val="single" w:color="000000" w:sz="4" w:space="0"/>
                  </w:tcBorders>
                  <w:vAlign w:val="center"/>
                </w:tcPr>
                <w:p w14:paraId="20547887">
                  <w:pPr>
                    <w:keepNext w:val="0"/>
                    <w:keepLines w:val="0"/>
                    <w:pageBreakBefore w:val="0"/>
                    <w:widowControl/>
                    <w:kinsoku/>
                    <w:wordWrap/>
                    <w:overflowPunct/>
                    <w:topLinePunct w:val="0"/>
                    <w:autoSpaceDN/>
                    <w:bidi w:val="0"/>
                    <w:spacing w:line="240" w:lineRule="exact"/>
                    <w:ind w:firstLine="0" w:firstLineChars="0"/>
                    <w:jc w:val="center"/>
                    <w:textAlignment w:val="auto"/>
                    <w:rPr>
                      <w:bCs/>
                      <w:color w:val="auto"/>
                      <w:kern w:val="0"/>
                      <w:sz w:val="21"/>
                      <w:szCs w:val="21"/>
                      <w:highlight w:val="none"/>
                    </w:rPr>
                  </w:pPr>
                </w:p>
              </w:tc>
              <w:tc>
                <w:tcPr>
                  <w:tcW w:w="255" w:type="pct"/>
                  <w:vMerge w:val="continue"/>
                  <w:tcBorders>
                    <w:top w:val="single" w:color="000000" w:sz="4" w:space="0"/>
                    <w:left w:val="single" w:color="000000" w:sz="4" w:space="0"/>
                    <w:bottom w:val="single" w:color="000000" w:sz="4" w:space="0"/>
                    <w:right w:val="single" w:color="000000" w:sz="4" w:space="0"/>
                  </w:tcBorders>
                  <w:vAlign w:val="center"/>
                </w:tcPr>
                <w:p w14:paraId="1D586767">
                  <w:pPr>
                    <w:keepNext w:val="0"/>
                    <w:keepLines w:val="0"/>
                    <w:pageBreakBefore w:val="0"/>
                    <w:widowControl/>
                    <w:kinsoku/>
                    <w:wordWrap/>
                    <w:overflowPunct/>
                    <w:topLinePunct w:val="0"/>
                    <w:autoSpaceDN/>
                    <w:bidi w:val="0"/>
                    <w:spacing w:line="240" w:lineRule="exact"/>
                    <w:ind w:firstLine="0" w:firstLineChars="0"/>
                    <w:jc w:val="center"/>
                    <w:textAlignment w:val="auto"/>
                    <w:rPr>
                      <w:bCs/>
                      <w:color w:val="auto"/>
                      <w:kern w:val="0"/>
                      <w:sz w:val="21"/>
                      <w:szCs w:val="21"/>
                      <w:highlight w:val="none"/>
                    </w:rPr>
                  </w:pPr>
                </w:p>
              </w:tc>
            </w:tr>
            <w:tr w14:paraId="0979B4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trPr>
              <w:tc>
                <w:tcPr>
                  <w:tcW w:w="297" w:type="pct"/>
                  <w:tcBorders>
                    <w:left w:val="single" w:color="000000" w:sz="4" w:space="0"/>
                    <w:right w:val="single" w:color="000000" w:sz="4" w:space="0"/>
                  </w:tcBorders>
                  <w:vAlign w:val="center"/>
                </w:tcPr>
                <w:p w14:paraId="196B6E3E">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hint="eastAsia" w:ascii="Times New Roman"/>
                      <w:color w:val="auto"/>
                      <w:sz w:val="21"/>
                      <w:szCs w:val="21"/>
                      <w:highlight w:val="none"/>
                    </w:rPr>
                  </w:pPr>
                  <w:r>
                    <w:rPr>
                      <w:rFonts w:hint="eastAsia" w:ascii="Times New Roman"/>
                      <w:color w:val="auto"/>
                      <w:sz w:val="21"/>
                      <w:szCs w:val="21"/>
                      <w:highlight w:val="none"/>
                      <w:lang w:val="en-US" w:eastAsia="zh-CN"/>
                    </w:rPr>
                    <w:t>入</w:t>
                  </w:r>
                  <w:r>
                    <w:rPr>
                      <w:rFonts w:hint="eastAsia" w:ascii="Times New Roman"/>
                      <w:color w:val="auto"/>
                      <w:sz w:val="21"/>
                      <w:szCs w:val="21"/>
                      <w:highlight w:val="none"/>
                    </w:rPr>
                    <w:t>料、</w:t>
                  </w:r>
                  <w:r>
                    <w:rPr>
                      <w:rFonts w:hint="eastAsia" w:ascii="Times New Roman"/>
                      <w:color w:val="auto"/>
                      <w:sz w:val="21"/>
                      <w:szCs w:val="21"/>
                      <w:highlight w:val="none"/>
                      <w:lang w:val="en-US" w:eastAsia="zh-CN"/>
                    </w:rPr>
                    <w:t>筛分、搅拌等</w:t>
                  </w:r>
                </w:p>
              </w:tc>
              <w:tc>
                <w:tcPr>
                  <w:tcW w:w="164" w:type="pct"/>
                  <w:tcBorders>
                    <w:top w:val="single" w:color="auto" w:sz="4" w:space="0"/>
                    <w:left w:val="single" w:color="000000" w:sz="4" w:space="0"/>
                    <w:bottom w:val="single" w:color="auto" w:sz="4" w:space="0"/>
                    <w:right w:val="single" w:color="000000" w:sz="4" w:space="0"/>
                  </w:tcBorders>
                  <w:vAlign w:val="center"/>
                </w:tcPr>
                <w:p w14:paraId="00FFBFF2">
                  <w:pPr>
                    <w:pStyle w:val="135"/>
                    <w:keepNext w:val="0"/>
                    <w:keepLines w:val="0"/>
                    <w:pageBreakBefore w:val="0"/>
                    <w:kinsoku/>
                    <w:wordWrap/>
                    <w:overflowPunct/>
                    <w:topLinePunct w:val="0"/>
                    <w:autoSpaceDE w:val="0"/>
                    <w:autoSpaceDN/>
                    <w:bidi w:val="0"/>
                    <w:spacing w:beforeLines="0" w:afterLines="0" w:line="240" w:lineRule="exact"/>
                    <w:ind w:firstLine="0" w:firstLineChars="0"/>
                    <w:jc w:val="center"/>
                    <w:textAlignment w:val="auto"/>
                    <w:rPr>
                      <w:rFonts w:hint="eastAsia" w:ascii="Times New Roman"/>
                      <w:color w:val="auto"/>
                      <w:sz w:val="21"/>
                      <w:szCs w:val="21"/>
                      <w:highlight w:val="none"/>
                    </w:rPr>
                  </w:pPr>
                  <w:r>
                    <w:rPr>
                      <w:rFonts w:hint="eastAsia" w:ascii="Times New Roman"/>
                      <w:color w:val="auto"/>
                      <w:sz w:val="21"/>
                      <w:szCs w:val="21"/>
                      <w:highlight w:val="none"/>
                    </w:rPr>
                    <w:t>颗粒物</w:t>
                  </w:r>
                </w:p>
              </w:tc>
              <w:tc>
                <w:tcPr>
                  <w:tcW w:w="357" w:type="pct"/>
                  <w:tcBorders>
                    <w:top w:val="single" w:color="auto" w:sz="4" w:space="0"/>
                    <w:left w:val="single" w:color="000000" w:sz="4" w:space="0"/>
                    <w:bottom w:val="single" w:color="auto" w:sz="4" w:space="0"/>
                    <w:right w:val="single" w:color="000000" w:sz="4" w:space="0"/>
                  </w:tcBorders>
                  <w:vAlign w:val="center"/>
                </w:tcPr>
                <w:p w14:paraId="104AD98D">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131.9</w:t>
                  </w:r>
                </w:p>
              </w:tc>
              <w:tc>
                <w:tcPr>
                  <w:tcW w:w="361" w:type="pct"/>
                  <w:tcBorders>
                    <w:top w:val="single" w:color="auto" w:sz="4" w:space="0"/>
                    <w:left w:val="single" w:color="000000" w:sz="4" w:space="0"/>
                    <w:bottom w:val="single" w:color="auto" w:sz="4" w:space="0"/>
                    <w:right w:val="single" w:color="000000" w:sz="4" w:space="0"/>
                  </w:tcBorders>
                  <w:vAlign w:val="center"/>
                </w:tcPr>
                <w:p w14:paraId="7971362C">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default"/>
                      <w:color w:val="auto"/>
                      <w:highlight w:val="none"/>
                      <w:lang w:val="en-US" w:eastAsia="zh-CN"/>
                    </w:rPr>
                  </w:pPr>
                  <w:r>
                    <w:rPr>
                      <w:rFonts w:hint="eastAsia"/>
                      <w:color w:val="auto"/>
                      <w:highlight w:val="none"/>
                      <w:lang w:val="en-US" w:eastAsia="zh-CN"/>
                    </w:rPr>
                    <w:t>10.552</w:t>
                  </w:r>
                </w:p>
              </w:tc>
              <w:tc>
                <w:tcPr>
                  <w:tcW w:w="384" w:type="pct"/>
                  <w:tcBorders>
                    <w:top w:val="single" w:color="auto" w:sz="4" w:space="0"/>
                    <w:left w:val="single" w:color="000000" w:sz="4" w:space="0"/>
                    <w:bottom w:val="single" w:color="auto" w:sz="4" w:space="0"/>
                    <w:right w:val="single" w:color="000000" w:sz="4" w:space="0"/>
                  </w:tcBorders>
                  <w:vAlign w:val="center"/>
                </w:tcPr>
                <w:p w14:paraId="551EA4CC">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default" w:eastAsia="宋体"/>
                      <w:color w:val="auto"/>
                      <w:sz w:val="21"/>
                      <w:szCs w:val="21"/>
                      <w:highlight w:val="none"/>
                      <w:lang w:val="en-US" w:eastAsia="zh-CN"/>
                    </w:rPr>
                  </w:pPr>
                  <w:r>
                    <w:rPr>
                      <w:rFonts w:hint="eastAsia"/>
                      <w:color w:val="auto"/>
                      <w:highlight w:val="none"/>
                      <w:lang w:val="en-US" w:eastAsia="zh-CN"/>
                    </w:rPr>
                    <w:t>75.97</w:t>
                  </w:r>
                </w:p>
              </w:tc>
              <w:tc>
                <w:tcPr>
                  <w:tcW w:w="517" w:type="pct"/>
                  <w:tcBorders>
                    <w:left w:val="single" w:color="000000" w:sz="4" w:space="0"/>
                    <w:bottom w:val="single" w:color="000000" w:sz="4" w:space="0"/>
                    <w:right w:val="single" w:color="000000" w:sz="4" w:space="0"/>
                  </w:tcBorders>
                  <w:vAlign w:val="center"/>
                </w:tcPr>
                <w:p w14:paraId="7DBC2885">
                  <w:pPr>
                    <w:keepNext w:val="0"/>
                    <w:keepLines w:val="0"/>
                    <w:pageBreakBefore w:val="0"/>
                    <w:widowControl/>
                    <w:kinsoku/>
                    <w:wordWrap/>
                    <w:overflowPunct/>
                    <w:topLinePunct w:val="0"/>
                    <w:autoSpaceDN/>
                    <w:bidi w:val="0"/>
                    <w:spacing w:line="240" w:lineRule="exact"/>
                    <w:ind w:firstLine="0" w:firstLineChars="0"/>
                    <w:jc w:val="both"/>
                    <w:textAlignment w:val="auto"/>
                    <w:rPr>
                      <w:color w:val="auto"/>
                      <w:sz w:val="21"/>
                      <w:szCs w:val="21"/>
                      <w:highlight w:val="none"/>
                    </w:rPr>
                  </w:pPr>
                  <w:r>
                    <w:rPr>
                      <w:rFonts w:hint="eastAsia"/>
                      <w:color w:val="auto"/>
                      <w:sz w:val="21"/>
                      <w:szCs w:val="21"/>
                      <w:highlight w:val="none"/>
                      <w:lang w:val="en-US" w:eastAsia="zh-CN"/>
                    </w:rPr>
                    <w:t>集尘罩+现有质检筛分</w:t>
                  </w:r>
                  <w:r>
                    <w:rPr>
                      <w:rFonts w:hint="eastAsia"/>
                      <w:color w:val="auto"/>
                      <w:sz w:val="21"/>
                      <w:szCs w:val="21"/>
                      <w:highlight w:val="none"/>
                    </w:rPr>
                    <w:t>除尘器+</w:t>
                  </w:r>
                  <w:r>
                    <w:rPr>
                      <w:rFonts w:hint="eastAsia"/>
                      <w:color w:val="auto"/>
                      <w:sz w:val="21"/>
                      <w:szCs w:val="21"/>
                      <w:highlight w:val="none"/>
                      <w:lang w:val="en-US" w:eastAsia="zh-CN"/>
                    </w:rPr>
                    <w:t>24</w:t>
                  </w:r>
                  <w:r>
                    <w:rPr>
                      <w:rFonts w:hint="eastAsia"/>
                      <w:color w:val="auto"/>
                      <w:sz w:val="21"/>
                      <w:szCs w:val="21"/>
                      <w:highlight w:val="none"/>
                    </w:rPr>
                    <w:t>m</w:t>
                  </w:r>
                  <w:r>
                    <w:rPr>
                      <w:color w:val="auto"/>
                      <w:sz w:val="21"/>
                      <w:szCs w:val="21"/>
                      <w:highlight w:val="none"/>
                    </w:rPr>
                    <w:t>排气筒</w:t>
                  </w:r>
                </w:p>
              </w:tc>
              <w:tc>
                <w:tcPr>
                  <w:tcW w:w="430" w:type="pct"/>
                  <w:tcBorders>
                    <w:left w:val="single" w:color="000000" w:sz="4" w:space="0"/>
                    <w:right w:val="single" w:color="000000" w:sz="4" w:space="0"/>
                  </w:tcBorders>
                  <w:vAlign w:val="center"/>
                </w:tcPr>
                <w:p w14:paraId="1E807E5A">
                  <w:pPr>
                    <w:keepNext w:val="0"/>
                    <w:keepLines w:val="0"/>
                    <w:pageBreakBefore w:val="0"/>
                    <w:widowControl/>
                    <w:kinsoku/>
                    <w:wordWrap/>
                    <w:overflowPunct/>
                    <w:topLinePunct w:val="0"/>
                    <w:autoSpaceDN/>
                    <w:bidi w:val="0"/>
                    <w:spacing w:line="240" w:lineRule="exact"/>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80000</w:t>
                  </w:r>
                </w:p>
              </w:tc>
              <w:tc>
                <w:tcPr>
                  <w:tcW w:w="259" w:type="pct"/>
                  <w:tcBorders>
                    <w:top w:val="single" w:color="auto" w:sz="4" w:space="0"/>
                    <w:left w:val="single" w:color="000000" w:sz="4" w:space="0"/>
                    <w:bottom w:val="single" w:color="auto" w:sz="4" w:space="0"/>
                    <w:right w:val="single" w:color="000000" w:sz="4" w:space="0"/>
                  </w:tcBorders>
                  <w:vAlign w:val="center"/>
                </w:tcPr>
                <w:p w14:paraId="13666959">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98</w:t>
                  </w:r>
                </w:p>
              </w:tc>
              <w:tc>
                <w:tcPr>
                  <w:tcW w:w="267" w:type="pct"/>
                  <w:tcBorders>
                    <w:top w:val="single" w:color="auto" w:sz="4" w:space="0"/>
                    <w:left w:val="single" w:color="000000" w:sz="4" w:space="0"/>
                    <w:bottom w:val="single" w:color="auto" w:sz="4" w:space="0"/>
                    <w:right w:val="single" w:color="000000" w:sz="4" w:space="0"/>
                  </w:tcBorders>
                  <w:vAlign w:val="center"/>
                </w:tcPr>
                <w:p w14:paraId="4BDBA8F9">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是</w:t>
                  </w:r>
                </w:p>
              </w:tc>
              <w:tc>
                <w:tcPr>
                  <w:tcW w:w="339" w:type="pct"/>
                  <w:tcBorders>
                    <w:top w:val="single" w:color="auto" w:sz="4" w:space="0"/>
                    <w:left w:val="single" w:color="000000" w:sz="4" w:space="0"/>
                    <w:bottom w:val="single" w:color="auto" w:sz="4" w:space="0"/>
                    <w:right w:val="single" w:color="000000" w:sz="4" w:space="0"/>
                  </w:tcBorders>
                  <w:vAlign w:val="center"/>
                </w:tcPr>
                <w:p w14:paraId="609F92C7">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有组织</w:t>
                  </w:r>
                </w:p>
              </w:tc>
              <w:tc>
                <w:tcPr>
                  <w:tcW w:w="328" w:type="pct"/>
                  <w:tcBorders>
                    <w:top w:val="single" w:color="auto" w:sz="4" w:space="0"/>
                    <w:left w:val="single" w:color="000000" w:sz="4" w:space="0"/>
                    <w:bottom w:val="single" w:color="auto" w:sz="4" w:space="0"/>
                    <w:right w:val="single" w:color="000000" w:sz="4" w:space="0"/>
                  </w:tcBorders>
                  <w:vAlign w:val="center"/>
                </w:tcPr>
                <w:p w14:paraId="09679639">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2.5</w:t>
                  </w:r>
                </w:p>
              </w:tc>
              <w:tc>
                <w:tcPr>
                  <w:tcW w:w="282" w:type="pct"/>
                  <w:tcBorders>
                    <w:top w:val="single" w:color="auto" w:sz="4" w:space="0"/>
                    <w:left w:val="single" w:color="000000" w:sz="4" w:space="0"/>
                    <w:bottom w:val="single" w:color="auto" w:sz="4" w:space="0"/>
                    <w:right w:val="single" w:color="000000" w:sz="4" w:space="0"/>
                  </w:tcBorders>
                  <w:vAlign w:val="center"/>
                </w:tcPr>
                <w:p w14:paraId="0ADDCB61">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0.2</w:t>
                  </w:r>
                </w:p>
              </w:tc>
              <w:tc>
                <w:tcPr>
                  <w:tcW w:w="374" w:type="pct"/>
                  <w:tcBorders>
                    <w:top w:val="single" w:color="auto" w:sz="4" w:space="0"/>
                    <w:left w:val="single" w:color="000000" w:sz="4" w:space="0"/>
                    <w:bottom w:val="single" w:color="auto" w:sz="4" w:space="0"/>
                    <w:right w:val="single" w:color="000000" w:sz="4" w:space="0"/>
                  </w:tcBorders>
                  <w:vAlign w:val="center"/>
                </w:tcPr>
                <w:p w14:paraId="23346241">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1.443</w:t>
                  </w:r>
                </w:p>
              </w:tc>
              <w:tc>
                <w:tcPr>
                  <w:tcW w:w="379" w:type="pct"/>
                  <w:tcBorders>
                    <w:top w:val="single" w:color="auto" w:sz="4" w:space="0"/>
                    <w:left w:val="single" w:color="000000" w:sz="4" w:space="0"/>
                    <w:bottom w:val="single" w:color="auto" w:sz="4" w:space="0"/>
                    <w:right w:val="single" w:color="000000" w:sz="4" w:space="0"/>
                  </w:tcBorders>
                  <w:vAlign w:val="center"/>
                </w:tcPr>
                <w:p w14:paraId="24B80DCB">
                  <w:pPr>
                    <w:keepNext w:val="0"/>
                    <w:keepLines w:val="0"/>
                    <w:pageBreakBefore w:val="0"/>
                    <w:kinsoku/>
                    <w:wordWrap/>
                    <w:overflowPunct/>
                    <w:topLinePunct w:val="0"/>
                    <w:autoSpaceDE w:val="0"/>
                    <w:autoSpaceDN/>
                    <w:bidi w:val="0"/>
                    <w:spacing w:line="240" w:lineRule="exact"/>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10</w:t>
                  </w:r>
                </w:p>
              </w:tc>
              <w:tc>
                <w:tcPr>
                  <w:tcW w:w="255" w:type="pct"/>
                  <w:tcBorders>
                    <w:left w:val="single" w:color="000000" w:sz="4" w:space="0"/>
                    <w:bottom w:val="single" w:color="000000" w:sz="4" w:space="0"/>
                    <w:right w:val="single" w:color="000000" w:sz="4" w:space="0"/>
                  </w:tcBorders>
                  <w:vAlign w:val="center"/>
                </w:tcPr>
                <w:p w14:paraId="69D405D6">
                  <w:pPr>
                    <w:keepNext w:val="0"/>
                    <w:keepLines w:val="0"/>
                    <w:pageBreakBefore w:val="0"/>
                    <w:widowControl/>
                    <w:kinsoku/>
                    <w:wordWrap/>
                    <w:overflowPunct/>
                    <w:topLinePunct w:val="0"/>
                    <w:autoSpaceDN/>
                    <w:bidi w:val="0"/>
                    <w:spacing w:line="240" w:lineRule="exact"/>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7200</w:t>
                  </w:r>
                </w:p>
              </w:tc>
            </w:tr>
            <w:tr w14:paraId="74D399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trPr>
              <w:tc>
                <w:tcPr>
                  <w:tcW w:w="297" w:type="pct"/>
                  <w:tcBorders>
                    <w:top w:val="single" w:color="000000" w:sz="4" w:space="0"/>
                    <w:left w:val="single" w:color="000000" w:sz="4" w:space="0"/>
                    <w:bottom w:val="single" w:color="000000" w:sz="4" w:space="0"/>
                    <w:right w:val="single" w:color="000000" w:sz="4" w:space="0"/>
                  </w:tcBorders>
                  <w:vAlign w:val="center"/>
                </w:tcPr>
                <w:p w14:paraId="3FDB3445">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物料装卸及堆存</w:t>
                  </w:r>
                </w:p>
              </w:tc>
              <w:tc>
                <w:tcPr>
                  <w:tcW w:w="164" w:type="pct"/>
                  <w:tcBorders>
                    <w:top w:val="single" w:color="000000" w:sz="4" w:space="0"/>
                    <w:left w:val="single" w:color="000000" w:sz="4" w:space="0"/>
                    <w:bottom w:val="single" w:color="000000" w:sz="4" w:space="0"/>
                    <w:right w:val="single" w:color="000000" w:sz="4" w:space="0"/>
                  </w:tcBorders>
                  <w:vAlign w:val="center"/>
                </w:tcPr>
                <w:p w14:paraId="1E876B8D">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颗粒物</w:t>
                  </w:r>
                </w:p>
              </w:tc>
              <w:tc>
                <w:tcPr>
                  <w:tcW w:w="357" w:type="pct"/>
                  <w:tcBorders>
                    <w:top w:val="single" w:color="000000" w:sz="4" w:space="0"/>
                    <w:left w:val="single" w:color="000000" w:sz="4" w:space="0"/>
                    <w:bottom w:val="single" w:color="000000" w:sz="4" w:space="0"/>
                    <w:right w:val="single" w:color="000000" w:sz="4" w:space="0"/>
                  </w:tcBorders>
                  <w:vAlign w:val="center"/>
                </w:tcPr>
                <w:p w14:paraId="3E36C17D">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361" w:type="pct"/>
                  <w:tcBorders>
                    <w:top w:val="single" w:color="000000" w:sz="4" w:space="0"/>
                    <w:left w:val="single" w:color="000000" w:sz="4" w:space="0"/>
                    <w:bottom w:val="single" w:color="000000" w:sz="4" w:space="0"/>
                    <w:right w:val="single" w:color="000000" w:sz="4" w:space="0"/>
                  </w:tcBorders>
                  <w:vAlign w:val="center"/>
                </w:tcPr>
                <w:p w14:paraId="45D0FF7B">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384" w:type="pct"/>
                  <w:tcBorders>
                    <w:top w:val="single" w:color="000000" w:sz="4" w:space="0"/>
                    <w:left w:val="single" w:color="000000" w:sz="4" w:space="0"/>
                    <w:bottom w:val="single" w:color="000000" w:sz="4" w:space="0"/>
                    <w:right w:val="single" w:color="000000" w:sz="4" w:space="0"/>
                  </w:tcBorders>
                  <w:vAlign w:val="center"/>
                </w:tcPr>
                <w:p w14:paraId="58E7F385">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517" w:type="pct"/>
                  <w:vMerge w:val="restart"/>
                  <w:tcBorders>
                    <w:top w:val="single" w:color="000000" w:sz="4" w:space="0"/>
                    <w:left w:val="single" w:color="000000" w:sz="4" w:space="0"/>
                    <w:right w:val="single" w:color="000000" w:sz="4" w:space="0"/>
                  </w:tcBorders>
                  <w:vAlign w:val="center"/>
                </w:tcPr>
                <w:p w14:paraId="0193EDC7">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封闭车间</w:t>
                  </w:r>
                  <w:r>
                    <w:rPr>
                      <w:rFonts w:hint="eastAsia"/>
                      <w:color w:val="auto"/>
                      <w:kern w:val="2"/>
                      <w:sz w:val="21"/>
                      <w:szCs w:val="21"/>
                      <w:highlight w:val="none"/>
                      <w:lang w:val="en-US" w:eastAsia="zh-CN"/>
                    </w:rPr>
                    <w:t>+</w:t>
                  </w:r>
                  <w:r>
                    <w:rPr>
                      <w:rFonts w:hint="eastAsia"/>
                      <w:color w:val="auto"/>
                      <w:kern w:val="2"/>
                      <w:sz w:val="21"/>
                      <w:szCs w:val="21"/>
                      <w:highlight w:val="red"/>
                      <w:lang w:val="en-US" w:eastAsia="zh-CN"/>
                    </w:rPr>
                    <w:t>自动感应门</w:t>
                  </w:r>
                  <w:r>
                    <w:rPr>
                      <w:rFonts w:hint="eastAsia"/>
                      <w:color w:val="auto"/>
                      <w:kern w:val="0"/>
                      <w:sz w:val="21"/>
                      <w:szCs w:val="21"/>
                      <w:highlight w:val="none"/>
                      <w:lang w:val="en-US" w:eastAsia="zh-CN"/>
                    </w:rPr>
                    <w:t>+喷雾抑尘</w:t>
                  </w:r>
                </w:p>
              </w:tc>
              <w:tc>
                <w:tcPr>
                  <w:tcW w:w="430" w:type="pct"/>
                  <w:tcBorders>
                    <w:top w:val="single" w:color="000000" w:sz="4" w:space="0"/>
                    <w:left w:val="single" w:color="000000" w:sz="4" w:space="0"/>
                    <w:bottom w:val="single" w:color="000000" w:sz="4" w:space="0"/>
                    <w:right w:val="single" w:color="000000" w:sz="4" w:space="0"/>
                  </w:tcBorders>
                  <w:vAlign w:val="center"/>
                </w:tcPr>
                <w:p w14:paraId="0E8F24DD">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259" w:type="pct"/>
                  <w:tcBorders>
                    <w:top w:val="single" w:color="auto" w:sz="4" w:space="0"/>
                    <w:left w:val="single" w:color="000000" w:sz="4" w:space="0"/>
                    <w:bottom w:val="single" w:color="auto" w:sz="4" w:space="0"/>
                    <w:right w:val="single" w:color="000000" w:sz="4" w:space="0"/>
                  </w:tcBorders>
                  <w:vAlign w:val="center"/>
                </w:tcPr>
                <w:p w14:paraId="38933FF5">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267" w:type="pct"/>
                  <w:tcBorders>
                    <w:top w:val="single" w:color="auto" w:sz="4" w:space="0"/>
                    <w:left w:val="single" w:color="000000" w:sz="4" w:space="0"/>
                    <w:bottom w:val="single" w:color="auto" w:sz="4" w:space="0"/>
                    <w:right w:val="single" w:color="000000" w:sz="4" w:space="0"/>
                  </w:tcBorders>
                  <w:vAlign w:val="center"/>
                </w:tcPr>
                <w:p w14:paraId="4C80B294">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是</w:t>
                  </w:r>
                </w:p>
              </w:tc>
              <w:tc>
                <w:tcPr>
                  <w:tcW w:w="339" w:type="pct"/>
                  <w:tcBorders>
                    <w:top w:val="single" w:color="auto" w:sz="4" w:space="0"/>
                    <w:left w:val="single" w:color="000000" w:sz="4" w:space="0"/>
                    <w:bottom w:val="single" w:color="auto" w:sz="4" w:space="0"/>
                    <w:right w:val="single" w:color="000000" w:sz="4" w:space="0"/>
                  </w:tcBorders>
                  <w:vAlign w:val="center"/>
                </w:tcPr>
                <w:p w14:paraId="0A4596AB">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无组织</w:t>
                  </w:r>
                </w:p>
              </w:tc>
              <w:tc>
                <w:tcPr>
                  <w:tcW w:w="328" w:type="pct"/>
                  <w:tcBorders>
                    <w:top w:val="single" w:color="auto" w:sz="4" w:space="0"/>
                    <w:left w:val="single" w:color="000000" w:sz="4" w:space="0"/>
                    <w:bottom w:val="single" w:color="auto" w:sz="4" w:space="0"/>
                    <w:right w:val="single" w:color="000000" w:sz="4" w:space="0"/>
                  </w:tcBorders>
                  <w:vAlign w:val="center"/>
                </w:tcPr>
                <w:p w14:paraId="317A52BA">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282" w:type="pct"/>
                  <w:tcBorders>
                    <w:top w:val="single" w:color="auto" w:sz="4" w:space="0"/>
                    <w:left w:val="single" w:color="000000" w:sz="4" w:space="0"/>
                    <w:bottom w:val="single" w:color="auto" w:sz="4" w:space="0"/>
                    <w:right w:val="single" w:color="000000" w:sz="4" w:space="0"/>
                  </w:tcBorders>
                  <w:vAlign w:val="center"/>
                </w:tcPr>
                <w:p w14:paraId="629281AC">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374" w:type="pct"/>
                  <w:tcBorders>
                    <w:top w:val="single" w:color="auto" w:sz="4" w:space="0"/>
                    <w:left w:val="single" w:color="000000" w:sz="4" w:space="0"/>
                    <w:bottom w:val="single" w:color="auto" w:sz="4" w:space="0"/>
                    <w:right w:val="single" w:color="000000" w:sz="4" w:space="0"/>
                  </w:tcBorders>
                  <w:vAlign w:val="center"/>
                </w:tcPr>
                <w:p w14:paraId="26CC980E">
                  <w:pPr>
                    <w:keepNext w:val="0"/>
                    <w:keepLines w:val="0"/>
                    <w:pageBreakBefore w:val="0"/>
                    <w:widowControl/>
                    <w:kinsoku/>
                    <w:wordWrap/>
                    <w:overflowPunct/>
                    <w:topLinePunct w:val="0"/>
                    <w:autoSpaceDN/>
                    <w:bidi w:val="0"/>
                    <w:spacing w:line="240" w:lineRule="exact"/>
                    <w:ind w:firstLine="0" w:firstLineChars="0"/>
                    <w:jc w:val="center"/>
                    <w:textAlignment w:val="auto"/>
                    <w:rPr>
                      <w:rFonts w:hint="default"/>
                      <w:color w:val="auto"/>
                      <w:kern w:val="0"/>
                      <w:sz w:val="21"/>
                      <w:szCs w:val="21"/>
                      <w:highlight w:val="none"/>
                      <w:lang w:val="en-US" w:eastAsia="zh-CN"/>
                    </w:rPr>
                  </w:pPr>
                  <w:r>
                    <w:rPr>
                      <w:rFonts w:hint="eastAsia"/>
                      <w:color w:val="auto"/>
                      <w:kern w:val="0"/>
                      <w:sz w:val="21"/>
                      <w:szCs w:val="21"/>
                      <w:highlight w:val="none"/>
                      <w:lang w:val="en-US" w:eastAsia="zh-CN"/>
                    </w:rPr>
                    <w:t>0.059</w:t>
                  </w:r>
                </w:p>
              </w:tc>
              <w:tc>
                <w:tcPr>
                  <w:tcW w:w="379" w:type="pct"/>
                  <w:tcBorders>
                    <w:top w:val="single" w:color="auto" w:sz="4" w:space="0"/>
                    <w:left w:val="single" w:color="000000" w:sz="4" w:space="0"/>
                    <w:bottom w:val="single" w:color="auto" w:sz="4" w:space="0"/>
                    <w:right w:val="single" w:color="000000" w:sz="4" w:space="0"/>
                  </w:tcBorders>
                  <w:vAlign w:val="center"/>
                </w:tcPr>
                <w:p w14:paraId="62170BD7">
                  <w:pPr>
                    <w:keepNext w:val="0"/>
                    <w:keepLines w:val="0"/>
                    <w:pageBreakBefore w:val="0"/>
                    <w:widowControl/>
                    <w:kinsoku/>
                    <w:wordWrap/>
                    <w:overflowPunct/>
                    <w:topLinePunct w:val="0"/>
                    <w:autoSpaceDN/>
                    <w:bidi w:val="0"/>
                    <w:spacing w:line="240" w:lineRule="exact"/>
                    <w:ind w:firstLine="0" w:firstLineChars="0"/>
                    <w:jc w:val="center"/>
                    <w:textAlignment w:val="auto"/>
                    <w:rPr>
                      <w:rFonts w:hint="default"/>
                      <w:color w:val="auto"/>
                      <w:kern w:val="0"/>
                      <w:sz w:val="21"/>
                      <w:szCs w:val="21"/>
                      <w:highlight w:val="none"/>
                      <w:lang w:val="en-US" w:eastAsia="zh-CN"/>
                    </w:rPr>
                  </w:pPr>
                  <w:r>
                    <w:rPr>
                      <w:rFonts w:hint="eastAsia"/>
                      <w:color w:val="auto"/>
                      <w:kern w:val="0"/>
                      <w:sz w:val="21"/>
                      <w:szCs w:val="21"/>
                      <w:highlight w:val="none"/>
                      <w:lang w:val="en-US" w:eastAsia="zh-CN"/>
                    </w:rPr>
                    <w:t>0.15</w:t>
                  </w:r>
                </w:p>
              </w:tc>
              <w:tc>
                <w:tcPr>
                  <w:tcW w:w="255" w:type="pct"/>
                  <w:tcBorders>
                    <w:top w:val="single" w:color="000000" w:sz="4" w:space="0"/>
                    <w:left w:val="single" w:color="000000" w:sz="4" w:space="0"/>
                    <w:bottom w:val="single" w:color="000000" w:sz="4" w:space="0"/>
                    <w:right w:val="single" w:color="000000" w:sz="4" w:space="0"/>
                  </w:tcBorders>
                  <w:vAlign w:val="center"/>
                </w:tcPr>
                <w:p w14:paraId="26151DC7">
                  <w:pPr>
                    <w:keepNext w:val="0"/>
                    <w:keepLines w:val="0"/>
                    <w:pageBreakBefore w:val="0"/>
                    <w:widowControl/>
                    <w:kinsoku/>
                    <w:wordWrap/>
                    <w:overflowPunct/>
                    <w:topLinePunct w:val="0"/>
                    <w:autoSpaceDN/>
                    <w:bidi w:val="0"/>
                    <w:spacing w:line="240" w:lineRule="exact"/>
                    <w:ind w:firstLine="0" w:firstLineChars="0"/>
                    <w:jc w:val="center"/>
                    <w:textAlignment w:val="auto"/>
                    <w:rPr>
                      <w:rFonts w:hint="default"/>
                      <w:color w:val="auto"/>
                      <w:kern w:val="0"/>
                      <w:sz w:val="21"/>
                      <w:szCs w:val="21"/>
                      <w:highlight w:val="none"/>
                      <w:lang w:val="en-US" w:eastAsia="zh-CN"/>
                    </w:rPr>
                  </w:pPr>
                  <w:r>
                    <w:rPr>
                      <w:rFonts w:hint="eastAsia"/>
                      <w:color w:val="auto"/>
                      <w:kern w:val="0"/>
                      <w:sz w:val="21"/>
                      <w:szCs w:val="21"/>
                      <w:highlight w:val="none"/>
                      <w:lang w:val="en-US" w:eastAsia="zh-CN"/>
                    </w:rPr>
                    <w:t>7200</w:t>
                  </w:r>
                </w:p>
              </w:tc>
            </w:tr>
            <w:tr w14:paraId="0A0A4C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trPr>
              <w:tc>
                <w:tcPr>
                  <w:tcW w:w="297" w:type="pct"/>
                  <w:tcBorders>
                    <w:top w:val="single" w:color="000000" w:sz="4" w:space="0"/>
                    <w:left w:val="single" w:color="000000" w:sz="4" w:space="0"/>
                    <w:right w:val="single" w:color="000000" w:sz="4" w:space="0"/>
                  </w:tcBorders>
                  <w:vAlign w:val="center"/>
                </w:tcPr>
                <w:p w14:paraId="3F5D8604">
                  <w:pPr>
                    <w:keepNext w:val="0"/>
                    <w:keepLines w:val="0"/>
                    <w:pageBreakBefore w:val="0"/>
                    <w:widowControl/>
                    <w:kinsoku/>
                    <w:wordWrap/>
                    <w:overflowPunct/>
                    <w:topLinePunct w:val="0"/>
                    <w:autoSpaceDN/>
                    <w:bidi w:val="0"/>
                    <w:spacing w:line="240" w:lineRule="exact"/>
                    <w:ind w:firstLine="0" w:firstLineChars="0"/>
                    <w:jc w:val="center"/>
                    <w:textAlignment w:val="auto"/>
                    <w:rPr>
                      <w:rFonts w:hint="default"/>
                      <w:color w:val="auto"/>
                      <w:kern w:val="0"/>
                      <w:sz w:val="21"/>
                      <w:szCs w:val="21"/>
                      <w:highlight w:val="none"/>
                      <w:lang w:val="en-US" w:eastAsia="zh-CN"/>
                    </w:rPr>
                  </w:pPr>
                  <w:r>
                    <w:rPr>
                      <w:rFonts w:hint="eastAsia"/>
                      <w:color w:val="auto"/>
                      <w:kern w:val="0"/>
                      <w:sz w:val="21"/>
                      <w:szCs w:val="21"/>
                      <w:highlight w:val="none"/>
                      <w:lang w:val="en-US" w:eastAsia="zh-CN"/>
                    </w:rPr>
                    <w:t>未捕集</w:t>
                  </w:r>
                </w:p>
              </w:tc>
              <w:tc>
                <w:tcPr>
                  <w:tcW w:w="164" w:type="pct"/>
                  <w:tcBorders>
                    <w:top w:val="single" w:color="000000" w:sz="4" w:space="0"/>
                    <w:left w:val="single" w:color="000000" w:sz="4" w:space="0"/>
                    <w:bottom w:val="single" w:color="000000" w:sz="4" w:space="0"/>
                    <w:right w:val="single" w:color="000000" w:sz="4" w:space="0"/>
                  </w:tcBorders>
                  <w:vAlign w:val="center"/>
                </w:tcPr>
                <w:p w14:paraId="00F1721E">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颗粒物</w:t>
                  </w:r>
                </w:p>
              </w:tc>
              <w:tc>
                <w:tcPr>
                  <w:tcW w:w="357" w:type="pct"/>
                  <w:tcBorders>
                    <w:top w:val="single" w:color="000000" w:sz="4" w:space="0"/>
                    <w:left w:val="single" w:color="000000" w:sz="4" w:space="0"/>
                    <w:bottom w:val="single" w:color="000000" w:sz="4" w:space="0"/>
                    <w:right w:val="single" w:color="000000" w:sz="4" w:space="0"/>
                  </w:tcBorders>
                  <w:vAlign w:val="center"/>
                </w:tcPr>
                <w:p w14:paraId="58C8F1EC">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361" w:type="pct"/>
                  <w:tcBorders>
                    <w:top w:val="single" w:color="000000" w:sz="4" w:space="0"/>
                    <w:left w:val="single" w:color="000000" w:sz="4" w:space="0"/>
                    <w:bottom w:val="single" w:color="000000" w:sz="4" w:space="0"/>
                    <w:right w:val="single" w:color="000000" w:sz="4" w:space="0"/>
                  </w:tcBorders>
                  <w:vAlign w:val="center"/>
                </w:tcPr>
                <w:p w14:paraId="761F8DFD">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384" w:type="pct"/>
                  <w:tcBorders>
                    <w:top w:val="single" w:color="000000" w:sz="4" w:space="0"/>
                    <w:left w:val="single" w:color="000000" w:sz="4" w:space="0"/>
                    <w:bottom w:val="single" w:color="000000" w:sz="4" w:space="0"/>
                    <w:right w:val="single" w:color="000000" w:sz="4" w:space="0"/>
                  </w:tcBorders>
                  <w:vAlign w:val="center"/>
                </w:tcPr>
                <w:p w14:paraId="3B83A73E">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517" w:type="pct"/>
                  <w:vMerge w:val="continue"/>
                  <w:tcBorders>
                    <w:left w:val="single" w:color="000000" w:sz="4" w:space="0"/>
                    <w:bottom w:val="single" w:color="000000" w:sz="4" w:space="0"/>
                    <w:right w:val="single" w:color="000000" w:sz="4" w:space="0"/>
                  </w:tcBorders>
                  <w:vAlign w:val="center"/>
                </w:tcPr>
                <w:p w14:paraId="64B2204E">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p>
              </w:tc>
              <w:tc>
                <w:tcPr>
                  <w:tcW w:w="430" w:type="pct"/>
                  <w:tcBorders>
                    <w:top w:val="single" w:color="000000" w:sz="4" w:space="0"/>
                    <w:left w:val="single" w:color="000000" w:sz="4" w:space="0"/>
                    <w:bottom w:val="single" w:color="000000" w:sz="4" w:space="0"/>
                    <w:right w:val="single" w:color="000000" w:sz="4" w:space="0"/>
                  </w:tcBorders>
                  <w:vAlign w:val="center"/>
                </w:tcPr>
                <w:p w14:paraId="1B4D30E5">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259" w:type="pct"/>
                  <w:tcBorders>
                    <w:top w:val="single" w:color="auto" w:sz="4" w:space="0"/>
                    <w:left w:val="single" w:color="000000" w:sz="4" w:space="0"/>
                    <w:bottom w:val="single" w:color="auto" w:sz="4" w:space="0"/>
                    <w:right w:val="single" w:color="000000" w:sz="4" w:space="0"/>
                  </w:tcBorders>
                  <w:vAlign w:val="center"/>
                </w:tcPr>
                <w:p w14:paraId="2EC5797D">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267" w:type="pct"/>
                  <w:tcBorders>
                    <w:top w:val="single" w:color="auto" w:sz="4" w:space="0"/>
                    <w:left w:val="single" w:color="000000" w:sz="4" w:space="0"/>
                    <w:bottom w:val="single" w:color="auto" w:sz="4" w:space="0"/>
                    <w:right w:val="single" w:color="000000" w:sz="4" w:space="0"/>
                  </w:tcBorders>
                  <w:vAlign w:val="center"/>
                </w:tcPr>
                <w:p w14:paraId="0CE50733">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是</w:t>
                  </w:r>
                </w:p>
              </w:tc>
              <w:tc>
                <w:tcPr>
                  <w:tcW w:w="339" w:type="pct"/>
                  <w:tcBorders>
                    <w:top w:val="single" w:color="auto" w:sz="4" w:space="0"/>
                    <w:left w:val="single" w:color="000000" w:sz="4" w:space="0"/>
                    <w:bottom w:val="single" w:color="auto" w:sz="4" w:space="0"/>
                    <w:right w:val="single" w:color="000000" w:sz="4" w:space="0"/>
                  </w:tcBorders>
                  <w:vAlign w:val="center"/>
                </w:tcPr>
                <w:p w14:paraId="1F0CD9AF">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无组织</w:t>
                  </w:r>
                </w:p>
              </w:tc>
              <w:tc>
                <w:tcPr>
                  <w:tcW w:w="328" w:type="pct"/>
                  <w:tcBorders>
                    <w:top w:val="single" w:color="auto" w:sz="4" w:space="0"/>
                    <w:left w:val="single" w:color="000000" w:sz="4" w:space="0"/>
                    <w:bottom w:val="single" w:color="auto" w:sz="4" w:space="0"/>
                    <w:right w:val="single" w:color="000000" w:sz="4" w:space="0"/>
                  </w:tcBorders>
                  <w:vAlign w:val="center"/>
                </w:tcPr>
                <w:p w14:paraId="6403C196">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282" w:type="pct"/>
                  <w:tcBorders>
                    <w:top w:val="single" w:color="auto" w:sz="4" w:space="0"/>
                    <w:left w:val="single" w:color="000000" w:sz="4" w:space="0"/>
                    <w:bottom w:val="single" w:color="auto" w:sz="4" w:space="0"/>
                    <w:right w:val="single" w:color="000000" w:sz="4" w:space="0"/>
                  </w:tcBorders>
                  <w:vAlign w:val="center"/>
                </w:tcPr>
                <w:p w14:paraId="6E5FACAD">
                  <w:pPr>
                    <w:keepNext w:val="0"/>
                    <w:keepLines w:val="0"/>
                    <w:pageBreakBefore w:val="0"/>
                    <w:widowControl/>
                    <w:kinsoku/>
                    <w:wordWrap/>
                    <w:overflowPunct/>
                    <w:topLinePunct w:val="0"/>
                    <w:autoSpaceDN/>
                    <w:bidi w:val="0"/>
                    <w:spacing w:line="240" w:lineRule="exact"/>
                    <w:ind w:firstLine="0" w:firstLineChars="0"/>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w:t>
                  </w:r>
                </w:p>
              </w:tc>
              <w:tc>
                <w:tcPr>
                  <w:tcW w:w="374" w:type="pct"/>
                  <w:tcBorders>
                    <w:top w:val="single" w:color="auto" w:sz="4" w:space="0"/>
                    <w:left w:val="single" w:color="000000" w:sz="4" w:space="0"/>
                    <w:bottom w:val="single" w:color="auto" w:sz="4" w:space="0"/>
                    <w:right w:val="single" w:color="000000" w:sz="4" w:space="0"/>
                  </w:tcBorders>
                  <w:vAlign w:val="center"/>
                </w:tcPr>
                <w:p w14:paraId="3352F8B5">
                  <w:pPr>
                    <w:keepNext w:val="0"/>
                    <w:keepLines w:val="0"/>
                    <w:pageBreakBefore w:val="0"/>
                    <w:widowControl/>
                    <w:kinsoku/>
                    <w:wordWrap/>
                    <w:overflowPunct/>
                    <w:topLinePunct w:val="0"/>
                    <w:autoSpaceDN/>
                    <w:bidi w:val="0"/>
                    <w:spacing w:line="240" w:lineRule="exact"/>
                    <w:ind w:firstLine="0" w:firstLineChars="0"/>
                    <w:jc w:val="center"/>
                    <w:textAlignment w:val="auto"/>
                    <w:rPr>
                      <w:rFonts w:hint="default"/>
                      <w:color w:val="auto"/>
                      <w:kern w:val="0"/>
                      <w:sz w:val="21"/>
                      <w:szCs w:val="21"/>
                      <w:highlight w:val="none"/>
                      <w:lang w:val="en-US" w:eastAsia="zh-CN"/>
                    </w:rPr>
                  </w:pPr>
                  <w:r>
                    <w:rPr>
                      <w:rFonts w:hint="eastAsia"/>
                      <w:color w:val="auto"/>
                      <w:kern w:val="0"/>
                      <w:sz w:val="21"/>
                      <w:szCs w:val="21"/>
                      <w:highlight w:val="none"/>
                      <w:lang w:val="en-US" w:eastAsia="zh-CN"/>
                    </w:rPr>
                    <w:t>0.038</w:t>
                  </w:r>
                </w:p>
              </w:tc>
              <w:tc>
                <w:tcPr>
                  <w:tcW w:w="379" w:type="pct"/>
                  <w:tcBorders>
                    <w:top w:val="single" w:color="auto" w:sz="4" w:space="0"/>
                    <w:left w:val="single" w:color="000000" w:sz="4" w:space="0"/>
                    <w:bottom w:val="single" w:color="auto" w:sz="4" w:space="0"/>
                    <w:right w:val="single" w:color="000000" w:sz="4" w:space="0"/>
                  </w:tcBorders>
                  <w:vAlign w:val="center"/>
                </w:tcPr>
                <w:p w14:paraId="51D368A2">
                  <w:pPr>
                    <w:keepNext w:val="0"/>
                    <w:keepLines w:val="0"/>
                    <w:pageBreakBefore w:val="0"/>
                    <w:widowControl/>
                    <w:kinsoku/>
                    <w:wordWrap/>
                    <w:overflowPunct/>
                    <w:topLinePunct w:val="0"/>
                    <w:autoSpaceDN/>
                    <w:bidi w:val="0"/>
                    <w:spacing w:line="240" w:lineRule="exact"/>
                    <w:ind w:firstLine="0" w:firstLineChars="0"/>
                    <w:jc w:val="center"/>
                    <w:textAlignment w:val="auto"/>
                    <w:rPr>
                      <w:rFonts w:hint="default"/>
                      <w:color w:val="auto"/>
                      <w:lang w:val="en-US" w:eastAsia="zh-CN"/>
                    </w:rPr>
                  </w:pPr>
                  <w:r>
                    <w:rPr>
                      <w:rFonts w:hint="eastAsia"/>
                      <w:color w:val="auto"/>
                      <w:kern w:val="0"/>
                      <w:sz w:val="21"/>
                      <w:szCs w:val="21"/>
                      <w:highlight w:val="none"/>
                      <w:lang w:val="en-US" w:eastAsia="zh-CN"/>
                    </w:rPr>
                    <w:t>0.15</w:t>
                  </w:r>
                </w:p>
              </w:tc>
              <w:tc>
                <w:tcPr>
                  <w:tcW w:w="255" w:type="pct"/>
                  <w:tcBorders>
                    <w:top w:val="single" w:color="000000" w:sz="4" w:space="0"/>
                    <w:left w:val="single" w:color="000000" w:sz="4" w:space="0"/>
                    <w:bottom w:val="single" w:color="000000" w:sz="4" w:space="0"/>
                    <w:right w:val="single" w:color="000000" w:sz="4" w:space="0"/>
                  </w:tcBorders>
                  <w:vAlign w:val="center"/>
                </w:tcPr>
                <w:p w14:paraId="4005FB12">
                  <w:pPr>
                    <w:keepNext w:val="0"/>
                    <w:keepLines w:val="0"/>
                    <w:pageBreakBefore w:val="0"/>
                    <w:widowControl/>
                    <w:kinsoku/>
                    <w:wordWrap/>
                    <w:overflowPunct/>
                    <w:topLinePunct w:val="0"/>
                    <w:autoSpaceDN/>
                    <w:bidi w:val="0"/>
                    <w:spacing w:line="240" w:lineRule="exact"/>
                    <w:ind w:firstLine="0" w:firstLineChars="0"/>
                    <w:jc w:val="center"/>
                    <w:textAlignment w:val="auto"/>
                    <w:rPr>
                      <w:rFonts w:hint="default"/>
                      <w:color w:val="auto"/>
                      <w:kern w:val="0"/>
                      <w:sz w:val="21"/>
                      <w:szCs w:val="21"/>
                      <w:highlight w:val="none"/>
                      <w:lang w:val="en-US" w:eastAsia="zh-CN"/>
                    </w:rPr>
                  </w:pPr>
                  <w:r>
                    <w:rPr>
                      <w:rFonts w:hint="eastAsia"/>
                      <w:color w:val="auto"/>
                      <w:kern w:val="0"/>
                      <w:sz w:val="21"/>
                      <w:szCs w:val="21"/>
                      <w:highlight w:val="none"/>
                      <w:lang w:val="en-US" w:eastAsia="zh-CN"/>
                    </w:rPr>
                    <w:t>7200</w:t>
                  </w:r>
                </w:p>
              </w:tc>
            </w:tr>
          </w:tbl>
          <w:p w14:paraId="6FD8CADD">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color w:val="auto"/>
                <w:sz w:val="21"/>
                <w:szCs w:val="21"/>
                <w:highlight w:val="none"/>
              </w:rPr>
            </w:pPr>
            <w:r>
              <w:rPr>
                <w:rFonts w:hint="eastAsia"/>
                <w:color w:val="auto"/>
                <w:sz w:val="21"/>
                <w:szCs w:val="21"/>
                <w:highlight w:val="none"/>
                <w:lang w:val="en-US" w:eastAsia="zh-CN"/>
              </w:rPr>
              <w:t>1.2</w:t>
            </w:r>
            <w:r>
              <w:rPr>
                <w:rFonts w:hint="eastAsia"/>
                <w:color w:val="auto"/>
                <w:sz w:val="21"/>
                <w:szCs w:val="21"/>
                <w:highlight w:val="none"/>
              </w:rPr>
              <w:t>达标分析</w:t>
            </w:r>
          </w:p>
          <w:p w14:paraId="7958C234">
            <w:pPr>
              <w:pStyle w:val="1707"/>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bCs/>
                <w:color w:val="auto"/>
                <w:sz w:val="21"/>
                <w:szCs w:val="21"/>
                <w:highlight w:val="none"/>
                <w:lang w:val="en-GB"/>
              </w:rPr>
            </w:pPr>
            <w:r>
              <w:rPr>
                <w:rFonts w:hint="eastAsia"/>
                <w:b/>
                <w:bCs/>
                <w:color w:val="auto"/>
                <w:sz w:val="21"/>
                <w:szCs w:val="21"/>
                <w:highlight w:val="none"/>
                <w:lang w:val="en-GB"/>
              </w:rPr>
              <w:t>表</w:t>
            </w:r>
            <w:r>
              <w:rPr>
                <w:rFonts w:hint="eastAsia"/>
                <w:b/>
                <w:bCs w:val="0"/>
                <w:color w:val="auto"/>
                <w:kern w:val="2"/>
                <w:sz w:val="21"/>
                <w:szCs w:val="21"/>
                <w:highlight w:val="none"/>
                <w:lang w:val="en-US" w:eastAsia="zh-CN"/>
              </w:rPr>
              <w:t>4-6</w:t>
            </w:r>
            <w:r>
              <w:rPr>
                <w:rFonts w:hint="eastAsia"/>
                <w:b/>
                <w:bCs/>
                <w:color w:val="auto"/>
                <w:sz w:val="21"/>
                <w:szCs w:val="21"/>
                <w:highlight w:val="none"/>
              </w:rPr>
              <w:t xml:space="preserve">  </w:t>
            </w:r>
            <w:r>
              <w:rPr>
                <w:rFonts w:hint="eastAsia"/>
                <w:b/>
                <w:bCs/>
                <w:color w:val="auto"/>
                <w:sz w:val="21"/>
                <w:szCs w:val="21"/>
                <w:highlight w:val="none"/>
                <w:lang w:val="en-GB"/>
              </w:rPr>
              <w:t xml:space="preserve">  大气污染物无组织排放量核算表</w:t>
            </w:r>
          </w:p>
          <w:tbl>
            <w:tblPr>
              <w:tblStyle w:val="84"/>
              <w:tblW w:w="4995" w:type="pct"/>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76"/>
              <w:gridCol w:w="1144"/>
              <w:gridCol w:w="724"/>
              <w:gridCol w:w="35"/>
              <w:gridCol w:w="1366"/>
              <w:gridCol w:w="1902"/>
              <w:gridCol w:w="1444"/>
              <w:gridCol w:w="1060"/>
            </w:tblGrid>
            <w:tr w14:paraId="7FF2D7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349" w:type="pct"/>
                  <w:vMerge w:val="restart"/>
                  <w:tcMar>
                    <w:top w:w="15" w:type="dxa"/>
                    <w:left w:w="15" w:type="dxa"/>
                    <w:right w:w="15" w:type="dxa"/>
                  </w:tcMar>
                  <w:vAlign w:val="center"/>
                </w:tcPr>
                <w:p w14:paraId="3554BC7D">
                  <w:pPr>
                    <w:spacing w:line="280" w:lineRule="exact"/>
                    <w:ind w:firstLine="0" w:firstLineChars="0"/>
                    <w:jc w:val="center"/>
                    <w:rPr>
                      <w:bCs/>
                      <w:color w:val="auto"/>
                      <w:sz w:val="21"/>
                      <w:szCs w:val="21"/>
                      <w:highlight w:val="none"/>
                    </w:rPr>
                  </w:pPr>
                  <w:r>
                    <w:rPr>
                      <w:bCs/>
                      <w:color w:val="auto"/>
                      <w:sz w:val="21"/>
                      <w:szCs w:val="21"/>
                      <w:highlight w:val="none"/>
                    </w:rPr>
                    <w:t>序号</w:t>
                  </w:r>
                </w:p>
              </w:tc>
              <w:tc>
                <w:tcPr>
                  <w:tcW w:w="693" w:type="pct"/>
                  <w:vMerge w:val="restart"/>
                  <w:tcMar>
                    <w:top w:w="15" w:type="dxa"/>
                    <w:left w:w="15" w:type="dxa"/>
                    <w:right w:w="15" w:type="dxa"/>
                  </w:tcMar>
                  <w:vAlign w:val="center"/>
                </w:tcPr>
                <w:p w14:paraId="3578CAE8">
                  <w:pPr>
                    <w:spacing w:line="280" w:lineRule="exact"/>
                    <w:ind w:firstLine="0" w:firstLineChars="0"/>
                    <w:jc w:val="center"/>
                    <w:rPr>
                      <w:bCs/>
                      <w:color w:val="auto"/>
                      <w:sz w:val="21"/>
                      <w:szCs w:val="21"/>
                      <w:highlight w:val="none"/>
                    </w:rPr>
                  </w:pPr>
                  <w:r>
                    <w:rPr>
                      <w:bCs/>
                      <w:color w:val="auto"/>
                      <w:sz w:val="21"/>
                      <w:szCs w:val="21"/>
                      <w:highlight w:val="none"/>
                    </w:rPr>
                    <w:t>产污环节</w:t>
                  </w:r>
                </w:p>
              </w:tc>
              <w:tc>
                <w:tcPr>
                  <w:tcW w:w="459" w:type="pct"/>
                  <w:gridSpan w:val="2"/>
                  <w:vMerge w:val="restart"/>
                  <w:tcMar>
                    <w:top w:w="15" w:type="dxa"/>
                    <w:left w:w="15" w:type="dxa"/>
                    <w:right w:w="15" w:type="dxa"/>
                  </w:tcMar>
                  <w:vAlign w:val="center"/>
                </w:tcPr>
                <w:p w14:paraId="0BF65B68">
                  <w:pPr>
                    <w:spacing w:line="280" w:lineRule="exact"/>
                    <w:ind w:firstLine="0" w:firstLineChars="0"/>
                    <w:jc w:val="center"/>
                    <w:rPr>
                      <w:bCs/>
                      <w:color w:val="auto"/>
                      <w:sz w:val="21"/>
                      <w:szCs w:val="21"/>
                      <w:highlight w:val="none"/>
                    </w:rPr>
                  </w:pPr>
                  <w:r>
                    <w:rPr>
                      <w:bCs/>
                      <w:color w:val="auto"/>
                      <w:sz w:val="21"/>
                      <w:szCs w:val="21"/>
                      <w:highlight w:val="none"/>
                    </w:rPr>
                    <w:t>污染物</w:t>
                  </w:r>
                </w:p>
              </w:tc>
              <w:tc>
                <w:tcPr>
                  <w:tcW w:w="827" w:type="pct"/>
                  <w:vMerge w:val="restart"/>
                  <w:tcMar>
                    <w:top w:w="15" w:type="dxa"/>
                    <w:left w:w="15" w:type="dxa"/>
                    <w:right w:w="15" w:type="dxa"/>
                  </w:tcMar>
                  <w:vAlign w:val="center"/>
                </w:tcPr>
                <w:p w14:paraId="1FC0A6E7">
                  <w:pPr>
                    <w:spacing w:line="280" w:lineRule="exact"/>
                    <w:ind w:firstLine="0" w:firstLineChars="0"/>
                    <w:jc w:val="center"/>
                    <w:rPr>
                      <w:bCs/>
                      <w:color w:val="auto"/>
                      <w:sz w:val="21"/>
                      <w:szCs w:val="21"/>
                      <w:highlight w:val="none"/>
                    </w:rPr>
                  </w:pPr>
                  <w:r>
                    <w:rPr>
                      <w:bCs/>
                      <w:color w:val="auto"/>
                      <w:sz w:val="21"/>
                      <w:szCs w:val="21"/>
                      <w:highlight w:val="none"/>
                    </w:rPr>
                    <w:t>主要防治措施</w:t>
                  </w:r>
                </w:p>
              </w:tc>
              <w:tc>
                <w:tcPr>
                  <w:tcW w:w="2027" w:type="pct"/>
                  <w:gridSpan w:val="2"/>
                  <w:tcMar>
                    <w:top w:w="15" w:type="dxa"/>
                    <w:left w:w="15" w:type="dxa"/>
                    <w:right w:w="15" w:type="dxa"/>
                  </w:tcMar>
                  <w:vAlign w:val="center"/>
                </w:tcPr>
                <w:p w14:paraId="67DC33A9">
                  <w:pPr>
                    <w:spacing w:line="280" w:lineRule="exact"/>
                    <w:ind w:firstLine="0" w:firstLineChars="0"/>
                    <w:jc w:val="center"/>
                    <w:rPr>
                      <w:bCs/>
                      <w:color w:val="auto"/>
                      <w:sz w:val="21"/>
                      <w:szCs w:val="21"/>
                      <w:highlight w:val="none"/>
                    </w:rPr>
                  </w:pPr>
                  <w:r>
                    <w:rPr>
                      <w:bCs/>
                      <w:color w:val="auto"/>
                      <w:sz w:val="21"/>
                      <w:szCs w:val="21"/>
                      <w:highlight w:val="none"/>
                    </w:rPr>
                    <w:t>国家或地方污染物排放标准</w:t>
                  </w:r>
                </w:p>
              </w:tc>
              <w:tc>
                <w:tcPr>
                  <w:tcW w:w="642" w:type="pct"/>
                  <w:vMerge w:val="restart"/>
                  <w:tcMar>
                    <w:top w:w="15" w:type="dxa"/>
                    <w:left w:w="15" w:type="dxa"/>
                    <w:right w:w="15" w:type="dxa"/>
                  </w:tcMar>
                  <w:vAlign w:val="center"/>
                </w:tcPr>
                <w:p w14:paraId="7E9D411C">
                  <w:pPr>
                    <w:spacing w:line="280" w:lineRule="exact"/>
                    <w:ind w:firstLine="0" w:firstLineChars="0"/>
                    <w:jc w:val="center"/>
                    <w:rPr>
                      <w:bCs/>
                      <w:color w:val="auto"/>
                      <w:sz w:val="21"/>
                      <w:szCs w:val="21"/>
                      <w:highlight w:val="none"/>
                    </w:rPr>
                  </w:pPr>
                  <w:r>
                    <w:rPr>
                      <w:bCs/>
                      <w:color w:val="auto"/>
                      <w:sz w:val="21"/>
                      <w:szCs w:val="21"/>
                      <w:highlight w:val="none"/>
                    </w:rPr>
                    <w:t>年排放量</w:t>
                  </w:r>
                  <w:r>
                    <w:rPr>
                      <w:rFonts w:hint="eastAsia"/>
                      <w:bCs/>
                      <w:color w:val="auto"/>
                      <w:sz w:val="21"/>
                      <w:szCs w:val="21"/>
                      <w:highlight w:val="none"/>
                      <w:lang w:eastAsia="zh-CN"/>
                    </w:rPr>
                    <w:t>(</w:t>
                  </w:r>
                  <w:r>
                    <w:rPr>
                      <w:bCs/>
                      <w:color w:val="auto"/>
                      <w:sz w:val="21"/>
                      <w:szCs w:val="21"/>
                      <w:highlight w:val="none"/>
                    </w:rPr>
                    <w:t>t/a)</w:t>
                  </w:r>
                </w:p>
              </w:tc>
            </w:tr>
            <w:tr w14:paraId="10D7C4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349" w:type="pct"/>
                  <w:vMerge w:val="continue"/>
                  <w:tcMar>
                    <w:top w:w="15" w:type="dxa"/>
                    <w:left w:w="15" w:type="dxa"/>
                    <w:right w:w="15" w:type="dxa"/>
                  </w:tcMar>
                  <w:vAlign w:val="center"/>
                </w:tcPr>
                <w:p w14:paraId="4AFB1011">
                  <w:pPr>
                    <w:spacing w:line="280" w:lineRule="exact"/>
                    <w:ind w:firstLine="0" w:firstLineChars="0"/>
                    <w:jc w:val="center"/>
                    <w:rPr>
                      <w:bCs/>
                      <w:color w:val="auto"/>
                      <w:sz w:val="21"/>
                      <w:szCs w:val="21"/>
                      <w:highlight w:val="none"/>
                    </w:rPr>
                  </w:pPr>
                </w:p>
              </w:tc>
              <w:tc>
                <w:tcPr>
                  <w:tcW w:w="693" w:type="pct"/>
                  <w:vMerge w:val="continue"/>
                  <w:tcMar>
                    <w:top w:w="15" w:type="dxa"/>
                    <w:left w:w="15" w:type="dxa"/>
                    <w:right w:w="15" w:type="dxa"/>
                  </w:tcMar>
                  <w:vAlign w:val="center"/>
                </w:tcPr>
                <w:p w14:paraId="2763562E">
                  <w:pPr>
                    <w:spacing w:line="280" w:lineRule="exact"/>
                    <w:ind w:firstLine="0" w:firstLineChars="0"/>
                    <w:jc w:val="center"/>
                    <w:rPr>
                      <w:bCs/>
                      <w:color w:val="auto"/>
                      <w:sz w:val="21"/>
                      <w:szCs w:val="21"/>
                      <w:highlight w:val="none"/>
                    </w:rPr>
                  </w:pPr>
                </w:p>
              </w:tc>
              <w:tc>
                <w:tcPr>
                  <w:tcW w:w="459" w:type="pct"/>
                  <w:gridSpan w:val="2"/>
                  <w:vMerge w:val="continue"/>
                  <w:tcMar>
                    <w:top w:w="15" w:type="dxa"/>
                    <w:left w:w="15" w:type="dxa"/>
                    <w:right w:w="15" w:type="dxa"/>
                  </w:tcMar>
                  <w:vAlign w:val="center"/>
                </w:tcPr>
                <w:p w14:paraId="3F4C64F3">
                  <w:pPr>
                    <w:spacing w:line="280" w:lineRule="exact"/>
                    <w:ind w:firstLine="0" w:firstLineChars="0"/>
                    <w:jc w:val="center"/>
                    <w:rPr>
                      <w:bCs/>
                      <w:color w:val="auto"/>
                      <w:sz w:val="21"/>
                      <w:szCs w:val="21"/>
                      <w:highlight w:val="none"/>
                    </w:rPr>
                  </w:pPr>
                </w:p>
              </w:tc>
              <w:tc>
                <w:tcPr>
                  <w:tcW w:w="827" w:type="pct"/>
                  <w:vMerge w:val="continue"/>
                  <w:tcMar>
                    <w:top w:w="15" w:type="dxa"/>
                    <w:left w:w="15" w:type="dxa"/>
                    <w:right w:w="15" w:type="dxa"/>
                  </w:tcMar>
                  <w:vAlign w:val="center"/>
                </w:tcPr>
                <w:p w14:paraId="6A3C708A">
                  <w:pPr>
                    <w:spacing w:line="280" w:lineRule="exact"/>
                    <w:ind w:firstLine="0" w:firstLineChars="0"/>
                    <w:jc w:val="center"/>
                    <w:rPr>
                      <w:bCs/>
                      <w:color w:val="auto"/>
                      <w:sz w:val="21"/>
                      <w:szCs w:val="21"/>
                      <w:highlight w:val="none"/>
                    </w:rPr>
                  </w:pPr>
                </w:p>
              </w:tc>
              <w:tc>
                <w:tcPr>
                  <w:tcW w:w="1152" w:type="pct"/>
                  <w:tcMar>
                    <w:top w:w="15" w:type="dxa"/>
                    <w:left w:w="15" w:type="dxa"/>
                    <w:right w:w="15" w:type="dxa"/>
                  </w:tcMar>
                  <w:vAlign w:val="center"/>
                </w:tcPr>
                <w:p w14:paraId="666A087E">
                  <w:pPr>
                    <w:spacing w:line="280" w:lineRule="exact"/>
                    <w:ind w:firstLine="0" w:firstLineChars="0"/>
                    <w:jc w:val="center"/>
                    <w:rPr>
                      <w:bCs/>
                      <w:color w:val="auto"/>
                      <w:sz w:val="21"/>
                      <w:szCs w:val="21"/>
                      <w:highlight w:val="none"/>
                    </w:rPr>
                  </w:pPr>
                  <w:r>
                    <w:rPr>
                      <w:bCs/>
                      <w:color w:val="auto"/>
                      <w:sz w:val="21"/>
                      <w:szCs w:val="21"/>
                      <w:highlight w:val="none"/>
                    </w:rPr>
                    <w:t>标准</w:t>
                  </w:r>
                  <w:r>
                    <w:rPr>
                      <w:rFonts w:hint="eastAsia"/>
                      <w:bCs/>
                      <w:color w:val="auto"/>
                      <w:sz w:val="21"/>
                      <w:szCs w:val="21"/>
                      <w:highlight w:val="none"/>
                      <w:lang w:val="en-US" w:eastAsia="zh-CN"/>
                    </w:rPr>
                    <w:t>/文件</w:t>
                  </w:r>
                  <w:r>
                    <w:rPr>
                      <w:bCs/>
                      <w:color w:val="auto"/>
                      <w:sz w:val="21"/>
                      <w:szCs w:val="21"/>
                      <w:highlight w:val="none"/>
                    </w:rPr>
                    <w:t>名称</w:t>
                  </w:r>
                </w:p>
              </w:tc>
              <w:tc>
                <w:tcPr>
                  <w:tcW w:w="875" w:type="pct"/>
                  <w:tcMar>
                    <w:top w:w="15" w:type="dxa"/>
                    <w:left w:w="15" w:type="dxa"/>
                    <w:right w:w="15" w:type="dxa"/>
                  </w:tcMar>
                  <w:vAlign w:val="center"/>
                </w:tcPr>
                <w:p w14:paraId="46AC85F1">
                  <w:pPr>
                    <w:spacing w:line="280" w:lineRule="exact"/>
                    <w:ind w:firstLine="0" w:firstLineChars="0"/>
                    <w:jc w:val="center"/>
                    <w:rPr>
                      <w:bCs/>
                      <w:color w:val="auto"/>
                      <w:sz w:val="21"/>
                      <w:szCs w:val="21"/>
                      <w:highlight w:val="none"/>
                    </w:rPr>
                  </w:pPr>
                  <w:r>
                    <w:rPr>
                      <w:bCs/>
                      <w:color w:val="auto"/>
                      <w:sz w:val="21"/>
                      <w:szCs w:val="21"/>
                      <w:highlight w:val="none"/>
                    </w:rPr>
                    <w:t>浓度限值</w:t>
                  </w:r>
                  <w:r>
                    <w:rPr>
                      <w:rFonts w:hint="eastAsia"/>
                      <w:bCs/>
                      <w:color w:val="auto"/>
                      <w:sz w:val="21"/>
                      <w:szCs w:val="21"/>
                      <w:highlight w:val="none"/>
                      <w:lang w:eastAsia="zh-CN"/>
                    </w:rPr>
                    <w:t>(</w:t>
                  </w:r>
                  <w:r>
                    <w:rPr>
                      <w:bCs/>
                      <w:color w:val="auto"/>
                      <w:sz w:val="21"/>
                      <w:szCs w:val="21"/>
                      <w:highlight w:val="none"/>
                    </w:rPr>
                    <w:t>mg/m³)</w:t>
                  </w:r>
                </w:p>
              </w:tc>
              <w:tc>
                <w:tcPr>
                  <w:tcW w:w="642" w:type="pct"/>
                  <w:vMerge w:val="continue"/>
                  <w:tcMar>
                    <w:top w:w="15" w:type="dxa"/>
                    <w:left w:w="15" w:type="dxa"/>
                    <w:right w:w="15" w:type="dxa"/>
                  </w:tcMar>
                  <w:vAlign w:val="center"/>
                </w:tcPr>
                <w:p w14:paraId="0923921E">
                  <w:pPr>
                    <w:spacing w:line="280" w:lineRule="exact"/>
                    <w:ind w:firstLine="0" w:firstLineChars="0"/>
                    <w:jc w:val="center"/>
                    <w:rPr>
                      <w:bCs/>
                      <w:color w:val="auto"/>
                      <w:sz w:val="21"/>
                      <w:szCs w:val="21"/>
                      <w:highlight w:val="none"/>
                    </w:rPr>
                  </w:pPr>
                </w:p>
              </w:tc>
            </w:tr>
            <w:tr w14:paraId="1F32DF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349" w:type="pct"/>
                  <w:tcMar>
                    <w:top w:w="15" w:type="dxa"/>
                    <w:left w:w="15" w:type="dxa"/>
                    <w:right w:w="15" w:type="dxa"/>
                  </w:tcMar>
                  <w:vAlign w:val="center"/>
                </w:tcPr>
                <w:p w14:paraId="556824EA">
                  <w:pPr>
                    <w:spacing w:line="280" w:lineRule="exact"/>
                    <w:ind w:firstLine="0" w:firstLineChars="0"/>
                    <w:jc w:val="center"/>
                    <w:rPr>
                      <w:bCs/>
                      <w:color w:val="auto"/>
                      <w:sz w:val="21"/>
                      <w:szCs w:val="21"/>
                      <w:highlight w:val="none"/>
                    </w:rPr>
                  </w:pPr>
                  <w:r>
                    <w:rPr>
                      <w:bCs/>
                      <w:color w:val="auto"/>
                      <w:sz w:val="21"/>
                      <w:szCs w:val="21"/>
                      <w:highlight w:val="none"/>
                    </w:rPr>
                    <w:t>1</w:t>
                  </w:r>
                </w:p>
              </w:tc>
              <w:tc>
                <w:tcPr>
                  <w:tcW w:w="693" w:type="pct"/>
                  <w:tcMar>
                    <w:top w:w="15" w:type="dxa"/>
                    <w:left w:w="15" w:type="dxa"/>
                    <w:right w:w="15" w:type="dxa"/>
                  </w:tcMar>
                  <w:vAlign w:val="center"/>
                </w:tcPr>
                <w:p w14:paraId="23AFD656">
                  <w:pPr>
                    <w:spacing w:line="280" w:lineRule="exact"/>
                    <w:ind w:firstLine="0" w:firstLineChars="0"/>
                    <w:jc w:val="center"/>
                    <w:rPr>
                      <w:bCs/>
                      <w:color w:val="auto"/>
                      <w:sz w:val="21"/>
                      <w:szCs w:val="21"/>
                      <w:highlight w:val="none"/>
                    </w:rPr>
                  </w:pPr>
                  <w:r>
                    <w:rPr>
                      <w:rFonts w:hint="eastAsia"/>
                      <w:bCs/>
                      <w:color w:val="auto"/>
                      <w:sz w:val="21"/>
                      <w:szCs w:val="21"/>
                      <w:highlight w:val="none"/>
                    </w:rPr>
                    <w:t>装卸及堆存</w:t>
                  </w:r>
                </w:p>
              </w:tc>
              <w:tc>
                <w:tcPr>
                  <w:tcW w:w="459" w:type="pct"/>
                  <w:gridSpan w:val="2"/>
                  <w:tcMar>
                    <w:top w:w="15" w:type="dxa"/>
                    <w:left w:w="15" w:type="dxa"/>
                    <w:right w:w="15" w:type="dxa"/>
                  </w:tcMar>
                  <w:vAlign w:val="center"/>
                </w:tcPr>
                <w:p w14:paraId="6F4A575A">
                  <w:pPr>
                    <w:spacing w:line="280" w:lineRule="exact"/>
                    <w:ind w:firstLine="0" w:firstLineChars="0"/>
                    <w:jc w:val="center"/>
                    <w:rPr>
                      <w:bCs/>
                      <w:color w:val="auto"/>
                      <w:sz w:val="21"/>
                      <w:szCs w:val="21"/>
                      <w:highlight w:val="none"/>
                    </w:rPr>
                  </w:pPr>
                  <w:r>
                    <w:rPr>
                      <w:bCs/>
                      <w:color w:val="auto"/>
                      <w:sz w:val="21"/>
                      <w:szCs w:val="21"/>
                      <w:highlight w:val="none"/>
                    </w:rPr>
                    <w:t>颗粒物</w:t>
                  </w:r>
                </w:p>
              </w:tc>
              <w:tc>
                <w:tcPr>
                  <w:tcW w:w="827" w:type="pct"/>
                  <w:vMerge w:val="restart"/>
                  <w:tcMar>
                    <w:top w:w="15" w:type="dxa"/>
                    <w:left w:w="15" w:type="dxa"/>
                    <w:right w:w="15" w:type="dxa"/>
                  </w:tcMar>
                  <w:vAlign w:val="center"/>
                </w:tcPr>
                <w:p w14:paraId="01C881D8">
                  <w:pPr>
                    <w:spacing w:line="280" w:lineRule="exact"/>
                    <w:ind w:firstLine="0" w:firstLineChars="0"/>
                    <w:jc w:val="center"/>
                    <w:rPr>
                      <w:rFonts w:hint="eastAsia"/>
                      <w:bCs/>
                      <w:color w:val="auto"/>
                      <w:sz w:val="21"/>
                      <w:szCs w:val="21"/>
                      <w:highlight w:val="none"/>
                    </w:rPr>
                  </w:pPr>
                  <w:r>
                    <w:rPr>
                      <w:rFonts w:hint="eastAsia"/>
                      <w:color w:val="auto"/>
                      <w:kern w:val="0"/>
                      <w:sz w:val="21"/>
                      <w:szCs w:val="21"/>
                      <w:highlight w:val="none"/>
                      <w:lang w:val="en-US" w:eastAsia="zh-CN"/>
                    </w:rPr>
                    <w:t>封闭车间</w:t>
                  </w:r>
                  <w:r>
                    <w:rPr>
                      <w:rFonts w:hint="eastAsia"/>
                      <w:color w:val="auto"/>
                      <w:kern w:val="2"/>
                      <w:sz w:val="21"/>
                      <w:szCs w:val="21"/>
                      <w:highlight w:val="none"/>
                      <w:lang w:val="en-US" w:eastAsia="zh-CN"/>
                    </w:rPr>
                    <w:t>+</w:t>
                  </w:r>
                  <w:r>
                    <w:rPr>
                      <w:rFonts w:hint="eastAsia"/>
                      <w:color w:val="auto"/>
                      <w:kern w:val="2"/>
                      <w:sz w:val="21"/>
                      <w:szCs w:val="21"/>
                      <w:highlight w:val="red"/>
                      <w:lang w:val="en-US" w:eastAsia="zh-CN"/>
                    </w:rPr>
                    <w:t>自动感应门</w:t>
                  </w:r>
                  <w:r>
                    <w:rPr>
                      <w:rFonts w:hint="eastAsia"/>
                      <w:color w:val="auto"/>
                      <w:kern w:val="0"/>
                      <w:sz w:val="21"/>
                      <w:szCs w:val="21"/>
                      <w:highlight w:val="none"/>
                      <w:lang w:val="en-US" w:eastAsia="zh-CN"/>
                    </w:rPr>
                    <w:t>+喷雾抑尘</w:t>
                  </w:r>
                </w:p>
              </w:tc>
              <w:tc>
                <w:tcPr>
                  <w:tcW w:w="1152" w:type="pct"/>
                  <w:vMerge w:val="restart"/>
                  <w:tcMar>
                    <w:top w:w="15" w:type="dxa"/>
                    <w:left w:w="15" w:type="dxa"/>
                    <w:right w:w="15" w:type="dxa"/>
                  </w:tcMar>
                  <w:vAlign w:val="center"/>
                </w:tcPr>
                <w:p w14:paraId="21DA2394">
                  <w:pPr>
                    <w:snapToGrid w:val="0"/>
                    <w:spacing w:line="240" w:lineRule="auto"/>
                    <w:ind w:firstLine="0" w:firstLineChars="0"/>
                    <w:jc w:val="both"/>
                    <w:rPr>
                      <w:color w:val="auto"/>
                      <w:spacing w:val="-10"/>
                      <w:sz w:val="21"/>
                      <w:szCs w:val="21"/>
                      <w:highlight w:val="none"/>
                    </w:rPr>
                  </w:pPr>
                  <w:r>
                    <w:rPr>
                      <w:rFonts w:hint="eastAsia"/>
                      <w:color w:val="auto"/>
                      <w:spacing w:val="-10"/>
                      <w:sz w:val="21"/>
                      <w:szCs w:val="21"/>
                      <w:highlight w:val="none"/>
                    </w:rPr>
                    <w:t>参照执行《钢铁工业大气污染物超低排放标准》</w:t>
                  </w:r>
                  <w:r>
                    <w:rPr>
                      <w:rFonts w:hint="eastAsia"/>
                      <w:color w:val="auto"/>
                      <w:spacing w:val="-10"/>
                      <w:sz w:val="21"/>
                      <w:szCs w:val="21"/>
                      <w:highlight w:val="none"/>
                      <w:lang w:eastAsia="zh-CN"/>
                    </w:rPr>
                    <w:t>(</w:t>
                  </w:r>
                  <w:r>
                    <w:rPr>
                      <w:color w:val="auto"/>
                      <w:spacing w:val="-10"/>
                      <w:sz w:val="21"/>
                      <w:szCs w:val="21"/>
                      <w:highlight w:val="none"/>
                    </w:rPr>
                    <w:t>DB13/2169-2018)表5无组织排放浓度限值</w:t>
                  </w:r>
                  <w:r>
                    <w:rPr>
                      <w:rFonts w:hint="eastAsia"/>
                      <w:color w:val="auto"/>
                      <w:spacing w:val="-10"/>
                      <w:sz w:val="21"/>
                      <w:szCs w:val="21"/>
                      <w:highlight w:val="none"/>
                      <w:lang w:eastAsia="zh-CN"/>
                    </w:rPr>
                    <w:t>，</w:t>
                  </w:r>
                  <w:r>
                    <w:rPr>
                      <w:rFonts w:hint="eastAsia"/>
                      <w:color w:val="auto"/>
                      <w:spacing w:val="-10"/>
                      <w:sz w:val="21"/>
                      <w:szCs w:val="21"/>
                      <w:highlight w:val="none"/>
                      <w:lang w:val="en-US" w:eastAsia="zh-CN"/>
                    </w:rPr>
                    <w:t>同时满足</w:t>
                  </w:r>
                  <w:r>
                    <w:rPr>
                      <w:rFonts w:hint="eastAsia" w:ascii="Times New Roman" w:hAnsi="Times New Roman"/>
                      <w:color w:val="auto"/>
                      <w:sz w:val="21"/>
                      <w:szCs w:val="21"/>
                      <w:highlight w:val="none"/>
                      <w:lang w:eastAsia="zh-CN"/>
                    </w:rPr>
                    <w:t>《唐山市人民政府关于执行重点行业大气污染物排放特别要求的通知》(唐政字[2021]82号)</w:t>
                  </w:r>
                </w:p>
              </w:tc>
              <w:tc>
                <w:tcPr>
                  <w:tcW w:w="875" w:type="pct"/>
                  <w:tcMar>
                    <w:top w:w="15" w:type="dxa"/>
                    <w:left w:w="15" w:type="dxa"/>
                    <w:right w:w="15" w:type="dxa"/>
                  </w:tcMar>
                  <w:vAlign w:val="center"/>
                </w:tcPr>
                <w:p w14:paraId="5CAAE9A4">
                  <w:pPr>
                    <w:spacing w:line="280" w:lineRule="exact"/>
                    <w:ind w:firstLine="0" w:firstLineChars="0"/>
                    <w:jc w:val="center"/>
                    <w:rPr>
                      <w:rFonts w:hint="default" w:eastAsia="宋体"/>
                      <w:bCs/>
                      <w:color w:val="auto"/>
                      <w:sz w:val="21"/>
                      <w:szCs w:val="21"/>
                      <w:highlight w:val="none"/>
                      <w:lang w:val="en-US" w:eastAsia="zh-CN"/>
                    </w:rPr>
                  </w:pPr>
                  <w:r>
                    <w:rPr>
                      <w:rFonts w:hint="eastAsia"/>
                      <w:bCs/>
                      <w:color w:val="auto"/>
                      <w:sz w:val="21"/>
                      <w:szCs w:val="21"/>
                      <w:highlight w:val="none"/>
                      <w:lang w:val="en-US" w:eastAsia="zh-CN"/>
                    </w:rPr>
                    <w:t>0.15</w:t>
                  </w:r>
                </w:p>
              </w:tc>
              <w:tc>
                <w:tcPr>
                  <w:tcW w:w="642" w:type="pct"/>
                  <w:tcMar>
                    <w:top w:w="15" w:type="dxa"/>
                    <w:left w:w="15" w:type="dxa"/>
                    <w:right w:w="15" w:type="dxa"/>
                  </w:tcMar>
                  <w:vAlign w:val="center"/>
                </w:tcPr>
                <w:p w14:paraId="464FFC8F">
                  <w:pPr>
                    <w:spacing w:line="280" w:lineRule="exact"/>
                    <w:ind w:firstLine="0" w:firstLineChars="0"/>
                    <w:jc w:val="center"/>
                    <w:rPr>
                      <w:rFonts w:hint="default" w:eastAsia="宋体"/>
                      <w:bCs/>
                      <w:color w:val="auto"/>
                      <w:sz w:val="21"/>
                      <w:szCs w:val="21"/>
                      <w:highlight w:val="none"/>
                      <w:lang w:val="en-US" w:eastAsia="zh-CN"/>
                    </w:rPr>
                  </w:pPr>
                  <w:r>
                    <w:rPr>
                      <w:rFonts w:hint="eastAsia"/>
                      <w:bCs/>
                      <w:color w:val="auto"/>
                      <w:sz w:val="21"/>
                      <w:szCs w:val="21"/>
                      <w:highlight w:val="none"/>
                      <w:lang w:val="en-US" w:eastAsia="zh-CN"/>
                    </w:rPr>
                    <w:t>0.059</w:t>
                  </w:r>
                </w:p>
              </w:tc>
            </w:tr>
            <w:tr w14:paraId="480308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349" w:type="pct"/>
                  <w:tcMar>
                    <w:top w:w="15" w:type="dxa"/>
                    <w:left w:w="15" w:type="dxa"/>
                    <w:right w:w="15" w:type="dxa"/>
                  </w:tcMar>
                  <w:vAlign w:val="center"/>
                </w:tcPr>
                <w:p w14:paraId="1C5F603D">
                  <w:pPr>
                    <w:spacing w:line="280" w:lineRule="exact"/>
                    <w:ind w:firstLine="0" w:firstLineChars="0"/>
                    <w:jc w:val="center"/>
                    <w:rPr>
                      <w:rFonts w:hint="eastAsia" w:eastAsia="宋体"/>
                      <w:bCs/>
                      <w:color w:val="auto"/>
                      <w:sz w:val="21"/>
                      <w:szCs w:val="21"/>
                      <w:highlight w:val="none"/>
                      <w:lang w:val="en-US" w:eastAsia="zh-CN"/>
                    </w:rPr>
                  </w:pPr>
                  <w:r>
                    <w:rPr>
                      <w:rFonts w:hint="eastAsia"/>
                      <w:bCs/>
                      <w:color w:val="auto"/>
                      <w:sz w:val="21"/>
                      <w:szCs w:val="21"/>
                      <w:highlight w:val="none"/>
                      <w:lang w:val="en-US" w:eastAsia="zh-CN"/>
                    </w:rPr>
                    <w:t>2</w:t>
                  </w:r>
                </w:p>
              </w:tc>
              <w:tc>
                <w:tcPr>
                  <w:tcW w:w="693" w:type="pct"/>
                  <w:tcMar>
                    <w:top w:w="15" w:type="dxa"/>
                    <w:left w:w="15" w:type="dxa"/>
                    <w:right w:w="15" w:type="dxa"/>
                  </w:tcMar>
                  <w:vAlign w:val="center"/>
                </w:tcPr>
                <w:p w14:paraId="2327974E">
                  <w:pPr>
                    <w:spacing w:line="280" w:lineRule="exact"/>
                    <w:ind w:firstLine="0" w:firstLineChars="0"/>
                    <w:jc w:val="center"/>
                    <w:rPr>
                      <w:rFonts w:hint="eastAsia"/>
                      <w:bCs/>
                      <w:color w:val="auto"/>
                      <w:sz w:val="21"/>
                      <w:szCs w:val="21"/>
                      <w:highlight w:val="none"/>
                    </w:rPr>
                  </w:pPr>
                  <w:r>
                    <w:rPr>
                      <w:bCs/>
                      <w:color w:val="auto"/>
                      <w:sz w:val="21"/>
                      <w:szCs w:val="21"/>
                      <w:highlight w:val="none"/>
                    </w:rPr>
                    <w:t>未捕集颗粒物</w:t>
                  </w:r>
                </w:p>
              </w:tc>
              <w:tc>
                <w:tcPr>
                  <w:tcW w:w="459" w:type="pct"/>
                  <w:gridSpan w:val="2"/>
                  <w:tcMar>
                    <w:top w:w="15" w:type="dxa"/>
                    <w:left w:w="15" w:type="dxa"/>
                    <w:right w:w="15" w:type="dxa"/>
                  </w:tcMar>
                  <w:vAlign w:val="center"/>
                </w:tcPr>
                <w:p w14:paraId="042C60A2">
                  <w:pPr>
                    <w:spacing w:line="280" w:lineRule="exact"/>
                    <w:ind w:firstLine="0" w:firstLineChars="0"/>
                    <w:jc w:val="center"/>
                    <w:rPr>
                      <w:bCs/>
                      <w:color w:val="auto"/>
                      <w:sz w:val="21"/>
                      <w:szCs w:val="21"/>
                      <w:highlight w:val="none"/>
                    </w:rPr>
                  </w:pPr>
                  <w:r>
                    <w:rPr>
                      <w:bCs/>
                      <w:color w:val="auto"/>
                      <w:sz w:val="21"/>
                      <w:szCs w:val="21"/>
                      <w:highlight w:val="none"/>
                    </w:rPr>
                    <w:t>颗粒物</w:t>
                  </w:r>
                </w:p>
              </w:tc>
              <w:tc>
                <w:tcPr>
                  <w:tcW w:w="827" w:type="pct"/>
                  <w:vMerge w:val="continue"/>
                  <w:tcMar>
                    <w:top w:w="15" w:type="dxa"/>
                    <w:left w:w="15" w:type="dxa"/>
                    <w:right w:w="15" w:type="dxa"/>
                  </w:tcMar>
                  <w:vAlign w:val="center"/>
                </w:tcPr>
                <w:p w14:paraId="10A67DA8">
                  <w:pPr>
                    <w:spacing w:line="280" w:lineRule="exact"/>
                    <w:ind w:firstLine="0" w:firstLineChars="0"/>
                    <w:jc w:val="center"/>
                    <w:rPr>
                      <w:rFonts w:hint="eastAsia"/>
                      <w:bCs/>
                      <w:color w:val="auto"/>
                      <w:sz w:val="21"/>
                      <w:szCs w:val="21"/>
                      <w:highlight w:val="none"/>
                    </w:rPr>
                  </w:pPr>
                </w:p>
              </w:tc>
              <w:tc>
                <w:tcPr>
                  <w:tcW w:w="1152" w:type="pct"/>
                  <w:vMerge w:val="continue"/>
                  <w:tcMar>
                    <w:top w:w="15" w:type="dxa"/>
                    <w:left w:w="15" w:type="dxa"/>
                    <w:right w:w="15" w:type="dxa"/>
                  </w:tcMar>
                  <w:vAlign w:val="center"/>
                </w:tcPr>
                <w:p w14:paraId="29F6F935">
                  <w:pPr>
                    <w:snapToGrid w:val="0"/>
                    <w:spacing w:line="240" w:lineRule="auto"/>
                    <w:ind w:firstLine="0" w:firstLineChars="0"/>
                    <w:jc w:val="both"/>
                    <w:rPr>
                      <w:rFonts w:hint="eastAsia"/>
                      <w:color w:val="auto"/>
                      <w:spacing w:val="-10"/>
                      <w:sz w:val="21"/>
                      <w:szCs w:val="21"/>
                      <w:highlight w:val="none"/>
                    </w:rPr>
                  </w:pPr>
                </w:p>
              </w:tc>
              <w:tc>
                <w:tcPr>
                  <w:tcW w:w="875" w:type="pct"/>
                  <w:tcMar>
                    <w:top w:w="15" w:type="dxa"/>
                    <w:left w:w="15" w:type="dxa"/>
                    <w:right w:w="15" w:type="dxa"/>
                  </w:tcMar>
                  <w:vAlign w:val="center"/>
                </w:tcPr>
                <w:p w14:paraId="6372B87E">
                  <w:pPr>
                    <w:spacing w:line="280" w:lineRule="exact"/>
                    <w:ind w:firstLine="0" w:firstLineChars="0"/>
                    <w:jc w:val="center"/>
                    <w:rPr>
                      <w:rFonts w:hint="default" w:eastAsia="宋体"/>
                      <w:bCs/>
                      <w:color w:val="auto"/>
                      <w:sz w:val="21"/>
                      <w:szCs w:val="21"/>
                      <w:highlight w:val="none"/>
                      <w:lang w:val="en-US" w:eastAsia="zh-CN"/>
                    </w:rPr>
                  </w:pPr>
                  <w:r>
                    <w:rPr>
                      <w:rFonts w:hint="eastAsia"/>
                      <w:bCs/>
                      <w:color w:val="auto"/>
                      <w:sz w:val="21"/>
                      <w:szCs w:val="21"/>
                      <w:highlight w:val="none"/>
                      <w:lang w:val="en-US" w:eastAsia="zh-CN"/>
                    </w:rPr>
                    <w:t>0.15</w:t>
                  </w:r>
                </w:p>
              </w:tc>
              <w:tc>
                <w:tcPr>
                  <w:tcW w:w="642" w:type="pct"/>
                  <w:tcMar>
                    <w:top w:w="15" w:type="dxa"/>
                    <w:left w:w="15" w:type="dxa"/>
                    <w:right w:w="15" w:type="dxa"/>
                  </w:tcMar>
                  <w:vAlign w:val="center"/>
                </w:tcPr>
                <w:p w14:paraId="36BFAC17">
                  <w:pPr>
                    <w:spacing w:line="280" w:lineRule="exact"/>
                    <w:ind w:firstLine="0" w:firstLineChars="0"/>
                    <w:jc w:val="center"/>
                    <w:rPr>
                      <w:rFonts w:hint="default"/>
                      <w:bCs/>
                      <w:color w:val="auto"/>
                      <w:sz w:val="21"/>
                      <w:szCs w:val="21"/>
                      <w:highlight w:val="none"/>
                      <w:lang w:val="en-US" w:eastAsia="zh-CN"/>
                    </w:rPr>
                  </w:pPr>
                  <w:r>
                    <w:rPr>
                      <w:rFonts w:hint="eastAsia"/>
                      <w:bCs/>
                      <w:color w:val="auto"/>
                      <w:sz w:val="21"/>
                      <w:szCs w:val="21"/>
                      <w:highlight w:val="none"/>
                      <w:lang w:val="en-US" w:eastAsia="zh-CN"/>
                    </w:rPr>
                    <w:t>0.038</w:t>
                  </w:r>
                </w:p>
              </w:tc>
            </w:tr>
            <w:tr w14:paraId="7B299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5000" w:type="pct"/>
                  <w:gridSpan w:val="8"/>
                  <w:tcMar>
                    <w:top w:w="15" w:type="dxa"/>
                    <w:left w:w="15" w:type="dxa"/>
                    <w:right w:w="15" w:type="dxa"/>
                  </w:tcMar>
                  <w:vAlign w:val="center"/>
                </w:tcPr>
                <w:p w14:paraId="6B0C09ED">
                  <w:pPr>
                    <w:spacing w:line="280" w:lineRule="exact"/>
                    <w:ind w:firstLine="0" w:firstLineChars="0"/>
                    <w:jc w:val="center"/>
                    <w:rPr>
                      <w:bCs/>
                      <w:color w:val="auto"/>
                      <w:sz w:val="21"/>
                      <w:szCs w:val="21"/>
                      <w:highlight w:val="none"/>
                    </w:rPr>
                  </w:pPr>
                  <w:r>
                    <w:rPr>
                      <w:bCs/>
                      <w:color w:val="auto"/>
                      <w:sz w:val="21"/>
                      <w:szCs w:val="21"/>
                      <w:highlight w:val="none"/>
                    </w:rPr>
                    <w:t>无组织排放总计</w:t>
                  </w:r>
                </w:p>
              </w:tc>
            </w:tr>
            <w:tr w14:paraId="553715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481" w:type="pct"/>
                  <w:gridSpan w:val="3"/>
                  <w:tcMar>
                    <w:top w:w="15" w:type="dxa"/>
                    <w:left w:w="15" w:type="dxa"/>
                    <w:right w:w="15" w:type="dxa"/>
                  </w:tcMar>
                  <w:vAlign w:val="center"/>
                </w:tcPr>
                <w:p w14:paraId="6F64BE00">
                  <w:pPr>
                    <w:spacing w:line="280" w:lineRule="exact"/>
                    <w:ind w:firstLine="0" w:firstLineChars="0"/>
                    <w:jc w:val="center"/>
                    <w:rPr>
                      <w:bCs/>
                      <w:color w:val="auto"/>
                      <w:sz w:val="21"/>
                      <w:szCs w:val="21"/>
                      <w:highlight w:val="none"/>
                    </w:rPr>
                  </w:pPr>
                  <w:r>
                    <w:rPr>
                      <w:bCs/>
                      <w:color w:val="auto"/>
                      <w:sz w:val="21"/>
                      <w:szCs w:val="21"/>
                      <w:highlight w:val="none"/>
                    </w:rPr>
                    <w:t>无组织排放总计</w:t>
                  </w:r>
                </w:p>
              </w:tc>
              <w:tc>
                <w:tcPr>
                  <w:tcW w:w="2876" w:type="pct"/>
                  <w:gridSpan w:val="4"/>
                  <w:tcMar>
                    <w:top w:w="15" w:type="dxa"/>
                    <w:left w:w="15" w:type="dxa"/>
                    <w:right w:w="15" w:type="dxa"/>
                  </w:tcMar>
                  <w:vAlign w:val="center"/>
                </w:tcPr>
                <w:p w14:paraId="44BB970E">
                  <w:pPr>
                    <w:spacing w:line="280" w:lineRule="exact"/>
                    <w:ind w:firstLine="0" w:firstLineChars="0"/>
                    <w:jc w:val="center"/>
                    <w:rPr>
                      <w:bCs/>
                      <w:color w:val="auto"/>
                      <w:sz w:val="21"/>
                      <w:szCs w:val="21"/>
                      <w:highlight w:val="none"/>
                    </w:rPr>
                  </w:pPr>
                  <w:r>
                    <w:rPr>
                      <w:bCs/>
                      <w:color w:val="auto"/>
                      <w:sz w:val="21"/>
                      <w:szCs w:val="21"/>
                      <w:highlight w:val="none"/>
                    </w:rPr>
                    <w:t>颗粒物</w:t>
                  </w:r>
                </w:p>
              </w:tc>
              <w:tc>
                <w:tcPr>
                  <w:tcW w:w="642" w:type="pct"/>
                  <w:tcMar>
                    <w:top w:w="15" w:type="dxa"/>
                    <w:left w:w="15" w:type="dxa"/>
                    <w:right w:w="15" w:type="dxa"/>
                  </w:tcMar>
                  <w:vAlign w:val="center"/>
                </w:tcPr>
                <w:p w14:paraId="2C626F91">
                  <w:pPr>
                    <w:spacing w:line="280" w:lineRule="exact"/>
                    <w:ind w:firstLine="0" w:firstLineChars="0"/>
                    <w:jc w:val="center"/>
                    <w:rPr>
                      <w:rFonts w:hint="default" w:eastAsia="宋体"/>
                      <w:bCs/>
                      <w:color w:val="auto"/>
                      <w:sz w:val="21"/>
                      <w:szCs w:val="21"/>
                      <w:highlight w:val="none"/>
                      <w:lang w:val="en-US" w:eastAsia="zh-CN"/>
                    </w:rPr>
                  </w:pPr>
                  <w:r>
                    <w:rPr>
                      <w:rFonts w:hint="eastAsia"/>
                      <w:bCs/>
                      <w:color w:val="auto"/>
                      <w:sz w:val="21"/>
                      <w:szCs w:val="21"/>
                      <w:highlight w:val="none"/>
                      <w:lang w:val="en-US" w:eastAsia="zh-CN"/>
                    </w:rPr>
                    <w:t>0.097</w:t>
                  </w:r>
                </w:p>
              </w:tc>
            </w:tr>
          </w:tbl>
          <w:p w14:paraId="5AAF6A31">
            <w:pPr>
              <w:pStyle w:val="1707"/>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bCs/>
                <w:color w:val="auto"/>
                <w:sz w:val="21"/>
                <w:szCs w:val="21"/>
                <w:highlight w:val="none"/>
                <w:lang w:val="en-GB"/>
              </w:rPr>
            </w:pPr>
            <w:r>
              <w:rPr>
                <w:rFonts w:hint="eastAsia"/>
                <w:b/>
                <w:bCs/>
                <w:color w:val="auto"/>
                <w:sz w:val="21"/>
                <w:szCs w:val="21"/>
                <w:highlight w:val="none"/>
                <w:lang w:val="en-GB"/>
              </w:rPr>
              <w:t>表</w:t>
            </w:r>
            <w:r>
              <w:rPr>
                <w:rFonts w:hint="eastAsia"/>
                <w:b/>
                <w:bCs w:val="0"/>
                <w:color w:val="auto"/>
                <w:kern w:val="2"/>
                <w:sz w:val="21"/>
                <w:szCs w:val="21"/>
                <w:highlight w:val="none"/>
                <w:lang w:val="en-US" w:eastAsia="zh-CN"/>
              </w:rPr>
              <w:t>4-7</w:t>
            </w:r>
            <w:r>
              <w:rPr>
                <w:rFonts w:hint="eastAsia"/>
                <w:b/>
                <w:bCs/>
                <w:color w:val="auto"/>
                <w:sz w:val="21"/>
                <w:szCs w:val="21"/>
                <w:highlight w:val="none"/>
                <w:lang w:val="en-GB"/>
              </w:rPr>
              <w:t xml:space="preserve">    大气污染物有组织排放量核算表</w:t>
            </w:r>
          </w:p>
          <w:tbl>
            <w:tblPr>
              <w:tblStyle w:val="84"/>
              <w:tblW w:w="83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980"/>
              <w:gridCol w:w="2351"/>
              <w:gridCol w:w="2301"/>
              <w:gridCol w:w="1969"/>
            </w:tblGrid>
            <w:tr w14:paraId="3FAB4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36" w:type="pct"/>
                  <w:vAlign w:val="center"/>
                </w:tcPr>
                <w:p w14:paraId="72882169">
                  <w:pPr>
                    <w:widowControl/>
                    <w:spacing w:line="280" w:lineRule="exact"/>
                    <w:ind w:firstLine="0" w:firstLineChars="0"/>
                    <w:jc w:val="center"/>
                    <w:rPr>
                      <w:color w:val="auto"/>
                      <w:kern w:val="0"/>
                      <w:sz w:val="21"/>
                      <w:szCs w:val="21"/>
                      <w:highlight w:val="none"/>
                    </w:rPr>
                  </w:pPr>
                  <w:r>
                    <w:rPr>
                      <w:color w:val="auto"/>
                      <w:kern w:val="0"/>
                      <w:sz w:val="21"/>
                      <w:szCs w:val="21"/>
                      <w:highlight w:val="none"/>
                    </w:rPr>
                    <w:t>序号</w:t>
                  </w:r>
                </w:p>
              </w:tc>
              <w:tc>
                <w:tcPr>
                  <w:tcW w:w="588" w:type="pct"/>
                  <w:vAlign w:val="center"/>
                </w:tcPr>
                <w:p w14:paraId="006EFE83">
                  <w:pPr>
                    <w:widowControl/>
                    <w:spacing w:line="280" w:lineRule="exact"/>
                    <w:ind w:firstLine="0" w:firstLineChars="0"/>
                    <w:jc w:val="center"/>
                    <w:rPr>
                      <w:color w:val="auto"/>
                      <w:kern w:val="0"/>
                      <w:sz w:val="21"/>
                      <w:szCs w:val="21"/>
                      <w:highlight w:val="none"/>
                    </w:rPr>
                  </w:pPr>
                  <w:r>
                    <w:rPr>
                      <w:color w:val="auto"/>
                      <w:kern w:val="0"/>
                      <w:sz w:val="21"/>
                      <w:szCs w:val="21"/>
                      <w:highlight w:val="none"/>
                    </w:rPr>
                    <w:t>污染物</w:t>
                  </w:r>
                </w:p>
              </w:tc>
              <w:tc>
                <w:tcPr>
                  <w:tcW w:w="1411" w:type="pct"/>
                  <w:vAlign w:val="center"/>
                </w:tcPr>
                <w:p w14:paraId="6F00DE3C">
                  <w:pPr>
                    <w:widowControl/>
                    <w:spacing w:line="280" w:lineRule="exact"/>
                    <w:ind w:firstLine="0" w:firstLineChars="0"/>
                    <w:jc w:val="center"/>
                    <w:rPr>
                      <w:color w:val="auto"/>
                      <w:kern w:val="0"/>
                      <w:sz w:val="21"/>
                      <w:szCs w:val="21"/>
                      <w:highlight w:val="none"/>
                    </w:rPr>
                  </w:pPr>
                  <w:r>
                    <w:rPr>
                      <w:color w:val="auto"/>
                      <w:kern w:val="0"/>
                      <w:sz w:val="21"/>
                      <w:szCs w:val="21"/>
                      <w:highlight w:val="none"/>
                    </w:rPr>
                    <w:t>核算排放浓度</w:t>
                  </w:r>
                  <w:r>
                    <w:rPr>
                      <w:rFonts w:hint="eastAsia"/>
                      <w:color w:val="auto"/>
                      <w:kern w:val="0"/>
                      <w:sz w:val="21"/>
                      <w:szCs w:val="21"/>
                      <w:highlight w:val="none"/>
                      <w:lang w:eastAsia="zh-CN"/>
                    </w:rPr>
                    <w:t>(</w:t>
                  </w:r>
                  <w:r>
                    <w:rPr>
                      <w:color w:val="auto"/>
                      <w:kern w:val="0"/>
                      <w:sz w:val="21"/>
                      <w:szCs w:val="21"/>
                      <w:highlight w:val="none"/>
                    </w:rPr>
                    <w:t>mg/m³)</w:t>
                  </w:r>
                </w:p>
              </w:tc>
              <w:tc>
                <w:tcPr>
                  <w:tcW w:w="1381" w:type="pct"/>
                  <w:vAlign w:val="center"/>
                </w:tcPr>
                <w:p w14:paraId="1B7856B7">
                  <w:pPr>
                    <w:widowControl/>
                    <w:spacing w:line="280" w:lineRule="exact"/>
                    <w:ind w:firstLine="0" w:firstLineChars="0"/>
                    <w:jc w:val="center"/>
                    <w:rPr>
                      <w:color w:val="auto"/>
                      <w:kern w:val="0"/>
                      <w:sz w:val="21"/>
                      <w:szCs w:val="21"/>
                      <w:highlight w:val="none"/>
                    </w:rPr>
                  </w:pPr>
                  <w:r>
                    <w:rPr>
                      <w:color w:val="auto"/>
                      <w:kern w:val="0"/>
                      <w:sz w:val="21"/>
                      <w:szCs w:val="21"/>
                      <w:highlight w:val="none"/>
                    </w:rPr>
                    <w:t>核算排放速率</w:t>
                  </w:r>
                  <w:r>
                    <w:rPr>
                      <w:rFonts w:hint="eastAsia"/>
                      <w:color w:val="auto"/>
                      <w:kern w:val="0"/>
                      <w:sz w:val="21"/>
                      <w:szCs w:val="21"/>
                      <w:highlight w:val="none"/>
                      <w:lang w:eastAsia="zh-CN"/>
                    </w:rPr>
                    <w:t>(</w:t>
                  </w:r>
                  <w:r>
                    <w:rPr>
                      <w:color w:val="auto"/>
                      <w:kern w:val="0"/>
                      <w:sz w:val="21"/>
                      <w:szCs w:val="21"/>
                      <w:highlight w:val="none"/>
                    </w:rPr>
                    <w:t>kg/h)</w:t>
                  </w:r>
                </w:p>
              </w:tc>
              <w:tc>
                <w:tcPr>
                  <w:tcW w:w="1182" w:type="pct"/>
                  <w:vAlign w:val="center"/>
                </w:tcPr>
                <w:p w14:paraId="42C46C6D">
                  <w:pPr>
                    <w:widowControl/>
                    <w:spacing w:line="280" w:lineRule="exact"/>
                    <w:ind w:firstLine="0" w:firstLineChars="0"/>
                    <w:jc w:val="center"/>
                    <w:rPr>
                      <w:color w:val="auto"/>
                      <w:kern w:val="0"/>
                      <w:sz w:val="21"/>
                      <w:szCs w:val="21"/>
                      <w:highlight w:val="none"/>
                    </w:rPr>
                  </w:pPr>
                  <w:r>
                    <w:rPr>
                      <w:color w:val="auto"/>
                      <w:kern w:val="0"/>
                      <w:sz w:val="21"/>
                      <w:szCs w:val="21"/>
                      <w:highlight w:val="none"/>
                    </w:rPr>
                    <w:t>核算年排放量</w:t>
                  </w:r>
                  <w:r>
                    <w:rPr>
                      <w:rFonts w:hint="eastAsia"/>
                      <w:color w:val="auto"/>
                      <w:kern w:val="0"/>
                      <w:sz w:val="21"/>
                      <w:szCs w:val="21"/>
                      <w:highlight w:val="none"/>
                      <w:lang w:eastAsia="zh-CN"/>
                    </w:rPr>
                    <w:t>(</w:t>
                  </w:r>
                  <w:r>
                    <w:rPr>
                      <w:color w:val="auto"/>
                      <w:kern w:val="0"/>
                      <w:sz w:val="21"/>
                      <w:szCs w:val="21"/>
                      <w:highlight w:val="none"/>
                    </w:rPr>
                    <w:t>t/a)</w:t>
                  </w:r>
                </w:p>
              </w:tc>
            </w:tr>
            <w:tr w14:paraId="1DBDB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36" w:type="pct"/>
                  <w:vAlign w:val="center"/>
                </w:tcPr>
                <w:p w14:paraId="0CF17445">
                  <w:pPr>
                    <w:widowControl/>
                    <w:spacing w:line="280" w:lineRule="exact"/>
                    <w:ind w:firstLine="0" w:firstLineChars="0"/>
                    <w:jc w:val="center"/>
                    <w:rPr>
                      <w:rFonts w:hint="eastAsia" w:eastAsia="宋体"/>
                      <w:color w:val="auto"/>
                      <w:kern w:val="0"/>
                      <w:sz w:val="21"/>
                      <w:szCs w:val="21"/>
                      <w:highlight w:val="none"/>
                      <w:lang w:val="en-US" w:eastAsia="zh-CN"/>
                    </w:rPr>
                  </w:pPr>
                  <w:r>
                    <w:rPr>
                      <w:rFonts w:hint="eastAsia"/>
                      <w:color w:val="auto"/>
                      <w:kern w:val="0"/>
                      <w:sz w:val="21"/>
                      <w:szCs w:val="21"/>
                      <w:highlight w:val="none"/>
                      <w:lang w:val="en-US" w:eastAsia="zh-CN"/>
                    </w:rPr>
                    <w:t>1</w:t>
                  </w:r>
                </w:p>
              </w:tc>
              <w:tc>
                <w:tcPr>
                  <w:tcW w:w="588" w:type="pct"/>
                  <w:vAlign w:val="center"/>
                </w:tcPr>
                <w:p w14:paraId="388632BA">
                  <w:pPr>
                    <w:spacing w:line="280" w:lineRule="exact"/>
                    <w:ind w:firstLine="0" w:firstLineChars="0"/>
                    <w:jc w:val="center"/>
                    <w:rPr>
                      <w:bCs/>
                      <w:color w:val="auto"/>
                      <w:sz w:val="21"/>
                      <w:szCs w:val="21"/>
                      <w:highlight w:val="none"/>
                    </w:rPr>
                  </w:pPr>
                  <w:r>
                    <w:rPr>
                      <w:bCs/>
                      <w:color w:val="auto"/>
                      <w:sz w:val="21"/>
                      <w:szCs w:val="21"/>
                      <w:highlight w:val="none"/>
                    </w:rPr>
                    <w:t>颗粒物</w:t>
                  </w:r>
                </w:p>
              </w:tc>
              <w:tc>
                <w:tcPr>
                  <w:tcW w:w="1411" w:type="pct"/>
                  <w:vAlign w:val="center"/>
                </w:tcPr>
                <w:p w14:paraId="70AC7AEC">
                  <w:pPr>
                    <w:pStyle w:val="135"/>
                    <w:autoSpaceDE w:val="0"/>
                    <w:spacing w:beforeLines="0" w:afterLines="0" w:line="280" w:lineRule="exact"/>
                    <w:ind w:firstLine="0" w:firstLineChars="0"/>
                    <w:rPr>
                      <w:rFonts w:hint="default" w:ascii="Times New Roman" w:eastAsia="宋体"/>
                      <w:color w:val="auto"/>
                      <w:sz w:val="21"/>
                      <w:szCs w:val="21"/>
                      <w:highlight w:val="none"/>
                      <w:lang w:val="en-US" w:eastAsia="zh-CN"/>
                    </w:rPr>
                  </w:pPr>
                  <w:r>
                    <w:rPr>
                      <w:rFonts w:hint="eastAsia" w:ascii="Times New Roman"/>
                      <w:color w:val="auto"/>
                      <w:sz w:val="21"/>
                      <w:szCs w:val="21"/>
                      <w:highlight w:val="none"/>
                      <w:lang w:val="en-US" w:eastAsia="zh-CN"/>
                    </w:rPr>
                    <w:t>2.5</w:t>
                  </w:r>
                </w:p>
              </w:tc>
              <w:tc>
                <w:tcPr>
                  <w:tcW w:w="1381" w:type="pct"/>
                  <w:vAlign w:val="center"/>
                </w:tcPr>
                <w:p w14:paraId="06AFEA98">
                  <w:pPr>
                    <w:pStyle w:val="135"/>
                    <w:autoSpaceDE w:val="0"/>
                    <w:spacing w:beforeLines="0" w:afterLines="0" w:line="280" w:lineRule="exact"/>
                    <w:ind w:firstLine="0" w:firstLineChars="0"/>
                    <w:rPr>
                      <w:rFonts w:hint="default" w:ascii="Times New Roman" w:eastAsia="宋体"/>
                      <w:color w:val="auto"/>
                      <w:sz w:val="21"/>
                      <w:szCs w:val="21"/>
                      <w:highlight w:val="none"/>
                      <w:lang w:val="en-US" w:eastAsia="zh-CN"/>
                    </w:rPr>
                  </w:pPr>
                  <w:r>
                    <w:rPr>
                      <w:rFonts w:hint="eastAsia" w:ascii="Times New Roman"/>
                      <w:color w:val="auto"/>
                      <w:sz w:val="21"/>
                      <w:szCs w:val="21"/>
                      <w:highlight w:val="none"/>
                      <w:lang w:val="en-US" w:eastAsia="zh-CN"/>
                    </w:rPr>
                    <w:t>0.2</w:t>
                  </w:r>
                </w:p>
              </w:tc>
              <w:tc>
                <w:tcPr>
                  <w:tcW w:w="1182" w:type="pct"/>
                  <w:vAlign w:val="center"/>
                </w:tcPr>
                <w:p w14:paraId="636A2F4F">
                  <w:pPr>
                    <w:pStyle w:val="135"/>
                    <w:autoSpaceDE w:val="0"/>
                    <w:spacing w:beforeLines="0" w:afterLines="0" w:line="280" w:lineRule="exact"/>
                    <w:ind w:firstLine="0" w:firstLineChars="0"/>
                    <w:rPr>
                      <w:rFonts w:hint="default" w:ascii="Times New Roman" w:eastAsia="宋体"/>
                      <w:color w:val="auto"/>
                      <w:sz w:val="21"/>
                      <w:szCs w:val="21"/>
                      <w:highlight w:val="none"/>
                      <w:lang w:val="en-US" w:eastAsia="zh-CN"/>
                    </w:rPr>
                  </w:pPr>
                  <w:r>
                    <w:rPr>
                      <w:rFonts w:hint="eastAsia" w:ascii="Times New Roman"/>
                      <w:color w:val="auto"/>
                      <w:sz w:val="21"/>
                      <w:szCs w:val="21"/>
                      <w:highlight w:val="none"/>
                      <w:lang w:val="en-US" w:eastAsia="zh-CN"/>
                    </w:rPr>
                    <w:t>1.443</w:t>
                  </w:r>
                </w:p>
              </w:tc>
            </w:tr>
          </w:tbl>
          <w:p w14:paraId="1FF603F4">
            <w:pPr>
              <w:pStyle w:val="1707"/>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bCs/>
                <w:color w:val="auto"/>
                <w:sz w:val="21"/>
                <w:szCs w:val="21"/>
                <w:highlight w:val="none"/>
                <w:lang w:val="en-GB"/>
              </w:rPr>
            </w:pPr>
            <w:r>
              <w:rPr>
                <w:rFonts w:hint="eastAsia"/>
                <w:b/>
                <w:bCs/>
                <w:color w:val="auto"/>
                <w:sz w:val="21"/>
                <w:szCs w:val="21"/>
                <w:highlight w:val="none"/>
                <w:lang w:val="en-GB"/>
              </w:rPr>
              <w:t>表</w:t>
            </w:r>
            <w:r>
              <w:rPr>
                <w:rFonts w:hint="eastAsia"/>
                <w:b/>
                <w:bCs w:val="0"/>
                <w:color w:val="auto"/>
                <w:kern w:val="2"/>
                <w:sz w:val="21"/>
                <w:szCs w:val="21"/>
                <w:highlight w:val="none"/>
                <w:lang w:val="en-US" w:eastAsia="zh-CN"/>
              </w:rPr>
              <w:t xml:space="preserve">4-8 </w:t>
            </w:r>
            <w:r>
              <w:rPr>
                <w:rFonts w:hint="eastAsia"/>
                <w:b/>
                <w:bCs/>
                <w:color w:val="auto"/>
                <w:sz w:val="21"/>
                <w:szCs w:val="21"/>
                <w:highlight w:val="none"/>
                <w:lang w:val="en-GB"/>
              </w:rPr>
              <w:t xml:space="preserve">   大气污染物排放量核算表</w:t>
            </w:r>
          </w:p>
          <w:tbl>
            <w:tblPr>
              <w:tblStyle w:val="8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54"/>
              <w:gridCol w:w="2755"/>
              <w:gridCol w:w="2750"/>
            </w:tblGrid>
            <w:tr w14:paraId="025F7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1667" w:type="pct"/>
                  <w:vAlign w:val="center"/>
                </w:tcPr>
                <w:p w14:paraId="466E6C38">
                  <w:pPr>
                    <w:widowControl/>
                    <w:spacing w:line="280" w:lineRule="exact"/>
                    <w:ind w:firstLine="0" w:firstLineChars="0"/>
                    <w:jc w:val="center"/>
                    <w:rPr>
                      <w:color w:val="auto"/>
                      <w:kern w:val="0"/>
                      <w:sz w:val="21"/>
                      <w:szCs w:val="21"/>
                      <w:highlight w:val="none"/>
                    </w:rPr>
                  </w:pPr>
                  <w:r>
                    <w:rPr>
                      <w:color w:val="auto"/>
                      <w:kern w:val="0"/>
                      <w:sz w:val="21"/>
                      <w:szCs w:val="21"/>
                      <w:highlight w:val="none"/>
                    </w:rPr>
                    <w:t>序号</w:t>
                  </w:r>
                </w:p>
              </w:tc>
              <w:tc>
                <w:tcPr>
                  <w:tcW w:w="1667" w:type="pct"/>
                  <w:vAlign w:val="center"/>
                </w:tcPr>
                <w:p w14:paraId="151F69B9">
                  <w:pPr>
                    <w:widowControl/>
                    <w:spacing w:line="280" w:lineRule="exact"/>
                    <w:ind w:firstLine="0" w:firstLineChars="0"/>
                    <w:jc w:val="center"/>
                    <w:rPr>
                      <w:color w:val="auto"/>
                      <w:kern w:val="0"/>
                      <w:sz w:val="21"/>
                      <w:szCs w:val="21"/>
                      <w:highlight w:val="none"/>
                    </w:rPr>
                  </w:pPr>
                  <w:r>
                    <w:rPr>
                      <w:color w:val="auto"/>
                      <w:kern w:val="0"/>
                      <w:sz w:val="21"/>
                      <w:szCs w:val="21"/>
                      <w:highlight w:val="none"/>
                    </w:rPr>
                    <w:t>污染物</w:t>
                  </w:r>
                </w:p>
              </w:tc>
              <w:tc>
                <w:tcPr>
                  <w:tcW w:w="1664" w:type="pct"/>
                  <w:vAlign w:val="center"/>
                </w:tcPr>
                <w:p w14:paraId="2DFA79D1">
                  <w:pPr>
                    <w:widowControl/>
                    <w:spacing w:line="280" w:lineRule="exact"/>
                    <w:ind w:firstLine="0" w:firstLineChars="0"/>
                    <w:jc w:val="center"/>
                    <w:rPr>
                      <w:color w:val="auto"/>
                      <w:kern w:val="0"/>
                      <w:sz w:val="21"/>
                      <w:szCs w:val="21"/>
                      <w:highlight w:val="none"/>
                    </w:rPr>
                  </w:pPr>
                  <w:r>
                    <w:rPr>
                      <w:color w:val="auto"/>
                      <w:kern w:val="0"/>
                      <w:sz w:val="21"/>
                      <w:szCs w:val="21"/>
                      <w:highlight w:val="none"/>
                    </w:rPr>
                    <w:t>年排放量</w:t>
                  </w:r>
                  <w:r>
                    <w:rPr>
                      <w:rFonts w:hint="eastAsia"/>
                      <w:color w:val="auto"/>
                      <w:kern w:val="0"/>
                      <w:sz w:val="21"/>
                      <w:szCs w:val="21"/>
                      <w:highlight w:val="none"/>
                      <w:lang w:eastAsia="zh-CN"/>
                    </w:rPr>
                    <w:t>(</w:t>
                  </w:r>
                  <w:r>
                    <w:rPr>
                      <w:color w:val="auto"/>
                      <w:kern w:val="0"/>
                      <w:sz w:val="21"/>
                      <w:szCs w:val="21"/>
                      <w:highlight w:val="none"/>
                    </w:rPr>
                    <w:t>t/a)</w:t>
                  </w:r>
                </w:p>
              </w:tc>
            </w:tr>
            <w:tr w14:paraId="39259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67" w:type="pct"/>
                  <w:vAlign w:val="center"/>
                </w:tcPr>
                <w:p w14:paraId="33DDF4BF">
                  <w:pPr>
                    <w:widowControl/>
                    <w:spacing w:line="280" w:lineRule="exact"/>
                    <w:ind w:firstLine="0" w:firstLineChars="0"/>
                    <w:jc w:val="center"/>
                    <w:rPr>
                      <w:color w:val="auto"/>
                      <w:kern w:val="0"/>
                      <w:sz w:val="21"/>
                      <w:szCs w:val="21"/>
                      <w:highlight w:val="none"/>
                    </w:rPr>
                  </w:pPr>
                  <w:r>
                    <w:rPr>
                      <w:color w:val="auto"/>
                      <w:kern w:val="0"/>
                      <w:sz w:val="21"/>
                      <w:szCs w:val="21"/>
                      <w:highlight w:val="none"/>
                    </w:rPr>
                    <w:t>1</w:t>
                  </w:r>
                </w:p>
              </w:tc>
              <w:tc>
                <w:tcPr>
                  <w:tcW w:w="1667" w:type="pct"/>
                  <w:vAlign w:val="center"/>
                </w:tcPr>
                <w:p w14:paraId="0FCECD93">
                  <w:pPr>
                    <w:widowControl/>
                    <w:spacing w:line="280" w:lineRule="exact"/>
                    <w:ind w:firstLine="0" w:firstLineChars="0"/>
                    <w:jc w:val="center"/>
                    <w:rPr>
                      <w:color w:val="auto"/>
                      <w:kern w:val="0"/>
                      <w:sz w:val="21"/>
                      <w:szCs w:val="21"/>
                      <w:highlight w:val="none"/>
                    </w:rPr>
                  </w:pPr>
                  <w:r>
                    <w:rPr>
                      <w:color w:val="auto"/>
                      <w:kern w:val="0"/>
                      <w:sz w:val="21"/>
                      <w:szCs w:val="21"/>
                      <w:highlight w:val="none"/>
                    </w:rPr>
                    <w:t>颗粒物</w:t>
                  </w:r>
                </w:p>
              </w:tc>
              <w:tc>
                <w:tcPr>
                  <w:tcW w:w="1664" w:type="pct"/>
                  <w:vAlign w:val="center"/>
                </w:tcPr>
                <w:p w14:paraId="794DBCEA">
                  <w:pPr>
                    <w:widowControl/>
                    <w:spacing w:line="280" w:lineRule="exact"/>
                    <w:ind w:firstLine="0" w:firstLineChars="0"/>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1.54</w:t>
                  </w:r>
                </w:p>
              </w:tc>
            </w:tr>
          </w:tbl>
          <w:p w14:paraId="355D547C">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color w:val="auto"/>
                <w:sz w:val="21"/>
                <w:szCs w:val="21"/>
                <w:highlight w:val="none"/>
              </w:rPr>
            </w:pPr>
            <w:r>
              <w:rPr>
                <w:rFonts w:hint="eastAsia"/>
                <w:color w:val="auto"/>
                <w:sz w:val="21"/>
                <w:szCs w:val="21"/>
                <w:highlight w:val="none"/>
                <w:lang w:val="en-US" w:eastAsia="zh-CN"/>
              </w:rPr>
              <w:t>1.3</w:t>
            </w:r>
            <w:r>
              <w:rPr>
                <w:rFonts w:hint="eastAsia"/>
                <w:color w:val="auto"/>
                <w:sz w:val="21"/>
                <w:szCs w:val="21"/>
                <w:highlight w:val="none"/>
              </w:rPr>
              <w:t>非正常工况分析</w:t>
            </w:r>
          </w:p>
          <w:p w14:paraId="43C989E6">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color w:val="auto"/>
                <w:sz w:val="21"/>
                <w:szCs w:val="21"/>
                <w:highlight w:val="none"/>
              </w:rPr>
            </w:pPr>
            <w:r>
              <w:rPr>
                <w:rFonts w:hint="eastAsia"/>
                <w:color w:val="auto"/>
                <w:sz w:val="21"/>
                <w:szCs w:val="21"/>
                <w:highlight w:val="none"/>
              </w:rPr>
              <w:t>根据导则要求，非正常排放指非正常工况下的污染物排放。如点火开炉、设备检修、污染物排放控制措施达不到应有效率、工艺设备运转异常等情况下的排放。项目非正常工况主要考虑</w:t>
            </w:r>
            <w:r>
              <w:rPr>
                <w:rFonts w:hint="eastAsia"/>
                <w:color w:val="auto"/>
                <w:sz w:val="21"/>
                <w:szCs w:val="21"/>
                <w:highlight w:val="none"/>
                <w:lang w:eastAsia="zh-CN"/>
              </w:rPr>
              <w:t>：</w:t>
            </w:r>
            <w:r>
              <w:rPr>
                <w:rFonts w:hint="eastAsia"/>
                <w:color w:val="auto"/>
                <w:sz w:val="21"/>
                <w:szCs w:val="21"/>
                <w:highlight w:val="none"/>
              </w:rPr>
              <w:t>除尘器布袋破碎，除尘器运行不正常，达不到设计除尘效率。</w:t>
            </w:r>
          </w:p>
          <w:p w14:paraId="42BD146F">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color w:val="auto"/>
                <w:sz w:val="21"/>
                <w:szCs w:val="21"/>
                <w:highlight w:val="none"/>
              </w:rPr>
            </w:pPr>
            <w:r>
              <w:rPr>
                <w:rFonts w:hint="eastAsia"/>
                <w:color w:val="auto"/>
                <w:sz w:val="21"/>
                <w:szCs w:val="21"/>
                <w:highlight w:val="none"/>
              </w:rPr>
              <w:t>本项目可能发生的非正常工况主要为环保设施发生故障。环保设施故障频次按每年发生1次，每次持续</w:t>
            </w:r>
            <w:r>
              <w:rPr>
                <w:rFonts w:hint="eastAsia"/>
                <w:color w:val="auto"/>
                <w:sz w:val="21"/>
                <w:szCs w:val="21"/>
                <w:highlight w:val="none"/>
                <w:lang w:val="en-US" w:eastAsia="zh-CN"/>
              </w:rPr>
              <w:t>1h</w:t>
            </w:r>
            <w:r>
              <w:rPr>
                <w:rFonts w:hint="eastAsia"/>
                <w:color w:val="auto"/>
                <w:sz w:val="21"/>
                <w:szCs w:val="21"/>
                <w:highlight w:val="none"/>
              </w:rPr>
              <w:t>计。环保设施发生故障后，</w:t>
            </w:r>
            <w:r>
              <w:rPr>
                <w:rFonts w:hint="eastAsia"/>
                <w:color w:val="auto"/>
                <w:sz w:val="21"/>
                <w:szCs w:val="21"/>
                <w:highlight w:val="none"/>
                <w:lang w:val="en-US" w:eastAsia="zh-CN"/>
              </w:rPr>
              <w:t>除尘效率降低10%，</w:t>
            </w:r>
            <w:r>
              <w:rPr>
                <w:rFonts w:hint="eastAsia"/>
                <w:color w:val="auto"/>
                <w:sz w:val="21"/>
                <w:szCs w:val="21"/>
                <w:highlight w:val="none"/>
              </w:rPr>
              <w:t>立即停产，对故障设施进行检修，待故障设施恢复正常后恢复生产。本项目非正常工况污染物排放情况见下表</w:t>
            </w:r>
            <w:r>
              <w:rPr>
                <w:rFonts w:hint="eastAsia"/>
                <w:color w:val="auto"/>
                <w:sz w:val="21"/>
                <w:szCs w:val="21"/>
                <w:highlight w:val="none"/>
                <w:lang w:val="en-US" w:eastAsia="zh-CN"/>
              </w:rPr>
              <w:t>4-9</w:t>
            </w:r>
            <w:r>
              <w:rPr>
                <w:rFonts w:hint="eastAsia"/>
                <w:color w:val="auto"/>
                <w:sz w:val="21"/>
                <w:szCs w:val="21"/>
                <w:highlight w:val="none"/>
              </w:rPr>
              <w:t>。</w:t>
            </w:r>
          </w:p>
          <w:p w14:paraId="227A33B7">
            <w:pPr>
              <w:keepNext/>
              <w:keepLines/>
              <w:pageBreakBefore w:val="0"/>
              <w:widowControl w:val="0"/>
              <w:tabs>
                <w:tab w:val="left" w:pos="0"/>
              </w:tabs>
              <w:kinsoku/>
              <w:wordWrap/>
              <w:overflowPunct/>
              <w:topLinePunct w:val="0"/>
              <w:autoSpaceDE/>
              <w:autoSpaceDN/>
              <w:bidi w:val="0"/>
              <w:adjustRightInd w:val="0"/>
              <w:snapToGrid w:val="0"/>
              <w:spacing w:line="360" w:lineRule="auto"/>
              <w:ind w:firstLine="0" w:firstLineChars="0"/>
              <w:jc w:val="center"/>
              <w:textAlignment w:val="auto"/>
              <w:outlineLvl w:val="9"/>
              <w:rPr>
                <w:color w:val="auto"/>
                <w:sz w:val="21"/>
                <w:szCs w:val="21"/>
                <w:highlight w:val="none"/>
              </w:rPr>
            </w:pPr>
            <w:r>
              <w:rPr>
                <w:b/>
                <w:color w:val="auto"/>
                <w:sz w:val="21"/>
                <w:szCs w:val="21"/>
                <w:highlight w:val="none"/>
              </w:rPr>
              <w:t>表</w:t>
            </w:r>
            <w:r>
              <w:rPr>
                <w:rFonts w:hint="eastAsia"/>
                <w:b/>
                <w:color w:val="auto"/>
                <w:sz w:val="21"/>
                <w:szCs w:val="21"/>
                <w:highlight w:val="none"/>
                <w:lang w:val="en-US" w:eastAsia="zh-CN"/>
              </w:rPr>
              <w:t>4-9</w:t>
            </w:r>
            <w:r>
              <w:rPr>
                <w:rFonts w:hint="eastAsia"/>
                <w:b/>
                <w:color w:val="auto"/>
                <w:sz w:val="21"/>
                <w:szCs w:val="21"/>
                <w:highlight w:val="none"/>
              </w:rPr>
              <w:t xml:space="preserve">  </w:t>
            </w:r>
            <w:r>
              <w:rPr>
                <w:b/>
                <w:color w:val="auto"/>
                <w:sz w:val="21"/>
                <w:szCs w:val="21"/>
                <w:highlight w:val="none"/>
              </w:rPr>
              <w:t xml:space="preserve">  </w:t>
            </w:r>
            <w:r>
              <w:rPr>
                <w:rFonts w:hint="eastAsia"/>
                <w:b/>
                <w:color w:val="auto"/>
                <w:sz w:val="21"/>
                <w:szCs w:val="21"/>
                <w:highlight w:val="none"/>
              </w:rPr>
              <w:t>非正常排放</w:t>
            </w:r>
            <w:r>
              <w:rPr>
                <w:b/>
                <w:color w:val="auto"/>
                <w:sz w:val="21"/>
                <w:szCs w:val="21"/>
                <w:highlight w:val="none"/>
              </w:rPr>
              <w:t>情况一览表</w:t>
            </w:r>
          </w:p>
          <w:tbl>
            <w:tblPr>
              <w:tblStyle w:val="84"/>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4"/>
              <w:gridCol w:w="630"/>
              <w:gridCol w:w="906"/>
              <w:gridCol w:w="1182"/>
              <w:gridCol w:w="1212"/>
              <w:gridCol w:w="2867"/>
            </w:tblGrid>
            <w:tr w14:paraId="7ECEE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81" w:type="pct"/>
                  <w:vAlign w:val="center"/>
                </w:tcPr>
                <w:p w14:paraId="00449AC1">
                  <w:pPr>
                    <w:widowControl/>
                    <w:spacing w:line="320" w:lineRule="exact"/>
                    <w:ind w:firstLine="0" w:firstLineChars="0"/>
                    <w:jc w:val="center"/>
                    <w:rPr>
                      <w:color w:val="auto"/>
                      <w:kern w:val="0"/>
                      <w:sz w:val="21"/>
                      <w:szCs w:val="21"/>
                      <w:highlight w:val="none"/>
                    </w:rPr>
                  </w:pPr>
                  <w:r>
                    <w:rPr>
                      <w:rFonts w:hint="eastAsia"/>
                      <w:color w:val="auto"/>
                      <w:kern w:val="0"/>
                      <w:sz w:val="21"/>
                      <w:szCs w:val="21"/>
                      <w:highlight w:val="none"/>
                    </w:rPr>
                    <w:t>非正常排放源</w:t>
                  </w:r>
                </w:p>
              </w:tc>
              <w:tc>
                <w:tcPr>
                  <w:tcW w:w="381" w:type="pct"/>
                  <w:vAlign w:val="center"/>
                </w:tcPr>
                <w:p w14:paraId="2D58EBB9">
                  <w:pPr>
                    <w:pStyle w:val="135"/>
                    <w:autoSpaceDE w:val="0"/>
                    <w:spacing w:beforeLines="0" w:afterLines="0" w:line="240" w:lineRule="exact"/>
                    <w:ind w:firstLine="0" w:firstLineChars="0"/>
                    <w:rPr>
                      <w:rFonts w:ascii="Times New Roman"/>
                      <w:color w:val="auto"/>
                      <w:sz w:val="21"/>
                      <w:szCs w:val="21"/>
                      <w:highlight w:val="none"/>
                    </w:rPr>
                  </w:pPr>
                  <w:r>
                    <w:rPr>
                      <w:rFonts w:hint="eastAsia" w:ascii="Times New Roman"/>
                      <w:color w:val="auto"/>
                      <w:sz w:val="21"/>
                      <w:szCs w:val="21"/>
                      <w:highlight w:val="none"/>
                    </w:rPr>
                    <w:t>频次</w:t>
                  </w:r>
                </w:p>
              </w:tc>
              <w:tc>
                <w:tcPr>
                  <w:tcW w:w="549" w:type="pct"/>
                  <w:vAlign w:val="center"/>
                </w:tcPr>
                <w:p w14:paraId="3181EB55">
                  <w:pPr>
                    <w:widowControl/>
                    <w:spacing w:line="320" w:lineRule="exact"/>
                    <w:ind w:firstLine="0" w:firstLineChars="0"/>
                    <w:jc w:val="center"/>
                    <w:rPr>
                      <w:color w:val="auto"/>
                      <w:sz w:val="21"/>
                      <w:szCs w:val="21"/>
                      <w:highlight w:val="none"/>
                    </w:rPr>
                  </w:pPr>
                  <w:r>
                    <w:rPr>
                      <w:color w:val="auto"/>
                      <w:kern w:val="0"/>
                      <w:sz w:val="21"/>
                      <w:szCs w:val="21"/>
                      <w:highlight w:val="none"/>
                    </w:rPr>
                    <w:t>污染物</w:t>
                  </w:r>
                </w:p>
              </w:tc>
              <w:tc>
                <w:tcPr>
                  <w:tcW w:w="716" w:type="pct"/>
                  <w:vAlign w:val="center"/>
                </w:tcPr>
                <w:p w14:paraId="175D40A8">
                  <w:pPr>
                    <w:pStyle w:val="135"/>
                    <w:autoSpaceDE w:val="0"/>
                    <w:spacing w:beforeLines="0" w:afterLines="0" w:line="240" w:lineRule="exact"/>
                    <w:ind w:firstLine="0" w:firstLineChars="0"/>
                    <w:rPr>
                      <w:color w:val="auto"/>
                      <w:sz w:val="21"/>
                      <w:szCs w:val="21"/>
                      <w:highlight w:val="none"/>
                    </w:rPr>
                  </w:pPr>
                  <w:r>
                    <w:rPr>
                      <w:rFonts w:hint="eastAsia" w:ascii="Times New Roman"/>
                      <w:color w:val="auto"/>
                      <w:sz w:val="21"/>
                      <w:szCs w:val="21"/>
                      <w:highlight w:val="none"/>
                    </w:rPr>
                    <w:t>排放</w:t>
                  </w:r>
                  <w:r>
                    <w:rPr>
                      <w:rFonts w:ascii="Times New Roman"/>
                      <w:color w:val="auto"/>
                      <w:sz w:val="21"/>
                      <w:szCs w:val="21"/>
                      <w:highlight w:val="none"/>
                    </w:rPr>
                    <w:t>浓度mg/m³</w:t>
                  </w:r>
                </w:p>
              </w:tc>
              <w:tc>
                <w:tcPr>
                  <w:tcW w:w="734" w:type="pct"/>
                  <w:vAlign w:val="center"/>
                </w:tcPr>
                <w:p w14:paraId="3128FE29">
                  <w:pPr>
                    <w:pStyle w:val="135"/>
                    <w:autoSpaceDE w:val="0"/>
                    <w:spacing w:beforeLines="0" w:afterLines="0" w:line="240" w:lineRule="exact"/>
                    <w:ind w:firstLine="0" w:firstLineChars="0"/>
                    <w:rPr>
                      <w:color w:val="auto"/>
                      <w:sz w:val="21"/>
                      <w:szCs w:val="21"/>
                      <w:highlight w:val="none"/>
                    </w:rPr>
                  </w:pPr>
                  <w:r>
                    <w:rPr>
                      <w:rFonts w:hint="eastAsia" w:ascii="Times New Roman"/>
                      <w:color w:val="auto"/>
                      <w:sz w:val="21"/>
                      <w:szCs w:val="21"/>
                      <w:highlight w:val="none"/>
                    </w:rPr>
                    <w:t>排放</w:t>
                  </w:r>
                  <w:r>
                    <w:rPr>
                      <w:rFonts w:ascii="Times New Roman"/>
                      <w:color w:val="auto"/>
                      <w:sz w:val="21"/>
                      <w:szCs w:val="21"/>
                      <w:highlight w:val="none"/>
                    </w:rPr>
                    <w:t>速率kg/h</w:t>
                  </w:r>
                </w:p>
              </w:tc>
              <w:tc>
                <w:tcPr>
                  <w:tcW w:w="1737" w:type="pct"/>
                  <w:vAlign w:val="center"/>
                </w:tcPr>
                <w:p w14:paraId="3F2BBAD6">
                  <w:pPr>
                    <w:spacing w:line="320" w:lineRule="exact"/>
                    <w:ind w:firstLine="0" w:firstLineChars="0"/>
                    <w:jc w:val="center"/>
                    <w:rPr>
                      <w:color w:val="auto"/>
                      <w:kern w:val="0"/>
                      <w:sz w:val="21"/>
                      <w:szCs w:val="21"/>
                      <w:highlight w:val="none"/>
                    </w:rPr>
                  </w:pPr>
                  <w:r>
                    <w:rPr>
                      <w:rFonts w:hint="eastAsia"/>
                      <w:color w:val="auto"/>
                      <w:kern w:val="0"/>
                      <w:sz w:val="21"/>
                      <w:szCs w:val="21"/>
                      <w:highlight w:val="none"/>
                    </w:rPr>
                    <w:t>措施</w:t>
                  </w:r>
                </w:p>
              </w:tc>
            </w:tr>
            <w:tr w14:paraId="73CBF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81" w:type="pct"/>
                  <w:vAlign w:val="center"/>
                </w:tcPr>
                <w:p w14:paraId="11E5F593">
                  <w:pPr>
                    <w:widowControl/>
                    <w:spacing w:line="320" w:lineRule="exact"/>
                    <w:ind w:firstLine="0" w:firstLineChars="0"/>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质检筛分除尘</w:t>
                  </w:r>
                </w:p>
              </w:tc>
              <w:tc>
                <w:tcPr>
                  <w:tcW w:w="381" w:type="pct"/>
                  <w:vAlign w:val="center"/>
                </w:tcPr>
                <w:p w14:paraId="1C16FE4D">
                  <w:pPr>
                    <w:autoSpaceDE w:val="0"/>
                    <w:spacing w:line="240" w:lineRule="exact"/>
                    <w:ind w:firstLine="0" w:firstLineChars="0"/>
                    <w:jc w:val="center"/>
                    <w:rPr>
                      <w:color w:val="auto"/>
                      <w:sz w:val="21"/>
                      <w:szCs w:val="21"/>
                      <w:highlight w:val="none"/>
                    </w:rPr>
                  </w:pPr>
                  <w:r>
                    <w:rPr>
                      <w:rFonts w:hint="eastAsia"/>
                      <w:color w:val="auto"/>
                      <w:sz w:val="21"/>
                      <w:szCs w:val="21"/>
                      <w:highlight w:val="none"/>
                    </w:rPr>
                    <w:t>1次/a</w:t>
                  </w:r>
                </w:p>
              </w:tc>
              <w:tc>
                <w:tcPr>
                  <w:tcW w:w="549" w:type="pct"/>
                  <w:vAlign w:val="center"/>
                </w:tcPr>
                <w:p w14:paraId="1B1FBBCB">
                  <w:pPr>
                    <w:pStyle w:val="135"/>
                    <w:autoSpaceDE w:val="0"/>
                    <w:spacing w:beforeLines="0" w:afterLines="0" w:line="240" w:lineRule="exact"/>
                    <w:ind w:firstLine="0" w:firstLineChars="0"/>
                    <w:rPr>
                      <w:color w:val="auto"/>
                      <w:sz w:val="21"/>
                      <w:szCs w:val="21"/>
                      <w:highlight w:val="none"/>
                    </w:rPr>
                  </w:pPr>
                  <w:r>
                    <w:rPr>
                      <w:rFonts w:ascii="Times New Roman"/>
                      <w:color w:val="auto"/>
                      <w:sz w:val="21"/>
                      <w:szCs w:val="21"/>
                      <w:highlight w:val="none"/>
                    </w:rPr>
                    <w:t>颗粒物</w:t>
                  </w:r>
                </w:p>
              </w:tc>
              <w:tc>
                <w:tcPr>
                  <w:tcW w:w="716" w:type="pct"/>
                  <w:vAlign w:val="center"/>
                </w:tcPr>
                <w:p w14:paraId="4BD2877F">
                  <w:pPr>
                    <w:pStyle w:val="135"/>
                    <w:autoSpaceDE w:val="0"/>
                    <w:spacing w:beforeLines="0" w:afterLines="0" w:line="240" w:lineRule="exact"/>
                    <w:ind w:firstLine="0" w:firstLineChars="0"/>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cs="Times New Roman"/>
                      <w:color w:val="auto"/>
                      <w:kern w:val="2"/>
                      <w:sz w:val="21"/>
                      <w:szCs w:val="21"/>
                      <w:highlight w:val="none"/>
                      <w:lang w:val="en-US" w:eastAsia="zh-CN" w:bidi="ar-SA"/>
                    </w:rPr>
                    <w:t>10.72</w:t>
                  </w:r>
                </w:p>
              </w:tc>
              <w:tc>
                <w:tcPr>
                  <w:tcW w:w="734" w:type="pct"/>
                  <w:vAlign w:val="center"/>
                </w:tcPr>
                <w:p w14:paraId="115101C2">
                  <w:pPr>
                    <w:pStyle w:val="135"/>
                    <w:autoSpaceDE w:val="0"/>
                    <w:spacing w:beforeLines="0" w:afterLines="0" w:line="240" w:lineRule="exact"/>
                    <w:ind w:firstLine="0" w:firstLineChars="0"/>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cs="Times New Roman"/>
                      <w:color w:val="auto"/>
                      <w:kern w:val="2"/>
                      <w:sz w:val="21"/>
                      <w:szCs w:val="21"/>
                      <w:highlight w:val="none"/>
                      <w:lang w:val="en-US" w:eastAsia="zh-CN" w:bidi="ar-SA"/>
                    </w:rPr>
                    <w:t>2.448</w:t>
                  </w:r>
                </w:p>
              </w:tc>
              <w:tc>
                <w:tcPr>
                  <w:tcW w:w="1737" w:type="pct"/>
                  <w:vAlign w:val="center"/>
                </w:tcPr>
                <w:p w14:paraId="0835A3C8">
                  <w:pPr>
                    <w:autoSpaceDE w:val="0"/>
                    <w:spacing w:line="240" w:lineRule="exact"/>
                    <w:ind w:firstLine="0" w:firstLineChars="0"/>
                    <w:jc w:val="center"/>
                    <w:rPr>
                      <w:color w:val="auto"/>
                      <w:sz w:val="21"/>
                      <w:szCs w:val="21"/>
                      <w:highlight w:val="none"/>
                    </w:rPr>
                  </w:pPr>
                  <w:r>
                    <w:rPr>
                      <w:rFonts w:hint="eastAsia"/>
                      <w:color w:val="auto"/>
                      <w:sz w:val="21"/>
                      <w:szCs w:val="21"/>
                      <w:highlight w:val="none"/>
                    </w:rPr>
                    <w:t>停止生产，修复废气治理设备；待废气治理设备恢复后尚能启动生产。</w:t>
                  </w:r>
                </w:p>
              </w:tc>
            </w:tr>
          </w:tbl>
          <w:p w14:paraId="52A98904">
            <w:pPr>
              <w:adjustRightInd w:val="0"/>
              <w:snapToGrid w:val="0"/>
              <w:spacing w:line="480" w:lineRule="exact"/>
              <w:ind w:firstLine="480"/>
              <w:rPr>
                <w:color w:val="auto"/>
                <w:sz w:val="21"/>
                <w:szCs w:val="21"/>
                <w:highlight w:val="none"/>
              </w:rPr>
            </w:pPr>
            <w:r>
              <w:rPr>
                <w:rFonts w:hint="eastAsia"/>
                <w:color w:val="auto"/>
                <w:sz w:val="21"/>
                <w:szCs w:val="21"/>
                <w:highlight w:val="none"/>
                <w:lang w:val="en-US" w:eastAsia="zh-CN"/>
              </w:rPr>
              <w:t>1.4</w:t>
            </w:r>
            <w:r>
              <w:rPr>
                <w:rFonts w:hint="eastAsia"/>
                <w:color w:val="auto"/>
                <w:sz w:val="21"/>
                <w:szCs w:val="21"/>
                <w:highlight w:val="none"/>
              </w:rPr>
              <w:t>排放口基本情况及排放标准</w:t>
            </w:r>
          </w:p>
          <w:p w14:paraId="3995E229">
            <w:pPr>
              <w:spacing w:line="480" w:lineRule="exact"/>
              <w:ind w:firstLine="480"/>
              <w:rPr>
                <w:rFonts w:hAnsi="宋体"/>
                <w:color w:val="auto"/>
                <w:sz w:val="21"/>
                <w:szCs w:val="21"/>
                <w:highlight w:val="none"/>
              </w:rPr>
            </w:pPr>
            <w:r>
              <w:rPr>
                <w:rFonts w:hint="eastAsia" w:hAnsi="宋体"/>
                <w:color w:val="auto"/>
                <w:sz w:val="21"/>
                <w:szCs w:val="21"/>
                <w:highlight w:val="none"/>
              </w:rPr>
              <w:t>本项目排放口基本情况见下表</w:t>
            </w:r>
            <w:r>
              <w:rPr>
                <w:rFonts w:hint="eastAsia" w:hAnsi="宋体"/>
                <w:color w:val="auto"/>
                <w:sz w:val="21"/>
                <w:szCs w:val="21"/>
                <w:highlight w:val="none"/>
                <w:lang w:val="en-US" w:eastAsia="zh-CN"/>
              </w:rPr>
              <w:t>4-10</w:t>
            </w:r>
            <w:r>
              <w:rPr>
                <w:rFonts w:hint="eastAsia" w:hAnsi="宋体"/>
                <w:color w:val="auto"/>
                <w:sz w:val="21"/>
                <w:szCs w:val="21"/>
                <w:highlight w:val="none"/>
              </w:rPr>
              <w:t>。</w:t>
            </w:r>
          </w:p>
          <w:p w14:paraId="5CF55555">
            <w:pPr>
              <w:pStyle w:val="1732"/>
              <w:tabs>
                <w:tab w:val="left" w:pos="240"/>
              </w:tabs>
              <w:adjustRightInd w:val="0"/>
              <w:snapToGrid w:val="0"/>
              <w:spacing w:line="480" w:lineRule="exact"/>
              <w:ind w:firstLine="0" w:firstLineChars="0"/>
              <w:jc w:val="center"/>
              <w:rPr>
                <w:b/>
                <w:bCs/>
                <w:color w:val="auto"/>
                <w:sz w:val="21"/>
                <w:szCs w:val="21"/>
                <w:highlight w:val="none"/>
              </w:rPr>
            </w:pPr>
            <w:r>
              <w:rPr>
                <w:b/>
                <w:bCs/>
                <w:color w:val="auto"/>
                <w:sz w:val="21"/>
                <w:szCs w:val="21"/>
                <w:highlight w:val="none"/>
              </w:rPr>
              <w:t>表</w:t>
            </w:r>
            <w:r>
              <w:rPr>
                <w:rFonts w:hint="eastAsia"/>
                <w:b/>
                <w:bCs/>
                <w:color w:val="auto"/>
                <w:sz w:val="21"/>
                <w:szCs w:val="21"/>
                <w:highlight w:val="none"/>
                <w:lang w:val="en-US" w:eastAsia="zh-CN"/>
              </w:rPr>
              <w:t>4-10</w:t>
            </w:r>
            <w:r>
              <w:rPr>
                <w:rFonts w:hint="eastAsia"/>
                <w:b/>
                <w:bCs/>
                <w:color w:val="auto"/>
                <w:sz w:val="21"/>
                <w:szCs w:val="21"/>
                <w:highlight w:val="none"/>
              </w:rPr>
              <w:t xml:space="preserve">  </w:t>
            </w:r>
            <w:r>
              <w:rPr>
                <w:b/>
                <w:bCs/>
                <w:color w:val="auto"/>
                <w:sz w:val="21"/>
                <w:szCs w:val="21"/>
                <w:highlight w:val="none"/>
              </w:rPr>
              <w:t xml:space="preserve">  本项目排放口基本情况</w:t>
            </w:r>
            <w:r>
              <w:rPr>
                <w:rFonts w:hint="eastAsia"/>
                <w:b/>
                <w:bCs/>
                <w:color w:val="auto"/>
                <w:sz w:val="21"/>
                <w:szCs w:val="21"/>
                <w:highlight w:val="none"/>
              </w:rPr>
              <w:t>表</w:t>
            </w:r>
          </w:p>
          <w:tbl>
            <w:tblPr>
              <w:tblStyle w:val="84"/>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7"/>
              <w:gridCol w:w="781"/>
              <w:gridCol w:w="1108"/>
              <w:gridCol w:w="989"/>
              <w:gridCol w:w="1090"/>
              <w:gridCol w:w="1052"/>
              <w:gridCol w:w="882"/>
              <w:gridCol w:w="816"/>
              <w:gridCol w:w="816"/>
            </w:tblGrid>
            <w:tr w14:paraId="5AB8F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5" w:type="pct"/>
                  <w:vMerge w:val="restart"/>
                  <w:vAlign w:val="center"/>
                </w:tcPr>
                <w:p w14:paraId="144921D0">
                  <w:pPr>
                    <w:widowControl/>
                    <w:tabs>
                      <w:tab w:val="left" w:pos="240"/>
                    </w:tabs>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排放口编号</w:t>
                  </w:r>
                </w:p>
              </w:tc>
              <w:tc>
                <w:tcPr>
                  <w:tcW w:w="473" w:type="pct"/>
                  <w:vMerge w:val="restart"/>
                  <w:vAlign w:val="center"/>
                </w:tcPr>
                <w:p w14:paraId="786714A6">
                  <w:pPr>
                    <w:widowControl/>
                    <w:tabs>
                      <w:tab w:val="left" w:pos="240"/>
                    </w:tabs>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污染物种类</w:t>
                  </w:r>
                </w:p>
              </w:tc>
              <w:tc>
                <w:tcPr>
                  <w:tcW w:w="1270" w:type="pct"/>
                  <w:gridSpan w:val="2"/>
                  <w:vAlign w:val="center"/>
                </w:tcPr>
                <w:p w14:paraId="79B34A05">
                  <w:pPr>
                    <w:widowControl/>
                    <w:tabs>
                      <w:tab w:val="left" w:pos="240"/>
                    </w:tabs>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排放口地理坐标</w:t>
                  </w:r>
                </w:p>
              </w:tc>
              <w:tc>
                <w:tcPr>
                  <w:tcW w:w="660" w:type="pct"/>
                  <w:vMerge w:val="restart"/>
                  <w:vAlign w:val="center"/>
                </w:tcPr>
                <w:p w14:paraId="00687793">
                  <w:pPr>
                    <w:widowControl/>
                    <w:tabs>
                      <w:tab w:val="left" w:pos="240"/>
                    </w:tabs>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排气筒高度m</w:t>
                  </w:r>
                </w:p>
              </w:tc>
              <w:tc>
                <w:tcPr>
                  <w:tcW w:w="637" w:type="pct"/>
                  <w:vMerge w:val="restart"/>
                  <w:vAlign w:val="center"/>
                </w:tcPr>
                <w:p w14:paraId="29FF3BF1">
                  <w:pPr>
                    <w:widowControl/>
                    <w:tabs>
                      <w:tab w:val="left" w:pos="240"/>
                    </w:tabs>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排气筒出口内径m</w:t>
                  </w:r>
                </w:p>
              </w:tc>
              <w:tc>
                <w:tcPr>
                  <w:tcW w:w="534" w:type="pct"/>
                  <w:vMerge w:val="restart"/>
                  <w:vAlign w:val="center"/>
                </w:tcPr>
                <w:p w14:paraId="02C56EB5">
                  <w:pPr>
                    <w:widowControl/>
                    <w:tabs>
                      <w:tab w:val="left" w:pos="240"/>
                    </w:tabs>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排气温度℃</w:t>
                  </w:r>
                </w:p>
              </w:tc>
              <w:tc>
                <w:tcPr>
                  <w:tcW w:w="494" w:type="pct"/>
                  <w:vMerge w:val="restart"/>
                  <w:vAlign w:val="center"/>
                </w:tcPr>
                <w:p w14:paraId="4613EC18">
                  <w:pPr>
                    <w:widowControl/>
                    <w:tabs>
                      <w:tab w:val="left" w:pos="240"/>
                    </w:tabs>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类型</w:t>
                  </w:r>
                </w:p>
              </w:tc>
              <w:tc>
                <w:tcPr>
                  <w:tcW w:w="494" w:type="pct"/>
                  <w:vMerge w:val="restart"/>
                  <w:vAlign w:val="center"/>
                </w:tcPr>
                <w:p w14:paraId="0CFDAC6F">
                  <w:pPr>
                    <w:widowControl/>
                    <w:tabs>
                      <w:tab w:val="left" w:pos="240"/>
                    </w:tabs>
                    <w:spacing w:line="320" w:lineRule="exact"/>
                    <w:ind w:firstLine="0" w:firstLineChars="0"/>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排放时间(h/a)</w:t>
                  </w:r>
                </w:p>
              </w:tc>
            </w:tr>
            <w:tr w14:paraId="1C124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435" w:type="pct"/>
                  <w:vMerge w:val="continue"/>
                  <w:vAlign w:val="center"/>
                </w:tcPr>
                <w:p w14:paraId="694FC71E">
                  <w:pPr>
                    <w:widowControl/>
                    <w:tabs>
                      <w:tab w:val="left" w:pos="240"/>
                    </w:tabs>
                    <w:spacing w:line="320" w:lineRule="exact"/>
                    <w:ind w:firstLine="0" w:firstLineChars="0"/>
                    <w:jc w:val="center"/>
                    <w:rPr>
                      <w:color w:val="auto"/>
                      <w:kern w:val="0"/>
                      <w:sz w:val="21"/>
                      <w:szCs w:val="21"/>
                      <w:highlight w:val="none"/>
                      <w:lang w:val="en-GB"/>
                    </w:rPr>
                  </w:pPr>
                </w:p>
              </w:tc>
              <w:tc>
                <w:tcPr>
                  <w:tcW w:w="473" w:type="pct"/>
                  <w:vMerge w:val="continue"/>
                  <w:vAlign w:val="center"/>
                </w:tcPr>
                <w:p w14:paraId="3D9C1196">
                  <w:pPr>
                    <w:widowControl/>
                    <w:tabs>
                      <w:tab w:val="left" w:pos="240"/>
                    </w:tabs>
                    <w:spacing w:line="320" w:lineRule="exact"/>
                    <w:ind w:firstLine="0" w:firstLineChars="0"/>
                    <w:jc w:val="center"/>
                    <w:rPr>
                      <w:color w:val="auto"/>
                      <w:kern w:val="0"/>
                      <w:sz w:val="21"/>
                      <w:szCs w:val="21"/>
                      <w:highlight w:val="none"/>
                      <w:lang w:val="en-GB"/>
                    </w:rPr>
                  </w:pPr>
                </w:p>
              </w:tc>
              <w:tc>
                <w:tcPr>
                  <w:tcW w:w="671" w:type="pct"/>
                  <w:vAlign w:val="center"/>
                </w:tcPr>
                <w:p w14:paraId="3DE08F35">
                  <w:pPr>
                    <w:widowControl/>
                    <w:tabs>
                      <w:tab w:val="left" w:pos="240"/>
                    </w:tabs>
                    <w:spacing w:line="320" w:lineRule="exact"/>
                    <w:ind w:firstLine="0" w:firstLineChars="0"/>
                    <w:jc w:val="center"/>
                    <w:rPr>
                      <w:rFonts w:hint="eastAsia" w:eastAsia="宋体"/>
                      <w:color w:val="auto"/>
                      <w:kern w:val="0"/>
                      <w:sz w:val="21"/>
                      <w:szCs w:val="21"/>
                      <w:highlight w:val="none"/>
                      <w:lang w:val="en-GB" w:eastAsia="zh-CN"/>
                    </w:rPr>
                  </w:pPr>
                  <w:r>
                    <w:rPr>
                      <w:color w:val="auto"/>
                      <w:kern w:val="0"/>
                      <w:sz w:val="21"/>
                      <w:szCs w:val="21"/>
                      <w:highlight w:val="none"/>
                      <w:lang w:val="en-GB"/>
                    </w:rPr>
                    <w:t>经度</w:t>
                  </w:r>
                  <w:r>
                    <w:rPr>
                      <w:rFonts w:hint="eastAsia"/>
                      <w:color w:val="auto"/>
                      <w:kern w:val="0"/>
                      <w:sz w:val="21"/>
                      <w:szCs w:val="21"/>
                      <w:highlight w:val="none"/>
                      <w:lang w:val="en-US" w:eastAsia="zh-CN"/>
                    </w:rPr>
                    <w:t>(°)</w:t>
                  </w:r>
                </w:p>
              </w:tc>
              <w:tc>
                <w:tcPr>
                  <w:tcW w:w="599" w:type="pct"/>
                  <w:vAlign w:val="center"/>
                </w:tcPr>
                <w:p w14:paraId="75703A00">
                  <w:pPr>
                    <w:widowControl/>
                    <w:tabs>
                      <w:tab w:val="left" w:pos="240"/>
                    </w:tabs>
                    <w:spacing w:line="320" w:lineRule="exact"/>
                    <w:ind w:firstLine="0" w:firstLineChars="0"/>
                    <w:jc w:val="center"/>
                    <w:rPr>
                      <w:rFonts w:hint="eastAsia" w:eastAsia="宋体"/>
                      <w:color w:val="auto"/>
                      <w:kern w:val="0"/>
                      <w:sz w:val="21"/>
                      <w:szCs w:val="21"/>
                      <w:highlight w:val="none"/>
                      <w:lang w:val="en-GB" w:eastAsia="zh-CN"/>
                    </w:rPr>
                  </w:pPr>
                  <w:r>
                    <w:rPr>
                      <w:color w:val="auto"/>
                      <w:kern w:val="0"/>
                      <w:sz w:val="21"/>
                      <w:szCs w:val="21"/>
                      <w:highlight w:val="none"/>
                      <w:lang w:val="en-GB"/>
                    </w:rPr>
                    <w:t>纬度</w:t>
                  </w:r>
                  <w:r>
                    <w:rPr>
                      <w:rFonts w:hint="eastAsia"/>
                      <w:color w:val="auto"/>
                      <w:kern w:val="0"/>
                      <w:sz w:val="21"/>
                      <w:szCs w:val="21"/>
                      <w:highlight w:val="none"/>
                      <w:lang w:val="en-US" w:eastAsia="zh-CN"/>
                    </w:rPr>
                    <w:t>(°)</w:t>
                  </w:r>
                </w:p>
              </w:tc>
              <w:tc>
                <w:tcPr>
                  <w:tcW w:w="660" w:type="pct"/>
                  <w:vMerge w:val="continue"/>
                  <w:vAlign w:val="center"/>
                </w:tcPr>
                <w:p w14:paraId="5C907473">
                  <w:pPr>
                    <w:widowControl/>
                    <w:tabs>
                      <w:tab w:val="left" w:pos="240"/>
                    </w:tabs>
                    <w:spacing w:line="320" w:lineRule="exact"/>
                    <w:ind w:firstLine="0" w:firstLineChars="0"/>
                    <w:jc w:val="center"/>
                    <w:rPr>
                      <w:color w:val="auto"/>
                      <w:kern w:val="0"/>
                      <w:sz w:val="21"/>
                      <w:szCs w:val="21"/>
                      <w:highlight w:val="none"/>
                      <w:lang w:val="en-GB"/>
                    </w:rPr>
                  </w:pPr>
                </w:p>
              </w:tc>
              <w:tc>
                <w:tcPr>
                  <w:tcW w:w="637" w:type="pct"/>
                  <w:vMerge w:val="continue"/>
                  <w:vAlign w:val="center"/>
                </w:tcPr>
                <w:p w14:paraId="7F15D6E7">
                  <w:pPr>
                    <w:widowControl/>
                    <w:tabs>
                      <w:tab w:val="left" w:pos="240"/>
                    </w:tabs>
                    <w:spacing w:line="320" w:lineRule="exact"/>
                    <w:ind w:firstLine="0" w:firstLineChars="0"/>
                    <w:jc w:val="center"/>
                    <w:rPr>
                      <w:color w:val="auto"/>
                      <w:kern w:val="0"/>
                      <w:sz w:val="21"/>
                      <w:szCs w:val="21"/>
                      <w:highlight w:val="none"/>
                      <w:lang w:val="en-GB"/>
                    </w:rPr>
                  </w:pPr>
                </w:p>
              </w:tc>
              <w:tc>
                <w:tcPr>
                  <w:tcW w:w="534" w:type="pct"/>
                  <w:vMerge w:val="continue"/>
                  <w:vAlign w:val="center"/>
                </w:tcPr>
                <w:p w14:paraId="2749BE11">
                  <w:pPr>
                    <w:widowControl/>
                    <w:tabs>
                      <w:tab w:val="left" w:pos="240"/>
                    </w:tabs>
                    <w:spacing w:line="320" w:lineRule="exact"/>
                    <w:ind w:firstLine="0" w:firstLineChars="0"/>
                    <w:jc w:val="center"/>
                    <w:rPr>
                      <w:color w:val="auto"/>
                      <w:kern w:val="0"/>
                      <w:sz w:val="21"/>
                      <w:szCs w:val="21"/>
                      <w:highlight w:val="none"/>
                      <w:lang w:val="en-GB"/>
                    </w:rPr>
                  </w:pPr>
                </w:p>
              </w:tc>
              <w:tc>
                <w:tcPr>
                  <w:tcW w:w="494" w:type="pct"/>
                  <w:vMerge w:val="continue"/>
                  <w:vAlign w:val="center"/>
                </w:tcPr>
                <w:p w14:paraId="3542E602">
                  <w:pPr>
                    <w:widowControl/>
                    <w:tabs>
                      <w:tab w:val="left" w:pos="240"/>
                    </w:tabs>
                    <w:spacing w:line="320" w:lineRule="exact"/>
                    <w:ind w:firstLine="0" w:firstLineChars="0"/>
                    <w:jc w:val="center"/>
                    <w:rPr>
                      <w:color w:val="auto"/>
                      <w:kern w:val="0"/>
                      <w:sz w:val="21"/>
                      <w:szCs w:val="21"/>
                      <w:highlight w:val="none"/>
                      <w:lang w:val="en-GB"/>
                    </w:rPr>
                  </w:pPr>
                </w:p>
              </w:tc>
              <w:tc>
                <w:tcPr>
                  <w:tcW w:w="494" w:type="pct"/>
                  <w:vMerge w:val="continue"/>
                  <w:vAlign w:val="center"/>
                </w:tcPr>
                <w:p w14:paraId="3CF8A483">
                  <w:pPr>
                    <w:widowControl/>
                    <w:tabs>
                      <w:tab w:val="left" w:pos="240"/>
                    </w:tabs>
                    <w:spacing w:line="320" w:lineRule="exact"/>
                    <w:ind w:firstLine="0" w:firstLineChars="0"/>
                    <w:jc w:val="center"/>
                    <w:rPr>
                      <w:color w:val="auto"/>
                      <w:kern w:val="0"/>
                      <w:sz w:val="21"/>
                      <w:szCs w:val="21"/>
                      <w:highlight w:val="none"/>
                      <w:lang w:val="en-GB"/>
                    </w:rPr>
                  </w:pPr>
                </w:p>
              </w:tc>
            </w:tr>
            <w:tr w14:paraId="02F0A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35" w:type="pct"/>
                  <w:vAlign w:val="center"/>
                </w:tcPr>
                <w:p w14:paraId="0EDB4FE0">
                  <w:pPr>
                    <w:widowControl/>
                    <w:tabs>
                      <w:tab w:val="left" w:pos="240"/>
                    </w:tabs>
                    <w:spacing w:line="320" w:lineRule="exact"/>
                    <w:ind w:firstLine="0" w:firstLineChars="0"/>
                    <w:jc w:val="center"/>
                    <w:rPr>
                      <w:color w:val="auto"/>
                      <w:kern w:val="0"/>
                      <w:sz w:val="21"/>
                      <w:szCs w:val="21"/>
                      <w:highlight w:val="none"/>
                    </w:rPr>
                  </w:pPr>
                  <w:r>
                    <w:rPr>
                      <w:rFonts w:hint="eastAsia"/>
                      <w:color w:val="auto"/>
                      <w:kern w:val="0"/>
                      <w:sz w:val="21"/>
                      <w:szCs w:val="21"/>
                      <w:highlight w:val="none"/>
                      <w:lang w:val="en-US" w:eastAsia="zh-CN"/>
                    </w:rPr>
                    <w:t>DA073</w:t>
                  </w:r>
                </w:p>
              </w:tc>
              <w:tc>
                <w:tcPr>
                  <w:tcW w:w="473" w:type="pct"/>
                  <w:vAlign w:val="center"/>
                </w:tcPr>
                <w:p w14:paraId="49F8948D">
                  <w:pPr>
                    <w:widowControl/>
                    <w:tabs>
                      <w:tab w:val="left" w:pos="240"/>
                    </w:tabs>
                    <w:spacing w:line="320" w:lineRule="exact"/>
                    <w:ind w:firstLine="0" w:firstLineChars="0"/>
                    <w:jc w:val="center"/>
                    <w:rPr>
                      <w:color w:val="auto"/>
                      <w:kern w:val="0"/>
                      <w:sz w:val="21"/>
                      <w:szCs w:val="21"/>
                      <w:highlight w:val="none"/>
                    </w:rPr>
                  </w:pPr>
                  <w:r>
                    <w:rPr>
                      <w:color w:val="auto"/>
                      <w:kern w:val="0"/>
                      <w:sz w:val="21"/>
                      <w:szCs w:val="21"/>
                      <w:highlight w:val="none"/>
                    </w:rPr>
                    <w:t>颗粒物</w:t>
                  </w:r>
                </w:p>
              </w:tc>
              <w:tc>
                <w:tcPr>
                  <w:tcW w:w="671" w:type="pct"/>
                  <w:vAlign w:val="center"/>
                </w:tcPr>
                <w:p w14:paraId="7672D773">
                  <w:pPr>
                    <w:widowControl/>
                    <w:tabs>
                      <w:tab w:val="left" w:pos="240"/>
                    </w:tabs>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118.564629</w:t>
                  </w:r>
                </w:p>
              </w:tc>
              <w:tc>
                <w:tcPr>
                  <w:tcW w:w="599" w:type="pct"/>
                  <w:vAlign w:val="center"/>
                </w:tcPr>
                <w:p w14:paraId="629CF017">
                  <w:pPr>
                    <w:widowControl/>
                    <w:tabs>
                      <w:tab w:val="left" w:pos="240"/>
                    </w:tabs>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39.942324</w:t>
                  </w:r>
                </w:p>
              </w:tc>
              <w:tc>
                <w:tcPr>
                  <w:tcW w:w="660" w:type="pct"/>
                  <w:vAlign w:val="center"/>
                </w:tcPr>
                <w:p w14:paraId="5DDDD91F">
                  <w:pPr>
                    <w:widowControl/>
                    <w:tabs>
                      <w:tab w:val="left" w:pos="240"/>
                    </w:tabs>
                    <w:spacing w:line="320" w:lineRule="exact"/>
                    <w:ind w:firstLine="0" w:firstLineChars="0"/>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24</w:t>
                  </w:r>
                </w:p>
              </w:tc>
              <w:tc>
                <w:tcPr>
                  <w:tcW w:w="637" w:type="pct"/>
                  <w:vAlign w:val="center"/>
                </w:tcPr>
                <w:p w14:paraId="1DB49E9D">
                  <w:pPr>
                    <w:widowControl/>
                    <w:tabs>
                      <w:tab w:val="left" w:pos="240"/>
                    </w:tabs>
                    <w:spacing w:line="320" w:lineRule="exact"/>
                    <w:ind w:firstLine="0" w:firstLineChars="0"/>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2.4</w:t>
                  </w:r>
                </w:p>
              </w:tc>
              <w:tc>
                <w:tcPr>
                  <w:tcW w:w="534" w:type="pct"/>
                  <w:vAlign w:val="center"/>
                </w:tcPr>
                <w:p w14:paraId="0D5D2B81">
                  <w:pPr>
                    <w:widowControl/>
                    <w:tabs>
                      <w:tab w:val="left" w:pos="240"/>
                    </w:tabs>
                    <w:spacing w:line="320" w:lineRule="exact"/>
                    <w:ind w:firstLine="0" w:firstLineChars="0"/>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20</w:t>
                  </w:r>
                </w:p>
              </w:tc>
              <w:tc>
                <w:tcPr>
                  <w:tcW w:w="494" w:type="pct"/>
                  <w:vAlign w:val="center"/>
                </w:tcPr>
                <w:p w14:paraId="62198CEE">
                  <w:pPr>
                    <w:widowControl/>
                    <w:tabs>
                      <w:tab w:val="left" w:pos="240"/>
                    </w:tabs>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有组织</w:t>
                  </w:r>
                </w:p>
              </w:tc>
              <w:tc>
                <w:tcPr>
                  <w:tcW w:w="494" w:type="pct"/>
                  <w:vAlign w:val="center"/>
                </w:tcPr>
                <w:p w14:paraId="002D439F">
                  <w:pPr>
                    <w:widowControl/>
                    <w:tabs>
                      <w:tab w:val="left" w:pos="240"/>
                    </w:tabs>
                    <w:spacing w:line="320" w:lineRule="exact"/>
                    <w:ind w:firstLine="0" w:firstLineChars="0"/>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7200</w:t>
                  </w:r>
                </w:p>
              </w:tc>
            </w:tr>
          </w:tbl>
          <w:p w14:paraId="7906F3E9">
            <w:pPr>
              <w:spacing w:line="480" w:lineRule="exact"/>
              <w:ind w:firstLine="480"/>
              <w:rPr>
                <w:rFonts w:hAnsi="宋体"/>
                <w:color w:val="auto"/>
                <w:sz w:val="21"/>
                <w:szCs w:val="21"/>
                <w:highlight w:val="none"/>
              </w:rPr>
            </w:pPr>
            <w:r>
              <w:rPr>
                <w:rFonts w:hint="eastAsia" w:hAnsi="宋体"/>
                <w:color w:val="auto"/>
                <w:sz w:val="21"/>
                <w:szCs w:val="21"/>
                <w:highlight w:val="none"/>
              </w:rPr>
              <w:t>本项目废气排放标准见下表</w:t>
            </w:r>
            <w:r>
              <w:rPr>
                <w:rFonts w:hint="eastAsia" w:hAnsi="宋体"/>
                <w:color w:val="auto"/>
                <w:sz w:val="21"/>
                <w:szCs w:val="21"/>
                <w:highlight w:val="none"/>
                <w:lang w:val="en-US" w:eastAsia="zh-CN"/>
              </w:rPr>
              <w:t>4-11</w:t>
            </w:r>
            <w:r>
              <w:rPr>
                <w:rFonts w:hint="eastAsia" w:hAnsi="宋体"/>
                <w:color w:val="auto"/>
                <w:sz w:val="21"/>
                <w:szCs w:val="21"/>
                <w:highlight w:val="none"/>
              </w:rPr>
              <w:t>。</w:t>
            </w:r>
          </w:p>
          <w:p w14:paraId="62EB3031">
            <w:pPr>
              <w:adjustRightInd w:val="0"/>
              <w:snapToGrid w:val="0"/>
              <w:spacing w:line="480" w:lineRule="exact"/>
              <w:ind w:firstLine="482"/>
              <w:jc w:val="center"/>
              <w:rPr>
                <w:color w:val="auto"/>
                <w:sz w:val="21"/>
                <w:szCs w:val="21"/>
                <w:highlight w:val="none"/>
                <w:lang w:val="en-GB"/>
              </w:rPr>
            </w:pPr>
            <w:r>
              <w:rPr>
                <w:b/>
                <w:color w:val="auto"/>
                <w:sz w:val="21"/>
                <w:szCs w:val="21"/>
                <w:highlight w:val="none"/>
              </w:rPr>
              <w:t>表</w:t>
            </w:r>
            <w:r>
              <w:rPr>
                <w:rFonts w:hint="eastAsia"/>
                <w:b/>
                <w:color w:val="auto"/>
                <w:sz w:val="21"/>
                <w:szCs w:val="21"/>
                <w:highlight w:val="none"/>
                <w:lang w:val="en-US" w:eastAsia="zh-CN"/>
              </w:rPr>
              <w:t>4-11</w:t>
            </w:r>
            <w:r>
              <w:rPr>
                <w:rFonts w:hint="eastAsia"/>
                <w:b/>
                <w:color w:val="auto"/>
                <w:sz w:val="21"/>
                <w:szCs w:val="21"/>
                <w:highlight w:val="none"/>
              </w:rPr>
              <w:t xml:space="preserve">  </w:t>
            </w:r>
            <w:r>
              <w:rPr>
                <w:b/>
                <w:color w:val="auto"/>
                <w:sz w:val="21"/>
                <w:szCs w:val="21"/>
                <w:highlight w:val="none"/>
              </w:rPr>
              <w:t xml:space="preserve">  </w:t>
            </w:r>
            <w:r>
              <w:rPr>
                <w:rFonts w:hint="eastAsia"/>
                <w:b/>
                <w:color w:val="auto"/>
                <w:sz w:val="21"/>
                <w:szCs w:val="21"/>
                <w:highlight w:val="none"/>
              </w:rPr>
              <w:t>废气污染物排放执行标准信息表</w:t>
            </w:r>
          </w:p>
          <w:tbl>
            <w:tblPr>
              <w:tblStyle w:val="84"/>
              <w:tblW w:w="495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0"/>
              <w:gridCol w:w="637"/>
              <w:gridCol w:w="4921"/>
              <w:gridCol w:w="1068"/>
              <w:gridCol w:w="914"/>
            </w:tblGrid>
            <w:tr w14:paraId="2B714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391" w:type="pct"/>
                  <w:vMerge w:val="restart"/>
                  <w:vAlign w:val="center"/>
                </w:tcPr>
                <w:p w14:paraId="42D39A2D">
                  <w:pPr>
                    <w:widowControl/>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排放口编号</w:t>
                  </w:r>
                </w:p>
              </w:tc>
              <w:tc>
                <w:tcPr>
                  <w:tcW w:w="389" w:type="pct"/>
                  <w:vMerge w:val="restart"/>
                  <w:vAlign w:val="center"/>
                </w:tcPr>
                <w:p w14:paraId="406E2FDC">
                  <w:pPr>
                    <w:widowControl/>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污染物种类</w:t>
                  </w:r>
                </w:p>
              </w:tc>
              <w:tc>
                <w:tcPr>
                  <w:tcW w:w="4219" w:type="pct"/>
                  <w:gridSpan w:val="3"/>
                  <w:vAlign w:val="center"/>
                </w:tcPr>
                <w:p w14:paraId="54B3E761">
                  <w:pPr>
                    <w:widowControl/>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国家或地方污染物排放标准</w:t>
                  </w:r>
                </w:p>
              </w:tc>
            </w:tr>
            <w:tr w14:paraId="7815E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391" w:type="pct"/>
                  <w:vMerge w:val="continue"/>
                  <w:vAlign w:val="center"/>
                </w:tcPr>
                <w:p w14:paraId="30295009">
                  <w:pPr>
                    <w:widowControl/>
                    <w:spacing w:line="320" w:lineRule="exact"/>
                    <w:ind w:firstLine="0" w:firstLineChars="0"/>
                    <w:jc w:val="center"/>
                    <w:rPr>
                      <w:color w:val="auto"/>
                      <w:kern w:val="0"/>
                      <w:sz w:val="21"/>
                      <w:szCs w:val="21"/>
                      <w:highlight w:val="none"/>
                      <w:lang w:val="en-GB"/>
                    </w:rPr>
                  </w:pPr>
                </w:p>
              </w:tc>
              <w:tc>
                <w:tcPr>
                  <w:tcW w:w="389" w:type="pct"/>
                  <w:vMerge w:val="continue"/>
                  <w:vAlign w:val="center"/>
                </w:tcPr>
                <w:p w14:paraId="1E8BBA5C">
                  <w:pPr>
                    <w:widowControl/>
                    <w:spacing w:line="320" w:lineRule="exact"/>
                    <w:ind w:firstLine="0" w:firstLineChars="0"/>
                    <w:jc w:val="center"/>
                    <w:rPr>
                      <w:color w:val="auto"/>
                      <w:kern w:val="0"/>
                      <w:sz w:val="21"/>
                      <w:szCs w:val="21"/>
                      <w:highlight w:val="none"/>
                      <w:lang w:val="en-GB"/>
                    </w:rPr>
                  </w:pPr>
                </w:p>
              </w:tc>
              <w:tc>
                <w:tcPr>
                  <w:tcW w:w="3007" w:type="pct"/>
                  <w:vAlign w:val="center"/>
                </w:tcPr>
                <w:p w14:paraId="0CCCF1CA">
                  <w:pPr>
                    <w:widowControl/>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名称</w:t>
                  </w:r>
                </w:p>
              </w:tc>
              <w:tc>
                <w:tcPr>
                  <w:tcW w:w="652" w:type="pct"/>
                  <w:vAlign w:val="center"/>
                </w:tcPr>
                <w:p w14:paraId="10FEC16E">
                  <w:pPr>
                    <w:widowControl/>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浓度</w:t>
                  </w:r>
                  <w:r>
                    <w:rPr>
                      <w:color w:val="auto"/>
                      <w:kern w:val="0"/>
                      <w:sz w:val="21"/>
                      <w:szCs w:val="21"/>
                      <w:highlight w:val="none"/>
                    </w:rPr>
                    <w:t>mg/Nm</w:t>
                  </w:r>
                  <w:r>
                    <w:rPr>
                      <w:color w:val="auto"/>
                      <w:kern w:val="0"/>
                      <w:sz w:val="21"/>
                      <w:szCs w:val="21"/>
                      <w:highlight w:val="none"/>
                      <w:vertAlign w:val="superscript"/>
                    </w:rPr>
                    <w:t>3</w:t>
                  </w:r>
                </w:p>
              </w:tc>
              <w:tc>
                <w:tcPr>
                  <w:tcW w:w="558" w:type="pct"/>
                  <w:vAlign w:val="center"/>
                </w:tcPr>
                <w:p w14:paraId="7D0FFF41">
                  <w:pPr>
                    <w:widowControl/>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速率限值kg/h</w:t>
                  </w:r>
                </w:p>
              </w:tc>
            </w:tr>
            <w:tr w14:paraId="621C6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391" w:type="pct"/>
                  <w:vAlign w:val="center"/>
                </w:tcPr>
                <w:p w14:paraId="3066F41D">
                  <w:pPr>
                    <w:widowControl/>
                    <w:spacing w:line="320" w:lineRule="exact"/>
                    <w:ind w:firstLine="0" w:firstLineChars="0"/>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DA073</w:t>
                  </w:r>
                </w:p>
              </w:tc>
              <w:tc>
                <w:tcPr>
                  <w:tcW w:w="389" w:type="pct"/>
                  <w:vAlign w:val="center"/>
                </w:tcPr>
                <w:p w14:paraId="6BE39399">
                  <w:pPr>
                    <w:widowControl/>
                    <w:spacing w:line="320" w:lineRule="exact"/>
                    <w:ind w:firstLine="0" w:firstLineChars="0"/>
                    <w:jc w:val="center"/>
                    <w:rPr>
                      <w:color w:val="auto"/>
                      <w:kern w:val="0"/>
                      <w:sz w:val="21"/>
                      <w:szCs w:val="21"/>
                      <w:highlight w:val="none"/>
                    </w:rPr>
                  </w:pPr>
                  <w:r>
                    <w:rPr>
                      <w:color w:val="auto"/>
                      <w:kern w:val="0"/>
                      <w:sz w:val="21"/>
                      <w:szCs w:val="21"/>
                      <w:highlight w:val="none"/>
                    </w:rPr>
                    <w:t>颗粒物</w:t>
                  </w:r>
                </w:p>
              </w:tc>
              <w:tc>
                <w:tcPr>
                  <w:tcW w:w="3007" w:type="pct"/>
                  <w:vAlign w:val="center"/>
                </w:tcPr>
                <w:p w14:paraId="15B2EA4A">
                  <w:pPr>
                    <w:widowControl/>
                    <w:spacing w:line="320" w:lineRule="exact"/>
                    <w:ind w:firstLine="0" w:firstLineChars="0"/>
                    <w:jc w:val="center"/>
                    <w:rPr>
                      <w:color w:val="auto"/>
                      <w:kern w:val="0"/>
                      <w:sz w:val="21"/>
                      <w:szCs w:val="21"/>
                      <w:highlight w:val="none"/>
                    </w:rPr>
                  </w:pPr>
                  <w:r>
                    <w:rPr>
                      <w:color w:val="auto"/>
                      <w:spacing w:val="-10"/>
                      <w:sz w:val="21"/>
                      <w:szCs w:val="21"/>
                      <w:highlight w:val="none"/>
                    </w:rPr>
                    <w:t>参照执行《钢铁工业大气污染物超低排放标准》</w:t>
                  </w:r>
                  <w:r>
                    <w:rPr>
                      <w:rFonts w:hint="eastAsia"/>
                      <w:color w:val="auto"/>
                      <w:spacing w:val="-10"/>
                      <w:sz w:val="21"/>
                      <w:szCs w:val="21"/>
                      <w:highlight w:val="none"/>
                      <w:lang w:eastAsia="zh-CN"/>
                    </w:rPr>
                    <w:t>(</w:t>
                  </w:r>
                  <w:r>
                    <w:rPr>
                      <w:color w:val="auto"/>
                      <w:spacing w:val="-10"/>
                      <w:sz w:val="21"/>
                      <w:szCs w:val="21"/>
                      <w:highlight w:val="none"/>
                    </w:rPr>
                    <w:t>DB13/2169-2018)</w:t>
                  </w:r>
                  <w:r>
                    <w:rPr>
                      <w:rFonts w:hint="eastAsia" w:cs="Times New Roman"/>
                      <w:snapToGrid w:val="0"/>
                      <w:color w:val="auto"/>
                      <w:sz w:val="21"/>
                      <w:szCs w:val="21"/>
                      <w:highlight w:val="none"/>
                      <w:lang w:val="en-US" w:eastAsia="zh-CN"/>
                    </w:rPr>
                    <w:t>表1高炉炼铁原料系统、煤粉系统、其他生产设施排放限值</w:t>
                  </w:r>
                </w:p>
              </w:tc>
              <w:tc>
                <w:tcPr>
                  <w:tcW w:w="652" w:type="pct"/>
                  <w:vAlign w:val="center"/>
                </w:tcPr>
                <w:p w14:paraId="52F651D9">
                  <w:pPr>
                    <w:snapToGrid w:val="0"/>
                    <w:spacing w:line="240" w:lineRule="auto"/>
                    <w:ind w:firstLine="0" w:firstLineChars="0"/>
                    <w:jc w:val="center"/>
                    <w:rPr>
                      <w:color w:val="auto"/>
                      <w:kern w:val="0"/>
                      <w:sz w:val="21"/>
                      <w:szCs w:val="21"/>
                      <w:highlight w:val="none"/>
                    </w:rPr>
                  </w:pPr>
                  <w:r>
                    <w:rPr>
                      <w:rFonts w:hint="eastAsia"/>
                      <w:color w:val="auto"/>
                      <w:spacing w:val="-10"/>
                      <w:sz w:val="21"/>
                      <w:szCs w:val="21"/>
                      <w:highlight w:val="none"/>
                    </w:rPr>
                    <w:t>10</w:t>
                  </w:r>
                </w:p>
              </w:tc>
              <w:tc>
                <w:tcPr>
                  <w:tcW w:w="558" w:type="pct"/>
                  <w:vAlign w:val="center"/>
                </w:tcPr>
                <w:p w14:paraId="05A5097F">
                  <w:pPr>
                    <w:widowControl/>
                    <w:spacing w:line="320" w:lineRule="exact"/>
                    <w:ind w:firstLine="0" w:firstLineChars="0"/>
                    <w:jc w:val="center"/>
                    <w:rPr>
                      <w:color w:val="auto"/>
                      <w:kern w:val="0"/>
                      <w:sz w:val="21"/>
                      <w:szCs w:val="21"/>
                      <w:highlight w:val="none"/>
                      <w:lang w:val="en-GB"/>
                    </w:rPr>
                  </w:pPr>
                  <w:r>
                    <w:rPr>
                      <w:color w:val="auto"/>
                      <w:kern w:val="0"/>
                      <w:sz w:val="21"/>
                      <w:szCs w:val="21"/>
                      <w:highlight w:val="none"/>
                      <w:lang w:val="en-GB"/>
                    </w:rPr>
                    <w:t>-</w:t>
                  </w:r>
                </w:p>
              </w:tc>
            </w:tr>
          </w:tbl>
          <w:p w14:paraId="2A0DEE3E">
            <w:pPr>
              <w:keepNext w:val="0"/>
              <w:keepLines w:val="0"/>
              <w:widowControl/>
              <w:suppressLineNumbers w:val="0"/>
              <w:jc w:val="left"/>
              <w:rPr>
                <w:color w:val="auto"/>
                <w:sz w:val="21"/>
                <w:szCs w:val="21"/>
                <w:highlight w:val="none"/>
              </w:rPr>
            </w:pPr>
            <w:r>
              <w:rPr>
                <w:rFonts w:hint="eastAsia"/>
                <w:color w:val="auto"/>
                <w:sz w:val="21"/>
                <w:szCs w:val="21"/>
                <w:highlight w:val="none"/>
                <w:lang w:val="en-US" w:eastAsia="zh-CN"/>
              </w:rPr>
              <w:t>1.5</w:t>
            </w:r>
            <w:r>
              <w:rPr>
                <w:rFonts w:hint="eastAsia" w:ascii="宋体" w:hAnsi="宋体" w:eastAsia="宋体" w:cs="宋体"/>
                <w:color w:val="auto"/>
                <w:kern w:val="0"/>
                <w:sz w:val="21"/>
                <w:szCs w:val="21"/>
                <w:highlight w:val="none"/>
                <w:lang w:val="en-US" w:eastAsia="zh-CN" w:bidi="ar"/>
              </w:rPr>
              <w:t>废气污染治理设施可行性</w:t>
            </w:r>
          </w:p>
          <w:p w14:paraId="378C011D">
            <w:pPr>
              <w:pStyle w:val="2"/>
              <w:rPr>
                <w:rFonts w:hint="default"/>
                <w:color w:val="auto"/>
                <w:sz w:val="21"/>
                <w:szCs w:val="21"/>
                <w:highlight w:val="none"/>
                <w:lang w:val="en-US" w:eastAsia="zh-CN"/>
              </w:rPr>
            </w:pPr>
            <w:r>
              <w:rPr>
                <w:rFonts w:hint="eastAsia"/>
                <w:color w:val="auto"/>
                <w:sz w:val="21"/>
                <w:szCs w:val="21"/>
                <w:highlight w:val="none"/>
                <w:lang w:val="en-US" w:eastAsia="zh-CN"/>
              </w:rPr>
              <w:t>1.5.1有组织</w:t>
            </w:r>
          </w:p>
          <w:p w14:paraId="74F3523D">
            <w:pPr>
              <w:pStyle w:val="2"/>
              <w:rPr>
                <w:rFonts w:hint="eastAsia"/>
                <w:color w:val="auto"/>
                <w:sz w:val="21"/>
                <w:szCs w:val="21"/>
                <w:highlight w:val="none"/>
                <w:lang w:val="en-US" w:eastAsia="zh-CN"/>
              </w:rPr>
            </w:pPr>
            <w:r>
              <w:rPr>
                <w:rFonts w:hint="eastAsia"/>
                <w:color w:val="auto"/>
                <w:sz w:val="21"/>
                <w:szCs w:val="21"/>
                <w:highlight w:val="none"/>
                <w:lang w:val="en-US" w:eastAsia="zh-CN"/>
              </w:rPr>
              <w:t>(1)除尘器的技术参数</w:t>
            </w:r>
          </w:p>
          <w:p w14:paraId="24D664B6">
            <w:pPr>
              <w:pStyle w:val="2"/>
              <w:rPr>
                <w:rFonts w:hint="eastAsia"/>
                <w:color w:val="auto"/>
                <w:sz w:val="21"/>
                <w:szCs w:val="21"/>
                <w:highlight w:val="none"/>
                <w:lang w:val="en-US" w:eastAsia="zh-CN"/>
              </w:rPr>
            </w:pPr>
            <w:r>
              <w:rPr>
                <w:rFonts w:hint="eastAsia"/>
                <w:color w:val="auto"/>
                <w:sz w:val="21"/>
                <w:szCs w:val="21"/>
                <w:highlight w:val="none"/>
                <w:lang w:val="en-US" w:eastAsia="zh-CN"/>
              </w:rPr>
              <w:t>除尘器的技术参数见表4-12。</w:t>
            </w:r>
          </w:p>
          <w:p w14:paraId="0BDB5352">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rFonts w:hint="default" w:ascii="Times New Roman" w:hAnsi="Times New Roman" w:cs="Times New Roman"/>
                <w:b/>
                <w:color w:val="auto"/>
                <w:sz w:val="21"/>
                <w:szCs w:val="21"/>
                <w:highlight w:val="none"/>
                <w:lang w:val="en-US" w:eastAsia="zh-CN"/>
              </w:rPr>
            </w:pPr>
            <w:r>
              <w:rPr>
                <w:b/>
                <w:color w:val="auto"/>
                <w:sz w:val="21"/>
                <w:szCs w:val="21"/>
                <w:highlight w:val="none"/>
              </w:rPr>
              <w:t>表</w:t>
            </w:r>
            <w:r>
              <w:rPr>
                <w:rFonts w:hint="eastAsia"/>
                <w:b/>
                <w:color w:val="auto"/>
                <w:sz w:val="21"/>
                <w:szCs w:val="21"/>
                <w:highlight w:val="none"/>
                <w:lang w:val="en-US" w:eastAsia="zh-CN"/>
              </w:rPr>
              <w:t>4-12</w:t>
            </w:r>
            <w:r>
              <w:rPr>
                <w:rFonts w:hint="eastAsia" w:ascii="Times New Roman" w:hAnsi="Times New Roman" w:cs="Times New Roman"/>
                <w:b/>
                <w:color w:val="auto"/>
                <w:sz w:val="21"/>
                <w:szCs w:val="21"/>
                <w:highlight w:val="none"/>
                <w:lang w:val="en-US" w:eastAsia="zh-CN"/>
              </w:rPr>
              <w:t xml:space="preserve">    集尘罩的尺寸</w:t>
            </w:r>
          </w:p>
          <w:tbl>
            <w:tblPr>
              <w:tblStyle w:val="8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1537"/>
              <w:gridCol w:w="2"/>
              <w:gridCol w:w="1518"/>
              <w:gridCol w:w="2"/>
              <w:gridCol w:w="1518"/>
              <w:gridCol w:w="2"/>
              <w:gridCol w:w="1186"/>
              <w:gridCol w:w="1851"/>
              <w:gridCol w:w="3"/>
            </w:tblGrid>
            <w:tr w14:paraId="66AD5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pct"/>
                <w:trHeight w:val="540" w:hRule="atLeast"/>
              </w:trPr>
              <w:tc>
                <w:tcPr>
                  <w:tcW w:w="385" w:type="pct"/>
                  <w:vAlign w:val="center"/>
                </w:tcPr>
                <w:p w14:paraId="5C04EFB6">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序号</w:t>
                  </w:r>
                </w:p>
              </w:tc>
              <w:tc>
                <w:tcPr>
                  <w:tcW w:w="930" w:type="pct"/>
                  <w:vAlign w:val="center"/>
                </w:tcPr>
                <w:p w14:paraId="45E7DCB6">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位置</w:t>
                  </w:r>
                </w:p>
              </w:tc>
              <w:tc>
                <w:tcPr>
                  <w:tcW w:w="920" w:type="pct"/>
                  <w:gridSpan w:val="2"/>
                  <w:vAlign w:val="center"/>
                </w:tcPr>
                <w:p w14:paraId="4A34E9D2">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尺(长m</w:t>
                  </w:r>
                  <w:r>
                    <w:rPr>
                      <w:rFonts w:hint="eastAsia" w:cs="Times New Roman"/>
                      <w:color w:val="auto"/>
                      <w:spacing w:val="6"/>
                      <w:kern w:val="0"/>
                      <w:sz w:val="21"/>
                      <w:szCs w:val="21"/>
                      <w:highlight w:val="none"/>
                      <w:lang w:val="en-US" w:eastAsia="zh-CN" w:bidi="ar"/>
                    </w:rPr>
                    <w:t>×宽m</w:t>
                  </w:r>
                  <w:r>
                    <w:rPr>
                      <w:rFonts w:hint="eastAsia" w:cs="Times New Roman"/>
                      <w:color w:val="auto"/>
                      <w:sz w:val="21"/>
                      <w:szCs w:val="21"/>
                      <w:highlight w:val="none"/>
                      <w:lang w:val="en-US" w:eastAsia="zh-CN"/>
                    </w:rPr>
                    <w:t>)</w:t>
                  </w:r>
                </w:p>
              </w:tc>
              <w:tc>
                <w:tcPr>
                  <w:tcW w:w="920" w:type="pct"/>
                  <w:gridSpan w:val="2"/>
                  <w:vAlign w:val="center"/>
                </w:tcPr>
                <w:p w14:paraId="0F0B0006">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数量</w:t>
                  </w:r>
                </w:p>
              </w:tc>
              <w:tc>
                <w:tcPr>
                  <w:tcW w:w="719" w:type="pct"/>
                  <w:gridSpan w:val="2"/>
                  <w:vAlign w:val="center"/>
                </w:tcPr>
                <w:p w14:paraId="769D953F">
                  <w:pPr>
                    <w:keepNext w:val="0"/>
                    <w:keepLines w:val="0"/>
                    <w:pageBreakBefore w:val="0"/>
                    <w:widowControl/>
                    <w:suppressLineNumbers w:val="0"/>
                    <w:kinsoku/>
                    <w:wordWrap/>
                    <w:overflowPunct/>
                    <w:topLinePunct w:val="0"/>
                    <w:bidi w:val="0"/>
                    <w:snapToGrid w:val="0"/>
                    <w:spacing w:line="280" w:lineRule="exact"/>
                    <w:ind w:firstLine="0" w:firstLineChars="0"/>
                    <w:jc w:val="center"/>
                    <w:textAlignment w:val="auto"/>
                    <w:rPr>
                      <w:rFonts w:hint="eastAsia" w:cs="Times New Roman"/>
                      <w:color w:val="auto"/>
                      <w:sz w:val="21"/>
                      <w:szCs w:val="21"/>
                      <w:highlight w:val="none"/>
                      <w:lang w:val="en-US" w:eastAsia="zh-CN"/>
                    </w:rPr>
                  </w:pPr>
                  <w:r>
                    <w:rPr>
                      <w:rFonts w:hint="eastAsia" w:ascii="宋体" w:hAnsi="宋体" w:eastAsia="宋体" w:cs="宋体"/>
                      <w:color w:val="auto"/>
                      <w:kern w:val="0"/>
                      <w:sz w:val="20"/>
                      <w:szCs w:val="20"/>
                      <w:highlight w:val="none"/>
                      <w:lang w:val="en-US" w:eastAsia="zh-CN" w:bidi="ar"/>
                    </w:rPr>
                    <w:t>风量</w:t>
                  </w:r>
                </w:p>
              </w:tc>
              <w:tc>
                <w:tcPr>
                  <w:tcW w:w="1120" w:type="pct"/>
                  <w:vAlign w:val="center"/>
                </w:tcPr>
                <w:p w14:paraId="0D863259">
                  <w:pPr>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合计风量</w:t>
                  </w:r>
                </w:p>
              </w:tc>
            </w:tr>
            <w:tr w14:paraId="09A3A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85" w:type="pct"/>
                  <w:vAlign w:val="center"/>
                </w:tcPr>
                <w:p w14:paraId="14FE9D9C">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1</w:t>
                  </w:r>
                </w:p>
              </w:tc>
              <w:tc>
                <w:tcPr>
                  <w:tcW w:w="931" w:type="pct"/>
                  <w:gridSpan w:val="2"/>
                  <w:vAlign w:val="center"/>
                </w:tcPr>
                <w:p w14:paraId="6DE1AACB">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原料入料仓</w:t>
                  </w:r>
                </w:p>
              </w:tc>
              <w:tc>
                <w:tcPr>
                  <w:tcW w:w="920" w:type="pct"/>
                  <w:gridSpan w:val="2"/>
                  <w:vAlign w:val="center"/>
                </w:tcPr>
                <w:p w14:paraId="286E02E7">
                  <w:pPr>
                    <w:pStyle w:val="1736"/>
                    <w:keepNext w:val="0"/>
                    <w:keepLines w:val="0"/>
                    <w:pageBreakBefore w:val="0"/>
                    <w:widowControl w:val="0"/>
                    <w:tabs>
                      <w:tab w:val="clear" w:pos="-720"/>
                    </w:tabs>
                    <w:kinsoku/>
                    <w:wordWrap/>
                    <w:overflowPunct/>
                    <w:topLinePunct w:val="0"/>
                    <w:autoSpaceDE/>
                    <w:autoSpaceDN/>
                    <w:bidi w:val="0"/>
                    <w:adjustRightInd/>
                    <w:snapToGrid w:val="0"/>
                    <w:spacing w:after="0" w:line="280" w:lineRule="exact"/>
                    <w:ind w:firstLine="0" w:firstLineChars="0"/>
                    <w:jc w:val="center"/>
                    <w:textAlignment w:val="auto"/>
                    <w:rPr>
                      <w:rFonts w:hint="default" w:ascii="Times New Roman" w:hAnsi="Times New Roman" w:eastAsia="宋体" w:cs="Times New Roman"/>
                      <w:color w:val="auto"/>
                      <w:spacing w:val="-3"/>
                      <w:kern w:val="2"/>
                      <w:sz w:val="21"/>
                      <w:szCs w:val="21"/>
                      <w:highlight w:val="none"/>
                      <w:vertAlign w:val="baseline"/>
                      <w:lang w:val="en-US" w:eastAsia="zh-CN" w:bidi="ar-SA"/>
                    </w:rPr>
                  </w:pPr>
                  <w:r>
                    <w:rPr>
                      <w:rFonts w:hint="eastAsia" w:cs="Times New Roman"/>
                      <w:color w:val="auto"/>
                      <w:spacing w:val="6"/>
                      <w:kern w:val="0"/>
                      <w:sz w:val="21"/>
                      <w:szCs w:val="21"/>
                      <w:highlight w:val="none"/>
                      <w:lang w:val="en-US" w:eastAsia="zh-CN" w:bidi="ar"/>
                    </w:rPr>
                    <w:t>3×2</w:t>
                  </w:r>
                </w:p>
              </w:tc>
              <w:tc>
                <w:tcPr>
                  <w:tcW w:w="920" w:type="pct"/>
                  <w:gridSpan w:val="2"/>
                  <w:vAlign w:val="center"/>
                </w:tcPr>
                <w:p w14:paraId="507808D9">
                  <w:pPr>
                    <w:pStyle w:val="1736"/>
                    <w:keepNext w:val="0"/>
                    <w:keepLines w:val="0"/>
                    <w:pageBreakBefore w:val="0"/>
                    <w:widowControl w:val="0"/>
                    <w:tabs>
                      <w:tab w:val="clear" w:pos="-720"/>
                    </w:tabs>
                    <w:kinsoku/>
                    <w:wordWrap/>
                    <w:overflowPunct/>
                    <w:topLinePunct w:val="0"/>
                    <w:autoSpaceDE/>
                    <w:autoSpaceDN/>
                    <w:bidi w:val="0"/>
                    <w:adjustRightInd/>
                    <w:snapToGrid w:val="0"/>
                    <w:spacing w:after="0" w:line="280" w:lineRule="exact"/>
                    <w:ind w:firstLine="0" w:firstLineChars="0"/>
                    <w:jc w:val="center"/>
                    <w:textAlignment w:val="auto"/>
                    <w:rPr>
                      <w:rFonts w:hint="default" w:cs="Times New Roman"/>
                      <w:color w:val="auto"/>
                      <w:spacing w:val="6"/>
                      <w:kern w:val="0"/>
                      <w:sz w:val="21"/>
                      <w:szCs w:val="21"/>
                      <w:highlight w:val="none"/>
                      <w:lang w:val="en-US" w:eastAsia="zh-CN" w:bidi="ar"/>
                    </w:rPr>
                  </w:pPr>
                  <w:r>
                    <w:rPr>
                      <w:rFonts w:hint="eastAsia" w:cs="Times New Roman"/>
                      <w:color w:val="auto"/>
                      <w:spacing w:val="6"/>
                      <w:kern w:val="0"/>
                      <w:sz w:val="21"/>
                      <w:szCs w:val="21"/>
                      <w:highlight w:val="none"/>
                      <w:lang w:val="en-US" w:eastAsia="zh-CN" w:bidi="ar"/>
                    </w:rPr>
                    <w:t>2</w:t>
                  </w:r>
                </w:p>
              </w:tc>
              <w:tc>
                <w:tcPr>
                  <w:tcW w:w="1228" w:type="dxa"/>
                  <w:vAlign w:val="center"/>
                </w:tcPr>
                <w:p w14:paraId="039D4F47">
                  <w:pPr>
                    <w:keepNext w:val="0"/>
                    <w:keepLines w:val="0"/>
                    <w:pageBreakBefore w:val="0"/>
                    <w:widowControl/>
                    <w:suppressLineNumbers w:val="0"/>
                    <w:kinsoku/>
                    <w:wordWrap/>
                    <w:overflowPunct/>
                    <w:topLinePunct w:val="0"/>
                    <w:bidi w:val="0"/>
                    <w:snapToGrid w:val="0"/>
                    <w:spacing w:line="280" w:lineRule="exact"/>
                    <w:ind w:firstLine="0" w:firstLineChars="0"/>
                    <w:jc w:val="center"/>
                    <w:textAlignment w:val="auto"/>
                    <w:rPr>
                      <w:rFonts w:hint="eastAsia" w:cs="Times New Roman"/>
                      <w:color w:val="auto"/>
                      <w:spacing w:val="6"/>
                      <w:kern w:val="0"/>
                      <w:sz w:val="21"/>
                      <w:szCs w:val="21"/>
                      <w:highlight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34560</w:t>
                  </w:r>
                </w:p>
              </w:tc>
              <w:tc>
                <w:tcPr>
                  <w:tcW w:w="1122" w:type="pct"/>
                  <w:gridSpan w:val="2"/>
                  <w:vMerge w:val="restart"/>
                  <w:vAlign w:val="center"/>
                </w:tcPr>
                <w:p w14:paraId="4D1D3D67">
                  <w:pPr>
                    <w:pStyle w:val="1736"/>
                    <w:keepLines w:val="0"/>
                    <w:pageBreakBefore w:val="0"/>
                    <w:widowControl w:val="0"/>
                    <w:tabs>
                      <w:tab w:val="clear" w:pos="-720"/>
                    </w:tabs>
                    <w:kinsoku/>
                    <w:wordWrap/>
                    <w:overflowPunct/>
                    <w:topLinePunct w:val="0"/>
                    <w:autoSpaceDE/>
                    <w:autoSpaceDN/>
                    <w:bidi w:val="0"/>
                    <w:adjustRightInd/>
                    <w:snapToGrid w:val="0"/>
                    <w:spacing w:after="0" w:line="280" w:lineRule="exact"/>
                    <w:ind w:firstLine="0" w:firstLineChars="0"/>
                    <w:jc w:val="center"/>
                    <w:textAlignment w:val="auto"/>
                    <w:rPr>
                      <w:rFonts w:hint="default" w:cs="Times New Roman"/>
                      <w:color w:val="auto"/>
                      <w:spacing w:val="6"/>
                      <w:kern w:val="0"/>
                      <w:sz w:val="21"/>
                      <w:szCs w:val="21"/>
                      <w:highlight w:val="none"/>
                      <w:lang w:val="en-US" w:eastAsia="zh-CN" w:bidi="ar"/>
                    </w:rPr>
                  </w:pPr>
                  <w:r>
                    <w:rPr>
                      <w:rFonts w:hint="eastAsia" w:cs="Times New Roman"/>
                      <w:color w:val="auto"/>
                      <w:spacing w:val="6"/>
                      <w:kern w:val="0"/>
                      <w:sz w:val="21"/>
                      <w:szCs w:val="21"/>
                      <w:highlight w:val="none"/>
                      <w:lang w:val="en-US" w:eastAsia="zh-CN" w:bidi="ar"/>
                    </w:rPr>
                    <w:t>74160</w:t>
                  </w:r>
                </w:p>
              </w:tc>
            </w:tr>
            <w:tr w14:paraId="3E45E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85" w:type="pct"/>
                  <w:vAlign w:val="center"/>
                </w:tcPr>
                <w:p w14:paraId="264C060F">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w:t>
                  </w:r>
                </w:p>
              </w:tc>
              <w:tc>
                <w:tcPr>
                  <w:tcW w:w="931" w:type="pct"/>
                  <w:gridSpan w:val="2"/>
                  <w:vAlign w:val="center"/>
                </w:tcPr>
                <w:p w14:paraId="6A62DC24">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粘合剂入料仓</w:t>
                  </w:r>
                </w:p>
              </w:tc>
              <w:tc>
                <w:tcPr>
                  <w:tcW w:w="920" w:type="pct"/>
                  <w:gridSpan w:val="2"/>
                  <w:vAlign w:val="center"/>
                </w:tcPr>
                <w:p w14:paraId="101E9886">
                  <w:pPr>
                    <w:pStyle w:val="1736"/>
                    <w:keepNext w:val="0"/>
                    <w:keepLines w:val="0"/>
                    <w:pageBreakBefore w:val="0"/>
                    <w:widowControl w:val="0"/>
                    <w:tabs>
                      <w:tab w:val="clear" w:pos="-720"/>
                    </w:tabs>
                    <w:kinsoku/>
                    <w:wordWrap/>
                    <w:overflowPunct/>
                    <w:topLinePunct w:val="0"/>
                    <w:autoSpaceDE/>
                    <w:autoSpaceDN/>
                    <w:bidi w:val="0"/>
                    <w:adjustRightInd/>
                    <w:snapToGrid w:val="0"/>
                    <w:spacing w:after="0" w:line="280" w:lineRule="exact"/>
                    <w:ind w:firstLine="0" w:firstLineChars="0"/>
                    <w:jc w:val="center"/>
                    <w:textAlignment w:val="auto"/>
                    <w:rPr>
                      <w:rFonts w:hint="default" w:cs="Times New Roman"/>
                      <w:color w:val="auto"/>
                      <w:spacing w:val="6"/>
                      <w:kern w:val="0"/>
                      <w:sz w:val="21"/>
                      <w:szCs w:val="21"/>
                      <w:highlight w:val="none"/>
                      <w:lang w:val="en-US" w:eastAsia="zh-CN" w:bidi="ar"/>
                    </w:rPr>
                  </w:pPr>
                  <w:r>
                    <w:rPr>
                      <w:rFonts w:hint="eastAsia" w:cs="Times New Roman"/>
                      <w:color w:val="auto"/>
                      <w:spacing w:val="6"/>
                      <w:kern w:val="0"/>
                      <w:sz w:val="21"/>
                      <w:szCs w:val="21"/>
                      <w:highlight w:val="none"/>
                      <w:lang w:val="en-US" w:eastAsia="zh-CN" w:bidi="ar"/>
                    </w:rPr>
                    <w:t>2×2(侧吸)</w:t>
                  </w:r>
                </w:p>
              </w:tc>
              <w:tc>
                <w:tcPr>
                  <w:tcW w:w="920" w:type="pct"/>
                  <w:gridSpan w:val="2"/>
                  <w:vAlign w:val="center"/>
                </w:tcPr>
                <w:p w14:paraId="51019D9F">
                  <w:pPr>
                    <w:pStyle w:val="1736"/>
                    <w:keepNext w:val="0"/>
                    <w:keepLines w:val="0"/>
                    <w:pageBreakBefore w:val="0"/>
                    <w:widowControl w:val="0"/>
                    <w:tabs>
                      <w:tab w:val="clear" w:pos="-720"/>
                    </w:tabs>
                    <w:kinsoku/>
                    <w:wordWrap/>
                    <w:overflowPunct/>
                    <w:topLinePunct w:val="0"/>
                    <w:autoSpaceDE/>
                    <w:autoSpaceDN/>
                    <w:bidi w:val="0"/>
                    <w:adjustRightInd/>
                    <w:snapToGrid w:val="0"/>
                    <w:spacing w:after="0" w:line="280" w:lineRule="exact"/>
                    <w:ind w:firstLine="0" w:firstLineChars="0"/>
                    <w:jc w:val="center"/>
                    <w:textAlignment w:val="auto"/>
                    <w:rPr>
                      <w:rFonts w:hint="default" w:cs="Times New Roman"/>
                      <w:color w:val="auto"/>
                      <w:spacing w:val="6"/>
                      <w:kern w:val="0"/>
                      <w:sz w:val="21"/>
                      <w:szCs w:val="21"/>
                      <w:highlight w:val="none"/>
                      <w:lang w:val="en-US" w:eastAsia="zh-CN" w:bidi="ar"/>
                    </w:rPr>
                  </w:pPr>
                  <w:r>
                    <w:rPr>
                      <w:rFonts w:hint="eastAsia" w:cs="Times New Roman"/>
                      <w:color w:val="auto"/>
                      <w:spacing w:val="6"/>
                      <w:kern w:val="0"/>
                      <w:sz w:val="21"/>
                      <w:szCs w:val="21"/>
                      <w:highlight w:val="none"/>
                      <w:lang w:val="en-US" w:eastAsia="zh-CN" w:bidi="ar"/>
                    </w:rPr>
                    <w:t>1</w:t>
                  </w:r>
                </w:p>
              </w:tc>
              <w:tc>
                <w:tcPr>
                  <w:tcW w:w="1228" w:type="dxa"/>
                  <w:vAlign w:val="center"/>
                </w:tcPr>
                <w:p w14:paraId="3CA6E349">
                  <w:pPr>
                    <w:keepNext w:val="0"/>
                    <w:keepLines w:val="0"/>
                    <w:pageBreakBefore w:val="0"/>
                    <w:widowControl/>
                    <w:suppressLineNumbers w:val="0"/>
                    <w:kinsoku/>
                    <w:wordWrap/>
                    <w:overflowPunct/>
                    <w:topLinePunct w:val="0"/>
                    <w:bidi w:val="0"/>
                    <w:snapToGrid w:val="0"/>
                    <w:spacing w:line="280" w:lineRule="exact"/>
                    <w:ind w:firstLine="0" w:firstLineChars="0"/>
                    <w:jc w:val="center"/>
                    <w:textAlignment w:val="auto"/>
                    <w:rPr>
                      <w:rFonts w:hint="eastAsia" w:cs="Times New Roman"/>
                      <w:color w:val="auto"/>
                      <w:spacing w:val="6"/>
                      <w:kern w:val="0"/>
                      <w:sz w:val="21"/>
                      <w:szCs w:val="21"/>
                      <w:highlight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11520</w:t>
                  </w:r>
                </w:p>
              </w:tc>
              <w:tc>
                <w:tcPr>
                  <w:tcW w:w="1122" w:type="pct"/>
                  <w:gridSpan w:val="2"/>
                  <w:vMerge w:val="continue"/>
                  <w:vAlign w:val="center"/>
                </w:tcPr>
                <w:p w14:paraId="0857E19A">
                  <w:pPr>
                    <w:pStyle w:val="1736"/>
                    <w:keepLines w:val="0"/>
                    <w:pageBreakBefore w:val="0"/>
                    <w:widowControl w:val="0"/>
                    <w:tabs>
                      <w:tab w:val="clear" w:pos="-720"/>
                    </w:tabs>
                    <w:kinsoku/>
                    <w:wordWrap/>
                    <w:overflowPunct/>
                    <w:topLinePunct w:val="0"/>
                    <w:autoSpaceDE/>
                    <w:autoSpaceDN/>
                    <w:bidi w:val="0"/>
                    <w:adjustRightInd/>
                    <w:snapToGrid w:val="0"/>
                    <w:spacing w:after="0" w:line="280" w:lineRule="exact"/>
                    <w:ind w:firstLine="0" w:firstLineChars="0"/>
                    <w:jc w:val="center"/>
                    <w:textAlignment w:val="auto"/>
                    <w:rPr>
                      <w:rFonts w:hint="eastAsia" w:cs="Times New Roman"/>
                      <w:color w:val="auto"/>
                      <w:spacing w:val="6"/>
                      <w:kern w:val="0"/>
                      <w:sz w:val="21"/>
                      <w:szCs w:val="21"/>
                      <w:highlight w:val="none"/>
                      <w:lang w:val="en-US" w:eastAsia="zh-CN" w:bidi="ar"/>
                    </w:rPr>
                  </w:pPr>
                </w:p>
              </w:tc>
            </w:tr>
            <w:tr w14:paraId="5827C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5" w:type="pct"/>
                  <w:vAlign w:val="center"/>
                </w:tcPr>
                <w:p w14:paraId="43A2CC9E">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eastAsia"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val="en-US" w:eastAsia="zh-CN"/>
                    </w:rPr>
                    <w:t>3</w:t>
                  </w:r>
                </w:p>
              </w:tc>
              <w:tc>
                <w:tcPr>
                  <w:tcW w:w="931" w:type="pct"/>
                  <w:gridSpan w:val="2"/>
                  <w:vAlign w:val="center"/>
                </w:tcPr>
                <w:p w14:paraId="5956A9B2">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筛分、搅拌</w:t>
                  </w:r>
                </w:p>
              </w:tc>
              <w:tc>
                <w:tcPr>
                  <w:tcW w:w="920" w:type="pct"/>
                  <w:gridSpan w:val="2"/>
                  <w:vAlign w:val="center"/>
                </w:tcPr>
                <w:p w14:paraId="1CDF9DEB">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spacing w:val="6"/>
                      <w:kern w:val="0"/>
                      <w:sz w:val="21"/>
                      <w:szCs w:val="21"/>
                      <w:highlight w:val="none"/>
                      <w:lang w:val="en-US" w:eastAsia="zh-CN" w:bidi="ar"/>
                    </w:rPr>
                    <w:t>1.5×1.5</w:t>
                  </w:r>
                </w:p>
              </w:tc>
              <w:tc>
                <w:tcPr>
                  <w:tcW w:w="920" w:type="pct"/>
                  <w:gridSpan w:val="2"/>
                  <w:vAlign w:val="center"/>
                </w:tcPr>
                <w:p w14:paraId="7B4367EF">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cs="Times New Roman"/>
                      <w:color w:val="auto"/>
                      <w:spacing w:val="6"/>
                      <w:kern w:val="0"/>
                      <w:sz w:val="21"/>
                      <w:szCs w:val="21"/>
                      <w:highlight w:val="none"/>
                      <w:lang w:val="en-US" w:eastAsia="zh-CN" w:bidi="ar"/>
                    </w:rPr>
                  </w:pPr>
                  <w:r>
                    <w:rPr>
                      <w:rFonts w:hint="eastAsia" w:cs="Times New Roman"/>
                      <w:color w:val="auto"/>
                      <w:spacing w:val="6"/>
                      <w:kern w:val="0"/>
                      <w:sz w:val="21"/>
                      <w:szCs w:val="21"/>
                      <w:highlight w:val="none"/>
                      <w:lang w:val="en-US" w:eastAsia="zh-CN" w:bidi="ar"/>
                    </w:rPr>
                    <w:t>1</w:t>
                  </w:r>
                </w:p>
              </w:tc>
              <w:tc>
                <w:tcPr>
                  <w:tcW w:w="1228" w:type="dxa"/>
                  <w:vAlign w:val="center"/>
                </w:tcPr>
                <w:p w14:paraId="2A0458EC">
                  <w:pPr>
                    <w:keepNext w:val="0"/>
                    <w:keepLines w:val="0"/>
                    <w:pageBreakBefore w:val="0"/>
                    <w:widowControl/>
                    <w:suppressLineNumbers w:val="0"/>
                    <w:kinsoku/>
                    <w:wordWrap/>
                    <w:overflowPunct/>
                    <w:topLinePunct w:val="0"/>
                    <w:bidi w:val="0"/>
                    <w:snapToGrid w:val="0"/>
                    <w:spacing w:line="280" w:lineRule="exact"/>
                    <w:ind w:firstLine="0" w:firstLineChars="0"/>
                    <w:jc w:val="center"/>
                    <w:textAlignment w:val="auto"/>
                    <w:rPr>
                      <w:rFonts w:hint="eastAsia" w:cs="Times New Roman"/>
                      <w:color w:val="auto"/>
                      <w:spacing w:val="6"/>
                      <w:kern w:val="0"/>
                      <w:sz w:val="21"/>
                      <w:szCs w:val="21"/>
                      <w:highlight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6480</w:t>
                  </w:r>
                </w:p>
              </w:tc>
              <w:tc>
                <w:tcPr>
                  <w:tcW w:w="1122" w:type="pct"/>
                  <w:gridSpan w:val="2"/>
                  <w:vMerge w:val="continue"/>
                  <w:vAlign w:val="center"/>
                </w:tcPr>
                <w:p w14:paraId="2571F19D">
                  <w:pPr>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eastAsia" w:cs="Times New Roman"/>
                      <w:color w:val="auto"/>
                      <w:spacing w:val="6"/>
                      <w:kern w:val="0"/>
                      <w:sz w:val="21"/>
                      <w:szCs w:val="21"/>
                      <w:highlight w:val="none"/>
                      <w:lang w:val="en-US" w:eastAsia="zh-CN" w:bidi="ar"/>
                    </w:rPr>
                  </w:pPr>
                </w:p>
              </w:tc>
            </w:tr>
            <w:tr w14:paraId="2E9A6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5" w:type="pct"/>
                  <w:vAlign w:val="center"/>
                </w:tcPr>
                <w:p w14:paraId="106AB444">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w:t>
                  </w:r>
                </w:p>
              </w:tc>
              <w:tc>
                <w:tcPr>
                  <w:tcW w:w="931" w:type="pct"/>
                  <w:gridSpan w:val="2"/>
                  <w:vAlign w:val="center"/>
                </w:tcPr>
                <w:p w14:paraId="34266564">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半成品上料仓</w:t>
                  </w:r>
                </w:p>
              </w:tc>
              <w:tc>
                <w:tcPr>
                  <w:tcW w:w="920" w:type="pct"/>
                  <w:gridSpan w:val="2"/>
                  <w:vAlign w:val="center"/>
                </w:tcPr>
                <w:p w14:paraId="4408EE88">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spacing w:val="6"/>
                      <w:kern w:val="0"/>
                      <w:sz w:val="21"/>
                      <w:szCs w:val="21"/>
                      <w:highlight w:val="none"/>
                      <w:lang w:val="en-US" w:eastAsia="zh-CN" w:bidi="ar"/>
                    </w:rPr>
                    <w:t>3×2</w:t>
                  </w:r>
                </w:p>
              </w:tc>
              <w:tc>
                <w:tcPr>
                  <w:tcW w:w="920" w:type="pct"/>
                  <w:gridSpan w:val="2"/>
                  <w:vAlign w:val="center"/>
                </w:tcPr>
                <w:p w14:paraId="7189145C">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1</w:t>
                  </w:r>
                </w:p>
              </w:tc>
              <w:tc>
                <w:tcPr>
                  <w:tcW w:w="1228" w:type="dxa"/>
                  <w:vAlign w:val="center"/>
                </w:tcPr>
                <w:p w14:paraId="39F7BF74">
                  <w:pPr>
                    <w:keepNext w:val="0"/>
                    <w:keepLines w:val="0"/>
                    <w:pageBreakBefore w:val="0"/>
                    <w:widowControl/>
                    <w:suppressLineNumbers w:val="0"/>
                    <w:kinsoku/>
                    <w:wordWrap/>
                    <w:overflowPunct/>
                    <w:topLinePunct w:val="0"/>
                    <w:bidi w:val="0"/>
                    <w:snapToGrid w:val="0"/>
                    <w:spacing w:line="280" w:lineRule="exact"/>
                    <w:ind w:firstLine="0" w:firstLineChars="0"/>
                    <w:jc w:val="center"/>
                    <w:textAlignment w:val="auto"/>
                    <w:rPr>
                      <w:rFonts w:hint="eastAsia" w:cs="Times New Roman"/>
                      <w:color w:val="auto"/>
                      <w:kern w:val="2"/>
                      <w:sz w:val="21"/>
                      <w:szCs w:val="21"/>
                      <w:highlight w:val="none"/>
                      <w:vertAlign w:val="baseli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17280</w:t>
                  </w:r>
                </w:p>
              </w:tc>
              <w:tc>
                <w:tcPr>
                  <w:tcW w:w="1122" w:type="pct"/>
                  <w:gridSpan w:val="2"/>
                  <w:vMerge w:val="continue"/>
                  <w:vAlign w:val="center"/>
                </w:tcPr>
                <w:p w14:paraId="6F18FF55">
                  <w:pPr>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eastAsia" w:cs="Times New Roman"/>
                      <w:color w:val="auto"/>
                      <w:kern w:val="2"/>
                      <w:sz w:val="21"/>
                      <w:szCs w:val="21"/>
                      <w:highlight w:val="none"/>
                      <w:vertAlign w:val="baseline"/>
                      <w:lang w:val="en-US" w:eastAsia="zh-CN" w:bidi="ar-SA"/>
                    </w:rPr>
                  </w:pPr>
                </w:p>
              </w:tc>
            </w:tr>
            <w:tr w14:paraId="59C09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5" w:type="pct"/>
                  <w:vAlign w:val="center"/>
                </w:tcPr>
                <w:p w14:paraId="5FA3A00D">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w:t>
                  </w:r>
                </w:p>
              </w:tc>
              <w:tc>
                <w:tcPr>
                  <w:tcW w:w="931" w:type="pct"/>
                  <w:gridSpan w:val="2"/>
                  <w:vAlign w:val="center"/>
                </w:tcPr>
                <w:p w14:paraId="28F2DF58">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bidi="ar-SA"/>
                    </w:rPr>
                    <w:t>筛分</w:t>
                  </w:r>
                </w:p>
              </w:tc>
              <w:tc>
                <w:tcPr>
                  <w:tcW w:w="920" w:type="pct"/>
                  <w:gridSpan w:val="2"/>
                  <w:vAlign w:val="center"/>
                </w:tcPr>
                <w:p w14:paraId="7CBA4D8D">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default" w:ascii="Times New Roman" w:hAnsi="Times New Roman" w:eastAsia="宋体" w:cs="Times New Roman"/>
                      <w:color w:val="auto"/>
                      <w:spacing w:val="-3"/>
                      <w:kern w:val="0"/>
                      <w:sz w:val="21"/>
                      <w:szCs w:val="21"/>
                      <w:highlight w:val="none"/>
                      <w:vertAlign w:val="baseline"/>
                      <w:lang w:val="en-US" w:eastAsia="en-US" w:bidi="ar-SA"/>
                    </w:rPr>
                  </w:pPr>
                  <w:r>
                    <w:rPr>
                      <w:rFonts w:hint="eastAsia" w:cs="Times New Roman"/>
                      <w:color w:val="auto"/>
                      <w:spacing w:val="6"/>
                      <w:kern w:val="0"/>
                      <w:sz w:val="21"/>
                      <w:szCs w:val="21"/>
                      <w:highlight w:val="none"/>
                      <w:lang w:val="en-US" w:eastAsia="zh-CN" w:bidi="ar"/>
                    </w:rPr>
                    <w:t>1×1.5</w:t>
                  </w:r>
                </w:p>
              </w:tc>
              <w:tc>
                <w:tcPr>
                  <w:tcW w:w="920" w:type="pct"/>
                  <w:gridSpan w:val="2"/>
                  <w:vAlign w:val="center"/>
                </w:tcPr>
                <w:p w14:paraId="766FC4C5">
                  <w:pPr>
                    <w:keepNext w:val="0"/>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eastAsia" w:ascii="Times New Roman" w:hAnsi="Times New Roman" w:eastAsia="宋体" w:cs="Times New Roman"/>
                      <w:color w:val="auto"/>
                      <w:spacing w:val="-3"/>
                      <w:kern w:val="0"/>
                      <w:sz w:val="21"/>
                      <w:szCs w:val="21"/>
                      <w:highlight w:val="none"/>
                      <w:vertAlign w:val="baseline"/>
                      <w:lang w:val="en-US" w:eastAsia="zh-CN" w:bidi="ar-SA"/>
                    </w:rPr>
                  </w:pPr>
                  <w:r>
                    <w:rPr>
                      <w:rFonts w:hint="eastAsia" w:cs="Times New Roman"/>
                      <w:color w:val="auto"/>
                      <w:spacing w:val="-3"/>
                      <w:kern w:val="0"/>
                      <w:sz w:val="21"/>
                      <w:szCs w:val="21"/>
                      <w:highlight w:val="none"/>
                      <w:vertAlign w:val="baseline"/>
                      <w:lang w:val="en-US" w:eastAsia="zh-CN" w:bidi="ar-SA"/>
                    </w:rPr>
                    <w:t>1</w:t>
                  </w:r>
                </w:p>
              </w:tc>
              <w:tc>
                <w:tcPr>
                  <w:tcW w:w="1228" w:type="dxa"/>
                  <w:vAlign w:val="center"/>
                </w:tcPr>
                <w:p w14:paraId="321DEEA3">
                  <w:pPr>
                    <w:keepNext w:val="0"/>
                    <w:keepLines w:val="0"/>
                    <w:pageBreakBefore w:val="0"/>
                    <w:widowControl/>
                    <w:suppressLineNumbers w:val="0"/>
                    <w:kinsoku/>
                    <w:wordWrap/>
                    <w:overflowPunct/>
                    <w:topLinePunct w:val="0"/>
                    <w:bidi w:val="0"/>
                    <w:snapToGrid w:val="0"/>
                    <w:spacing w:line="280" w:lineRule="exact"/>
                    <w:ind w:firstLine="0" w:firstLineChars="0"/>
                    <w:jc w:val="center"/>
                    <w:textAlignment w:val="auto"/>
                    <w:rPr>
                      <w:rFonts w:hint="eastAsia" w:cs="Times New Roman"/>
                      <w:color w:val="auto"/>
                      <w:spacing w:val="-3"/>
                      <w:kern w:val="0"/>
                      <w:sz w:val="21"/>
                      <w:szCs w:val="21"/>
                      <w:highlight w:val="none"/>
                      <w:vertAlign w:val="baseli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4320</w:t>
                  </w:r>
                </w:p>
              </w:tc>
              <w:tc>
                <w:tcPr>
                  <w:tcW w:w="1122" w:type="pct"/>
                  <w:gridSpan w:val="2"/>
                  <w:vMerge w:val="continue"/>
                  <w:vAlign w:val="center"/>
                </w:tcPr>
                <w:p w14:paraId="215F9BCF">
                  <w:pPr>
                    <w:keepLines w:val="0"/>
                    <w:pageBreakBefore w:val="0"/>
                    <w:widowControl w:val="0"/>
                    <w:kinsoku/>
                    <w:wordWrap/>
                    <w:overflowPunct/>
                    <w:topLinePunct w:val="0"/>
                    <w:autoSpaceDE/>
                    <w:autoSpaceDN/>
                    <w:bidi w:val="0"/>
                    <w:adjustRightInd/>
                    <w:snapToGrid w:val="0"/>
                    <w:spacing w:line="280" w:lineRule="exact"/>
                    <w:ind w:firstLine="0" w:firstLineChars="0"/>
                    <w:jc w:val="center"/>
                    <w:textAlignment w:val="auto"/>
                    <w:rPr>
                      <w:rFonts w:hint="eastAsia" w:cs="Times New Roman"/>
                      <w:color w:val="auto"/>
                      <w:spacing w:val="-3"/>
                      <w:kern w:val="0"/>
                      <w:sz w:val="21"/>
                      <w:szCs w:val="21"/>
                      <w:highlight w:val="none"/>
                      <w:vertAlign w:val="baseline"/>
                      <w:lang w:val="en-US" w:eastAsia="zh-CN" w:bidi="ar-SA"/>
                    </w:rPr>
                  </w:pPr>
                </w:p>
              </w:tc>
            </w:tr>
          </w:tbl>
          <w:p w14:paraId="5911D0EC">
            <w:pPr>
              <w:keepNext w:val="0"/>
              <w:keepLines w:val="0"/>
              <w:widowControl/>
              <w:suppressLineNumbers w:val="0"/>
              <w:jc w:val="left"/>
              <w:rPr>
                <w:rFonts w:hint="eastAsia"/>
                <w:color w:val="auto"/>
                <w:sz w:val="21"/>
                <w:szCs w:val="21"/>
                <w:highlight w:val="none"/>
                <w:lang w:val="en-US" w:eastAsia="zh-CN"/>
              </w:rPr>
            </w:pPr>
            <w:r>
              <w:rPr>
                <w:rFonts w:hint="eastAsia"/>
                <w:color w:val="auto"/>
                <w:sz w:val="21"/>
                <w:szCs w:val="21"/>
                <w:highlight w:val="none"/>
                <w:lang w:val="en-US" w:eastAsia="zh-CN"/>
              </w:rPr>
              <w:t>集气罩集气风量计算公式：</w:t>
            </w:r>
          </w:p>
          <w:p w14:paraId="0AD1F417">
            <w:pPr>
              <w:keepNext w:val="0"/>
              <w:keepLines w:val="0"/>
              <w:widowControl/>
              <w:suppressLineNumbers w:val="0"/>
              <w:jc w:val="left"/>
              <w:rPr>
                <w:rFonts w:hint="eastAsia"/>
                <w:color w:val="auto"/>
                <w:sz w:val="21"/>
                <w:szCs w:val="21"/>
                <w:highlight w:val="none"/>
                <w:lang w:val="en-US" w:eastAsia="zh-CN"/>
              </w:rPr>
            </w:pPr>
            <w:r>
              <w:rPr>
                <w:rFonts w:hint="eastAsia"/>
                <w:color w:val="auto"/>
                <w:sz w:val="21"/>
                <w:szCs w:val="21"/>
                <w:highlight w:val="none"/>
                <w:lang w:val="en-US" w:eastAsia="zh-CN"/>
              </w:rPr>
              <w:t>Q=(a×b)×V0×3600</w:t>
            </w:r>
          </w:p>
          <w:p w14:paraId="7FA47E9E">
            <w:pPr>
              <w:keepNext w:val="0"/>
              <w:keepLines w:val="0"/>
              <w:widowControl/>
              <w:suppressLineNumbers w:val="0"/>
              <w:jc w:val="left"/>
              <w:rPr>
                <w:rFonts w:hint="eastAsia"/>
                <w:color w:val="auto"/>
                <w:sz w:val="21"/>
                <w:szCs w:val="21"/>
                <w:highlight w:val="none"/>
                <w:lang w:val="en-US" w:eastAsia="zh-CN"/>
              </w:rPr>
            </w:pPr>
            <w:r>
              <w:rPr>
                <w:rFonts w:hint="eastAsia"/>
                <w:color w:val="auto"/>
                <w:sz w:val="21"/>
                <w:szCs w:val="21"/>
                <w:highlight w:val="none"/>
                <w:lang w:val="en-US" w:eastAsia="zh-CN"/>
              </w:rPr>
              <w:t>式中：Q—为集气罩集气风量，单位为m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/h；</w:t>
            </w:r>
          </w:p>
          <w:p w14:paraId="484349ED">
            <w:pPr>
              <w:keepNext w:val="0"/>
              <w:keepLines w:val="0"/>
              <w:widowControl/>
              <w:suppressLineNumbers w:val="0"/>
              <w:jc w:val="left"/>
              <w:rPr>
                <w:rFonts w:hint="eastAsia"/>
                <w:color w:val="auto"/>
                <w:sz w:val="21"/>
                <w:szCs w:val="21"/>
                <w:highlight w:val="none"/>
                <w:lang w:val="en-US" w:eastAsia="zh-CN"/>
              </w:rPr>
            </w:pPr>
            <w:r>
              <w:rPr>
                <w:rFonts w:hint="eastAsia"/>
                <w:color w:val="auto"/>
                <w:sz w:val="21"/>
                <w:szCs w:val="21"/>
                <w:highlight w:val="none"/>
                <w:lang w:val="en-US" w:eastAsia="zh-CN"/>
              </w:rPr>
              <w:t>(a×b)—为集气罩集气面积，单位为m</w:t>
            </w:r>
            <w:r>
              <w:rPr>
                <w:rFonts w:hint="eastAsia"/>
                <w:color w:val="auto"/>
                <w:sz w:val="21"/>
                <w:szCs w:val="21"/>
                <w:highlight w:val="none"/>
                <w:vertAlign w:val="superscript"/>
                <w:lang w:val="en-US" w:eastAsia="zh-CN"/>
              </w:rPr>
              <w:t>2</w:t>
            </w:r>
            <w:r>
              <w:rPr>
                <w:rFonts w:hint="eastAsia"/>
                <w:color w:val="auto"/>
                <w:sz w:val="21"/>
                <w:szCs w:val="21"/>
                <w:highlight w:val="none"/>
                <w:lang w:val="en-US" w:eastAsia="zh-CN"/>
              </w:rPr>
              <w:t>；</w:t>
            </w:r>
          </w:p>
          <w:p w14:paraId="2F74AC7C">
            <w:pPr>
              <w:keepNext w:val="0"/>
              <w:keepLines w:val="0"/>
              <w:widowControl/>
              <w:suppressLineNumbers w:val="0"/>
              <w:jc w:val="left"/>
              <w:rPr>
                <w:rFonts w:hint="eastAsia"/>
                <w:color w:val="auto"/>
                <w:sz w:val="21"/>
                <w:szCs w:val="21"/>
                <w:highlight w:val="none"/>
                <w:lang w:val="en-US" w:eastAsia="zh-CN"/>
              </w:rPr>
            </w:pPr>
            <w:r>
              <w:rPr>
                <w:rFonts w:hint="eastAsia"/>
                <w:color w:val="auto"/>
                <w:sz w:val="21"/>
                <w:szCs w:val="21"/>
                <w:highlight w:val="none"/>
                <w:lang w:val="en-US" w:eastAsia="zh-CN"/>
              </w:rPr>
              <w:t>V0——污染源气体流速，本项目集气罩取0.8m/s。</w:t>
            </w:r>
          </w:p>
          <w:p w14:paraId="638D76C1">
            <w:pPr>
              <w:keepNext w:val="0"/>
              <w:keepLines w:val="0"/>
              <w:pageBreakBefore w:val="0"/>
              <w:widowControl/>
              <w:suppressLineNumbers w:val="0"/>
              <w:kinsoku/>
              <w:wordWrap/>
              <w:overflowPunct/>
              <w:topLinePunct w:val="0"/>
              <w:autoSpaceDE w:val="0"/>
              <w:autoSpaceDN w:val="0"/>
              <w:bidi w:val="0"/>
              <w:adjustRightInd w:val="0"/>
              <w:snapToGrid w:val="0"/>
              <w:jc w:val="both"/>
              <w:textAlignment w:val="auto"/>
              <w:rPr>
                <w:rFonts w:hint="default"/>
                <w:color w:val="auto"/>
                <w:sz w:val="21"/>
                <w:szCs w:val="21"/>
                <w:highlight w:val="none"/>
                <w:lang w:val="en-US" w:eastAsia="zh-CN"/>
              </w:rPr>
            </w:pPr>
            <w:r>
              <w:rPr>
                <w:rFonts w:hint="eastAsia"/>
                <w:color w:val="auto"/>
                <w:sz w:val="21"/>
                <w:szCs w:val="21"/>
                <w:highlight w:val="none"/>
                <w:lang w:val="en-US" w:eastAsia="zh-CN"/>
              </w:rPr>
              <w:t>经计算，项目集气罩集气风量为74160m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/h，考虑到风阻等风量损失的影响，项目除尘器风机风量为80000m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/h，保证捕集效率在95%以上，合计风量为</w:t>
            </w:r>
            <w:r>
              <w:rPr>
                <w:rFonts w:hint="eastAsia" w:cs="Times New Roman"/>
                <w:color w:val="auto"/>
                <w:kern w:val="2"/>
                <w:sz w:val="21"/>
                <w:szCs w:val="21"/>
                <w:highlight w:val="none"/>
                <w:lang w:val="en-US" w:eastAsia="zh-CN"/>
              </w:rPr>
              <w:t>228262</w:t>
            </w:r>
            <w:r>
              <w:rPr>
                <w:rFonts w:hint="eastAsia"/>
                <w:color w:val="auto"/>
                <w:sz w:val="21"/>
                <w:szCs w:val="21"/>
                <w:highlight w:val="none"/>
                <w:lang w:val="en-US" w:eastAsia="zh-CN"/>
              </w:rPr>
              <w:t>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/h，小于设计风量230000m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/h，且本项目运行时间少于现有质检筛分除尘器运行时间，距离依托除尘器的距离较近(约50m)，依托可行。</w:t>
            </w:r>
          </w:p>
          <w:p w14:paraId="2F409D6B">
            <w:pPr>
              <w:keepNext w:val="0"/>
              <w:keepLines w:val="0"/>
              <w:widowControl/>
              <w:suppressLineNumbers w:val="0"/>
              <w:jc w:val="left"/>
              <w:rPr>
                <w:color w:val="auto"/>
                <w:sz w:val="21"/>
                <w:szCs w:val="21"/>
                <w:highlight w:val="none"/>
                <w:lang w:val="en-GB"/>
              </w:rPr>
            </w:pPr>
            <w:r>
              <w:rPr>
                <w:rFonts w:hint="eastAsia"/>
                <w:color w:val="auto"/>
                <w:sz w:val="21"/>
                <w:szCs w:val="21"/>
                <w:highlight w:val="none"/>
                <w:lang w:val="en-US" w:eastAsia="zh-CN"/>
              </w:rPr>
              <w:t xml:space="preserve">(2)布袋除尘器工作原理 </w:t>
            </w:r>
          </w:p>
          <w:p w14:paraId="1121FDCA">
            <w:pPr>
              <w:ind w:firstLine="480"/>
              <w:rPr>
                <w:rFonts w:hint="default"/>
                <w:color w:val="auto"/>
                <w:sz w:val="21"/>
                <w:szCs w:val="21"/>
                <w:highlight w:val="none"/>
                <w:lang w:val="en-US" w:eastAsia="zh-CN"/>
              </w:rPr>
            </w:pPr>
            <w:r>
              <w:rPr>
                <w:rFonts w:hint="eastAsia"/>
                <w:color w:val="auto"/>
                <w:sz w:val="21"/>
                <w:szCs w:val="21"/>
                <w:highlight w:val="none"/>
                <w:lang w:val="en-US" w:eastAsia="zh-CN"/>
              </w:rPr>
              <w:t>布袋除尘器的工作原理是通过过滤而阻挡粉尘，它适用于捕集细小的非纤维性粉尘。滤袋采用纺织的滤布或非纺织的毡制成，利用纤维组织的过滤作用对含尘气体进行过滤，尘粒由惯性力作用以及受气体分子做布朗运动冲击不断改变运动方向，由于纤维间空隙小于尘粒运动的自由路径，尘粒与纤维碰撞接触而被分离出来。实际运行过程中，含尘气体由进风道进入灰斗，粗尘粒直接落入灰斗底部，细尘粒随气流转折积附在滤袋外表面，过滤后的气体进入上箱体至净气集合管-排风道，经排风机排至大气，除尘效率可达99.5%以上，处理风量可由每小时数百立方米到每小时数几十万立方米不等；布袋除尘器广泛应用于消除粉尘污染、改善环境、回收物料等方面，治理效果明显，技术可行。</w:t>
            </w:r>
          </w:p>
          <w:p w14:paraId="16612E23">
            <w:pPr>
              <w:pStyle w:val="2"/>
              <w:rPr>
                <w:rFonts w:hint="default"/>
                <w:color w:val="auto"/>
                <w:sz w:val="21"/>
                <w:szCs w:val="21"/>
                <w:highlight w:val="none"/>
                <w:lang w:val="en-US" w:eastAsia="zh-CN"/>
              </w:rPr>
            </w:pPr>
            <w:r>
              <w:rPr>
                <w:rFonts w:hint="eastAsia"/>
                <w:color w:val="auto"/>
                <w:sz w:val="21"/>
                <w:szCs w:val="21"/>
                <w:highlight w:val="none"/>
                <w:lang w:val="en-US" w:eastAsia="zh-CN"/>
              </w:rPr>
              <w:t>1.5.2无组织</w:t>
            </w:r>
          </w:p>
          <w:p w14:paraId="5368BF31">
            <w:pPr>
              <w:ind w:firstLine="480"/>
              <w:rPr>
                <w:color w:val="auto"/>
                <w:sz w:val="21"/>
                <w:szCs w:val="21"/>
                <w:highlight w:val="none"/>
                <w:lang w:val="en-GB"/>
              </w:rPr>
            </w:pPr>
            <w:r>
              <w:rPr>
                <w:rFonts w:hint="eastAsia"/>
                <w:color w:val="auto"/>
                <w:sz w:val="21"/>
                <w:szCs w:val="21"/>
                <w:highlight w:val="none"/>
                <w:lang w:val="en-GB"/>
              </w:rPr>
              <w:t>项目生产过程位于封闭车间内</w:t>
            </w:r>
            <w:r>
              <w:rPr>
                <w:rFonts w:hint="eastAsia"/>
                <w:color w:val="auto"/>
                <w:sz w:val="21"/>
                <w:szCs w:val="21"/>
                <w:highlight w:val="none"/>
                <w:lang w:val="en-US" w:eastAsia="zh-CN"/>
              </w:rPr>
              <w:t>；物料装卸及堆存采取车间封闭(</w:t>
            </w:r>
            <w:r>
              <w:rPr>
                <w:rFonts w:hint="eastAsia"/>
                <w:color w:val="auto"/>
                <w:kern w:val="2"/>
                <w:sz w:val="21"/>
                <w:szCs w:val="21"/>
                <w:highlight w:val="none"/>
                <w:lang w:val="en-US" w:eastAsia="zh-CN"/>
              </w:rPr>
              <w:t>自动感应门</w:t>
            </w:r>
            <w:r>
              <w:rPr>
                <w:rFonts w:hint="eastAsia"/>
                <w:color w:val="auto"/>
                <w:sz w:val="21"/>
                <w:szCs w:val="21"/>
                <w:highlight w:val="none"/>
                <w:lang w:val="en-US" w:eastAsia="zh-CN"/>
              </w:rPr>
              <w:t>)+喷雾抑尘措施；项目依托厂区现有洗车平台，运输车辆采取密闭车斗，道路洒水降尘等措施。通过采取以上措施，可以减少颗粒物的无组织排放，</w:t>
            </w:r>
            <w:r>
              <w:rPr>
                <w:rFonts w:hint="eastAsia" w:ascii="宋体" w:hAnsi="宋体" w:cs="宋体"/>
                <w:color w:val="auto"/>
                <w:kern w:val="0"/>
                <w:sz w:val="21"/>
                <w:szCs w:val="21"/>
                <w:highlight w:val="none"/>
                <w:lang w:val="en-US" w:eastAsia="zh-CN" w:bidi="ar"/>
              </w:rPr>
              <w:t>经类比，</w:t>
            </w:r>
            <w:r>
              <w:rPr>
                <w:rFonts w:hint="eastAsia" w:ascii="Times New Roman" w:hAnsi="Times New Roman"/>
                <w:color w:val="auto"/>
                <w:sz w:val="21"/>
                <w:szCs w:val="21"/>
                <w:highlight w:val="none"/>
              </w:rPr>
              <w:t>项目</w:t>
            </w:r>
            <w:r>
              <w:rPr>
                <w:rFonts w:hint="eastAsia" w:ascii="Times New Roman" w:hAnsi="Times New Roman"/>
                <w:color w:val="auto"/>
                <w:sz w:val="21"/>
                <w:szCs w:val="21"/>
                <w:highlight w:val="none"/>
                <w:lang w:val="en-US" w:eastAsia="zh-CN"/>
              </w:rPr>
              <w:t>厂界</w:t>
            </w:r>
            <w:r>
              <w:rPr>
                <w:rFonts w:hint="eastAsia" w:ascii="Times New Roman" w:hAnsi="Times New Roman"/>
                <w:color w:val="auto"/>
                <w:sz w:val="21"/>
                <w:szCs w:val="21"/>
                <w:highlight w:val="none"/>
              </w:rPr>
              <w:t>无组织颗粒物排放</w:t>
            </w:r>
            <w:r>
              <w:rPr>
                <w:rFonts w:hint="eastAsia" w:ascii="Times New Roman" w:hAnsi="Times New Roman"/>
                <w:color w:val="auto"/>
                <w:sz w:val="21"/>
                <w:szCs w:val="21"/>
                <w:highlight w:val="none"/>
                <w:lang w:val="en-US" w:eastAsia="zh-CN"/>
              </w:rPr>
              <w:t>满足</w:t>
            </w:r>
            <w:r>
              <w:rPr>
                <w:rFonts w:hint="eastAsia" w:ascii="Times New Roman" w:hAnsi="Times New Roman"/>
                <w:color w:val="auto"/>
                <w:sz w:val="21"/>
                <w:szCs w:val="21"/>
                <w:highlight w:val="none"/>
              </w:rPr>
              <w:t>《钢铁工业大气污染物超低排放标准》</w:t>
            </w:r>
            <w:r>
              <w:rPr>
                <w:rFonts w:hint="eastAsia" w:ascii="Times New Roman" w:hAnsi="Times New Roman"/>
                <w:color w:val="auto"/>
                <w:sz w:val="21"/>
                <w:szCs w:val="21"/>
                <w:highlight w:val="none"/>
                <w:lang w:eastAsia="zh-CN"/>
              </w:rPr>
              <w:t>(</w:t>
            </w:r>
            <w:r>
              <w:rPr>
                <w:rFonts w:ascii="Times New Roman" w:hAnsi="Times New Roman"/>
                <w:color w:val="auto"/>
                <w:sz w:val="21"/>
                <w:szCs w:val="21"/>
                <w:highlight w:val="none"/>
              </w:rPr>
              <w:t>DB13/2169-2018)表5无组织排放浓度限值</w:t>
            </w:r>
            <w:r>
              <w:rPr>
                <w:rFonts w:hint="eastAsia" w:ascii="Times New Roman" w:hAnsi="Times New Roman"/>
                <w:color w:val="auto"/>
                <w:sz w:val="21"/>
                <w:szCs w:val="21"/>
                <w:highlight w:val="none"/>
                <w:lang w:eastAsia="zh-CN"/>
              </w:rPr>
              <w:t>，</w:t>
            </w:r>
            <w:r>
              <w:rPr>
                <w:rFonts w:hint="eastAsia" w:ascii="宋体" w:hAnsi="宋体" w:eastAsia="宋体" w:cs="宋体"/>
                <w:color w:val="auto"/>
                <w:highlight w:val="none"/>
              </w:rPr>
              <w:t>同</w:t>
            </w:r>
            <w:r>
              <w:rPr>
                <w:rFonts w:hint="default" w:ascii="Times New Roman" w:hAnsi="Times New Roman" w:eastAsia="宋体" w:cs="Times New Roman"/>
                <w:color w:val="auto"/>
                <w:highlight w:val="none"/>
              </w:rPr>
              <w:t>时满足《唐山市人民政府关于执行重点行业大气污染物排放特别要求的通知》(唐政字[2021]82号)中厂界无组织排放浓度限值要求。</w:t>
            </w:r>
          </w:p>
          <w:p w14:paraId="09830262">
            <w:pPr>
              <w:ind w:firstLine="480"/>
              <w:rPr>
                <w:color w:val="auto"/>
                <w:sz w:val="21"/>
                <w:szCs w:val="21"/>
                <w:highlight w:val="none"/>
                <w:lang w:val="en-GB"/>
              </w:rPr>
            </w:pPr>
            <w:r>
              <w:rPr>
                <w:rFonts w:hint="eastAsia"/>
                <w:color w:val="auto"/>
                <w:sz w:val="21"/>
                <w:szCs w:val="21"/>
                <w:highlight w:val="none"/>
                <w:lang w:val="en-US" w:eastAsia="zh-CN"/>
              </w:rPr>
              <w:t>综上所述，本项目的废气污染治理措施是可行的。</w:t>
            </w:r>
          </w:p>
          <w:p w14:paraId="2A7F78FE">
            <w:pPr>
              <w:ind w:firstLine="480"/>
              <w:rPr>
                <w:color w:val="auto"/>
                <w:sz w:val="21"/>
                <w:szCs w:val="21"/>
                <w:highlight w:val="none"/>
                <w:lang w:val="en-GB"/>
              </w:rPr>
            </w:pPr>
            <w:r>
              <w:rPr>
                <w:rFonts w:hint="eastAsia"/>
                <w:color w:val="auto"/>
                <w:sz w:val="21"/>
                <w:szCs w:val="21"/>
                <w:highlight w:val="none"/>
                <w:lang w:val="en-US" w:eastAsia="zh-CN"/>
              </w:rPr>
              <w:t>1.6</w:t>
            </w:r>
            <w:r>
              <w:rPr>
                <w:color w:val="auto"/>
                <w:sz w:val="21"/>
                <w:szCs w:val="21"/>
                <w:highlight w:val="none"/>
                <w:lang w:val="en-GB"/>
              </w:rPr>
              <w:t>废气监测方案</w:t>
            </w:r>
          </w:p>
          <w:p w14:paraId="629FA145">
            <w:pPr>
              <w:ind w:firstLine="480"/>
              <w:rPr>
                <w:color w:val="auto"/>
                <w:sz w:val="21"/>
                <w:szCs w:val="21"/>
                <w:highlight w:val="none"/>
                <w:lang w:val="en-GB"/>
              </w:rPr>
            </w:pPr>
            <w:r>
              <w:rPr>
                <w:color w:val="auto"/>
                <w:sz w:val="21"/>
                <w:szCs w:val="21"/>
                <w:highlight w:val="none"/>
                <w:lang w:val="en-GB"/>
              </w:rPr>
              <w:t>根据《排污单位自行监测技术指南</w:t>
            </w:r>
            <w:r>
              <w:rPr>
                <w:rFonts w:hint="eastAsia"/>
                <w:color w:val="auto"/>
                <w:sz w:val="21"/>
                <w:szCs w:val="21"/>
                <w:highlight w:val="none"/>
                <w:lang w:val="en-US" w:eastAsia="zh-CN"/>
              </w:rPr>
              <w:t xml:space="preserve"> 钢铁工业及炼焦化学工业</w:t>
            </w:r>
            <w:r>
              <w:rPr>
                <w:color w:val="auto"/>
                <w:sz w:val="21"/>
                <w:szCs w:val="21"/>
                <w:highlight w:val="none"/>
                <w:lang w:val="en-GB"/>
              </w:rPr>
              <w:t>》，建设单位营运期应进行常规自行监测，监测项目及频次可按照下表或更为严格的要求执行。</w:t>
            </w:r>
          </w:p>
          <w:p w14:paraId="322160DB">
            <w:pPr>
              <w:adjustRightInd w:val="0"/>
              <w:snapToGrid w:val="0"/>
              <w:ind w:firstLine="482"/>
              <w:jc w:val="center"/>
              <w:rPr>
                <w:b/>
                <w:color w:val="auto"/>
                <w:sz w:val="21"/>
                <w:szCs w:val="21"/>
                <w:highlight w:val="none"/>
              </w:rPr>
            </w:pPr>
            <w:r>
              <w:rPr>
                <w:b/>
                <w:color w:val="auto"/>
                <w:sz w:val="21"/>
                <w:szCs w:val="21"/>
                <w:highlight w:val="none"/>
              </w:rPr>
              <w:t>表</w:t>
            </w:r>
            <w:r>
              <w:rPr>
                <w:rFonts w:hint="eastAsia"/>
                <w:b/>
                <w:color w:val="auto"/>
                <w:sz w:val="21"/>
                <w:szCs w:val="21"/>
                <w:highlight w:val="none"/>
                <w:lang w:val="en-US" w:eastAsia="zh-CN"/>
              </w:rPr>
              <w:t>4-13</w:t>
            </w:r>
            <w:r>
              <w:rPr>
                <w:b/>
                <w:color w:val="auto"/>
                <w:sz w:val="21"/>
                <w:szCs w:val="21"/>
                <w:highlight w:val="none"/>
              </w:rPr>
              <w:t xml:space="preserve">    本项目废气监测方案一览表</w:t>
            </w:r>
          </w:p>
          <w:tbl>
            <w:tblPr>
              <w:tblStyle w:val="84"/>
              <w:tblW w:w="49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49"/>
              <w:gridCol w:w="904"/>
              <w:gridCol w:w="1248"/>
              <w:gridCol w:w="1381"/>
              <w:gridCol w:w="2652"/>
              <w:gridCol w:w="1313"/>
            </w:tblGrid>
            <w:tr w14:paraId="63BFE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4" w:type="pct"/>
                  <w:tcBorders>
                    <w:top w:val="single" w:color="auto" w:sz="4" w:space="0"/>
                    <w:left w:val="single" w:color="auto" w:sz="4" w:space="0"/>
                    <w:bottom w:val="single" w:color="auto" w:sz="4" w:space="0"/>
                    <w:right w:val="single" w:color="auto" w:sz="4" w:space="0"/>
                  </w:tcBorders>
                  <w:vAlign w:val="center"/>
                </w:tcPr>
                <w:p w14:paraId="54AD7A74">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序号</w:t>
                  </w:r>
                </w:p>
              </w:tc>
              <w:tc>
                <w:tcPr>
                  <w:tcW w:w="1304" w:type="pct"/>
                  <w:gridSpan w:val="2"/>
                  <w:tcBorders>
                    <w:top w:val="single" w:color="auto" w:sz="4" w:space="0"/>
                    <w:left w:val="single" w:color="auto" w:sz="4" w:space="0"/>
                    <w:bottom w:val="single" w:color="auto" w:sz="4" w:space="0"/>
                    <w:right w:val="single" w:color="auto" w:sz="4" w:space="0"/>
                  </w:tcBorders>
                  <w:vAlign w:val="center"/>
                </w:tcPr>
                <w:p w14:paraId="39DCD0AC">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污染源</w:t>
                  </w:r>
                </w:p>
              </w:tc>
              <w:tc>
                <w:tcPr>
                  <w:tcW w:w="837" w:type="pct"/>
                  <w:tcBorders>
                    <w:top w:val="single" w:color="auto" w:sz="4" w:space="0"/>
                    <w:left w:val="single" w:color="auto" w:sz="4" w:space="0"/>
                    <w:bottom w:val="single" w:color="auto" w:sz="4" w:space="0"/>
                    <w:right w:val="single" w:color="auto" w:sz="4" w:space="0"/>
                  </w:tcBorders>
                  <w:vAlign w:val="center"/>
                </w:tcPr>
                <w:p w14:paraId="2EDC4087">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监测因子</w:t>
                  </w:r>
                </w:p>
              </w:tc>
              <w:tc>
                <w:tcPr>
                  <w:tcW w:w="1607" w:type="pct"/>
                  <w:tcBorders>
                    <w:top w:val="single" w:color="auto" w:sz="4" w:space="0"/>
                    <w:left w:val="single" w:color="auto" w:sz="4" w:space="0"/>
                    <w:bottom w:val="single" w:color="auto" w:sz="4" w:space="0"/>
                    <w:right w:val="single" w:color="auto" w:sz="4" w:space="0"/>
                  </w:tcBorders>
                  <w:vAlign w:val="center"/>
                </w:tcPr>
                <w:p w14:paraId="4ACEAC7E">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监测点位</w:t>
                  </w:r>
                </w:p>
              </w:tc>
              <w:tc>
                <w:tcPr>
                  <w:tcW w:w="795" w:type="pct"/>
                  <w:tcBorders>
                    <w:top w:val="single" w:color="auto" w:sz="4" w:space="0"/>
                    <w:left w:val="single" w:color="auto" w:sz="4" w:space="0"/>
                    <w:bottom w:val="single" w:color="auto" w:sz="4" w:space="0"/>
                    <w:right w:val="single" w:color="auto" w:sz="4" w:space="0"/>
                  </w:tcBorders>
                  <w:vAlign w:val="center"/>
                </w:tcPr>
                <w:p w14:paraId="3326CCF3">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监测频次</w:t>
                  </w:r>
                </w:p>
              </w:tc>
            </w:tr>
            <w:tr w14:paraId="2B81A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4" w:type="pct"/>
                  <w:tcBorders>
                    <w:top w:val="nil"/>
                    <w:left w:val="single" w:color="auto" w:sz="4" w:space="0"/>
                    <w:right w:val="single" w:color="auto" w:sz="4" w:space="0"/>
                  </w:tcBorders>
                  <w:vAlign w:val="center"/>
                </w:tcPr>
                <w:p w14:paraId="3623553F">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1</w:t>
                  </w:r>
                </w:p>
              </w:tc>
              <w:tc>
                <w:tcPr>
                  <w:tcW w:w="548" w:type="pct"/>
                  <w:tcBorders>
                    <w:top w:val="nil"/>
                    <w:left w:val="single" w:color="auto" w:sz="4" w:space="0"/>
                    <w:right w:val="single" w:color="auto" w:sz="4" w:space="0"/>
                  </w:tcBorders>
                  <w:vAlign w:val="center"/>
                </w:tcPr>
                <w:p w14:paraId="488F5EBF">
                  <w:pPr>
                    <w:widowControl/>
                    <w:spacing w:line="320" w:lineRule="exact"/>
                    <w:ind w:firstLine="0" w:firstLineChars="0"/>
                    <w:jc w:val="center"/>
                    <w:rPr>
                      <w:rFonts w:hint="eastAsia"/>
                      <w:color w:val="auto"/>
                      <w:kern w:val="0"/>
                      <w:sz w:val="21"/>
                      <w:szCs w:val="21"/>
                      <w:highlight w:val="none"/>
                      <w:lang w:val="en-GB"/>
                    </w:rPr>
                  </w:pPr>
                  <w:r>
                    <w:rPr>
                      <w:rFonts w:hint="eastAsia"/>
                      <w:color w:val="auto"/>
                      <w:kern w:val="0"/>
                      <w:sz w:val="21"/>
                      <w:szCs w:val="21"/>
                      <w:highlight w:val="none"/>
                      <w:lang w:val="en-GB"/>
                    </w:rPr>
                    <w:t>有组织</w:t>
                  </w:r>
                </w:p>
              </w:tc>
              <w:tc>
                <w:tcPr>
                  <w:tcW w:w="755" w:type="pct"/>
                  <w:tcBorders>
                    <w:top w:val="nil"/>
                    <w:left w:val="single" w:color="auto" w:sz="4" w:space="0"/>
                    <w:right w:val="single" w:color="auto" w:sz="4" w:space="0"/>
                  </w:tcBorders>
                  <w:vAlign w:val="center"/>
                </w:tcPr>
                <w:p w14:paraId="442C636B">
                  <w:pPr>
                    <w:widowControl/>
                    <w:spacing w:line="320" w:lineRule="exact"/>
                    <w:ind w:firstLine="0" w:firstLineChars="0"/>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DA073</w:t>
                  </w:r>
                </w:p>
              </w:tc>
              <w:tc>
                <w:tcPr>
                  <w:tcW w:w="837" w:type="pct"/>
                  <w:tcBorders>
                    <w:top w:val="single" w:color="auto" w:sz="4" w:space="0"/>
                    <w:left w:val="single" w:color="auto" w:sz="4" w:space="0"/>
                    <w:bottom w:val="single" w:color="auto" w:sz="4" w:space="0"/>
                    <w:right w:val="single" w:color="auto" w:sz="4" w:space="0"/>
                  </w:tcBorders>
                  <w:vAlign w:val="center"/>
                </w:tcPr>
                <w:p w14:paraId="0C352B0D">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颗粒物</w:t>
                  </w:r>
                </w:p>
              </w:tc>
              <w:tc>
                <w:tcPr>
                  <w:tcW w:w="1607" w:type="pct"/>
                  <w:tcBorders>
                    <w:top w:val="single" w:color="auto" w:sz="4" w:space="0"/>
                    <w:left w:val="single" w:color="auto" w:sz="4" w:space="0"/>
                    <w:bottom w:val="single" w:color="auto" w:sz="4" w:space="0"/>
                    <w:right w:val="single" w:color="auto" w:sz="4" w:space="0"/>
                  </w:tcBorders>
                  <w:vAlign w:val="center"/>
                </w:tcPr>
                <w:p w14:paraId="16273327">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排气筒监测口</w:t>
                  </w:r>
                </w:p>
              </w:tc>
              <w:tc>
                <w:tcPr>
                  <w:tcW w:w="795" w:type="pct"/>
                  <w:tcBorders>
                    <w:top w:val="single" w:color="auto" w:sz="4" w:space="0"/>
                    <w:left w:val="single" w:color="auto" w:sz="4" w:space="0"/>
                    <w:right w:val="single" w:color="auto" w:sz="4" w:space="0"/>
                  </w:tcBorders>
                  <w:vAlign w:val="center"/>
                </w:tcPr>
                <w:p w14:paraId="4EF3D282">
                  <w:pPr>
                    <w:widowControl/>
                    <w:spacing w:line="320" w:lineRule="exact"/>
                    <w:ind w:firstLine="0" w:firstLineChars="0"/>
                    <w:jc w:val="center"/>
                    <w:rPr>
                      <w:color w:val="auto"/>
                      <w:kern w:val="0"/>
                      <w:sz w:val="21"/>
                      <w:szCs w:val="21"/>
                      <w:highlight w:val="none"/>
                    </w:rPr>
                  </w:pPr>
                  <w:r>
                    <w:rPr>
                      <w:rFonts w:hint="eastAsia"/>
                      <w:color w:val="auto"/>
                      <w:kern w:val="0"/>
                      <w:sz w:val="21"/>
                      <w:szCs w:val="21"/>
                      <w:highlight w:val="none"/>
                    </w:rPr>
                    <w:t>1次/a</w:t>
                  </w:r>
                </w:p>
              </w:tc>
            </w:tr>
            <w:tr w14:paraId="18469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4" w:type="pct"/>
                  <w:tcBorders>
                    <w:top w:val="single" w:color="auto" w:sz="4" w:space="0"/>
                    <w:left w:val="single" w:color="auto" w:sz="4" w:space="0"/>
                    <w:bottom w:val="single" w:color="auto" w:sz="4" w:space="0"/>
                    <w:right w:val="single" w:color="auto" w:sz="4" w:space="0"/>
                  </w:tcBorders>
                  <w:vAlign w:val="center"/>
                </w:tcPr>
                <w:p w14:paraId="324D8535">
                  <w:pPr>
                    <w:widowControl/>
                    <w:spacing w:line="320" w:lineRule="exact"/>
                    <w:ind w:firstLine="0" w:firstLineChars="0"/>
                    <w:jc w:val="center"/>
                    <w:rPr>
                      <w:rFonts w:hint="eastAsia" w:eastAsia="宋体"/>
                      <w:color w:val="auto"/>
                      <w:kern w:val="0"/>
                      <w:sz w:val="21"/>
                      <w:szCs w:val="21"/>
                      <w:highlight w:val="none"/>
                      <w:lang w:val="en-GB" w:eastAsia="zh-CN"/>
                    </w:rPr>
                  </w:pPr>
                  <w:r>
                    <w:rPr>
                      <w:rFonts w:hint="eastAsia"/>
                      <w:color w:val="auto"/>
                      <w:kern w:val="0"/>
                      <w:sz w:val="21"/>
                      <w:szCs w:val="21"/>
                      <w:highlight w:val="none"/>
                      <w:lang w:val="en-US" w:eastAsia="zh-CN"/>
                    </w:rPr>
                    <w:t>2</w:t>
                  </w:r>
                </w:p>
              </w:tc>
              <w:tc>
                <w:tcPr>
                  <w:tcW w:w="548" w:type="pct"/>
                  <w:tcBorders>
                    <w:top w:val="single" w:color="auto" w:sz="4" w:space="0"/>
                    <w:left w:val="single" w:color="auto" w:sz="4" w:space="0"/>
                    <w:bottom w:val="single" w:color="auto" w:sz="4" w:space="0"/>
                    <w:right w:val="single" w:color="auto" w:sz="4" w:space="0"/>
                  </w:tcBorders>
                  <w:vAlign w:val="center"/>
                </w:tcPr>
                <w:p w14:paraId="72B52AF6">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无组织</w:t>
                  </w:r>
                </w:p>
              </w:tc>
              <w:tc>
                <w:tcPr>
                  <w:tcW w:w="755" w:type="pct"/>
                  <w:tcBorders>
                    <w:top w:val="single" w:color="auto" w:sz="4" w:space="0"/>
                    <w:left w:val="single" w:color="auto" w:sz="4" w:space="0"/>
                    <w:bottom w:val="single" w:color="auto" w:sz="4" w:space="0"/>
                    <w:right w:val="single" w:color="auto" w:sz="4" w:space="0"/>
                  </w:tcBorders>
                  <w:vAlign w:val="center"/>
                </w:tcPr>
                <w:p w14:paraId="3DB9BB40">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厂界</w:t>
                  </w:r>
                </w:p>
              </w:tc>
              <w:tc>
                <w:tcPr>
                  <w:tcW w:w="837" w:type="pct"/>
                  <w:tcBorders>
                    <w:top w:val="single" w:color="auto" w:sz="4" w:space="0"/>
                    <w:left w:val="single" w:color="auto" w:sz="4" w:space="0"/>
                    <w:bottom w:val="single" w:color="auto" w:sz="4" w:space="0"/>
                    <w:right w:val="single" w:color="auto" w:sz="4" w:space="0"/>
                  </w:tcBorders>
                  <w:vAlign w:val="center"/>
                </w:tcPr>
                <w:p w14:paraId="65893EFC">
                  <w:pPr>
                    <w:widowControl/>
                    <w:spacing w:line="320" w:lineRule="exact"/>
                    <w:ind w:firstLine="0" w:firstLineChars="0"/>
                    <w:jc w:val="center"/>
                    <w:rPr>
                      <w:color w:val="auto"/>
                      <w:kern w:val="0"/>
                      <w:sz w:val="21"/>
                      <w:szCs w:val="21"/>
                      <w:highlight w:val="none"/>
                    </w:rPr>
                  </w:pPr>
                  <w:r>
                    <w:rPr>
                      <w:rFonts w:hint="eastAsia"/>
                      <w:color w:val="auto"/>
                      <w:kern w:val="0"/>
                      <w:sz w:val="21"/>
                      <w:szCs w:val="21"/>
                      <w:highlight w:val="none"/>
                      <w:lang w:val="en-GB"/>
                    </w:rPr>
                    <w:t>颗粒物</w:t>
                  </w:r>
                </w:p>
              </w:tc>
              <w:tc>
                <w:tcPr>
                  <w:tcW w:w="1607" w:type="pct"/>
                  <w:tcBorders>
                    <w:top w:val="single" w:color="auto" w:sz="4" w:space="0"/>
                    <w:left w:val="single" w:color="auto" w:sz="4" w:space="0"/>
                    <w:bottom w:val="single" w:color="auto" w:sz="4" w:space="0"/>
                    <w:right w:val="single" w:color="auto" w:sz="4" w:space="0"/>
                  </w:tcBorders>
                  <w:vAlign w:val="center"/>
                </w:tcPr>
                <w:p w14:paraId="39DC8D43">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lang w:val="en-GB"/>
                    </w:rPr>
                    <w:t>上风向1个参照点，下风向3个监测点</w:t>
                  </w:r>
                </w:p>
              </w:tc>
              <w:tc>
                <w:tcPr>
                  <w:tcW w:w="795" w:type="pct"/>
                  <w:tcBorders>
                    <w:top w:val="single" w:color="auto" w:sz="4" w:space="0"/>
                    <w:left w:val="single" w:color="auto" w:sz="4" w:space="0"/>
                    <w:bottom w:val="single" w:color="auto" w:sz="4" w:space="0"/>
                    <w:right w:val="single" w:color="auto" w:sz="4" w:space="0"/>
                  </w:tcBorders>
                  <w:vAlign w:val="center"/>
                </w:tcPr>
                <w:p w14:paraId="1D05B8F0">
                  <w:pPr>
                    <w:widowControl/>
                    <w:spacing w:line="320" w:lineRule="exact"/>
                    <w:ind w:firstLine="0" w:firstLineChars="0"/>
                    <w:jc w:val="center"/>
                    <w:rPr>
                      <w:color w:val="auto"/>
                      <w:kern w:val="0"/>
                      <w:sz w:val="21"/>
                      <w:szCs w:val="21"/>
                      <w:highlight w:val="none"/>
                      <w:lang w:val="en-GB"/>
                    </w:rPr>
                  </w:pPr>
                  <w:r>
                    <w:rPr>
                      <w:rFonts w:hint="eastAsia"/>
                      <w:color w:val="auto"/>
                      <w:kern w:val="0"/>
                      <w:sz w:val="21"/>
                      <w:szCs w:val="21"/>
                      <w:highlight w:val="none"/>
                    </w:rPr>
                    <w:t>1次/a</w:t>
                  </w:r>
                </w:p>
              </w:tc>
            </w:tr>
          </w:tbl>
          <w:p w14:paraId="14EBDC60">
            <w:pPr>
              <w:adjustRightInd w:val="0"/>
              <w:snapToGrid w:val="0"/>
              <w:ind w:firstLine="480"/>
              <w:rPr>
                <w:color w:val="auto"/>
                <w:sz w:val="21"/>
                <w:szCs w:val="21"/>
                <w:highlight w:val="none"/>
              </w:rPr>
            </w:pPr>
            <w:r>
              <w:rPr>
                <w:rFonts w:hint="eastAsia"/>
                <w:color w:val="auto"/>
                <w:sz w:val="21"/>
                <w:szCs w:val="21"/>
                <w:highlight w:val="none"/>
                <w:lang w:val="en-US" w:eastAsia="zh-CN"/>
              </w:rPr>
              <w:t>1.7</w:t>
            </w:r>
            <w:r>
              <w:rPr>
                <w:color w:val="auto"/>
                <w:sz w:val="21"/>
                <w:szCs w:val="21"/>
                <w:highlight w:val="none"/>
              </w:rPr>
              <w:t>大气环境影响结论</w:t>
            </w:r>
          </w:p>
          <w:p w14:paraId="234D4AD3">
            <w:pPr>
              <w:ind w:firstLine="480"/>
              <w:rPr>
                <w:b/>
                <w:color w:val="auto"/>
                <w:sz w:val="21"/>
                <w:szCs w:val="21"/>
                <w:highlight w:val="none"/>
              </w:rPr>
            </w:pPr>
            <w:r>
              <w:rPr>
                <w:color w:val="auto"/>
                <w:sz w:val="21"/>
                <w:szCs w:val="21"/>
                <w:highlight w:val="none"/>
              </w:rPr>
              <w:t>本项目</w:t>
            </w:r>
            <w:r>
              <w:rPr>
                <w:rFonts w:hint="eastAsia"/>
                <w:color w:val="auto"/>
                <w:sz w:val="21"/>
                <w:szCs w:val="21"/>
                <w:highlight w:val="none"/>
              </w:rPr>
              <w:t>位于</w:t>
            </w:r>
            <w:r>
              <w:rPr>
                <w:rFonts w:hint="default" w:ascii="Times New Roman" w:hAnsi="Times New Roman" w:cs="Times New Roman" w:eastAsiaTheme="minorEastAsia"/>
                <w:color w:val="auto"/>
                <w:kern w:val="0"/>
                <w:szCs w:val="21"/>
                <w:highlight w:val="none"/>
                <w:lang w:val="en-US" w:eastAsia="zh-CN"/>
              </w:rPr>
              <w:t>河北迁安经济开发区，公司现有厂区内</w:t>
            </w:r>
            <w:r>
              <w:rPr>
                <w:rFonts w:hint="eastAsia"/>
                <w:color w:val="auto"/>
                <w:sz w:val="21"/>
                <w:szCs w:val="21"/>
                <w:highlight w:val="none"/>
              </w:rPr>
              <w:t>，</w:t>
            </w:r>
            <w:r>
              <w:rPr>
                <w:color w:val="auto"/>
                <w:sz w:val="21"/>
                <w:szCs w:val="21"/>
                <w:highlight w:val="none"/>
              </w:rPr>
              <w:t>项目所在地为环境空气质量不达标区。经工程分析及源强核算可知各污染物经相应治理措施治理后均能做到达标排放。营运期，建设单位在加强各废气处理装置运营维护、定期按要求进行日常监测，确保各装置正常使用的情况下，本项目排放的废气不会对周边空气质量产生明显不利影响</w:t>
            </w:r>
            <w:r>
              <w:rPr>
                <w:snapToGrid w:val="0"/>
                <w:color w:val="auto"/>
                <w:kern w:val="0"/>
                <w:sz w:val="21"/>
                <w:szCs w:val="21"/>
                <w:highlight w:val="none"/>
              </w:rPr>
              <w:t>。</w:t>
            </w:r>
          </w:p>
          <w:p w14:paraId="7ACF996C">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2、地表水治理措施及影响分析</w:t>
            </w:r>
          </w:p>
          <w:p w14:paraId="6DA52A82">
            <w:pPr>
              <w:rPr>
                <w:color w:val="auto"/>
                <w:sz w:val="21"/>
                <w:szCs w:val="21"/>
                <w:highlight w:val="none"/>
              </w:rPr>
            </w:pPr>
            <w:r>
              <w:rPr>
                <w:rFonts w:hint="default" w:ascii="Times New Roman" w:hAnsi="Times New Roman" w:cs="Times New Roman"/>
                <w:color w:val="auto"/>
                <w:sz w:val="21"/>
                <w:szCs w:val="21"/>
                <w:highlight w:val="none"/>
              </w:rPr>
              <w:t>本项目无新增生活污水</w:t>
            </w:r>
            <w:r>
              <w:rPr>
                <w:rFonts w:hint="eastAsia" w:cs="Times New Roman"/>
                <w:color w:val="auto"/>
                <w:sz w:val="21"/>
                <w:szCs w:val="21"/>
                <w:highlight w:val="none"/>
                <w:lang w:eastAsia="zh-CN"/>
              </w:rPr>
              <w:t>；</w:t>
            </w:r>
            <w:r>
              <w:rPr>
                <w:rFonts w:hint="eastAsia"/>
                <w:color w:val="auto"/>
                <w:sz w:val="21"/>
                <w:szCs w:val="21"/>
                <w:highlight w:val="none"/>
                <w:lang w:val="en-US" w:eastAsia="zh-CN"/>
              </w:rPr>
              <w:t>项目洗车废水沉淀后循环使用，</w:t>
            </w:r>
            <w:r>
              <w:rPr>
                <w:rFonts w:hint="eastAsia"/>
                <w:color w:val="auto"/>
              </w:rPr>
              <w:t>不会对周边地表水环境造成影响</w:t>
            </w:r>
            <w:r>
              <w:rPr>
                <w:rFonts w:hint="eastAsia"/>
                <w:color w:val="auto"/>
                <w:sz w:val="21"/>
                <w:szCs w:val="21"/>
                <w:highlight w:val="none"/>
              </w:rPr>
              <w:t>。</w:t>
            </w:r>
          </w:p>
          <w:p w14:paraId="19469B65">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3、噪声治理措施及影响分析</w:t>
            </w:r>
          </w:p>
          <w:p w14:paraId="5FBFC05A">
            <w:pP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3.1</w:t>
            </w:r>
            <w:r>
              <w:rPr>
                <w:rFonts w:hint="default" w:ascii="Times New Roman" w:hAnsi="Times New Roman" w:cs="Times New Roman"/>
                <w:color w:val="auto"/>
                <w:sz w:val="21"/>
                <w:szCs w:val="21"/>
                <w:highlight w:val="none"/>
              </w:rPr>
              <w:t>噪声源强及降噪措施</w:t>
            </w:r>
          </w:p>
          <w:p w14:paraId="1FEC8744">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本项目主要产噪设备为泵等设备，源强为</w:t>
            </w:r>
            <w:r>
              <w:rPr>
                <w:rFonts w:hint="default" w:ascii="Times New Roman" w:hAnsi="Times New Roman" w:cs="Times New Roman"/>
                <w:color w:val="auto"/>
                <w:sz w:val="21"/>
                <w:szCs w:val="21"/>
                <w:highlight w:val="none"/>
                <w:lang w:val="en-US" w:eastAsia="zh-CN"/>
              </w:rPr>
              <w:t>80-85</w:t>
            </w:r>
            <w:r>
              <w:rPr>
                <w:rFonts w:hint="default" w:ascii="Times New Roman" w:hAnsi="Times New Roman" w:cs="Times New Roman"/>
                <w:color w:val="auto"/>
                <w:sz w:val="21"/>
                <w:szCs w:val="21"/>
                <w:highlight w:val="none"/>
              </w:rPr>
              <w:t>dB(A)。</w:t>
            </w:r>
          </w:p>
          <w:p w14:paraId="539F9B6E">
            <w:pPr>
              <w:pStyle w:val="21"/>
              <w:rPr>
                <w:rFonts w:hint="default" w:ascii="Times New Roman" w:hAnsi="Times New Roman" w:cs="Times New Roman"/>
                <w:color w:val="auto"/>
                <w:sz w:val="21"/>
                <w:szCs w:val="21"/>
                <w:highlight w:val="none"/>
              </w:rPr>
            </w:pPr>
            <w:r>
              <w:rPr>
                <w:b/>
                <w:color w:val="auto"/>
                <w:sz w:val="21"/>
                <w:szCs w:val="21"/>
                <w:highlight w:val="none"/>
              </w:rPr>
              <w:t>表</w:t>
            </w:r>
            <w:r>
              <w:rPr>
                <w:rFonts w:hint="eastAsia"/>
                <w:b/>
                <w:color w:val="auto"/>
                <w:sz w:val="21"/>
                <w:szCs w:val="21"/>
                <w:highlight w:val="none"/>
                <w:lang w:val="en-US" w:eastAsia="zh-CN"/>
              </w:rPr>
              <w:t>4-14</w:t>
            </w:r>
            <w:r>
              <w:rPr>
                <w:rFonts w:hint="default" w:ascii="Times New Roman" w:hAnsi="Times New Roman" w:cs="Times New Roman"/>
                <w:color w:val="auto"/>
                <w:sz w:val="21"/>
                <w:szCs w:val="21"/>
                <w:highlight w:val="none"/>
              </w:rPr>
              <w:t xml:space="preserve">    项目噪声排放及处理措施一览表</w:t>
            </w:r>
          </w:p>
          <w:tbl>
            <w:tblPr>
              <w:tblStyle w:val="84"/>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7"/>
              <w:gridCol w:w="738"/>
              <w:gridCol w:w="991"/>
              <w:gridCol w:w="989"/>
              <w:gridCol w:w="3216"/>
              <w:gridCol w:w="800"/>
            </w:tblGrid>
            <w:tr w14:paraId="4FD98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9" w:type="pct"/>
                  <w:tcMar>
                    <w:left w:w="28" w:type="dxa"/>
                    <w:right w:w="28" w:type="dxa"/>
                  </w:tcMar>
                  <w:vAlign w:val="center"/>
                </w:tcPr>
                <w:p w14:paraId="105BCD8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设备名称</w:t>
                  </w:r>
                </w:p>
              </w:tc>
              <w:tc>
                <w:tcPr>
                  <w:tcW w:w="447" w:type="pct"/>
                  <w:tcMar>
                    <w:left w:w="28" w:type="dxa"/>
                    <w:right w:w="28" w:type="dxa"/>
                  </w:tcMar>
                  <w:vAlign w:val="center"/>
                </w:tcPr>
                <w:p w14:paraId="1108305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Cs/>
                      <w:color w:val="auto"/>
                      <w:spacing w:val="-4"/>
                      <w:sz w:val="21"/>
                      <w:szCs w:val="21"/>
                      <w:highlight w:val="none"/>
                    </w:rPr>
                  </w:pPr>
                  <w:r>
                    <w:rPr>
                      <w:rFonts w:hint="default" w:ascii="Times New Roman" w:hAnsi="Times New Roman" w:cs="Times New Roman"/>
                      <w:bCs/>
                      <w:color w:val="auto"/>
                      <w:sz w:val="21"/>
                      <w:szCs w:val="21"/>
                      <w:highlight w:val="none"/>
                    </w:rPr>
                    <w:t>数量</w:t>
                  </w:r>
                  <w:r>
                    <w:rPr>
                      <w:rFonts w:hint="default" w:ascii="Times New Roman" w:hAnsi="Times New Roman" w:cs="Times New Roman"/>
                      <w:bCs/>
                      <w:color w:val="auto"/>
                      <w:spacing w:val="-4"/>
                      <w:sz w:val="21"/>
                      <w:szCs w:val="21"/>
                      <w:highlight w:val="none"/>
                    </w:rPr>
                    <w:t>(台/套)</w:t>
                  </w:r>
                </w:p>
              </w:tc>
              <w:tc>
                <w:tcPr>
                  <w:tcW w:w="600" w:type="pct"/>
                  <w:tcMar>
                    <w:left w:w="28" w:type="dxa"/>
                    <w:right w:w="28" w:type="dxa"/>
                  </w:tcMar>
                  <w:vAlign w:val="center"/>
                </w:tcPr>
                <w:p w14:paraId="4D530DE3">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单台声级</w:t>
                  </w:r>
                </w:p>
                <w:p w14:paraId="4A98BA8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dB(A)</w:t>
                  </w:r>
                </w:p>
              </w:tc>
              <w:tc>
                <w:tcPr>
                  <w:tcW w:w="599" w:type="pct"/>
                  <w:tcMar>
                    <w:left w:w="28" w:type="dxa"/>
                    <w:right w:w="28" w:type="dxa"/>
                  </w:tcMar>
                  <w:vAlign w:val="center"/>
                </w:tcPr>
                <w:p w14:paraId="40F62A1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排放规律</w:t>
                  </w:r>
                </w:p>
              </w:tc>
              <w:tc>
                <w:tcPr>
                  <w:tcW w:w="1948" w:type="pct"/>
                  <w:tcMar>
                    <w:left w:w="28" w:type="dxa"/>
                    <w:right w:w="28" w:type="dxa"/>
                  </w:tcMar>
                  <w:vAlign w:val="center"/>
                </w:tcPr>
                <w:p w14:paraId="2AD3C57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治理措施</w:t>
                  </w:r>
                </w:p>
              </w:tc>
              <w:tc>
                <w:tcPr>
                  <w:tcW w:w="484" w:type="pct"/>
                  <w:tcMar>
                    <w:left w:w="28" w:type="dxa"/>
                    <w:right w:w="28" w:type="dxa"/>
                  </w:tcMar>
                  <w:vAlign w:val="center"/>
                </w:tcPr>
                <w:p w14:paraId="0383D81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持续时间</w:t>
                  </w:r>
                </w:p>
              </w:tc>
            </w:tr>
            <w:tr w14:paraId="3FC23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9" w:type="pct"/>
                  <w:tcMar>
                    <w:left w:w="28" w:type="dxa"/>
                    <w:right w:w="28" w:type="dxa"/>
                  </w:tcMar>
                  <w:vAlign w:val="center"/>
                </w:tcPr>
                <w:p w14:paraId="57BE1FA9">
                  <w:pPr>
                    <w:spacing w:line="360" w:lineRule="exact"/>
                    <w:ind w:firstLine="0" w:firstLineChars="0"/>
                    <w:jc w:val="center"/>
                    <w:rPr>
                      <w:rFonts w:hint="default" w:ascii="Times New Roman" w:hAnsi="Times New Roman" w:cs="Times New Roman"/>
                      <w:bCs/>
                      <w:color w:val="auto"/>
                      <w:sz w:val="21"/>
                      <w:szCs w:val="21"/>
                      <w:highlight w:val="none"/>
                    </w:rPr>
                  </w:pPr>
                  <w:r>
                    <w:rPr>
                      <w:rFonts w:hint="eastAsia"/>
                      <w:bCs/>
                      <w:color w:val="auto"/>
                      <w:sz w:val="21"/>
                      <w:szCs w:val="21"/>
                      <w:highlight w:val="none"/>
                    </w:rPr>
                    <w:t>装载机</w:t>
                  </w:r>
                </w:p>
              </w:tc>
              <w:tc>
                <w:tcPr>
                  <w:tcW w:w="447" w:type="pct"/>
                  <w:tcMar>
                    <w:left w:w="28" w:type="dxa"/>
                    <w:right w:w="28" w:type="dxa"/>
                  </w:tcMar>
                  <w:vAlign w:val="center"/>
                </w:tcPr>
                <w:p w14:paraId="24CFE0D7">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eastAsia="zh-CN"/>
                    </w:rPr>
                  </w:pPr>
                  <w:r>
                    <w:rPr>
                      <w:rFonts w:hint="eastAsia" w:cs="Times New Roman"/>
                      <w:bCs/>
                      <w:color w:val="auto"/>
                      <w:sz w:val="21"/>
                      <w:szCs w:val="21"/>
                      <w:highlight w:val="none"/>
                      <w:lang w:val="en-US" w:eastAsia="zh-CN"/>
                    </w:rPr>
                    <w:t>2</w:t>
                  </w:r>
                </w:p>
              </w:tc>
              <w:tc>
                <w:tcPr>
                  <w:tcW w:w="600" w:type="pct"/>
                  <w:tcMar>
                    <w:left w:w="28" w:type="dxa"/>
                    <w:right w:w="28" w:type="dxa"/>
                  </w:tcMar>
                  <w:vAlign w:val="center"/>
                </w:tcPr>
                <w:p w14:paraId="5A77D7F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85</w:t>
                  </w:r>
                </w:p>
              </w:tc>
              <w:tc>
                <w:tcPr>
                  <w:tcW w:w="599" w:type="pct"/>
                  <w:tcMar>
                    <w:left w:w="28" w:type="dxa"/>
                    <w:right w:w="28" w:type="dxa"/>
                  </w:tcMar>
                  <w:vAlign w:val="center"/>
                </w:tcPr>
                <w:p w14:paraId="46D96B97">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rPr>
                  </w:pPr>
                  <w:r>
                    <w:rPr>
                      <w:rFonts w:hint="default" w:ascii="Times New Roman" w:hAnsi="Times New Roman" w:cs="Times New Roman"/>
                      <w:color w:val="auto"/>
                      <w:sz w:val="21"/>
                      <w:szCs w:val="21"/>
                      <w:highlight w:val="none"/>
                    </w:rPr>
                    <w:t>连续</w:t>
                  </w:r>
                </w:p>
              </w:tc>
              <w:tc>
                <w:tcPr>
                  <w:tcW w:w="1948" w:type="pct"/>
                  <w:tcMar>
                    <w:left w:w="28" w:type="dxa"/>
                    <w:right w:w="28" w:type="dxa"/>
                  </w:tcMar>
                  <w:vAlign w:val="center"/>
                </w:tcPr>
                <w:p w14:paraId="78E0329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封闭车间+</w:t>
                  </w:r>
                  <w:r>
                    <w:rPr>
                      <w:rFonts w:hint="default" w:ascii="Times New Roman" w:hAnsi="Times New Roman" w:cs="Times New Roman"/>
                      <w:color w:val="auto"/>
                      <w:sz w:val="21"/>
                      <w:szCs w:val="21"/>
                      <w:highlight w:val="none"/>
                    </w:rPr>
                    <w:t>低噪声设备</w:t>
                  </w:r>
                  <w:r>
                    <w:rPr>
                      <w:rFonts w:hint="default" w:ascii="Times New Roman" w:hAnsi="Times New Roman" w:cs="Times New Roman"/>
                      <w:color w:val="auto"/>
                      <w:sz w:val="21"/>
                      <w:szCs w:val="21"/>
                      <w:highlight w:val="none"/>
                      <w:lang w:val="en-US" w:eastAsia="zh-CN"/>
                    </w:rPr>
                    <w:t>+基础</w:t>
                  </w:r>
                  <w:r>
                    <w:rPr>
                      <w:rFonts w:hint="eastAsia" w:cs="Times New Roman"/>
                      <w:color w:val="auto"/>
                      <w:sz w:val="21"/>
                      <w:szCs w:val="21"/>
                      <w:highlight w:val="none"/>
                      <w:lang w:val="en-US" w:eastAsia="zh-CN"/>
                    </w:rPr>
                    <w:t>减振</w:t>
                  </w:r>
                </w:p>
              </w:tc>
              <w:tc>
                <w:tcPr>
                  <w:tcW w:w="484" w:type="pct"/>
                  <w:tcMar>
                    <w:left w:w="28" w:type="dxa"/>
                    <w:right w:w="28" w:type="dxa"/>
                  </w:tcMar>
                  <w:vAlign w:val="center"/>
                </w:tcPr>
                <w:p w14:paraId="21500F9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lang w:val="en-US"/>
                    </w:rPr>
                  </w:pPr>
                  <w:r>
                    <w:rPr>
                      <w:rFonts w:hint="default" w:ascii="Times New Roman" w:hAnsi="Times New Roman" w:cs="Times New Roman"/>
                      <w:color w:val="auto"/>
                      <w:sz w:val="21"/>
                      <w:szCs w:val="21"/>
                      <w:highlight w:val="none"/>
                      <w:lang w:val="en-US" w:eastAsia="zh-CN"/>
                    </w:rPr>
                    <w:t>24h</w:t>
                  </w:r>
                </w:p>
              </w:tc>
            </w:tr>
            <w:tr w14:paraId="74441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9" w:type="pct"/>
                  <w:tcMar>
                    <w:left w:w="28" w:type="dxa"/>
                    <w:right w:w="28" w:type="dxa"/>
                  </w:tcMar>
                  <w:vAlign w:val="center"/>
                </w:tcPr>
                <w:p w14:paraId="28976291">
                  <w:pPr>
                    <w:snapToGrid w:val="0"/>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棒筛</w:t>
                  </w:r>
                </w:p>
              </w:tc>
              <w:tc>
                <w:tcPr>
                  <w:tcW w:w="447" w:type="pct"/>
                  <w:tcMar>
                    <w:left w:w="28" w:type="dxa"/>
                    <w:right w:w="28" w:type="dxa"/>
                  </w:tcMar>
                  <w:vAlign w:val="center"/>
                </w:tcPr>
                <w:p w14:paraId="02C01FD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2</w:t>
                  </w:r>
                </w:p>
              </w:tc>
              <w:tc>
                <w:tcPr>
                  <w:tcW w:w="600" w:type="pct"/>
                  <w:tcMar>
                    <w:left w:w="28" w:type="dxa"/>
                    <w:right w:w="28" w:type="dxa"/>
                  </w:tcMar>
                  <w:vAlign w:val="center"/>
                </w:tcPr>
                <w:p w14:paraId="1D69027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80</w:t>
                  </w:r>
                </w:p>
              </w:tc>
              <w:tc>
                <w:tcPr>
                  <w:tcW w:w="599" w:type="pct"/>
                  <w:tcMar>
                    <w:left w:w="28" w:type="dxa"/>
                    <w:right w:w="28" w:type="dxa"/>
                  </w:tcMar>
                  <w:vAlign w:val="center"/>
                </w:tcPr>
                <w:p w14:paraId="2EB7363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连续</w:t>
                  </w:r>
                </w:p>
              </w:tc>
              <w:tc>
                <w:tcPr>
                  <w:tcW w:w="1948" w:type="pct"/>
                  <w:tcMar>
                    <w:left w:w="28" w:type="dxa"/>
                    <w:right w:w="28" w:type="dxa"/>
                  </w:tcMar>
                  <w:vAlign w:val="center"/>
                </w:tcPr>
                <w:p w14:paraId="1A647AA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封闭车间+</w:t>
                  </w:r>
                  <w:r>
                    <w:rPr>
                      <w:rFonts w:hint="default" w:ascii="Times New Roman" w:hAnsi="Times New Roman" w:cs="Times New Roman"/>
                      <w:color w:val="auto"/>
                      <w:sz w:val="21"/>
                      <w:szCs w:val="21"/>
                      <w:highlight w:val="none"/>
                    </w:rPr>
                    <w:t>低噪声设备</w:t>
                  </w:r>
                  <w:r>
                    <w:rPr>
                      <w:rFonts w:hint="default" w:ascii="Times New Roman" w:hAnsi="Times New Roman" w:cs="Times New Roman"/>
                      <w:color w:val="auto"/>
                      <w:sz w:val="21"/>
                      <w:szCs w:val="21"/>
                      <w:highlight w:val="none"/>
                      <w:lang w:val="en-US" w:eastAsia="zh-CN"/>
                    </w:rPr>
                    <w:t>+基础</w:t>
                  </w:r>
                  <w:r>
                    <w:rPr>
                      <w:rFonts w:hint="eastAsia" w:cs="Times New Roman"/>
                      <w:color w:val="auto"/>
                      <w:sz w:val="21"/>
                      <w:szCs w:val="21"/>
                      <w:highlight w:val="none"/>
                      <w:lang w:val="en-US" w:eastAsia="zh-CN"/>
                    </w:rPr>
                    <w:t>减振</w:t>
                  </w:r>
                </w:p>
              </w:tc>
              <w:tc>
                <w:tcPr>
                  <w:tcW w:w="484" w:type="pct"/>
                  <w:tcMar>
                    <w:left w:w="28" w:type="dxa"/>
                    <w:right w:w="28" w:type="dxa"/>
                  </w:tcMar>
                  <w:vAlign w:val="center"/>
                </w:tcPr>
                <w:p w14:paraId="3AD13B7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24h</w:t>
                  </w:r>
                </w:p>
              </w:tc>
            </w:tr>
            <w:tr w14:paraId="0F4A0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9" w:type="pct"/>
                  <w:tcMar>
                    <w:left w:w="28" w:type="dxa"/>
                    <w:right w:w="28" w:type="dxa"/>
                  </w:tcMar>
                  <w:vAlign w:val="center"/>
                </w:tcPr>
                <w:p w14:paraId="115342DC">
                  <w:pPr>
                    <w:snapToGrid w:val="0"/>
                    <w:spacing w:line="360" w:lineRule="exact"/>
                    <w:ind w:firstLine="0" w:firstLineChars="0"/>
                    <w:jc w:val="center"/>
                    <w:rPr>
                      <w:rFonts w:hint="eastAsia" w:ascii="Times New Roman" w:hAnsi="Times New Roman" w:eastAsia="宋体" w:cs="Times New Roman"/>
                      <w:bCs/>
                      <w:color w:val="auto"/>
                      <w:sz w:val="21"/>
                      <w:szCs w:val="21"/>
                      <w:highlight w:val="none"/>
                      <w:lang w:val="en-US" w:eastAsia="zh-CN"/>
                    </w:rPr>
                  </w:pPr>
                  <w:r>
                    <w:rPr>
                      <w:rFonts w:hint="eastAsia"/>
                      <w:bCs/>
                      <w:color w:val="auto"/>
                      <w:sz w:val="21"/>
                      <w:szCs w:val="21"/>
                      <w:highlight w:val="none"/>
                      <w:lang w:val="en-US" w:eastAsia="zh-CN"/>
                    </w:rPr>
                    <w:t>搅拌机</w:t>
                  </w:r>
                </w:p>
              </w:tc>
              <w:tc>
                <w:tcPr>
                  <w:tcW w:w="447" w:type="pct"/>
                  <w:tcMar>
                    <w:left w:w="28" w:type="dxa"/>
                    <w:right w:w="28" w:type="dxa"/>
                  </w:tcMar>
                  <w:vAlign w:val="center"/>
                </w:tcPr>
                <w:p w14:paraId="4C3157D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2</w:t>
                  </w:r>
                </w:p>
              </w:tc>
              <w:tc>
                <w:tcPr>
                  <w:tcW w:w="600" w:type="pct"/>
                  <w:tcMar>
                    <w:left w:w="28" w:type="dxa"/>
                    <w:right w:w="28" w:type="dxa"/>
                  </w:tcMar>
                  <w:vAlign w:val="center"/>
                </w:tcPr>
                <w:p w14:paraId="0A13336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85</w:t>
                  </w:r>
                </w:p>
              </w:tc>
              <w:tc>
                <w:tcPr>
                  <w:tcW w:w="599" w:type="pct"/>
                  <w:tcMar>
                    <w:left w:w="28" w:type="dxa"/>
                    <w:right w:w="28" w:type="dxa"/>
                  </w:tcMar>
                  <w:vAlign w:val="center"/>
                </w:tcPr>
                <w:p w14:paraId="53F0A61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间断</w:t>
                  </w:r>
                </w:p>
              </w:tc>
              <w:tc>
                <w:tcPr>
                  <w:tcW w:w="1948" w:type="pct"/>
                  <w:tcMar>
                    <w:left w:w="28" w:type="dxa"/>
                    <w:right w:w="28" w:type="dxa"/>
                  </w:tcMar>
                  <w:vAlign w:val="center"/>
                </w:tcPr>
                <w:p w14:paraId="5A701573">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封闭车间+</w:t>
                  </w:r>
                  <w:r>
                    <w:rPr>
                      <w:rFonts w:hint="default" w:ascii="Times New Roman" w:hAnsi="Times New Roman" w:cs="Times New Roman"/>
                      <w:color w:val="auto"/>
                      <w:sz w:val="21"/>
                      <w:szCs w:val="21"/>
                      <w:highlight w:val="none"/>
                    </w:rPr>
                    <w:t>低噪声设备</w:t>
                  </w:r>
                  <w:r>
                    <w:rPr>
                      <w:rFonts w:hint="default" w:ascii="Times New Roman" w:hAnsi="Times New Roman" w:cs="Times New Roman"/>
                      <w:color w:val="auto"/>
                      <w:sz w:val="21"/>
                      <w:szCs w:val="21"/>
                      <w:highlight w:val="none"/>
                      <w:lang w:val="en-US" w:eastAsia="zh-CN"/>
                    </w:rPr>
                    <w:t>+基础</w:t>
                  </w:r>
                  <w:r>
                    <w:rPr>
                      <w:rFonts w:hint="eastAsia" w:cs="Times New Roman"/>
                      <w:color w:val="auto"/>
                      <w:sz w:val="21"/>
                      <w:szCs w:val="21"/>
                      <w:highlight w:val="none"/>
                      <w:lang w:val="en-US" w:eastAsia="zh-CN"/>
                    </w:rPr>
                    <w:t>减振</w:t>
                  </w:r>
                </w:p>
              </w:tc>
              <w:tc>
                <w:tcPr>
                  <w:tcW w:w="484" w:type="pct"/>
                  <w:tcMar>
                    <w:left w:w="28" w:type="dxa"/>
                    <w:right w:w="28" w:type="dxa"/>
                  </w:tcMar>
                  <w:vAlign w:val="center"/>
                </w:tcPr>
                <w:p w14:paraId="0249FF2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24h</w:t>
                  </w:r>
                </w:p>
              </w:tc>
            </w:tr>
            <w:tr w14:paraId="56C6B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9" w:type="pct"/>
                  <w:shd w:val="clear" w:color="auto" w:fill="auto"/>
                  <w:tcMar>
                    <w:left w:w="28" w:type="dxa"/>
                    <w:right w:w="28" w:type="dxa"/>
                  </w:tcMar>
                  <w:vAlign w:val="center"/>
                </w:tcPr>
                <w:p w14:paraId="3503870A">
                  <w:pPr>
                    <w:snapToGrid w:val="0"/>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color w:val="auto"/>
                      <w:spacing w:val="6"/>
                      <w:kern w:val="0"/>
                      <w:sz w:val="21"/>
                      <w:szCs w:val="21"/>
                      <w:highlight w:val="none"/>
                      <w:lang w:val="en-US" w:eastAsia="zh-CN" w:bidi="ar"/>
                    </w:rPr>
                    <w:t>压球</w:t>
                  </w:r>
                  <w:r>
                    <w:rPr>
                      <w:rFonts w:hint="eastAsia" w:ascii="Times New Roman" w:hAnsi="Times New Roman" w:eastAsia="宋体" w:cs="Times New Roman"/>
                      <w:color w:val="auto"/>
                      <w:spacing w:val="6"/>
                      <w:kern w:val="0"/>
                      <w:sz w:val="21"/>
                      <w:szCs w:val="21"/>
                      <w:highlight w:val="none"/>
                      <w:lang w:val="en-US" w:eastAsia="zh-CN" w:bidi="ar"/>
                    </w:rPr>
                    <w:t>机</w:t>
                  </w:r>
                </w:p>
              </w:tc>
              <w:tc>
                <w:tcPr>
                  <w:tcW w:w="447" w:type="pct"/>
                  <w:shd w:val="clear" w:color="auto" w:fill="auto"/>
                  <w:tcMar>
                    <w:left w:w="28" w:type="dxa"/>
                    <w:right w:w="28" w:type="dxa"/>
                  </w:tcMar>
                  <w:vAlign w:val="center"/>
                </w:tcPr>
                <w:p w14:paraId="2066739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1</w:t>
                  </w:r>
                </w:p>
              </w:tc>
              <w:tc>
                <w:tcPr>
                  <w:tcW w:w="600" w:type="pct"/>
                  <w:shd w:val="clear" w:color="auto" w:fill="auto"/>
                  <w:tcMar>
                    <w:left w:w="28" w:type="dxa"/>
                    <w:right w:w="28" w:type="dxa"/>
                  </w:tcMar>
                  <w:vAlign w:val="center"/>
                </w:tcPr>
                <w:p w14:paraId="51BD45B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80</w:t>
                  </w:r>
                </w:p>
              </w:tc>
              <w:tc>
                <w:tcPr>
                  <w:tcW w:w="599" w:type="pct"/>
                  <w:shd w:val="clear" w:color="auto" w:fill="auto"/>
                  <w:tcMar>
                    <w:left w:w="28" w:type="dxa"/>
                    <w:right w:w="28" w:type="dxa"/>
                  </w:tcMar>
                  <w:vAlign w:val="center"/>
                </w:tcPr>
                <w:p w14:paraId="1DE1B11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间断</w:t>
                  </w:r>
                </w:p>
              </w:tc>
              <w:tc>
                <w:tcPr>
                  <w:tcW w:w="1948" w:type="pct"/>
                  <w:shd w:val="clear" w:color="auto" w:fill="auto"/>
                  <w:tcMar>
                    <w:left w:w="28" w:type="dxa"/>
                    <w:right w:w="28" w:type="dxa"/>
                  </w:tcMar>
                  <w:vAlign w:val="center"/>
                </w:tcPr>
                <w:p w14:paraId="70A7B1A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封闭车间+</w:t>
                  </w:r>
                  <w:r>
                    <w:rPr>
                      <w:rFonts w:hint="default" w:ascii="Times New Roman" w:hAnsi="Times New Roman" w:cs="Times New Roman"/>
                      <w:color w:val="auto"/>
                      <w:sz w:val="21"/>
                      <w:szCs w:val="21"/>
                      <w:highlight w:val="none"/>
                    </w:rPr>
                    <w:t>低噪声设备</w:t>
                  </w:r>
                  <w:r>
                    <w:rPr>
                      <w:rFonts w:hint="default" w:ascii="Times New Roman" w:hAnsi="Times New Roman" w:cs="Times New Roman"/>
                      <w:color w:val="auto"/>
                      <w:sz w:val="21"/>
                      <w:szCs w:val="21"/>
                      <w:highlight w:val="none"/>
                      <w:lang w:val="en-US" w:eastAsia="zh-CN"/>
                    </w:rPr>
                    <w:t>+基础</w:t>
                  </w:r>
                  <w:r>
                    <w:rPr>
                      <w:rFonts w:hint="eastAsia" w:cs="Times New Roman"/>
                      <w:color w:val="auto"/>
                      <w:sz w:val="21"/>
                      <w:szCs w:val="21"/>
                      <w:highlight w:val="none"/>
                      <w:lang w:val="en-US" w:eastAsia="zh-CN"/>
                    </w:rPr>
                    <w:t>减振</w:t>
                  </w:r>
                </w:p>
              </w:tc>
              <w:tc>
                <w:tcPr>
                  <w:tcW w:w="484" w:type="pct"/>
                  <w:shd w:val="clear" w:color="auto" w:fill="auto"/>
                  <w:tcMar>
                    <w:left w:w="28" w:type="dxa"/>
                    <w:right w:w="28" w:type="dxa"/>
                  </w:tcMar>
                  <w:vAlign w:val="center"/>
                </w:tcPr>
                <w:p w14:paraId="7728332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24h</w:t>
                  </w:r>
                </w:p>
              </w:tc>
            </w:tr>
            <w:tr w14:paraId="0BBE5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9" w:type="pct"/>
                  <w:shd w:val="clear" w:color="auto" w:fill="auto"/>
                  <w:tcMar>
                    <w:left w:w="28" w:type="dxa"/>
                    <w:right w:w="28" w:type="dxa"/>
                  </w:tcMar>
                  <w:vAlign w:val="center"/>
                </w:tcPr>
                <w:p w14:paraId="5C50CE71">
                  <w:pPr>
                    <w:snapToGrid w:val="0"/>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eastAsia="宋体" w:cs="Times New Roman"/>
                      <w:color w:val="auto"/>
                      <w:spacing w:val="6"/>
                      <w:kern w:val="0"/>
                      <w:sz w:val="21"/>
                      <w:szCs w:val="21"/>
                      <w:highlight w:val="none"/>
                      <w:lang w:val="en-US" w:eastAsia="zh-CN" w:bidi="ar"/>
                    </w:rPr>
                    <w:t>振筛</w:t>
                  </w:r>
                </w:p>
              </w:tc>
              <w:tc>
                <w:tcPr>
                  <w:tcW w:w="447" w:type="pct"/>
                  <w:shd w:val="clear" w:color="auto" w:fill="auto"/>
                  <w:tcMar>
                    <w:left w:w="28" w:type="dxa"/>
                    <w:right w:w="28" w:type="dxa"/>
                  </w:tcMar>
                  <w:vAlign w:val="center"/>
                </w:tcPr>
                <w:p w14:paraId="43D1740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1</w:t>
                  </w:r>
                </w:p>
              </w:tc>
              <w:tc>
                <w:tcPr>
                  <w:tcW w:w="600" w:type="pct"/>
                  <w:shd w:val="clear" w:color="auto" w:fill="auto"/>
                  <w:tcMar>
                    <w:left w:w="28" w:type="dxa"/>
                    <w:right w:w="28" w:type="dxa"/>
                  </w:tcMar>
                  <w:vAlign w:val="center"/>
                </w:tcPr>
                <w:p w14:paraId="0ED3F2D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85</w:t>
                  </w:r>
                </w:p>
              </w:tc>
              <w:tc>
                <w:tcPr>
                  <w:tcW w:w="599" w:type="pct"/>
                  <w:shd w:val="clear" w:color="auto" w:fill="auto"/>
                  <w:tcMar>
                    <w:left w:w="28" w:type="dxa"/>
                    <w:right w:w="28" w:type="dxa"/>
                  </w:tcMar>
                  <w:vAlign w:val="center"/>
                </w:tcPr>
                <w:p w14:paraId="6F5181B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间断</w:t>
                  </w:r>
                </w:p>
              </w:tc>
              <w:tc>
                <w:tcPr>
                  <w:tcW w:w="1948" w:type="pct"/>
                  <w:shd w:val="clear" w:color="auto" w:fill="auto"/>
                  <w:tcMar>
                    <w:left w:w="28" w:type="dxa"/>
                    <w:right w:w="28" w:type="dxa"/>
                  </w:tcMar>
                  <w:vAlign w:val="center"/>
                </w:tcPr>
                <w:p w14:paraId="0C690D5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封闭车间+</w:t>
                  </w:r>
                  <w:r>
                    <w:rPr>
                      <w:rFonts w:hint="default" w:ascii="Times New Roman" w:hAnsi="Times New Roman" w:cs="Times New Roman"/>
                      <w:color w:val="auto"/>
                      <w:sz w:val="21"/>
                      <w:szCs w:val="21"/>
                      <w:highlight w:val="none"/>
                    </w:rPr>
                    <w:t>低噪声设备</w:t>
                  </w:r>
                  <w:r>
                    <w:rPr>
                      <w:rFonts w:hint="default" w:ascii="Times New Roman" w:hAnsi="Times New Roman" w:cs="Times New Roman"/>
                      <w:color w:val="auto"/>
                      <w:sz w:val="21"/>
                      <w:szCs w:val="21"/>
                      <w:highlight w:val="none"/>
                      <w:lang w:val="en-US" w:eastAsia="zh-CN"/>
                    </w:rPr>
                    <w:t>+基础</w:t>
                  </w:r>
                  <w:r>
                    <w:rPr>
                      <w:rFonts w:hint="eastAsia" w:cs="Times New Roman"/>
                      <w:color w:val="auto"/>
                      <w:sz w:val="21"/>
                      <w:szCs w:val="21"/>
                      <w:highlight w:val="none"/>
                      <w:lang w:val="en-US" w:eastAsia="zh-CN"/>
                    </w:rPr>
                    <w:t>减振</w:t>
                  </w:r>
                </w:p>
              </w:tc>
              <w:tc>
                <w:tcPr>
                  <w:tcW w:w="484" w:type="pct"/>
                  <w:shd w:val="clear" w:color="auto" w:fill="auto"/>
                  <w:tcMar>
                    <w:left w:w="28" w:type="dxa"/>
                    <w:right w:w="28" w:type="dxa"/>
                  </w:tcMar>
                  <w:vAlign w:val="center"/>
                </w:tcPr>
                <w:p w14:paraId="56D5B10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24h</w:t>
                  </w:r>
                </w:p>
              </w:tc>
            </w:tr>
          </w:tbl>
          <w:p w14:paraId="3414F87E">
            <w:pPr>
              <w:pStyle w:val="135"/>
              <w:spacing w:beforeLines="0" w:afterLines="0" w:line="360" w:lineRule="auto"/>
              <w:jc w:val="both"/>
              <w:rPr>
                <w:rFonts w:hint="default" w:ascii="Times New Roman" w:hAnsi="Times New Roman" w:cs="Times New Roman"/>
                <w:color w:val="auto"/>
                <w:kern w:val="2"/>
                <w:sz w:val="21"/>
                <w:szCs w:val="21"/>
                <w:highlight w:val="none"/>
              </w:rPr>
            </w:pPr>
            <w:r>
              <w:rPr>
                <w:rFonts w:hint="eastAsia" w:ascii="Times New Roman" w:cs="Times New Roman"/>
                <w:color w:val="auto"/>
                <w:kern w:val="2"/>
                <w:sz w:val="21"/>
                <w:szCs w:val="21"/>
                <w:highlight w:val="none"/>
                <w:lang w:val="en-US" w:eastAsia="zh-CN"/>
              </w:rPr>
              <w:t>3.2</w:t>
            </w:r>
            <w:r>
              <w:rPr>
                <w:rFonts w:hint="default" w:ascii="Times New Roman" w:hAnsi="Times New Roman" w:cs="Times New Roman"/>
                <w:color w:val="auto"/>
                <w:kern w:val="2"/>
                <w:sz w:val="21"/>
                <w:szCs w:val="21"/>
                <w:highlight w:val="none"/>
              </w:rPr>
              <w:t>预测内容</w:t>
            </w:r>
          </w:p>
          <w:p w14:paraId="6B2EAD50">
            <w:pPr>
              <w:pStyle w:val="135"/>
              <w:spacing w:beforeLines="0" w:afterLines="0" w:line="360" w:lineRule="auto"/>
              <w:jc w:val="both"/>
              <w:rPr>
                <w:rFonts w:hint="default" w:ascii="Times New Roman" w:hAnsi="Times New Roman" w:cs="Times New Roman"/>
                <w:color w:val="auto"/>
                <w:kern w:val="2"/>
                <w:sz w:val="21"/>
                <w:szCs w:val="21"/>
                <w:highlight w:val="none"/>
              </w:rPr>
            </w:pPr>
            <w:r>
              <w:rPr>
                <w:rFonts w:hint="eastAsia" w:ascii="Times New Roman" w:cs="Times New Roman"/>
                <w:color w:val="auto"/>
                <w:kern w:val="2"/>
                <w:sz w:val="21"/>
                <w:szCs w:val="21"/>
                <w:highlight w:val="none"/>
                <w:lang w:val="en-US" w:eastAsia="zh-CN"/>
              </w:rPr>
              <w:t>(</w:t>
            </w:r>
            <w:r>
              <w:rPr>
                <w:rFonts w:hint="default" w:ascii="Times New Roman" w:hAnsi="Times New Roman" w:cs="Times New Roman"/>
                <w:color w:val="auto"/>
                <w:kern w:val="2"/>
                <w:sz w:val="21"/>
                <w:szCs w:val="21"/>
                <w:highlight w:val="none"/>
              </w:rPr>
              <w:t>1)预测因子：等效连续A声级。</w:t>
            </w:r>
          </w:p>
          <w:p w14:paraId="1F351B7C">
            <w:pPr>
              <w:pStyle w:val="135"/>
              <w:spacing w:beforeLines="0" w:afterLines="0" w:line="360" w:lineRule="auto"/>
              <w:jc w:val="both"/>
              <w:rPr>
                <w:rFonts w:hint="default" w:ascii="Times New Roman" w:hAnsi="Times New Roman" w:cs="Times New Roman"/>
                <w:color w:val="auto"/>
                <w:kern w:val="2"/>
                <w:sz w:val="21"/>
                <w:szCs w:val="21"/>
                <w:highlight w:val="none"/>
              </w:rPr>
            </w:pPr>
            <w:r>
              <w:rPr>
                <w:rFonts w:hint="eastAsia" w:ascii="Times New Roman" w:cs="Times New Roman"/>
                <w:color w:val="auto"/>
                <w:kern w:val="2"/>
                <w:sz w:val="21"/>
                <w:szCs w:val="21"/>
                <w:highlight w:val="none"/>
                <w:lang w:val="en-US" w:eastAsia="zh-CN"/>
              </w:rPr>
              <w:t>(</w:t>
            </w:r>
            <w:r>
              <w:rPr>
                <w:rFonts w:hint="default" w:ascii="Times New Roman" w:hAnsi="Times New Roman" w:cs="Times New Roman"/>
                <w:color w:val="auto"/>
                <w:kern w:val="2"/>
                <w:sz w:val="21"/>
                <w:szCs w:val="21"/>
                <w:highlight w:val="none"/>
              </w:rPr>
              <w:t>2)预测点位：预测项目实施后对厂界的噪声贡献值。</w:t>
            </w:r>
          </w:p>
          <w:p w14:paraId="5B51C966">
            <w:pPr>
              <w:pStyle w:val="135"/>
              <w:spacing w:beforeLines="0" w:afterLines="0" w:line="360" w:lineRule="auto"/>
              <w:jc w:val="both"/>
              <w:rPr>
                <w:rFonts w:hint="default" w:ascii="Times New Roman" w:hAnsi="Times New Roman" w:cs="Times New Roman"/>
                <w:color w:val="auto"/>
                <w:kern w:val="2"/>
                <w:sz w:val="21"/>
                <w:szCs w:val="21"/>
                <w:highlight w:val="none"/>
              </w:rPr>
            </w:pPr>
            <w:r>
              <w:rPr>
                <w:rFonts w:hint="eastAsia" w:ascii="Times New Roman" w:cs="Times New Roman"/>
                <w:color w:val="auto"/>
                <w:kern w:val="2"/>
                <w:sz w:val="21"/>
                <w:szCs w:val="21"/>
                <w:highlight w:val="none"/>
                <w:lang w:val="en-US" w:eastAsia="zh-CN"/>
              </w:rPr>
              <w:t>3.3</w:t>
            </w:r>
            <w:r>
              <w:rPr>
                <w:rFonts w:hint="default" w:ascii="Times New Roman" w:hAnsi="Times New Roman" w:cs="Times New Roman"/>
                <w:color w:val="auto"/>
                <w:kern w:val="2"/>
                <w:sz w:val="21"/>
                <w:szCs w:val="21"/>
                <w:highlight w:val="none"/>
              </w:rPr>
              <w:t>预测模式</w:t>
            </w:r>
          </w:p>
          <w:p w14:paraId="5C8276D4">
            <w:pPr>
              <w:rPr>
                <w:rFonts w:hint="default" w:ascii="Times New Roman" w:hAnsi="Times New Roman" w:cs="Times New Roman"/>
                <w:color w:val="auto"/>
                <w:sz w:val="21"/>
                <w:szCs w:val="21"/>
                <w:highlight w:val="none"/>
              </w:rPr>
            </w:pPr>
            <w:r>
              <w:rPr>
                <w:rFonts w:hint="eastAsia" w:ascii="Times New Roman" w:cs="Times New Roman"/>
                <w:color w:val="auto"/>
                <w:kern w:val="2"/>
                <w:sz w:val="21"/>
                <w:szCs w:val="21"/>
                <w:highlight w:val="none"/>
                <w:lang w:val="en-US" w:eastAsia="zh-CN"/>
              </w:rPr>
              <w:t>(</w:t>
            </w:r>
            <w:r>
              <w:rPr>
                <w:rFonts w:hint="default" w:ascii="Times New Roman" w:hAnsi="Times New Roman" w:cs="Times New Roman"/>
                <w:color w:val="auto"/>
                <w:sz w:val="21"/>
                <w:szCs w:val="21"/>
                <w:highlight w:val="none"/>
              </w:rPr>
              <w:t>1) 单个室外点声源在预测点产生的声级计算基本公式</w:t>
            </w:r>
          </w:p>
          <w:p w14:paraId="4F387E1E">
            <w:pPr>
              <w:pStyle w:val="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已知声源的倍频带声功率级(从63Hz到8000Hz标称频带中心频率的8个倍频带)，预测点位置的倍频带声压级Lp(r) 可按下式计算：</w:t>
            </w:r>
          </w:p>
          <w:p w14:paraId="6A3ADE4A">
            <w:pPr>
              <w:jc w:val="center"/>
              <w:rPr>
                <w:rFonts w:hint="default" w:ascii="Times New Roman" w:hAnsi="Times New Roman" w:cs="Times New Roman"/>
                <w:color w:val="auto"/>
                <w:sz w:val="21"/>
                <w:szCs w:val="21"/>
                <w:highlight w:val="none"/>
                <w:lang w:val="nb-NO"/>
              </w:rPr>
            </w:pPr>
            <w:r>
              <w:rPr>
                <w:rFonts w:hint="default" w:ascii="Times New Roman" w:hAnsi="Times New Roman" w:cs="Times New Roman"/>
                <w:color w:val="auto"/>
                <w:sz w:val="21"/>
                <w:szCs w:val="21"/>
                <w:highlight w:val="none"/>
                <w:lang w:val="nb-NO"/>
              </w:rPr>
              <w:t>L</w:t>
            </w:r>
            <w:r>
              <w:rPr>
                <w:rFonts w:hint="default" w:ascii="Times New Roman" w:hAnsi="Times New Roman" w:cs="Times New Roman"/>
                <w:color w:val="auto"/>
                <w:sz w:val="21"/>
                <w:szCs w:val="21"/>
                <w:highlight w:val="none"/>
                <w:vertAlign w:val="subscript"/>
                <w:lang w:val="nb-NO"/>
              </w:rPr>
              <w:t>p</w:t>
            </w:r>
            <w:r>
              <w:rPr>
                <w:rFonts w:hint="default" w:ascii="Times New Roman" w:hAnsi="Times New Roman" w:cs="Times New Roman"/>
                <w:color w:val="auto"/>
                <w:sz w:val="21"/>
                <w:szCs w:val="21"/>
                <w:highlight w:val="none"/>
                <w:lang w:val="nb-NO"/>
              </w:rPr>
              <w:t>(r)=L</w:t>
            </w:r>
            <w:r>
              <w:rPr>
                <w:rFonts w:hint="default" w:ascii="Times New Roman" w:hAnsi="Times New Roman" w:cs="Times New Roman"/>
                <w:color w:val="auto"/>
                <w:sz w:val="21"/>
                <w:szCs w:val="21"/>
                <w:highlight w:val="none"/>
                <w:vertAlign w:val="subscript"/>
                <w:lang w:val="nb-NO"/>
              </w:rPr>
              <w:t>W</w:t>
            </w:r>
            <w:r>
              <w:rPr>
                <w:rFonts w:hint="default" w:ascii="Times New Roman" w:hAnsi="Times New Roman" w:cs="Times New Roman"/>
                <w:color w:val="auto"/>
                <w:sz w:val="21"/>
                <w:szCs w:val="21"/>
                <w:highlight w:val="none"/>
                <w:lang w:val="nb-NO"/>
              </w:rPr>
              <w:t>+D</w:t>
            </w:r>
            <w:r>
              <w:rPr>
                <w:rFonts w:hint="default" w:ascii="Times New Roman" w:hAnsi="Times New Roman" w:cs="Times New Roman"/>
                <w:color w:val="auto"/>
                <w:sz w:val="21"/>
                <w:szCs w:val="21"/>
                <w:highlight w:val="none"/>
                <w:vertAlign w:val="subscript"/>
                <w:lang w:val="nb-NO"/>
              </w:rPr>
              <w:t>C</w:t>
            </w:r>
            <w:r>
              <w:rPr>
                <w:rFonts w:hint="default" w:ascii="Times New Roman" w:hAnsi="Times New Roman" w:cs="Times New Roman"/>
                <w:color w:val="auto"/>
                <w:sz w:val="21"/>
                <w:szCs w:val="21"/>
                <w:highlight w:val="none"/>
                <w:lang w:val="nb-NO"/>
              </w:rPr>
              <w:t>－(A</w:t>
            </w:r>
            <w:r>
              <w:rPr>
                <w:rFonts w:hint="default" w:ascii="Times New Roman" w:hAnsi="Times New Roman" w:cs="Times New Roman"/>
                <w:color w:val="auto"/>
                <w:sz w:val="21"/>
                <w:szCs w:val="21"/>
                <w:highlight w:val="none"/>
                <w:vertAlign w:val="subscript"/>
                <w:lang w:val="nb-NO"/>
              </w:rPr>
              <w:t>div</w:t>
            </w:r>
            <w:r>
              <w:rPr>
                <w:rFonts w:hint="default" w:ascii="Times New Roman" w:hAnsi="Times New Roman" w:cs="Times New Roman"/>
                <w:color w:val="auto"/>
                <w:sz w:val="21"/>
                <w:szCs w:val="21"/>
                <w:highlight w:val="none"/>
                <w:lang w:val="nb-NO"/>
              </w:rPr>
              <w:t>+A</w:t>
            </w:r>
            <w:r>
              <w:rPr>
                <w:rFonts w:hint="default" w:ascii="Times New Roman" w:hAnsi="Times New Roman" w:cs="Times New Roman"/>
                <w:color w:val="auto"/>
                <w:sz w:val="21"/>
                <w:szCs w:val="21"/>
                <w:highlight w:val="none"/>
                <w:vertAlign w:val="subscript"/>
                <w:lang w:val="nb-NO"/>
              </w:rPr>
              <w:t>atm</w:t>
            </w:r>
            <w:r>
              <w:rPr>
                <w:rFonts w:hint="default" w:ascii="Times New Roman" w:hAnsi="Times New Roman" w:cs="Times New Roman"/>
                <w:color w:val="auto"/>
                <w:sz w:val="21"/>
                <w:szCs w:val="21"/>
                <w:highlight w:val="none"/>
                <w:lang w:val="nb-NO"/>
              </w:rPr>
              <w:t xml:space="preserve"> + A</w:t>
            </w:r>
            <w:r>
              <w:rPr>
                <w:rFonts w:hint="default" w:ascii="Times New Roman" w:hAnsi="Times New Roman" w:cs="Times New Roman"/>
                <w:color w:val="auto"/>
                <w:sz w:val="21"/>
                <w:szCs w:val="21"/>
                <w:highlight w:val="none"/>
                <w:vertAlign w:val="subscript"/>
                <w:lang w:val="nb-NO"/>
              </w:rPr>
              <w:t>gr</w:t>
            </w:r>
            <w:r>
              <w:rPr>
                <w:rFonts w:hint="default" w:ascii="Times New Roman" w:hAnsi="Times New Roman" w:cs="Times New Roman"/>
                <w:color w:val="auto"/>
                <w:sz w:val="21"/>
                <w:szCs w:val="21"/>
                <w:highlight w:val="none"/>
                <w:lang w:val="nb-NO"/>
              </w:rPr>
              <w:t xml:space="preserve"> +A</w:t>
            </w:r>
            <w:r>
              <w:rPr>
                <w:rFonts w:hint="default" w:ascii="Times New Roman" w:hAnsi="Times New Roman" w:cs="Times New Roman"/>
                <w:color w:val="auto"/>
                <w:sz w:val="21"/>
                <w:szCs w:val="21"/>
                <w:highlight w:val="none"/>
                <w:vertAlign w:val="subscript"/>
                <w:lang w:val="nb-NO"/>
              </w:rPr>
              <w:t>bar</w:t>
            </w:r>
            <w:r>
              <w:rPr>
                <w:rFonts w:hint="default" w:ascii="Times New Roman" w:hAnsi="Times New Roman" w:cs="Times New Roman"/>
                <w:color w:val="auto"/>
                <w:sz w:val="21"/>
                <w:szCs w:val="21"/>
                <w:highlight w:val="none"/>
                <w:lang w:val="nb-NO"/>
              </w:rPr>
              <w:t xml:space="preserve"> +A</w:t>
            </w:r>
            <w:r>
              <w:rPr>
                <w:rFonts w:hint="default" w:ascii="Times New Roman" w:hAnsi="Times New Roman" w:cs="Times New Roman"/>
                <w:color w:val="auto"/>
                <w:sz w:val="21"/>
                <w:szCs w:val="21"/>
                <w:highlight w:val="none"/>
                <w:vertAlign w:val="subscript"/>
                <w:lang w:val="nb-NO"/>
              </w:rPr>
              <w:t>misc</w:t>
            </w:r>
            <w:r>
              <w:rPr>
                <w:rFonts w:hint="default" w:ascii="Times New Roman" w:hAnsi="Times New Roman" w:cs="Times New Roman"/>
                <w:color w:val="auto"/>
                <w:sz w:val="21"/>
                <w:szCs w:val="21"/>
                <w:highlight w:val="none"/>
                <w:lang w:val="nb-NO"/>
              </w:rPr>
              <w:t>)</w:t>
            </w:r>
          </w:p>
          <w:p w14:paraId="3D60A0D0">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式中：L</w:t>
            </w:r>
            <w:r>
              <w:rPr>
                <w:rFonts w:hint="default" w:ascii="Times New Roman" w:hAnsi="Times New Roman" w:cs="Times New Roman"/>
                <w:color w:val="auto"/>
                <w:sz w:val="21"/>
                <w:szCs w:val="21"/>
                <w:highlight w:val="none"/>
                <w:vertAlign w:val="subscript"/>
                <w:lang w:val="nb-NO"/>
              </w:rPr>
              <w:t>p</w:t>
            </w:r>
            <w:r>
              <w:rPr>
                <w:rFonts w:hint="default" w:ascii="Times New Roman" w:hAnsi="Times New Roman" w:cs="Times New Roman"/>
                <w:color w:val="auto"/>
                <w:sz w:val="21"/>
                <w:szCs w:val="21"/>
                <w:highlight w:val="none"/>
              </w:rPr>
              <w:t>(r)──预测点处声压级，dB；</w:t>
            </w:r>
          </w:p>
          <w:p w14:paraId="0998AA51">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      </w:t>
            </w:r>
            <w:r>
              <w:rPr>
                <w:rFonts w:hint="default" w:ascii="Times New Roman" w:hAnsi="Times New Roman" w:cs="Times New Roman"/>
                <w:color w:val="auto"/>
                <w:sz w:val="21"/>
                <w:szCs w:val="21"/>
                <w:highlight w:val="none"/>
                <w:lang w:val="nb-NO"/>
              </w:rPr>
              <w:t>L</w:t>
            </w:r>
            <w:r>
              <w:rPr>
                <w:rFonts w:hint="default" w:ascii="Times New Roman" w:hAnsi="Times New Roman" w:cs="Times New Roman"/>
                <w:color w:val="auto"/>
                <w:sz w:val="21"/>
                <w:szCs w:val="21"/>
                <w:highlight w:val="none"/>
                <w:vertAlign w:val="subscript"/>
                <w:lang w:val="nb-NO"/>
              </w:rPr>
              <w:t>W</w:t>
            </w:r>
            <w:r>
              <w:rPr>
                <w:rFonts w:hint="default" w:ascii="Times New Roman" w:hAnsi="Times New Roman" w:cs="Times New Roman"/>
                <w:color w:val="auto"/>
                <w:sz w:val="21"/>
                <w:szCs w:val="21"/>
                <w:highlight w:val="none"/>
              </w:rPr>
              <w:t>──由点声源产生的声功率级(A 计权或倍频带)，dB；</w:t>
            </w:r>
          </w:p>
          <w:p w14:paraId="7664F974">
            <w:pPr>
              <w:pStyle w:val="2"/>
              <w:ind w:firstLine="1050" w:firstLineChars="5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nb-NO"/>
              </w:rPr>
              <w:t>D</w:t>
            </w:r>
            <w:r>
              <w:rPr>
                <w:rFonts w:hint="default" w:ascii="Times New Roman" w:hAnsi="Times New Roman" w:cs="Times New Roman"/>
                <w:color w:val="auto"/>
                <w:sz w:val="21"/>
                <w:szCs w:val="21"/>
                <w:highlight w:val="none"/>
                <w:vertAlign w:val="subscript"/>
                <w:lang w:val="nb-NO"/>
              </w:rPr>
              <w:t>C</w:t>
            </w:r>
            <w:r>
              <w:rPr>
                <w:rFonts w:hint="default" w:ascii="Times New Roman" w:hAnsi="Times New Roman" w:cs="Times New Roman"/>
                <w:color w:val="auto"/>
                <w:sz w:val="21"/>
                <w:szCs w:val="21"/>
                <w:highlight w:val="none"/>
              </w:rPr>
              <w:t>──指向性校正，dB；</w:t>
            </w:r>
          </w:p>
          <w:p w14:paraId="203BFF68">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      A</w:t>
            </w:r>
            <w:r>
              <w:rPr>
                <w:rFonts w:hint="default" w:ascii="Times New Roman" w:hAnsi="Times New Roman" w:cs="Times New Roman"/>
                <w:color w:val="auto"/>
                <w:sz w:val="21"/>
                <w:szCs w:val="21"/>
                <w:highlight w:val="none"/>
                <w:vertAlign w:val="subscript"/>
              </w:rPr>
              <w:t>div</w:t>
            </w:r>
            <w:r>
              <w:rPr>
                <w:rFonts w:hint="default" w:ascii="Times New Roman" w:hAnsi="Times New Roman" w:cs="Times New Roman"/>
                <w:color w:val="auto"/>
                <w:sz w:val="21"/>
                <w:szCs w:val="21"/>
                <w:highlight w:val="none"/>
              </w:rPr>
              <w:t>──几何发散引起的衰减，dB；</w:t>
            </w:r>
          </w:p>
          <w:p w14:paraId="7FB6A506">
            <w:pPr>
              <w:pStyle w:val="2"/>
              <w:ind w:firstLine="1050" w:firstLineChars="5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A</w:t>
            </w:r>
            <w:r>
              <w:rPr>
                <w:rFonts w:hint="default" w:ascii="Times New Roman" w:hAnsi="Times New Roman" w:cs="Times New Roman"/>
                <w:color w:val="auto"/>
                <w:sz w:val="21"/>
                <w:szCs w:val="21"/>
                <w:highlight w:val="none"/>
                <w:vertAlign w:val="subscript"/>
              </w:rPr>
              <w:t>atm</w:t>
            </w:r>
            <w:r>
              <w:rPr>
                <w:rFonts w:hint="default" w:ascii="Times New Roman" w:hAnsi="Times New Roman" w:cs="Times New Roman"/>
                <w:color w:val="auto"/>
                <w:sz w:val="21"/>
                <w:szCs w:val="21"/>
                <w:highlight w:val="none"/>
              </w:rPr>
              <w:t>──大气吸收引起的衰减，dB；</w:t>
            </w:r>
          </w:p>
          <w:p w14:paraId="536E01C5">
            <w:pPr>
              <w:pStyle w:val="2"/>
              <w:ind w:firstLine="1050" w:firstLineChars="5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nb-NO"/>
              </w:rPr>
              <w:t>A</w:t>
            </w:r>
            <w:r>
              <w:rPr>
                <w:rFonts w:hint="default" w:ascii="Times New Roman" w:hAnsi="Times New Roman" w:cs="Times New Roman"/>
                <w:color w:val="auto"/>
                <w:sz w:val="21"/>
                <w:szCs w:val="21"/>
                <w:highlight w:val="none"/>
                <w:vertAlign w:val="subscript"/>
                <w:lang w:val="nb-NO"/>
              </w:rPr>
              <w:t>gr</w:t>
            </w:r>
            <w:r>
              <w:rPr>
                <w:rFonts w:hint="default" w:ascii="Times New Roman" w:hAnsi="Times New Roman" w:cs="Times New Roman"/>
                <w:color w:val="auto"/>
                <w:sz w:val="21"/>
                <w:szCs w:val="21"/>
                <w:highlight w:val="none"/>
              </w:rPr>
              <w:t>──地面效应引起的倍频带衰减，dB；</w:t>
            </w:r>
          </w:p>
          <w:p w14:paraId="4F17FFC9">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      A</w:t>
            </w:r>
            <w:r>
              <w:rPr>
                <w:rFonts w:hint="default" w:ascii="Times New Roman" w:hAnsi="Times New Roman" w:cs="Times New Roman"/>
                <w:color w:val="auto"/>
                <w:sz w:val="21"/>
                <w:szCs w:val="21"/>
                <w:highlight w:val="none"/>
                <w:vertAlign w:val="subscript"/>
              </w:rPr>
              <w:t>bar</w:t>
            </w:r>
            <w:r>
              <w:rPr>
                <w:rFonts w:hint="default" w:ascii="Times New Roman" w:hAnsi="Times New Roman" w:cs="Times New Roman"/>
                <w:color w:val="auto"/>
                <w:sz w:val="21"/>
                <w:szCs w:val="21"/>
                <w:highlight w:val="none"/>
              </w:rPr>
              <w:t>──障碍物屏蔽引起的衰减，dB；</w:t>
            </w:r>
          </w:p>
          <w:p w14:paraId="14EFD655">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      A</w:t>
            </w:r>
            <w:r>
              <w:rPr>
                <w:rFonts w:hint="default" w:ascii="Times New Roman" w:hAnsi="Times New Roman" w:cs="Times New Roman"/>
                <w:color w:val="auto"/>
                <w:sz w:val="21"/>
                <w:szCs w:val="21"/>
                <w:highlight w:val="none"/>
                <w:vertAlign w:val="subscript"/>
                <w:lang w:val="nb-NO"/>
              </w:rPr>
              <w:t>misc</w:t>
            </w:r>
            <w:r>
              <w:rPr>
                <w:rFonts w:hint="default" w:ascii="Times New Roman" w:hAnsi="Times New Roman" w:cs="Times New Roman"/>
                <w:color w:val="auto"/>
                <w:sz w:val="21"/>
                <w:szCs w:val="21"/>
                <w:highlight w:val="none"/>
              </w:rPr>
              <w:t>──其他多方面效应引起的倍频带衰减，dB。</w:t>
            </w:r>
          </w:p>
          <w:p w14:paraId="5AEC1770">
            <w:pPr>
              <w:pStyle w:val="2"/>
              <w:rPr>
                <w:rFonts w:hint="default" w:ascii="Times New Roman" w:hAnsi="Times New Roman" w:cs="Times New Roman"/>
                <w:color w:val="auto"/>
                <w:sz w:val="21"/>
                <w:szCs w:val="21"/>
                <w:highlight w:val="none"/>
              </w:rPr>
            </w:pPr>
            <w:r>
              <w:rPr>
                <w:rFonts w:hint="eastAsia" w:ascii="Times New Roman" w:cs="Times New Roman"/>
                <w:color w:val="auto"/>
                <w:kern w:val="2"/>
                <w:sz w:val="21"/>
                <w:szCs w:val="21"/>
                <w:highlight w:val="none"/>
                <w:lang w:val="en-US" w:eastAsia="zh-CN"/>
              </w:rPr>
              <w:t>(</w:t>
            </w:r>
            <w:r>
              <w:rPr>
                <w:rFonts w:hint="default" w:ascii="Times New Roman" w:hAnsi="Times New Roman" w:cs="Times New Roman"/>
                <w:color w:val="auto"/>
                <w:sz w:val="21"/>
                <w:szCs w:val="21"/>
                <w:highlight w:val="none"/>
              </w:rPr>
              <w:t>2)室内点声源对厂界和声环境保护目标噪声预测点贡献值预测模式</w:t>
            </w:r>
          </w:p>
          <w:p w14:paraId="4326605B">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室内声源首先换算为等效室外声源，再按各类声源模式计算。</w:t>
            </w:r>
          </w:p>
          <w:p w14:paraId="6B38A7A3">
            <w:pPr>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1388110" cy="399415"/>
                  <wp:effectExtent l="0" t="0" r="2540" b="63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30"/>
                          <a:stretch>
                            <a:fillRect/>
                          </a:stretch>
                        </pic:blipFill>
                        <pic:spPr>
                          <a:xfrm>
                            <a:off x="0" y="0"/>
                            <a:ext cx="1388110" cy="399415"/>
                          </a:xfrm>
                          <a:prstGeom prst="rect">
                            <a:avLst/>
                          </a:prstGeom>
                          <a:noFill/>
                          <a:ln>
                            <a:noFill/>
                          </a:ln>
                        </pic:spPr>
                      </pic:pic>
                    </a:graphicData>
                  </a:graphic>
                </wp:inline>
              </w:drawing>
            </w:r>
          </w:p>
          <w:p w14:paraId="288FFAA2">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①首先计算出某个室内声源靠近围护结构处的倍频带声压级：</w:t>
            </w:r>
          </w:p>
          <w:p w14:paraId="48BAFB20">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式中：L</w:t>
            </w:r>
            <w:r>
              <w:rPr>
                <w:rFonts w:hint="default" w:ascii="Times New Roman" w:hAnsi="Times New Roman" w:cs="Times New Roman"/>
                <w:color w:val="auto"/>
                <w:sz w:val="21"/>
                <w:szCs w:val="21"/>
                <w:highlight w:val="none"/>
                <w:vertAlign w:val="subscript"/>
                <w:lang w:val="nb-NO"/>
              </w:rPr>
              <w:t>p</w:t>
            </w:r>
            <w:r>
              <w:rPr>
                <w:rFonts w:hint="default" w:ascii="Times New Roman" w:hAnsi="Times New Roman" w:cs="Times New Roman"/>
                <w:color w:val="auto"/>
                <w:sz w:val="21"/>
                <w:szCs w:val="21"/>
                <w:highlight w:val="none"/>
                <w:vertAlign w:val="subscript"/>
              </w:rPr>
              <w:t>1</w:t>
            </w:r>
            <w:r>
              <w:rPr>
                <w:rFonts w:hint="default" w:ascii="Times New Roman" w:hAnsi="Times New Roman" w:cs="Times New Roman"/>
                <w:color w:val="auto"/>
                <w:sz w:val="21"/>
                <w:szCs w:val="21"/>
                <w:highlight w:val="none"/>
              </w:rPr>
              <w:t>──室内声源在靠近围护结构处产生的倍频带声压级，dB；；</w:t>
            </w:r>
          </w:p>
          <w:p w14:paraId="4108D8AA">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      </w:t>
            </w:r>
            <w:r>
              <w:rPr>
                <w:rFonts w:hint="default" w:ascii="Times New Roman" w:hAnsi="Times New Roman" w:cs="Times New Roman"/>
                <w:color w:val="auto"/>
                <w:sz w:val="21"/>
                <w:szCs w:val="21"/>
                <w:highlight w:val="none"/>
                <w:lang w:val="nb-NO"/>
              </w:rPr>
              <w:t>L</w:t>
            </w:r>
            <w:r>
              <w:rPr>
                <w:rFonts w:hint="default" w:ascii="Times New Roman" w:hAnsi="Times New Roman" w:cs="Times New Roman"/>
                <w:color w:val="auto"/>
                <w:sz w:val="21"/>
                <w:szCs w:val="21"/>
                <w:highlight w:val="none"/>
                <w:vertAlign w:val="subscript"/>
                <w:lang w:val="nb-NO"/>
              </w:rPr>
              <w:t>W</w:t>
            </w:r>
            <w:r>
              <w:rPr>
                <w:rFonts w:hint="default" w:ascii="Times New Roman" w:hAnsi="Times New Roman" w:cs="Times New Roman"/>
                <w:color w:val="auto"/>
                <w:sz w:val="21"/>
                <w:szCs w:val="21"/>
                <w:highlight w:val="none"/>
              </w:rPr>
              <w:t>──点声源声功率级(A 计权或倍频带)，dB；</w:t>
            </w:r>
          </w:p>
          <w:p w14:paraId="4A4B0415">
            <w:pPr>
              <w:pStyle w:val="2"/>
              <w:ind w:firstLine="1050" w:firstLineChars="5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nb-NO"/>
              </w:rPr>
              <w:t>Q</w:t>
            </w:r>
            <w:r>
              <w:rPr>
                <w:rFonts w:hint="default" w:ascii="Times New Roman" w:hAnsi="Times New Roman" w:cs="Times New Roman"/>
                <w:color w:val="auto"/>
                <w:sz w:val="21"/>
                <w:szCs w:val="21"/>
                <w:highlight w:val="none"/>
              </w:rPr>
              <w:t>──指向性因数；通常对无指向性声源，当声源放在房间中心时，</w:t>
            </w:r>
            <w:r>
              <w:rPr>
                <w:rFonts w:hint="default" w:ascii="Times New Roman" w:hAnsi="Times New Roman" w:cs="Times New Roman"/>
                <w:color w:val="auto"/>
                <w:sz w:val="21"/>
                <w:szCs w:val="21"/>
                <w:highlight w:val="none"/>
                <w:lang w:val="nb-NO"/>
              </w:rPr>
              <w:t>Q</w:t>
            </w:r>
            <w:r>
              <w:rPr>
                <w:rFonts w:hint="default" w:ascii="Times New Roman" w:hAnsi="Times New Roman" w:cs="Times New Roman"/>
                <w:color w:val="auto"/>
                <w:sz w:val="21"/>
                <w:szCs w:val="21"/>
                <w:highlight w:val="none"/>
              </w:rPr>
              <w:t xml:space="preserve"> =1；当放在一面墙的中心时，</w:t>
            </w:r>
            <w:r>
              <w:rPr>
                <w:rFonts w:hint="default" w:ascii="Times New Roman" w:hAnsi="Times New Roman" w:cs="Times New Roman"/>
                <w:color w:val="auto"/>
                <w:sz w:val="21"/>
                <w:szCs w:val="21"/>
                <w:highlight w:val="none"/>
                <w:lang w:val="nb-NO"/>
              </w:rPr>
              <w:t>Q</w:t>
            </w:r>
            <w:r>
              <w:rPr>
                <w:rFonts w:hint="default" w:ascii="Times New Roman" w:hAnsi="Times New Roman" w:cs="Times New Roman"/>
                <w:color w:val="auto"/>
                <w:sz w:val="21"/>
                <w:szCs w:val="21"/>
                <w:highlight w:val="none"/>
              </w:rPr>
              <w:t xml:space="preserve"> =2；当放在两面墙的夹角处时，</w:t>
            </w:r>
            <w:r>
              <w:rPr>
                <w:rFonts w:hint="default" w:ascii="Times New Roman" w:hAnsi="Times New Roman" w:cs="Times New Roman"/>
                <w:color w:val="auto"/>
                <w:sz w:val="21"/>
                <w:szCs w:val="21"/>
                <w:highlight w:val="none"/>
                <w:lang w:val="nb-NO"/>
              </w:rPr>
              <w:t>Q</w:t>
            </w:r>
            <w:r>
              <w:rPr>
                <w:rFonts w:hint="default" w:ascii="Times New Roman" w:hAnsi="Times New Roman" w:cs="Times New Roman"/>
                <w:color w:val="auto"/>
                <w:sz w:val="21"/>
                <w:szCs w:val="21"/>
                <w:highlight w:val="none"/>
              </w:rPr>
              <w:t xml:space="preserve"> =4；当放在三面墙的夹角处时，</w:t>
            </w:r>
            <w:r>
              <w:rPr>
                <w:rFonts w:hint="default" w:ascii="Times New Roman" w:hAnsi="Times New Roman" w:cs="Times New Roman"/>
                <w:color w:val="auto"/>
                <w:sz w:val="21"/>
                <w:szCs w:val="21"/>
                <w:highlight w:val="none"/>
                <w:lang w:val="nb-NO"/>
              </w:rPr>
              <w:t>Q</w:t>
            </w:r>
            <w:r>
              <w:rPr>
                <w:rFonts w:hint="default" w:ascii="Times New Roman" w:hAnsi="Times New Roman" w:cs="Times New Roman"/>
                <w:color w:val="auto"/>
                <w:sz w:val="21"/>
                <w:szCs w:val="21"/>
                <w:highlight w:val="none"/>
              </w:rPr>
              <w:t xml:space="preserve"> =8；</w:t>
            </w:r>
          </w:p>
          <w:p w14:paraId="2AD3ED1D">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      R──房间常数；R=Sα/ (1－α) ，S为房间内表面面积，m</w:t>
            </w:r>
            <w:r>
              <w:rPr>
                <w:rFonts w:hint="default" w:ascii="Times New Roman" w:hAnsi="Times New Roman" w:cs="Times New Roman"/>
                <w:color w:val="auto"/>
                <w:sz w:val="21"/>
                <w:szCs w:val="21"/>
                <w:highlight w:val="none"/>
                <w:vertAlign w:val="superscript"/>
              </w:rPr>
              <w:t>2</w:t>
            </w:r>
            <w:r>
              <w:rPr>
                <w:rFonts w:hint="default" w:ascii="Times New Roman" w:hAnsi="Times New Roman" w:cs="Times New Roman"/>
                <w:color w:val="auto"/>
                <w:sz w:val="21"/>
                <w:szCs w:val="21"/>
                <w:highlight w:val="none"/>
              </w:rPr>
              <w:t>，α为平均吸声系数。</w:t>
            </w:r>
          </w:p>
          <w:p w14:paraId="63E70699">
            <w:pPr>
              <w:pStyle w:val="2"/>
              <w:ind w:firstLine="1050" w:firstLineChars="5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r ──源到靠近围护结构某点处的距离，m。</w:t>
            </w:r>
          </w:p>
          <w:p w14:paraId="36077432">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②计算出所有室内声源在靠近围护结构处产生的i倍频带叠加声压级：</w:t>
            </w:r>
          </w:p>
          <w:p w14:paraId="064EF519">
            <w:pPr>
              <w:pStyle w:val="2"/>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2415540" cy="603885"/>
                  <wp:effectExtent l="0" t="0" r="3810" b="5715"/>
                  <wp:docPr id="1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1"/>
                          <pic:cNvPicPr>
                            <a:picLocks noChangeAspect="1"/>
                          </pic:cNvPicPr>
                        </pic:nvPicPr>
                        <pic:blipFill>
                          <a:blip r:embed="rId31"/>
                          <a:stretch>
                            <a:fillRect/>
                          </a:stretch>
                        </pic:blipFill>
                        <pic:spPr>
                          <a:xfrm>
                            <a:off x="0" y="0"/>
                            <a:ext cx="2415540" cy="603885"/>
                          </a:xfrm>
                          <a:prstGeom prst="rect">
                            <a:avLst/>
                          </a:prstGeom>
                          <a:noFill/>
                          <a:ln>
                            <a:noFill/>
                          </a:ln>
                        </pic:spPr>
                      </pic:pic>
                    </a:graphicData>
                  </a:graphic>
                </wp:inline>
              </w:drawing>
            </w:r>
          </w:p>
          <w:p w14:paraId="76B4B2B0">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式中：</w:t>
            </w:r>
            <w:r>
              <w:rPr>
                <w:rFonts w:hint="default" w:ascii="Times New Roman" w:hAnsi="Times New Roman" w:cs="Times New Roman"/>
                <w:i/>
                <w:color w:val="auto"/>
                <w:sz w:val="21"/>
                <w:szCs w:val="21"/>
                <w:highlight w:val="none"/>
              </w:rPr>
              <w:t>L</w:t>
            </w:r>
            <w:r>
              <w:rPr>
                <w:rFonts w:hint="default" w:ascii="Times New Roman" w:hAnsi="Times New Roman" w:cs="Times New Roman"/>
                <w:i/>
                <w:color w:val="auto"/>
                <w:sz w:val="21"/>
                <w:szCs w:val="21"/>
                <w:highlight w:val="none"/>
                <w:vertAlign w:val="subscript"/>
              </w:rPr>
              <w:t>p</w:t>
            </w:r>
            <w:r>
              <w:rPr>
                <w:rFonts w:hint="default" w:ascii="Times New Roman" w:hAnsi="Times New Roman" w:cs="Times New Roman"/>
                <w:color w:val="auto"/>
                <w:sz w:val="21"/>
                <w:szCs w:val="21"/>
                <w:highlight w:val="none"/>
                <w:vertAlign w:val="subscript"/>
              </w:rPr>
              <w:t>1</w:t>
            </w:r>
            <w:r>
              <w:rPr>
                <w:rFonts w:hint="default" w:ascii="Times New Roman" w:hAnsi="Times New Roman" w:cs="Times New Roman"/>
                <w:i/>
                <w:color w:val="auto"/>
                <w:sz w:val="21"/>
                <w:szCs w:val="21"/>
                <w:highlight w:val="none"/>
                <w:vertAlign w:val="subscript"/>
              </w:rPr>
              <w:t xml:space="preserve">i </w:t>
            </w:r>
            <w:r>
              <w:rPr>
                <w:rFonts w:hint="default" w:ascii="Times New Roman" w:hAnsi="Times New Roman" w:cs="Times New Roman"/>
                <w:color w:val="auto"/>
                <w:sz w:val="21"/>
                <w:szCs w:val="21"/>
                <w:highlight w:val="none"/>
              </w:rPr>
              <w:t>(</w:t>
            </w:r>
            <w:r>
              <w:rPr>
                <w:rFonts w:hint="default" w:ascii="Times New Roman" w:hAnsi="Times New Roman" w:cs="Times New Roman"/>
                <w:i/>
                <w:color w:val="auto"/>
                <w:sz w:val="21"/>
                <w:szCs w:val="21"/>
                <w:highlight w:val="none"/>
              </w:rPr>
              <w:t>T</w:t>
            </w:r>
            <w:r>
              <w:rPr>
                <w:rFonts w:hint="default" w:ascii="Times New Roman" w:hAnsi="Times New Roman" w:cs="Times New Roman"/>
                <w:color w:val="auto"/>
                <w:sz w:val="21"/>
                <w:szCs w:val="21"/>
                <w:highlight w:val="none"/>
              </w:rPr>
              <w:t>) ──靠近围护结构处室内N个声源i倍频带的叠加声压级，dB；</w:t>
            </w:r>
          </w:p>
          <w:p w14:paraId="19CD1BEE">
            <w:pPr>
              <w:ind w:firstLine="1050" w:firstLineChars="500"/>
              <w:rPr>
                <w:rFonts w:hint="default" w:ascii="Times New Roman" w:hAnsi="Times New Roman" w:cs="Times New Roman"/>
                <w:color w:val="auto"/>
                <w:sz w:val="21"/>
                <w:szCs w:val="21"/>
                <w:highlight w:val="none"/>
              </w:rPr>
            </w:pPr>
            <w:r>
              <w:rPr>
                <w:rFonts w:hint="default" w:ascii="Times New Roman" w:hAnsi="Times New Roman" w:cs="Times New Roman"/>
                <w:i/>
                <w:color w:val="auto"/>
                <w:sz w:val="21"/>
                <w:szCs w:val="21"/>
                <w:highlight w:val="none"/>
              </w:rPr>
              <w:t>L</w:t>
            </w:r>
            <w:r>
              <w:rPr>
                <w:rFonts w:hint="default" w:ascii="Times New Roman" w:hAnsi="Times New Roman" w:cs="Times New Roman"/>
                <w:i/>
                <w:color w:val="auto"/>
                <w:sz w:val="21"/>
                <w:szCs w:val="21"/>
                <w:highlight w:val="none"/>
                <w:vertAlign w:val="subscript"/>
              </w:rPr>
              <w:t>p</w:t>
            </w:r>
            <w:r>
              <w:rPr>
                <w:rFonts w:hint="default" w:ascii="Times New Roman" w:hAnsi="Times New Roman" w:cs="Times New Roman"/>
                <w:color w:val="auto"/>
                <w:sz w:val="21"/>
                <w:szCs w:val="21"/>
                <w:highlight w:val="none"/>
                <w:vertAlign w:val="subscript"/>
              </w:rPr>
              <w:t>1</w:t>
            </w:r>
            <w:r>
              <w:rPr>
                <w:rFonts w:hint="default" w:ascii="Times New Roman" w:hAnsi="Times New Roman" w:cs="Times New Roman"/>
                <w:i/>
                <w:color w:val="auto"/>
                <w:sz w:val="21"/>
                <w:szCs w:val="21"/>
                <w:highlight w:val="none"/>
                <w:vertAlign w:val="subscript"/>
              </w:rPr>
              <w:t>ij</w:t>
            </w:r>
            <w:r>
              <w:rPr>
                <w:rFonts w:hint="default" w:ascii="Times New Roman" w:hAnsi="Times New Roman" w:cs="Times New Roman"/>
                <w:color w:val="auto"/>
                <w:sz w:val="21"/>
                <w:szCs w:val="21"/>
                <w:highlight w:val="none"/>
              </w:rPr>
              <w:t>──室内 j 声源i倍频带的声压级，dB；</w:t>
            </w:r>
          </w:p>
          <w:p w14:paraId="73063B02">
            <w:pPr>
              <w:pStyle w:val="2"/>
              <w:ind w:firstLine="1050" w:firstLineChars="500"/>
              <w:rPr>
                <w:rFonts w:hint="default" w:ascii="Times New Roman" w:hAnsi="Times New Roman" w:cs="Times New Roman"/>
                <w:color w:val="auto"/>
                <w:sz w:val="21"/>
                <w:szCs w:val="21"/>
                <w:highlight w:val="none"/>
              </w:rPr>
            </w:pPr>
            <w:r>
              <w:rPr>
                <w:rFonts w:hint="default" w:ascii="Times New Roman" w:hAnsi="Times New Roman" w:cs="Times New Roman"/>
                <w:i/>
                <w:color w:val="auto"/>
                <w:sz w:val="21"/>
                <w:szCs w:val="21"/>
                <w:highlight w:val="none"/>
              </w:rPr>
              <w:t>N</w:t>
            </w:r>
            <w:r>
              <w:rPr>
                <w:rFonts w:hint="default" w:ascii="Times New Roman" w:hAnsi="Times New Roman" w:cs="Times New Roman"/>
                <w:color w:val="auto"/>
                <w:sz w:val="21"/>
                <w:szCs w:val="21"/>
                <w:highlight w:val="none"/>
              </w:rPr>
              <w:t>──室内声源总数。</w:t>
            </w:r>
          </w:p>
          <w:p w14:paraId="59AD4449">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③计算出室外靠近围护结构处的声压级：</w:t>
            </w:r>
          </w:p>
          <w:p w14:paraId="4462B7E7">
            <w:pPr>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2747010" cy="389255"/>
                  <wp:effectExtent l="0" t="0" r="15240" b="10795"/>
                  <wp:docPr id="14"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2"/>
                          <pic:cNvPicPr>
                            <a:picLocks noChangeAspect="1"/>
                          </pic:cNvPicPr>
                        </pic:nvPicPr>
                        <pic:blipFill>
                          <a:blip r:embed="rId32"/>
                          <a:stretch>
                            <a:fillRect/>
                          </a:stretch>
                        </pic:blipFill>
                        <pic:spPr>
                          <a:xfrm>
                            <a:off x="0" y="0"/>
                            <a:ext cx="2747010" cy="389255"/>
                          </a:xfrm>
                          <a:prstGeom prst="rect">
                            <a:avLst/>
                          </a:prstGeom>
                          <a:noFill/>
                          <a:ln>
                            <a:noFill/>
                          </a:ln>
                        </pic:spPr>
                      </pic:pic>
                    </a:graphicData>
                  </a:graphic>
                </wp:inline>
              </w:drawing>
            </w:r>
          </w:p>
          <w:p w14:paraId="6D2EA2E7">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式中：</w:t>
            </w:r>
            <w:r>
              <w:rPr>
                <w:rFonts w:hint="default" w:ascii="Times New Roman" w:hAnsi="Times New Roman" w:cs="Times New Roman"/>
                <w:i/>
                <w:color w:val="auto"/>
                <w:sz w:val="21"/>
                <w:szCs w:val="21"/>
                <w:highlight w:val="none"/>
              </w:rPr>
              <w:t>L</w:t>
            </w:r>
            <w:r>
              <w:rPr>
                <w:rFonts w:hint="default" w:ascii="Times New Roman" w:hAnsi="Times New Roman" w:cs="Times New Roman"/>
                <w:i/>
                <w:color w:val="auto"/>
                <w:sz w:val="21"/>
                <w:szCs w:val="21"/>
                <w:highlight w:val="none"/>
                <w:vertAlign w:val="subscript"/>
              </w:rPr>
              <w:t>p</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i/>
                <w:color w:val="auto"/>
                <w:sz w:val="21"/>
                <w:szCs w:val="21"/>
                <w:highlight w:val="none"/>
                <w:vertAlign w:val="subscript"/>
              </w:rPr>
              <w:t xml:space="preserve">i </w:t>
            </w:r>
            <w:r>
              <w:rPr>
                <w:rFonts w:hint="default" w:ascii="Times New Roman" w:hAnsi="Times New Roman" w:cs="Times New Roman"/>
                <w:color w:val="auto"/>
                <w:sz w:val="21"/>
                <w:szCs w:val="21"/>
                <w:highlight w:val="none"/>
              </w:rPr>
              <w:t>(</w:t>
            </w:r>
            <w:r>
              <w:rPr>
                <w:rFonts w:hint="default" w:ascii="Times New Roman" w:hAnsi="Times New Roman" w:cs="Times New Roman"/>
                <w:i/>
                <w:color w:val="auto"/>
                <w:sz w:val="21"/>
                <w:szCs w:val="21"/>
                <w:highlight w:val="none"/>
              </w:rPr>
              <w:t>T</w:t>
            </w:r>
            <w:r>
              <w:rPr>
                <w:rFonts w:hint="default" w:ascii="Times New Roman" w:hAnsi="Times New Roman" w:cs="Times New Roman"/>
                <w:color w:val="auto"/>
                <w:sz w:val="21"/>
                <w:szCs w:val="21"/>
                <w:highlight w:val="none"/>
              </w:rPr>
              <w:t>) ──靠近围护结构处室外N个声源i倍频带的叠加声压级，dB；</w:t>
            </w:r>
          </w:p>
          <w:p w14:paraId="519D3086">
            <w:pPr>
              <w:pStyle w:val="2"/>
              <w:ind w:firstLine="1050" w:firstLineChars="500"/>
              <w:rPr>
                <w:rFonts w:hint="default" w:ascii="Times New Roman" w:hAnsi="Times New Roman" w:cs="Times New Roman"/>
                <w:i/>
                <w:color w:val="auto"/>
                <w:sz w:val="21"/>
                <w:szCs w:val="21"/>
                <w:highlight w:val="none"/>
              </w:rPr>
            </w:pPr>
            <w:r>
              <w:rPr>
                <w:rFonts w:hint="default" w:ascii="Times New Roman" w:hAnsi="Times New Roman" w:cs="Times New Roman"/>
                <w:i/>
                <w:color w:val="auto"/>
                <w:sz w:val="21"/>
                <w:szCs w:val="21"/>
                <w:highlight w:val="none"/>
              </w:rPr>
              <w:t>TL</w:t>
            </w:r>
            <w:r>
              <w:rPr>
                <w:rFonts w:hint="default" w:ascii="Times New Roman" w:hAnsi="Times New Roman" w:cs="Times New Roman"/>
                <w:i/>
                <w:color w:val="auto"/>
                <w:sz w:val="21"/>
                <w:szCs w:val="21"/>
                <w:highlight w:val="none"/>
                <w:vertAlign w:val="subscript"/>
              </w:rPr>
              <w:t>i</w:t>
            </w:r>
            <w:r>
              <w:rPr>
                <w:rFonts w:hint="default" w:ascii="Times New Roman" w:hAnsi="Times New Roman" w:cs="Times New Roman"/>
                <w:color w:val="auto"/>
                <w:sz w:val="21"/>
                <w:szCs w:val="21"/>
                <w:highlight w:val="none"/>
              </w:rPr>
              <w:t>──围护结构i倍频带的隔声量，dB；</w:t>
            </w:r>
          </w:p>
          <w:p w14:paraId="7B01374F">
            <w:pPr>
              <w:pStyle w:val="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④将室外声源的声压级和透过面积换算成等效的室外声源，计算出中心位置位于透声面积(S)处的等效声源的倍频带声功率级。</w:t>
            </w:r>
          </w:p>
          <w:p w14:paraId="0DA510BF">
            <w:pPr>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2113915" cy="366395"/>
                  <wp:effectExtent l="0" t="0" r="635" b="14605"/>
                  <wp:docPr id="1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3"/>
                          <pic:cNvPicPr>
                            <a:picLocks noChangeAspect="1"/>
                          </pic:cNvPicPr>
                        </pic:nvPicPr>
                        <pic:blipFill>
                          <a:blip r:embed="rId33"/>
                          <a:stretch>
                            <a:fillRect/>
                          </a:stretch>
                        </pic:blipFill>
                        <pic:spPr>
                          <a:xfrm>
                            <a:off x="0" y="0"/>
                            <a:ext cx="2113915" cy="366395"/>
                          </a:xfrm>
                          <a:prstGeom prst="rect">
                            <a:avLst/>
                          </a:prstGeom>
                          <a:noFill/>
                          <a:ln>
                            <a:noFill/>
                          </a:ln>
                        </pic:spPr>
                      </pic:pic>
                    </a:graphicData>
                  </a:graphic>
                </wp:inline>
              </w:drawing>
            </w:r>
          </w:p>
          <w:p w14:paraId="516AE5AF">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⑤等效室外声源的位置为围护结构的位置，其倍频带声功率级为</w:t>
            </w:r>
            <w:r>
              <w:rPr>
                <w:rFonts w:hint="default" w:ascii="Times New Roman" w:hAnsi="Times New Roman" w:cs="Times New Roman"/>
                <w:i/>
                <w:color w:val="auto"/>
                <w:sz w:val="21"/>
                <w:szCs w:val="21"/>
                <w:highlight w:val="none"/>
                <w:lang w:val="nb-NO"/>
              </w:rPr>
              <w:t>L</w:t>
            </w:r>
            <w:r>
              <w:rPr>
                <w:rFonts w:hint="default" w:ascii="Times New Roman" w:hAnsi="Times New Roman" w:cs="Times New Roman"/>
                <w:i/>
                <w:color w:val="auto"/>
                <w:sz w:val="21"/>
                <w:szCs w:val="21"/>
                <w:highlight w:val="none"/>
                <w:vertAlign w:val="subscript"/>
                <w:lang w:val="nb-NO"/>
              </w:rPr>
              <w:t>W</w:t>
            </w:r>
            <w:r>
              <w:rPr>
                <w:rFonts w:hint="default" w:ascii="Times New Roman" w:hAnsi="Times New Roman" w:cs="Times New Roman"/>
                <w:color w:val="auto"/>
                <w:sz w:val="21"/>
                <w:szCs w:val="21"/>
                <w:highlight w:val="none"/>
                <w:lang w:val="nb-NO"/>
              </w:rPr>
              <w:t>，</w:t>
            </w:r>
            <w:r>
              <w:rPr>
                <w:rFonts w:hint="default" w:ascii="Times New Roman" w:hAnsi="Times New Roman" w:cs="Times New Roman"/>
                <w:color w:val="auto"/>
                <w:sz w:val="21"/>
                <w:szCs w:val="21"/>
                <w:highlight w:val="none"/>
              </w:rPr>
              <w:t>根据厂房结构(门、窗)和预测点的位置关系，分别按照面声源、线声源和点声源的衰减模式，计算预测点处的声级。</w:t>
            </w:r>
          </w:p>
          <w:p w14:paraId="4139A72F">
            <w:pPr>
              <w:pStyle w:val="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假设窗户的宽度为 a，高度为 b，窗户个数为 n；预测点距墙中心的距离为r。预测点的声级按照下述公式进行预测：</w:t>
            </w:r>
          </w:p>
          <w:p w14:paraId="6476856D">
            <w:pPr>
              <w:pStyle w:val="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4083050" cy="1466215"/>
                  <wp:effectExtent l="0" t="0" r="12700" b="635"/>
                  <wp:docPr id="7"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4"/>
                          <pic:cNvPicPr>
                            <a:picLocks noChangeAspect="1"/>
                          </pic:cNvPicPr>
                        </pic:nvPicPr>
                        <pic:blipFill>
                          <a:blip r:embed="rId34"/>
                          <a:stretch>
                            <a:fillRect/>
                          </a:stretch>
                        </pic:blipFill>
                        <pic:spPr>
                          <a:xfrm>
                            <a:off x="0" y="0"/>
                            <a:ext cx="4083050" cy="1466215"/>
                          </a:xfrm>
                          <a:prstGeom prst="rect">
                            <a:avLst/>
                          </a:prstGeom>
                          <a:noFill/>
                          <a:ln>
                            <a:noFill/>
                          </a:ln>
                        </pic:spPr>
                      </pic:pic>
                    </a:graphicData>
                  </a:graphic>
                </wp:inline>
              </w:drawing>
            </w:r>
          </w:p>
          <w:p w14:paraId="41A19AC9">
            <w:pPr>
              <w:pStyle w:val="2"/>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计算总声压级</w:t>
            </w:r>
          </w:p>
          <w:p w14:paraId="0C2A75AD">
            <w:pPr>
              <w:pStyle w:val="2"/>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①</w:t>
            </w:r>
            <w:r>
              <w:rPr>
                <w:rFonts w:hint="default" w:ascii="Times New Roman" w:hAnsi="Times New Roman" w:cs="Times New Roman"/>
                <w:color w:val="auto"/>
                <w:sz w:val="21"/>
                <w:szCs w:val="21"/>
                <w:highlight w:val="none"/>
              </w:rPr>
              <w:t>计算本项目各室外噪声源和各含噪声源厂房对各预测点噪声贡献值</w:t>
            </w:r>
          </w:p>
          <w:p w14:paraId="7654CCD4">
            <w:pPr>
              <w:pStyle w:val="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设第i个室外声源在预测点产生的 A 声级为</w:t>
            </w:r>
            <w:r>
              <w:rPr>
                <w:rFonts w:hint="default" w:ascii="Times New Roman" w:hAnsi="Times New Roman" w:cs="Times New Roman"/>
                <w:i/>
                <w:color w:val="auto"/>
                <w:sz w:val="21"/>
                <w:szCs w:val="21"/>
                <w:highlight w:val="none"/>
              </w:rPr>
              <w:t>L</w:t>
            </w:r>
            <w:r>
              <w:rPr>
                <w:rFonts w:hint="default" w:ascii="Times New Roman" w:hAnsi="Times New Roman" w:cs="Times New Roman"/>
                <w:i/>
                <w:color w:val="auto"/>
                <w:sz w:val="21"/>
                <w:szCs w:val="21"/>
                <w:highlight w:val="none"/>
                <w:vertAlign w:val="subscript"/>
              </w:rPr>
              <w:t>Ai</w:t>
            </w:r>
            <w:r>
              <w:rPr>
                <w:rFonts w:hint="default" w:ascii="Times New Roman" w:hAnsi="Times New Roman" w:cs="Times New Roman"/>
                <w:color w:val="auto"/>
                <w:sz w:val="21"/>
                <w:szCs w:val="21"/>
                <w:highlight w:val="none"/>
              </w:rPr>
              <w:t>，在 T 时间内该声源工作时间为ti ；第 j 个等效室外声源在预测点产生的 A 声级为</w:t>
            </w:r>
            <w:r>
              <w:rPr>
                <w:rFonts w:hint="default" w:ascii="Times New Roman" w:hAnsi="Times New Roman" w:cs="Times New Roman"/>
                <w:i/>
                <w:color w:val="auto"/>
                <w:sz w:val="21"/>
                <w:szCs w:val="21"/>
                <w:highlight w:val="none"/>
              </w:rPr>
              <w:t>L</w:t>
            </w:r>
            <w:r>
              <w:rPr>
                <w:rFonts w:hint="default" w:ascii="Times New Roman" w:hAnsi="Times New Roman" w:cs="Times New Roman"/>
                <w:i/>
                <w:color w:val="auto"/>
                <w:sz w:val="21"/>
                <w:szCs w:val="21"/>
                <w:highlight w:val="none"/>
                <w:vertAlign w:val="subscript"/>
              </w:rPr>
              <w:t>Aj</w:t>
            </w:r>
            <w:r>
              <w:rPr>
                <w:rFonts w:hint="default" w:ascii="Times New Roman" w:hAnsi="Times New Roman" w:cs="Times New Roman"/>
                <w:color w:val="auto"/>
                <w:sz w:val="21"/>
                <w:szCs w:val="21"/>
                <w:highlight w:val="none"/>
              </w:rPr>
              <w:t>，在 T 时间内该声源②遮挡物引起的衰减工作时间为t</w:t>
            </w:r>
            <w:r>
              <w:rPr>
                <w:rFonts w:hint="default" w:ascii="Times New Roman" w:hAnsi="Times New Roman" w:cs="Times New Roman"/>
                <w:color w:val="auto"/>
                <w:sz w:val="21"/>
                <w:szCs w:val="21"/>
                <w:highlight w:val="none"/>
                <w:vertAlign w:val="subscript"/>
              </w:rPr>
              <w:t>j</w:t>
            </w:r>
            <w:r>
              <w:rPr>
                <w:rFonts w:hint="default" w:ascii="Times New Roman" w:hAnsi="Times New Roman" w:cs="Times New Roman"/>
                <w:color w:val="auto"/>
                <w:sz w:val="21"/>
                <w:szCs w:val="21"/>
                <w:highlight w:val="none"/>
              </w:rPr>
              <w:t>，则本项目声源对预测点产生的贡献值(</w:t>
            </w:r>
            <w:r>
              <w:rPr>
                <w:rFonts w:hint="default" w:ascii="Times New Roman" w:hAnsi="Times New Roman" w:cs="Times New Roman"/>
                <w:i/>
                <w:color w:val="auto"/>
                <w:sz w:val="21"/>
                <w:szCs w:val="21"/>
                <w:highlight w:val="none"/>
              </w:rPr>
              <w:t>L</w:t>
            </w:r>
            <w:r>
              <w:rPr>
                <w:rFonts w:hint="default" w:ascii="Times New Roman" w:hAnsi="Times New Roman" w:cs="Times New Roman"/>
                <w:i/>
                <w:color w:val="auto"/>
                <w:sz w:val="21"/>
                <w:szCs w:val="21"/>
                <w:highlight w:val="none"/>
                <w:vertAlign w:val="subscript"/>
              </w:rPr>
              <w:t>eqg</w:t>
            </w:r>
            <w:r>
              <w:rPr>
                <w:rFonts w:hint="default" w:ascii="Times New Roman" w:hAnsi="Times New Roman" w:cs="Times New Roman"/>
                <w:color w:val="auto"/>
                <w:sz w:val="21"/>
                <w:szCs w:val="21"/>
                <w:highlight w:val="none"/>
              </w:rPr>
              <w:t>)为：</w:t>
            </w:r>
          </w:p>
          <w:p w14:paraId="1A9754D7">
            <w:pPr>
              <w:pStyle w:val="2"/>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3665855" cy="584200"/>
                  <wp:effectExtent l="0" t="0" r="10795" b="6350"/>
                  <wp:docPr id="10"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5"/>
                          <pic:cNvPicPr>
                            <a:picLocks noChangeAspect="1"/>
                          </pic:cNvPicPr>
                        </pic:nvPicPr>
                        <pic:blipFill>
                          <a:blip r:embed="rId35"/>
                          <a:stretch>
                            <a:fillRect/>
                          </a:stretch>
                        </pic:blipFill>
                        <pic:spPr>
                          <a:xfrm>
                            <a:off x="0" y="0"/>
                            <a:ext cx="3665855" cy="584200"/>
                          </a:xfrm>
                          <a:prstGeom prst="rect">
                            <a:avLst/>
                          </a:prstGeom>
                          <a:noFill/>
                          <a:ln>
                            <a:noFill/>
                          </a:ln>
                        </pic:spPr>
                      </pic:pic>
                    </a:graphicData>
                  </a:graphic>
                </wp:inline>
              </w:drawing>
            </w:r>
          </w:p>
          <w:p w14:paraId="45226EC0">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②预测点的噪声预测值</w:t>
            </w:r>
          </w:p>
          <w:p w14:paraId="22A5B822">
            <w:pPr>
              <w:pStyle w:val="2"/>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2742565" cy="461645"/>
                  <wp:effectExtent l="0" t="0" r="635" b="1460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6"/>
                          <a:stretch>
                            <a:fillRect/>
                          </a:stretch>
                        </pic:blipFill>
                        <pic:spPr>
                          <a:xfrm>
                            <a:off x="0" y="0"/>
                            <a:ext cx="2742565" cy="461645"/>
                          </a:xfrm>
                          <a:prstGeom prst="rect">
                            <a:avLst/>
                          </a:prstGeom>
                          <a:noFill/>
                          <a:ln>
                            <a:noFill/>
                          </a:ln>
                        </pic:spPr>
                      </pic:pic>
                    </a:graphicData>
                  </a:graphic>
                </wp:inline>
              </w:drawing>
            </w:r>
          </w:p>
          <w:p w14:paraId="79D8E53C">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式中：</w:t>
            </w:r>
            <w:r>
              <w:rPr>
                <w:rFonts w:hint="default" w:ascii="Times New Roman" w:hAnsi="Times New Roman" w:cs="Times New Roman"/>
                <w:i/>
                <w:color w:val="auto"/>
                <w:sz w:val="21"/>
                <w:szCs w:val="21"/>
                <w:highlight w:val="none"/>
              </w:rPr>
              <w:t>L</w:t>
            </w:r>
            <w:r>
              <w:rPr>
                <w:rFonts w:hint="default" w:ascii="Times New Roman" w:hAnsi="Times New Roman" w:cs="Times New Roman"/>
                <w:i/>
                <w:color w:val="auto"/>
                <w:sz w:val="21"/>
                <w:szCs w:val="21"/>
                <w:highlight w:val="none"/>
                <w:vertAlign w:val="subscript"/>
              </w:rPr>
              <w:t>eqg</w:t>
            </w:r>
            <w:r>
              <w:rPr>
                <w:rFonts w:hint="default" w:ascii="Times New Roman" w:hAnsi="Times New Roman" w:cs="Times New Roman"/>
                <w:color w:val="auto"/>
                <w:sz w:val="21"/>
                <w:szCs w:val="21"/>
                <w:highlight w:val="none"/>
              </w:rPr>
              <w:t>──建设项目声源在预测点的等效声级贡献值，dB(A)；</w:t>
            </w:r>
          </w:p>
          <w:p w14:paraId="2C16ABC8">
            <w:pPr>
              <w:pStyle w:val="2"/>
              <w:ind w:firstLine="1050" w:firstLineChars="500"/>
              <w:rPr>
                <w:rFonts w:hint="default" w:ascii="Times New Roman" w:hAnsi="Times New Roman" w:cs="Times New Roman"/>
                <w:color w:val="auto"/>
                <w:sz w:val="21"/>
                <w:szCs w:val="21"/>
                <w:highlight w:val="none"/>
              </w:rPr>
            </w:pPr>
            <w:r>
              <w:rPr>
                <w:rFonts w:hint="default" w:ascii="Times New Roman" w:hAnsi="Times New Roman" w:cs="Times New Roman"/>
                <w:i/>
                <w:color w:val="auto"/>
                <w:sz w:val="21"/>
                <w:szCs w:val="21"/>
                <w:highlight w:val="none"/>
              </w:rPr>
              <w:t>L</w:t>
            </w:r>
            <w:r>
              <w:rPr>
                <w:rFonts w:hint="default" w:ascii="Times New Roman" w:hAnsi="Times New Roman" w:cs="Times New Roman"/>
                <w:i/>
                <w:color w:val="auto"/>
                <w:sz w:val="21"/>
                <w:szCs w:val="21"/>
                <w:highlight w:val="none"/>
                <w:vertAlign w:val="subscript"/>
              </w:rPr>
              <w:t>eqb</w:t>
            </w:r>
            <w:r>
              <w:rPr>
                <w:rFonts w:hint="default" w:ascii="Times New Roman" w:hAnsi="Times New Roman" w:cs="Times New Roman"/>
                <w:color w:val="auto"/>
                <w:sz w:val="21"/>
                <w:szCs w:val="21"/>
                <w:highlight w:val="none"/>
              </w:rPr>
              <w:t>──预测点的背景值，dB(A)。</w:t>
            </w:r>
          </w:p>
          <w:p w14:paraId="3ACF78C1">
            <w:pP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噪声预测点位</w:t>
            </w:r>
          </w:p>
          <w:p w14:paraId="5B12A819">
            <w:pPr>
              <w:pStyle w:val="135"/>
              <w:spacing w:beforeLines="0" w:afterLines="0" w:line="360" w:lineRule="auto"/>
              <w:jc w:val="both"/>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sz w:val="21"/>
                <w:szCs w:val="21"/>
                <w:highlight w:val="none"/>
              </w:rPr>
              <w:t>预测噪声源对四周厂界和敏感点的贡献值，并给出厂界和声环境保护目标噪声最大值的位置。</w:t>
            </w:r>
          </w:p>
          <w:p w14:paraId="2639E70C">
            <w:pPr>
              <w:pStyle w:val="135"/>
              <w:spacing w:beforeLines="0" w:afterLines="0" w:line="360" w:lineRule="auto"/>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本次预测拟建项目噪声源对厂界的噪声贡献值。</w:t>
            </w:r>
          </w:p>
          <w:p w14:paraId="38ED994E">
            <w:pPr>
              <w:pStyle w:val="21"/>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15</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bCs/>
                <w:color w:val="auto"/>
                <w:sz w:val="21"/>
                <w:szCs w:val="21"/>
                <w:highlight w:val="none"/>
              </w:rPr>
              <w:t>噪声源参数一览表(室</w:t>
            </w:r>
            <w:r>
              <w:rPr>
                <w:rFonts w:hint="default" w:ascii="Times New Roman" w:hAnsi="Times New Roman" w:cs="Times New Roman"/>
                <w:bCs/>
                <w:color w:val="auto"/>
                <w:sz w:val="21"/>
                <w:szCs w:val="21"/>
                <w:highlight w:val="none"/>
                <w:lang w:val="en-US" w:eastAsia="zh-CN"/>
              </w:rPr>
              <w:t>内</w:t>
            </w:r>
            <w:r>
              <w:rPr>
                <w:rFonts w:hint="default" w:ascii="Times New Roman" w:hAnsi="Times New Roman" w:cs="Times New Roman"/>
                <w:bCs/>
                <w:color w:val="auto"/>
                <w:sz w:val="21"/>
                <w:szCs w:val="21"/>
                <w:highlight w:val="none"/>
              </w:rPr>
              <w:t>声源)</w:t>
            </w:r>
          </w:p>
          <w:tbl>
            <w:tblPr>
              <w:tblStyle w:val="84"/>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4"/>
              <w:gridCol w:w="643"/>
              <w:gridCol w:w="438"/>
              <w:gridCol w:w="607"/>
              <w:gridCol w:w="804"/>
              <w:gridCol w:w="1778"/>
              <w:gridCol w:w="654"/>
              <w:gridCol w:w="638"/>
              <w:gridCol w:w="496"/>
              <w:gridCol w:w="709"/>
              <w:gridCol w:w="590"/>
              <w:gridCol w:w="557"/>
            </w:tblGrid>
            <w:tr w14:paraId="7FF7E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208" w:type="pct"/>
                  <w:vMerge w:val="restart"/>
                  <w:vAlign w:val="center"/>
                </w:tcPr>
                <w:p w14:paraId="53CF0AD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序号</w:t>
                  </w:r>
                </w:p>
              </w:tc>
              <w:tc>
                <w:tcPr>
                  <w:tcW w:w="389" w:type="pct"/>
                  <w:vMerge w:val="restart"/>
                  <w:vAlign w:val="center"/>
                </w:tcPr>
                <w:p w14:paraId="78D97D9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声源名称</w:t>
                  </w:r>
                </w:p>
              </w:tc>
              <w:tc>
                <w:tcPr>
                  <w:tcW w:w="265" w:type="pct"/>
                  <w:vMerge w:val="restart"/>
                  <w:vAlign w:val="center"/>
                </w:tcPr>
                <w:p w14:paraId="73A238D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数量(台)</w:t>
                  </w:r>
                </w:p>
              </w:tc>
              <w:tc>
                <w:tcPr>
                  <w:tcW w:w="367" w:type="pct"/>
                  <w:vMerge w:val="restart"/>
                  <w:vAlign w:val="center"/>
                </w:tcPr>
                <w:p w14:paraId="22FCBBE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声源源强(dB(A)</w:t>
                  </w:r>
                </w:p>
              </w:tc>
              <w:tc>
                <w:tcPr>
                  <w:tcW w:w="486" w:type="pct"/>
                  <w:vMerge w:val="restart"/>
                  <w:vAlign w:val="center"/>
                </w:tcPr>
                <w:p w14:paraId="7828286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cs="Times New Roman" w:eastAsiaTheme="minorEastAsia"/>
                      <w:color w:val="auto"/>
                      <w:kern w:val="0"/>
                      <w:sz w:val="21"/>
                      <w:szCs w:val="21"/>
                      <w:highlight w:val="none"/>
                    </w:rPr>
                    <w:t>声源控制</w:t>
                  </w:r>
                  <w:r>
                    <w:rPr>
                      <w:rFonts w:hint="default" w:ascii="Times New Roman" w:hAnsi="Times New Roman" w:cs="Times New Roman" w:eastAsiaTheme="minorEastAsia"/>
                      <w:color w:val="auto"/>
                      <w:kern w:val="0"/>
                      <w:sz w:val="21"/>
                      <w:szCs w:val="21"/>
                      <w:highlight w:val="none"/>
                      <w:lang w:val="en-US" w:eastAsia="zh-CN"/>
                    </w:rPr>
                    <w:t>措施</w:t>
                  </w:r>
                </w:p>
              </w:tc>
              <w:tc>
                <w:tcPr>
                  <w:tcW w:w="1076" w:type="pct"/>
                  <w:vAlign w:val="center"/>
                </w:tcPr>
                <w:p w14:paraId="2A78D4A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空间相对位置(m)</w:t>
                  </w:r>
                </w:p>
              </w:tc>
              <w:tc>
                <w:tcPr>
                  <w:tcW w:w="395" w:type="pct"/>
                  <w:vMerge w:val="restart"/>
                  <w:vAlign w:val="center"/>
                </w:tcPr>
                <w:p w14:paraId="1041CB23">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sz w:val="21"/>
                      <w:szCs w:val="21"/>
                      <w:highlight w:val="none"/>
                    </w:rPr>
                    <w:t>距室内边界距离/m</w:t>
                  </w:r>
                </w:p>
              </w:tc>
              <w:tc>
                <w:tcPr>
                  <w:tcW w:w="386" w:type="pct"/>
                  <w:vMerge w:val="restart"/>
                  <w:vAlign w:val="center"/>
                </w:tcPr>
                <w:p w14:paraId="51E38CA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sz w:val="21"/>
                      <w:szCs w:val="21"/>
                      <w:highlight w:val="none"/>
                    </w:rPr>
                    <w:t>室内边界声级/dB(A)</w:t>
                  </w:r>
                </w:p>
              </w:tc>
              <w:tc>
                <w:tcPr>
                  <w:tcW w:w="300" w:type="pct"/>
                  <w:vMerge w:val="restart"/>
                  <w:vAlign w:val="center"/>
                </w:tcPr>
                <w:p w14:paraId="7907EE3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sz w:val="21"/>
                      <w:szCs w:val="21"/>
                      <w:highlight w:val="none"/>
                    </w:rPr>
                    <w:t>运行时段</w:t>
                  </w:r>
                </w:p>
              </w:tc>
              <w:tc>
                <w:tcPr>
                  <w:tcW w:w="429" w:type="pct"/>
                  <w:vMerge w:val="restart"/>
                  <w:vAlign w:val="center"/>
                </w:tcPr>
                <w:p w14:paraId="00F5599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sz w:val="21"/>
                      <w:szCs w:val="21"/>
                      <w:highlight w:val="none"/>
                    </w:rPr>
                    <w:t>建筑物插入损失/dB(A)</w:t>
                  </w:r>
                </w:p>
              </w:tc>
              <w:tc>
                <w:tcPr>
                  <w:tcW w:w="694" w:type="pct"/>
                  <w:gridSpan w:val="2"/>
                  <w:vAlign w:val="center"/>
                </w:tcPr>
                <w:p w14:paraId="1DA54B10">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sz w:val="21"/>
                      <w:szCs w:val="21"/>
                      <w:highlight w:val="none"/>
                    </w:rPr>
                    <w:t>建筑物外噪声</w:t>
                  </w:r>
                </w:p>
              </w:tc>
            </w:tr>
            <w:tr w14:paraId="423FE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08" w:type="pct"/>
                  <w:vMerge w:val="continue"/>
                  <w:vAlign w:val="center"/>
                </w:tcPr>
                <w:p w14:paraId="714CD7F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389" w:type="pct"/>
                  <w:vMerge w:val="continue"/>
                  <w:vAlign w:val="center"/>
                </w:tcPr>
                <w:p w14:paraId="5208E5B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265" w:type="pct"/>
                  <w:vMerge w:val="continue"/>
                  <w:vAlign w:val="center"/>
                </w:tcPr>
                <w:p w14:paraId="60D97A9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367" w:type="pct"/>
                  <w:vMerge w:val="continue"/>
                  <w:vAlign w:val="center"/>
                </w:tcPr>
                <w:p w14:paraId="314976E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486" w:type="pct"/>
                  <w:vMerge w:val="continue"/>
                  <w:vAlign w:val="center"/>
                </w:tcPr>
                <w:p w14:paraId="31BFC91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1076" w:type="pct"/>
                  <w:vAlign w:val="center"/>
                </w:tcPr>
                <w:p w14:paraId="2EAD278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X，Y，Z</w:t>
                  </w:r>
                </w:p>
              </w:tc>
              <w:tc>
                <w:tcPr>
                  <w:tcW w:w="395" w:type="pct"/>
                  <w:vMerge w:val="continue"/>
                  <w:vAlign w:val="center"/>
                </w:tcPr>
                <w:p w14:paraId="48EC0B0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386" w:type="pct"/>
                  <w:vMerge w:val="continue"/>
                  <w:vAlign w:val="center"/>
                </w:tcPr>
                <w:p w14:paraId="4BC5ED2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300" w:type="pct"/>
                  <w:vMerge w:val="continue"/>
                  <w:vAlign w:val="center"/>
                </w:tcPr>
                <w:p w14:paraId="26F1B4F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429" w:type="pct"/>
                  <w:vMerge w:val="continue"/>
                  <w:vAlign w:val="center"/>
                </w:tcPr>
                <w:p w14:paraId="01028DB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357" w:type="pct"/>
                  <w:vAlign w:val="center"/>
                </w:tcPr>
                <w:p w14:paraId="33711E62">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sz w:val="21"/>
                      <w:szCs w:val="21"/>
                      <w:highlight w:val="none"/>
                    </w:rPr>
                    <w:t>声压级/dB(A)</w:t>
                  </w:r>
                </w:p>
              </w:tc>
              <w:tc>
                <w:tcPr>
                  <w:tcW w:w="337" w:type="pct"/>
                  <w:vAlign w:val="center"/>
                </w:tcPr>
                <w:p w14:paraId="5AB2B2C4">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sz w:val="21"/>
                      <w:szCs w:val="21"/>
                      <w:highlight w:val="none"/>
                    </w:rPr>
                    <w:t>建筑物外距离(</w:t>
                  </w:r>
                  <w:r>
                    <w:rPr>
                      <w:rFonts w:hint="default" w:ascii="Times New Roman" w:hAnsi="Times New Roman" w:cs="Times New Roman" w:eastAsiaTheme="minorEastAsia"/>
                      <w:color w:val="auto"/>
                      <w:sz w:val="21"/>
                      <w:szCs w:val="21"/>
                      <w:highlight w:val="none"/>
                      <w:lang w:val="en-US" w:eastAsia="zh-CN"/>
                    </w:rPr>
                    <w:t>m</w:t>
                  </w:r>
                  <w:r>
                    <w:rPr>
                      <w:rFonts w:hint="default" w:ascii="Times New Roman" w:hAnsi="Times New Roman" w:cs="Times New Roman" w:eastAsiaTheme="minorEastAsia"/>
                      <w:color w:val="auto"/>
                      <w:sz w:val="21"/>
                      <w:szCs w:val="21"/>
                      <w:highlight w:val="none"/>
                    </w:rPr>
                    <w:t>)</w:t>
                  </w:r>
                </w:p>
              </w:tc>
            </w:tr>
            <w:tr w14:paraId="5134A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208" w:type="pct"/>
                  <w:vMerge w:val="restart"/>
                  <w:noWrap/>
                  <w:vAlign w:val="center"/>
                </w:tcPr>
                <w:p w14:paraId="0CDED44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1</w:t>
                  </w:r>
                </w:p>
              </w:tc>
              <w:tc>
                <w:tcPr>
                  <w:tcW w:w="389" w:type="pct"/>
                  <w:vMerge w:val="restart"/>
                  <w:noWrap/>
                  <w:vAlign w:val="center"/>
                </w:tcPr>
                <w:p w14:paraId="43C32473">
                  <w:pPr>
                    <w:spacing w:line="360" w:lineRule="exact"/>
                    <w:ind w:firstLine="0" w:firstLineChars="0"/>
                    <w:jc w:val="center"/>
                    <w:rPr>
                      <w:rFonts w:hint="default" w:ascii="Times New Roman" w:hAnsi="Times New Roman" w:cs="Times New Roman" w:eastAsiaTheme="minorEastAsia"/>
                      <w:bCs/>
                      <w:color w:val="auto"/>
                      <w:sz w:val="21"/>
                      <w:szCs w:val="21"/>
                      <w:highlight w:val="none"/>
                    </w:rPr>
                  </w:pPr>
                  <w:r>
                    <w:rPr>
                      <w:rFonts w:hint="eastAsia"/>
                      <w:bCs/>
                      <w:color w:val="auto"/>
                      <w:sz w:val="21"/>
                      <w:szCs w:val="21"/>
                      <w:highlight w:val="none"/>
                    </w:rPr>
                    <w:t>装载机</w:t>
                  </w:r>
                </w:p>
              </w:tc>
              <w:tc>
                <w:tcPr>
                  <w:tcW w:w="265" w:type="pct"/>
                  <w:vMerge w:val="restart"/>
                  <w:noWrap/>
                  <w:vAlign w:val="center"/>
                </w:tcPr>
                <w:p w14:paraId="3ACC9D0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rPr>
                  </w:pPr>
                  <w:r>
                    <w:rPr>
                      <w:rFonts w:hint="eastAsia" w:cs="Times New Roman" w:eastAsiaTheme="minorEastAsia"/>
                      <w:bCs/>
                      <w:color w:val="auto"/>
                      <w:sz w:val="21"/>
                      <w:szCs w:val="21"/>
                      <w:highlight w:val="none"/>
                      <w:lang w:val="en-US" w:eastAsia="zh-CN"/>
                    </w:rPr>
                    <w:t>2</w:t>
                  </w:r>
                </w:p>
              </w:tc>
              <w:tc>
                <w:tcPr>
                  <w:tcW w:w="367" w:type="pct"/>
                  <w:vMerge w:val="restart"/>
                  <w:noWrap/>
                  <w:vAlign w:val="center"/>
                </w:tcPr>
                <w:p w14:paraId="4F62FED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lang w:val="en-US"/>
                    </w:rPr>
                  </w:pPr>
                  <w:r>
                    <w:rPr>
                      <w:rFonts w:hint="default" w:ascii="Times New Roman" w:hAnsi="Times New Roman" w:cs="Times New Roman" w:eastAsiaTheme="minorEastAsia"/>
                      <w:bCs/>
                      <w:color w:val="auto"/>
                      <w:sz w:val="21"/>
                      <w:szCs w:val="21"/>
                      <w:highlight w:val="none"/>
                      <w:lang w:val="en-US" w:eastAsia="zh-CN"/>
                    </w:rPr>
                    <w:t>85</w:t>
                  </w:r>
                </w:p>
              </w:tc>
              <w:tc>
                <w:tcPr>
                  <w:tcW w:w="486" w:type="pct"/>
                  <w:vMerge w:val="restart"/>
                  <w:noWrap/>
                  <w:vAlign w:val="center"/>
                </w:tcPr>
                <w:p w14:paraId="200C4E47">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sz w:val="21"/>
                      <w:szCs w:val="21"/>
                      <w:highlight w:val="none"/>
                      <w:lang w:val="en-US" w:eastAsia="zh-CN"/>
                    </w:rPr>
                    <w:t>封闭车间+</w:t>
                  </w:r>
                  <w:r>
                    <w:rPr>
                      <w:rFonts w:hint="default" w:ascii="Times New Roman" w:hAnsi="Times New Roman" w:cs="Times New Roman" w:eastAsiaTheme="minorEastAsia"/>
                      <w:color w:val="auto"/>
                      <w:sz w:val="21"/>
                      <w:szCs w:val="21"/>
                      <w:highlight w:val="none"/>
                    </w:rPr>
                    <w:t>低噪声设备</w:t>
                  </w:r>
                  <w:r>
                    <w:rPr>
                      <w:rFonts w:hint="default" w:ascii="Times New Roman" w:hAnsi="Times New Roman" w:cs="Times New Roman" w:eastAsiaTheme="minorEastAsia"/>
                      <w:color w:val="auto"/>
                      <w:sz w:val="21"/>
                      <w:szCs w:val="21"/>
                      <w:highlight w:val="none"/>
                      <w:lang w:val="en-US" w:eastAsia="zh-CN"/>
                    </w:rPr>
                    <w:t>+基础</w:t>
                  </w:r>
                  <w:r>
                    <w:rPr>
                      <w:rFonts w:hint="eastAsia" w:cs="Times New Roman" w:eastAsiaTheme="minorEastAsia"/>
                      <w:color w:val="auto"/>
                      <w:sz w:val="21"/>
                      <w:szCs w:val="21"/>
                      <w:highlight w:val="none"/>
                      <w:lang w:val="en-US" w:eastAsia="zh-CN"/>
                    </w:rPr>
                    <w:t>减振</w:t>
                  </w:r>
                </w:p>
              </w:tc>
              <w:tc>
                <w:tcPr>
                  <w:tcW w:w="1076" w:type="pct"/>
                  <w:noWrap/>
                  <w:vAlign w:val="center"/>
                </w:tcPr>
                <w:p w14:paraId="22FA025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olor w:val="auto"/>
                      <w:highlight w:val="none"/>
                      <w:lang w:val="en-US" w:eastAsia="zh-CN"/>
                    </w:rPr>
                    <w:t>(</w:t>
                  </w:r>
                  <w:r>
                    <w:rPr>
                      <w:rFonts w:hint="eastAsia"/>
                      <w:color w:val="auto"/>
                      <w:highlight w:val="none"/>
                    </w:rPr>
                    <w:t>5.77,33.58,1</w:t>
                  </w:r>
                  <w:r>
                    <w:rPr>
                      <w:rFonts w:hint="eastAsia"/>
                      <w:color w:val="auto"/>
                      <w:highlight w:val="none"/>
                      <w:lang w:val="en-US" w:eastAsia="zh-CN"/>
                    </w:rPr>
                    <w:t>)</w:t>
                  </w:r>
                </w:p>
              </w:tc>
              <w:tc>
                <w:tcPr>
                  <w:tcW w:w="395" w:type="pct"/>
                  <w:noWrap/>
                  <w:vAlign w:val="center"/>
                </w:tcPr>
                <w:p w14:paraId="2AD83F5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c>
                <w:tcPr>
                  <w:tcW w:w="386" w:type="pct"/>
                  <w:vMerge w:val="restart"/>
                  <w:noWrap/>
                  <w:vAlign w:val="center"/>
                </w:tcPr>
                <w:p w14:paraId="41A0197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85</w:t>
                  </w:r>
                </w:p>
              </w:tc>
              <w:tc>
                <w:tcPr>
                  <w:tcW w:w="300" w:type="pct"/>
                  <w:vMerge w:val="restart"/>
                  <w:noWrap/>
                  <w:vAlign w:val="center"/>
                </w:tcPr>
                <w:p w14:paraId="7BCE9943">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rPr>
                    <w:t>昼/夜</w:t>
                  </w:r>
                </w:p>
              </w:tc>
              <w:tc>
                <w:tcPr>
                  <w:tcW w:w="429" w:type="pct"/>
                  <w:vMerge w:val="restart"/>
                  <w:noWrap/>
                  <w:vAlign w:val="center"/>
                </w:tcPr>
                <w:p w14:paraId="02A7C49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15</w:t>
                  </w:r>
                </w:p>
              </w:tc>
              <w:tc>
                <w:tcPr>
                  <w:tcW w:w="357" w:type="pct"/>
                  <w:vMerge w:val="restart"/>
                  <w:noWrap/>
                  <w:vAlign w:val="center"/>
                </w:tcPr>
                <w:p w14:paraId="3E03A5B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70</w:t>
                  </w:r>
                </w:p>
              </w:tc>
              <w:tc>
                <w:tcPr>
                  <w:tcW w:w="337" w:type="pct"/>
                  <w:vMerge w:val="restart"/>
                  <w:noWrap/>
                  <w:vAlign w:val="center"/>
                </w:tcPr>
                <w:p w14:paraId="1371862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r>
            <w:tr w14:paraId="20CAE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trPr>
              <w:tc>
                <w:tcPr>
                  <w:tcW w:w="208" w:type="pct"/>
                  <w:vMerge w:val="continue"/>
                  <w:noWrap/>
                  <w:vAlign w:val="center"/>
                </w:tcPr>
                <w:p w14:paraId="5B7F131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389" w:type="pct"/>
                  <w:vMerge w:val="continue"/>
                  <w:noWrap/>
                  <w:vAlign w:val="center"/>
                </w:tcPr>
                <w:p w14:paraId="628B8847">
                  <w:pPr>
                    <w:spacing w:line="360" w:lineRule="exact"/>
                    <w:ind w:firstLine="0" w:firstLineChars="0"/>
                    <w:jc w:val="center"/>
                    <w:rPr>
                      <w:rFonts w:hint="eastAsia"/>
                      <w:bCs/>
                      <w:color w:val="auto"/>
                      <w:sz w:val="21"/>
                      <w:szCs w:val="21"/>
                      <w:highlight w:val="none"/>
                    </w:rPr>
                  </w:pPr>
                </w:p>
              </w:tc>
              <w:tc>
                <w:tcPr>
                  <w:tcW w:w="265" w:type="pct"/>
                  <w:vMerge w:val="continue"/>
                  <w:noWrap/>
                  <w:vAlign w:val="center"/>
                </w:tcPr>
                <w:p w14:paraId="3041423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eastAsia" w:cs="Times New Roman" w:eastAsiaTheme="minorEastAsia"/>
                      <w:bCs/>
                      <w:color w:val="auto"/>
                      <w:sz w:val="21"/>
                      <w:szCs w:val="21"/>
                      <w:highlight w:val="none"/>
                      <w:lang w:val="en-US" w:eastAsia="zh-CN"/>
                    </w:rPr>
                  </w:pPr>
                </w:p>
              </w:tc>
              <w:tc>
                <w:tcPr>
                  <w:tcW w:w="367" w:type="pct"/>
                  <w:vMerge w:val="continue"/>
                  <w:noWrap/>
                  <w:vAlign w:val="center"/>
                </w:tcPr>
                <w:p w14:paraId="2317115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486" w:type="pct"/>
                  <w:vMerge w:val="continue"/>
                  <w:noWrap/>
                  <w:vAlign w:val="center"/>
                </w:tcPr>
                <w:p w14:paraId="74951983">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sz w:val="21"/>
                      <w:szCs w:val="21"/>
                      <w:highlight w:val="none"/>
                      <w:lang w:val="en-US" w:eastAsia="zh-CN"/>
                    </w:rPr>
                  </w:pPr>
                </w:p>
              </w:tc>
              <w:tc>
                <w:tcPr>
                  <w:tcW w:w="1076" w:type="pct"/>
                  <w:noWrap/>
                  <w:vAlign w:val="center"/>
                </w:tcPr>
                <w:p w14:paraId="0F21F97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olor w:val="auto"/>
                      <w:highlight w:val="none"/>
                      <w:lang w:val="en-US" w:eastAsia="zh-CN"/>
                    </w:rPr>
                    <w:t>(</w:t>
                  </w:r>
                  <w:r>
                    <w:rPr>
                      <w:rFonts w:hint="eastAsia"/>
                      <w:color w:val="auto"/>
                      <w:highlight w:val="none"/>
                    </w:rPr>
                    <w:t>67.96,51.35,1</w:t>
                  </w:r>
                  <w:r>
                    <w:rPr>
                      <w:rFonts w:hint="eastAsia"/>
                      <w:color w:val="auto"/>
                      <w:highlight w:val="none"/>
                      <w:lang w:val="en-US" w:eastAsia="zh-CN"/>
                    </w:rPr>
                    <w:t>)</w:t>
                  </w:r>
                </w:p>
              </w:tc>
              <w:tc>
                <w:tcPr>
                  <w:tcW w:w="395" w:type="pct"/>
                  <w:noWrap/>
                  <w:vAlign w:val="center"/>
                </w:tcPr>
                <w:p w14:paraId="7F014FF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386" w:type="pct"/>
                  <w:vMerge w:val="continue"/>
                  <w:noWrap/>
                  <w:vAlign w:val="center"/>
                </w:tcPr>
                <w:p w14:paraId="4388FE3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300" w:type="pct"/>
                  <w:vMerge w:val="continue"/>
                  <w:noWrap/>
                  <w:vAlign w:val="center"/>
                </w:tcPr>
                <w:p w14:paraId="54A6B230">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sz w:val="21"/>
                      <w:szCs w:val="21"/>
                      <w:highlight w:val="none"/>
                    </w:rPr>
                  </w:pPr>
                </w:p>
              </w:tc>
              <w:tc>
                <w:tcPr>
                  <w:tcW w:w="429" w:type="pct"/>
                  <w:vMerge w:val="continue"/>
                  <w:noWrap/>
                  <w:vAlign w:val="center"/>
                </w:tcPr>
                <w:p w14:paraId="4C2FDEF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p>
              </w:tc>
              <w:tc>
                <w:tcPr>
                  <w:tcW w:w="357" w:type="pct"/>
                  <w:vMerge w:val="continue"/>
                  <w:noWrap/>
                  <w:vAlign w:val="center"/>
                </w:tcPr>
                <w:p w14:paraId="0D03223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lang w:val="en-US" w:eastAsia="zh-CN"/>
                    </w:rPr>
                  </w:pPr>
                </w:p>
              </w:tc>
              <w:tc>
                <w:tcPr>
                  <w:tcW w:w="337" w:type="pct"/>
                  <w:vMerge w:val="continue"/>
                  <w:noWrap/>
                  <w:vAlign w:val="center"/>
                </w:tcPr>
                <w:p w14:paraId="6A5C35F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p>
              </w:tc>
            </w:tr>
            <w:tr w14:paraId="7FC74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208" w:type="pct"/>
                  <w:vMerge w:val="restart"/>
                  <w:noWrap/>
                  <w:vAlign w:val="center"/>
                </w:tcPr>
                <w:p w14:paraId="4242A5D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cs="Times New Roman" w:eastAsiaTheme="minorEastAsia"/>
                      <w:color w:val="auto"/>
                      <w:kern w:val="0"/>
                      <w:sz w:val="21"/>
                      <w:szCs w:val="21"/>
                      <w:highlight w:val="none"/>
                      <w:lang w:val="en-US" w:eastAsia="zh-CN"/>
                    </w:rPr>
                    <w:t>2</w:t>
                  </w:r>
                </w:p>
              </w:tc>
              <w:tc>
                <w:tcPr>
                  <w:tcW w:w="389" w:type="pct"/>
                  <w:vMerge w:val="restart"/>
                  <w:noWrap/>
                  <w:vAlign w:val="center"/>
                </w:tcPr>
                <w:p w14:paraId="4053AC32">
                  <w:pPr>
                    <w:snapToGrid w:val="0"/>
                    <w:spacing w:line="360" w:lineRule="exact"/>
                    <w:ind w:firstLine="0" w:firstLineChars="0"/>
                    <w:jc w:val="center"/>
                    <w:rPr>
                      <w:rFonts w:hint="default" w:ascii="Times New Roman" w:hAnsi="Times New Roman" w:cs="Times New Roman" w:eastAsiaTheme="minorEastAsia"/>
                      <w:bCs/>
                      <w:color w:val="auto"/>
                      <w:sz w:val="21"/>
                      <w:szCs w:val="21"/>
                      <w:highlight w:val="none"/>
                    </w:rPr>
                  </w:pPr>
                  <w:r>
                    <w:rPr>
                      <w:rFonts w:hint="eastAsia" w:cs="Times New Roman"/>
                      <w:bCs/>
                      <w:color w:val="auto"/>
                      <w:sz w:val="21"/>
                      <w:szCs w:val="21"/>
                      <w:highlight w:val="none"/>
                      <w:lang w:val="en-US" w:eastAsia="zh-CN"/>
                    </w:rPr>
                    <w:t>棒筛</w:t>
                  </w:r>
                </w:p>
              </w:tc>
              <w:tc>
                <w:tcPr>
                  <w:tcW w:w="265" w:type="pct"/>
                  <w:vMerge w:val="restart"/>
                  <w:noWrap/>
                  <w:vAlign w:val="center"/>
                </w:tcPr>
                <w:p w14:paraId="7EA75783">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rPr>
                  </w:pPr>
                  <w:r>
                    <w:rPr>
                      <w:rFonts w:hint="eastAsia" w:cs="Times New Roman" w:eastAsiaTheme="minorEastAsia"/>
                      <w:bCs/>
                      <w:color w:val="auto"/>
                      <w:sz w:val="21"/>
                      <w:szCs w:val="21"/>
                      <w:highlight w:val="none"/>
                      <w:lang w:val="en-US" w:eastAsia="zh-CN"/>
                    </w:rPr>
                    <w:t>2</w:t>
                  </w:r>
                </w:p>
              </w:tc>
              <w:tc>
                <w:tcPr>
                  <w:tcW w:w="367" w:type="pct"/>
                  <w:vMerge w:val="restart"/>
                  <w:noWrap/>
                  <w:vAlign w:val="center"/>
                </w:tcPr>
                <w:p w14:paraId="142BBC5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snapToGrid w:val="0"/>
                      <w:color w:val="auto"/>
                      <w:kern w:val="0"/>
                      <w:sz w:val="21"/>
                      <w:szCs w:val="21"/>
                      <w:highlight w:val="none"/>
                      <w:lang w:val="en-US" w:eastAsia="zh-CN"/>
                    </w:rPr>
                  </w:pPr>
                  <w:r>
                    <w:rPr>
                      <w:rFonts w:hint="eastAsia" w:cs="Times New Roman" w:eastAsiaTheme="minorEastAsia"/>
                      <w:snapToGrid w:val="0"/>
                      <w:color w:val="auto"/>
                      <w:kern w:val="0"/>
                      <w:sz w:val="21"/>
                      <w:szCs w:val="21"/>
                      <w:highlight w:val="none"/>
                      <w:lang w:val="en-US" w:eastAsia="zh-CN"/>
                    </w:rPr>
                    <w:t>80</w:t>
                  </w:r>
                </w:p>
              </w:tc>
              <w:tc>
                <w:tcPr>
                  <w:tcW w:w="486" w:type="pct"/>
                  <w:vMerge w:val="continue"/>
                  <w:noWrap/>
                  <w:vAlign w:val="center"/>
                </w:tcPr>
                <w:p w14:paraId="7381BAC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1076" w:type="pct"/>
                  <w:noWrap/>
                  <w:vAlign w:val="center"/>
                </w:tcPr>
                <w:p w14:paraId="0FFAF42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olor w:val="auto"/>
                      <w:highlight w:val="none"/>
                      <w:lang w:val="en-US" w:eastAsia="zh-CN"/>
                    </w:rPr>
                    <w:t>(</w:t>
                  </w:r>
                  <w:r>
                    <w:rPr>
                      <w:rFonts w:hint="eastAsia"/>
                      <w:color w:val="auto"/>
                      <w:highlight w:val="none"/>
                    </w:rPr>
                    <w:t>12.12,13.28,1</w:t>
                  </w:r>
                  <w:r>
                    <w:rPr>
                      <w:rFonts w:hint="eastAsia"/>
                      <w:color w:val="auto"/>
                      <w:highlight w:val="none"/>
                      <w:lang w:val="en-US" w:eastAsia="zh-CN"/>
                    </w:rPr>
                    <w:t>)</w:t>
                  </w:r>
                </w:p>
              </w:tc>
              <w:tc>
                <w:tcPr>
                  <w:tcW w:w="395" w:type="pct"/>
                  <w:noWrap/>
                  <w:vAlign w:val="center"/>
                </w:tcPr>
                <w:p w14:paraId="043A1C5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c>
                <w:tcPr>
                  <w:tcW w:w="386" w:type="pct"/>
                  <w:vMerge w:val="restart"/>
                  <w:noWrap/>
                  <w:vAlign w:val="center"/>
                </w:tcPr>
                <w:p w14:paraId="62B71A4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bCs/>
                      <w:color w:val="auto"/>
                      <w:sz w:val="21"/>
                      <w:szCs w:val="21"/>
                      <w:highlight w:val="none"/>
                      <w:lang w:val="en-US" w:eastAsia="zh-CN"/>
                    </w:rPr>
                    <w:t>80</w:t>
                  </w:r>
                </w:p>
              </w:tc>
              <w:tc>
                <w:tcPr>
                  <w:tcW w:w="300" w:type="pct"/>
                  <w:vMerge w:val="restart"/>
                  <w:noWrap/>
                  <w:vAlign w:val="center"/>
                </w:tcPr>
                <w:p w14:paraId="6C35F78F">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rPr>
                    <w:t>昼/夜</w:t>
                  </w:r>
                </w:p>
              </w:tc>
              <w:tc>
                <w:tcPr>
                  <w:tcW w:w="429" w:type="pct"/>
                  <w:vMerge w:val="restart"/>
                  <w:noWrap/>
                  <w:vAlign w:val="center"/>
                </w:tcPr>
                <w:p w14:paraId="519E378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15</w:t>
                  </w:r>
                </w:p>
              </w:tc>
              <w:tc>
                <w:tcPr>
                  <w:tcW w:w="357" w:type="pct"/>
                  <w:vMerge w:val="restart"/>
                  <w:noWrap/>
                  <w:vAlign w:val="center"/>
                </w:tcPr>
                <w:p w14:paraId="40DC845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65</w:t>
                  </w:r>
                </w:p>
              </w:tc>
              <w:tc>
                <w:tcPr>
                  <w:tcW w:w="337" w:type="pct"/>
                  <w:vMerge w:val="restart"/>
                  <w:noWrap/>
                  <w:vAlign w:val="center"/>
                </w:tcPr>
                <w:p w14:paraId="5470117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r>
            <w:tr w14:paraId="4F94F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08" w:type="pct"/>
                  <w:vMerge w:val="continue"/>
                  <w:noWrap/>
                  <w:vAlign w:val="center"/>
                </w:tcPr>
                <w:p w14:paraId="19312C9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lang w:val="en-US" w:eastAsia="zh-CN"/>
                    </w:rPr>
                  </w:pPr>
                </w:p>
              </w:tc>
              <w:tc>
                <w:tcPr>
                  <w:tcW w:w="389" w:type="pct"/>
                  <w:vMerge w:val="continue"/>
                  <w:noWrap/>
                  <w:vAlign w:val="center"/>
                </w:tcPr>
                <w:p w14:paraId="390311E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265" w:type="pct"/>
                  <w:vMerge w:val="continue"/>
                  <w:noWrap/>
                  <w:vAlign w:val="center"/>
                </w:tcPr>
                <w:p w14:paraId="2EA2A4D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367" w:type="pct"/>
                  <w:vMerge w:val="continue"/>
                  <w:noWrap/>
                  <w:vAlign w:val="center"/>
                </w:tcPr>
                <w:p w14:paraId="702776A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486" w:type="pct"/>
                  <w:vMerge w:val="continue"/>
                  <w:noWrap/>
                  <w:vAlign w:val="center"/>
                </w:tcPr>
                <w:p w14:paraId="22FD7D4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1076" w:type="pct"/>
                  <w:noWrap/>
                  <w:vAlign w:val="center"/>
                </w:tcPr>
                <w:p w14:paraId="138E95B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olor w:val="auto"/>
                      <w:highlight w:val="none"/>
                      <w:lang w:val="en-US" w:eastAsia="zh-CN"/>
                    </w:rPr>
                    <w:t>(</w:t>
                  </w:r>
                  <w:r>
                    <w:rPr>
                      <w:rFonts w:hint="eastAsia"/>
                      <w:color w:val="auto"/>
                      <w:highlight w:val="none"/>
                    </w:rPr>
                    <w:t>45.12,41.2,1</w:t>
                  </w:r>
                  <w:r>
                    <w:rPr>
                      <w:rFonts w:hint="eastAsia"/>
                      <w:color w:val="auto"/>
                      <w:highlight w:val="none"/>
                      <w:lang w:val="en-US" w:eastAsia="zh-CN"/>
                    </w:rPr>
                    <w:t>)</w:t>
                  </w:r>
                </w:p>
              </w:tc>
              <w:tc>
                <w:tcPr>
                  <w:tcW w:w="395" w:type="pct"/>
                  <w:noWrap/>
                  <w:vAlign w:val="center"/>
                </w:tcPr>
                <w:p w14:paraId="5D0FD7B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c>
                <w:tcPr>
                  <w:tcW w:w="386" w:type="pct"/>
                  <w:vMerge w:val="continue"/>
                  <w:noWrap/>
                  <w:vAlign w:val="center"/>
                </w:tcPr>
                <w:p w14:paraId="58019A0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300" w:type="pct"/>
                  <w:vMerge w:val="continue"/>
                  <w:noWrap/>
                  <w:vAlign w:val="center"/>
                </w:tcPr>
                <w:p w14:paraId="3566A5F0">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sz w:val="21"/>
                      <w:szCs w:val="21"/>
                      <w:highlight w:val="none"/>
                    </w:rPr>
                  </w:pPr>
                </w:p>
              </w:tc>
              <w:tc>
                <w:tcPr>
                  <w:tcW w:w="429" w:type="pct"/>
                  <w:vMerge w:val="continue"/>
                  <w:noWrap/>
                  <w:vAlign w:val="center"/>
                </w:tcPr>
                <w:p w14:paraId="69C34BE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p>
              </w:tc>
              <w:tc>
                <w:tcPr>
                  <w:tcW w:w="357" w:type="pct"/>
                  <w:vMerge w:val="continue"/>
                  <w:noWrap/>
                  <w:vAlign w:val="center"/>
                </w:tcPr>
                <w:p w14:paraId="72EAEE97">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lang w:val="en-US" w:eastAsia="zh-CN"/>
                    </w:rPr>
                  </w:pPr>
                </w:p>
              </w:tc>
              <w:tc>
                <w:tcPr>
                  <w:tcW w:w="337" w:type="pct"/>
                  <w:vMerge w:val="continue"/>
                  <w:noWrap/>
                  <w:vAlign w:val="center"/>
                </w:tcPr>
                <w:p w14:paraId="75C327D0">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p>
              </w:tc>
            </w:tr>
            <w:tr w14:paraId="560AF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08" w:type="pct"/>
                  <w:vMerge w:val="restart"/>
                  <w:noWrap/>
                  <w:vAlign w:val="center"/>
                </w:tcPr>
                <w:p w14:paraId="2F9F98E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cs="Times New Roman" w:eastAsiaTheme="minorEastAsia"/>
                      <w:color w:val="auto"/>
                      <w:kern w:val="0"/>
                      <w:sz w:val="21"/>
                      <w:szCs w:val="21"/>
                      <w:highlight w:val="none"/>
                      <w:lang w:val="en-US" w:eastAsia="zh-CN"/>
                    </w:rPr>
                    <w:t>3</w:t>
                  </w:r>
                </w:p>
              </w:tc>
              <w:tc>
                <w:tcPr>
                  <w:tcW w:w="389" w:type="pct"/>
                  <w:vMerge w:val="restart"/>
                  <w:noWrap/>
                  <w:vAlign w:val="center"/>
                </w:tcPr>
                <w:p w14:paraId="03DA276C">
                  <w:pPr>
                    <w:snapToGrid w:val="0"/>
                    <w:spacing w:line="360" w:lineRule="exact"/>
                    <w:ind w:firstLine="0" w:firstLineChars="0"/>
                    <w:jc w:val="center"/>
                    <w:rPr>
                      <w:rFonts w:hint="default" w:ascii="Times New Roman" w:hAnsi="Times New Roman" w:cs="Times New Roman" w:eastAsiaTheme="minorEastAsia"/>
                      <w:bCs/>
                      <w:color w:val="auto"/>
                      <w:sz w:val="21"/>
                      <w:szCs w:val="21"/>
                      <w:highlight w:val="none"/>
                    </w:rPr>
                  </w:pPr>
                  <w:r>
                    <w:rPr>
                      <w:rFonts w:hint="eastAsia"/>
                      <w:bCs/>
                      <w:color w:val="auto"/>
                      <w:sz w:val="21"/>
                      <w:szCs w:val="21"/>
                      <w:highlight w:val="none"/>
                      <w:lang w:val="en-US" w:eastAsia="zh-CN"/>
                    </w:rPr>
                    <w:t>搅拌机</w:t>
                  </w:r>
                </w:p>
              </w:tc>
              <w:tc>
                <w:tcPr>
                  <w:tcW w:w="265" w:type="pct"/>
                  <w:vMerge w:val="restart"/>
                  <w:noWrap/>
                  <w:vAlign w:val="center"/>
                </w:tcPr>
                <w:p w14:paraId="73B77D1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bCs/>
                      <w:color w:val="auto"/>
                      <w:sz w:val="21"/>
                      <w:szCs w:val="21"/>
                      <w:highlight w:val="none"/>
                      <w:lang w:val="en-US" w:eastAsia="zh-CN"/>
                    </w:rPr>
                    <w:t>2</w:t>
                  </w:r>
                </w:p>
              </w:tc>
              <w:tc>
                <w:tcPr>
                  <w:tcW w:w="367" w:type="pct"/>
                  <w:vMerge w:val="restart"/>
                  <w:noWrap/>
                  <w:vAlign w:val="center"/>
                </w:tcPr>
                <w:p w14:paraId="71B76509">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snapToGrid w:val="0"/>
                      <w:color w:val="auto"/>
                      <w:kern w:val="0"/>
                      <w:sz w:val="21"/>
                      <w:szCs w:val="21"/>
                      <w:highlight w:val="none"/>
                      <w:lang w:val="en-US"/>
                    </w:rPr>
                  </w:pPr>
                  <w:r>
                    <w:rPr>
                      <w:rFonts w:hint="default" w:ascii="Times New Roman" w:hAnsi="Times New Roman" w:cs="Times New Roman" w:eastAsiaTheme="minorEastAsia"/>
                      <w:bCs/>
                      <w:color w:val="auto"/>
                      <w:sz w:val="21"/>
                      <w:szCs w:val="21"/>
                      <w:highlight w:val="none"/>
                      <w:lang w:val="en-US" w:eastAsia="zh-CN"/>
                    </w:rPr>
                    <w:t>8</w:t>
                  </w:r>
                  <w:r>
                    <w:rPr>
                      <w:rFonts w:hint="eastAsia" w:cs="Times New Roman" w:eastAsiaTheme="minorEastAsia"/>
                      <w:bCs/>
                      <w:color w:val="auto"/>
                      <w:sz w:val="21"/>
                      <w:szCs w:val="21"/>
                      <w:highlight w:val="none"/>
                      <w:lang w:val="en-US" w:eastAsia="zh-CN"/>
                    </w:rPr>
                    <w:t>5</w:t>
                  </w:r>
                </w:p>
              </w:tc>
              <w:tc>
                <w:tcPr>
                  <w:tcW w:w="486" w:type="pct"/>
                  <w:vMerge w:val="continue"/>
                  <w:noWrap/>
                  <w:vAlign w:val="center"/>
                </w:tcPr>
                <w:p w14:paraId="0E4AD36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1076" w:type="pct"/>
                  <w:noWrap/>
                  <w:vAlign w:val="center"/>
                </w:tcPr>
                <w:p w14:paraId="6A1E416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olor w:val="auto"/>
                      <w:highlight w:val="none"/>
                      <w:lang w:val="en-US" w:eastAsia="zh-CN"/>
                    </w:rPr>
                    <w:t>(</w:t>
                  </w:r>
                  <w:r>
                    <w:rPr>
                      <w:rFonts w:hint="eastAsia"/>
                      <w:color w:val="auto"/>
                      <w:highlight w:val="none"/>
                    </w:rPr>
                    <w:t>17.2,14.55,1</w:t>
                  </w:r>
                  <w:r>
                    <w:rPr>
                      <w:rFonts w:hint="eastAsia"/>
                      <w:color w:val="auto"/>
                      <w:highlight w:val="none"/>
                      <w:lang w:val="en-US" w:eastAsia="zh-CN"/>
                    </w:rPr>
                    <w:t>)</w:t>
                  </w:r>
                </w:p>
              </w:tc>
              <w:tc>
                <w:tcPr>
                  <w:tcW w:w="395" w:type="pct"/>
                  <w:noWrap/>
                  <w:vAlign w:val="center"/>
                </w:tcPr>
                <w:p w14:paraId="37AE388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c>
                <w:tcPr>
                  <w:tcW w:w="386" w:type="pct"/>
                  <w:vMerge w:val="restart"/>
                  <w:noWrap/>
                  <w:vAlign w:val="center"/>
                </w:tcPr>
                <w:p w14:paraId="1828A19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8</w:t>
                  </w:r>
                  <w:r>
                    <w:rPr>
                      <w:rFonts w:hint="eastAsia" w:cs="Times New Roman" w:eastAsiaTheme="minorEastAsia"/>
                      <w:bCs/>
                      <w:color w:val="auto"/>
                      <w:sz w:val="21"/>
                      <w:szCs w:val="21"/>
                      <w:highlight w:val="none"/>
                      <w:lang w:val="en-US" w:eastAsia="zh-CN"/>
                    </w:rPr>
                    <w:t>5</w:t>
                  </w:r>
                </w:p>
              </w:tc>
              <w:tc>
                <w:tcPr>
                  <w:tcW w:w="300" w:type="pct"/>
                  <w:vMerge w:val="restart"/>
                  <w:noWrap/>
                  <w:vAlign w:val="center"/>
                </w:tcPr>
                <w:p w14:paraId="3D70E719">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rPr>
                    <w:t>昼</w:t>
                  </w:r>
                </w:p>
              </w:tc>
              <w:tc>
                <w:tcPr>
                  <w:tcW w:w="429" w:type="pct"/>
                  <w:vMerge w:val="restart"/>
                  <w:noWrap/>
                  <w:vAlign w:val="center"/>
                </w:tcPr>
                <w:p w14:paraId="5BC15F5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15</w:t>
                  </w:r>
                </w:p>
              </w:tc>
              <w:tc>
                <w:tcPr>
                  <w:tcW w:w="357" w:type="pct"/>
                  <w:vMerge w:val="restart"/>
                  <w:noWrap/>
                  <w:vAlign w:val="center"/>
                </w:tcPr>
                <w:p w14:paraId="1399670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cs="Times New Roman" w:eastAsiaTheme="minorEastAsia"/>
                      <w:color w:val="auto"/>
                      <w:kern w:val="0"/>
                      <w:sz w:val="21"/>
                      <w:szCs w:val="21"/>
                      <w:highlight w:val="none"/>
                      <w:lang w:val="en-US" w:eastAsia="zh-CN"/>
                    </w:rPr>
                    <w:t>70</w:t>
                  </w:r>
                </w:p>
              </w:tc>
              <w:tc>
                <w:tcPr>
                  <w:tcW w:w="337" w:type="pct"/>
                  <w:vMerge w:val="restart"/>
                  <w:noWrap/>
                  <w:vAlign w:val="center"/>
                </w:tcPr>
                <w:p w14:paraId="542AACAB">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r>
            <w:tr w14:paraId="6E262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208" w:type="pct"/>
                  <w:vMerge w:val="continue"/>
                  <w:noWrap/>
                  <w:vAlign w:val="center"/>
                </w:tcPr>
                <w:p w14:paraId="4327A73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lang w:val="en-US" w:eastAsia="zh-CN"/>
                    </w:rPr>
                  </w:pPr>
                </w:p>
              </w:tc>
              <w:tc>
                <w:tcPr>
                  <w:tcW w:w="389" w:type="pct"/>
                  <w:vMerge w:val="continue"/>
                  <w:noWrap/>
                  <w:vAlign w:val="center"/>
                </w:tcPr>
                <w:p w14:paraId="6559AD9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265" w:type="pct"/>
                  <w:vMerge w:val="continue"/>
                  <w:noWrap/>
                  <w:vAlign w:val="center"/>
                </w:tcPr>
                <w:p w14:paraId="6A6420A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367" w:type="pct"/>
                  <w:vMerge w:val="continue"/>
                  <w:noWrap/>
                  <w:vAlign w:val="center"/>
                </w:tcPr>
                <w:p w14:paraId="24FCFD5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486" w:type="pct"/>
                  <w:vMerge w:val="continue"/>
                  <w:noWrap/>
                  <w:vAlign w:val="center"/>
                </w:tcPr>
                <w:p w14:paraId="13B8026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1076" w:type="pct"/>
                  <w:noWrap/>
                  <w:vAlign w:val="center"/>
                </w:tcPr>
                <w:p w14:paraId="7BBA658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olor w:val="auto"/>
                      <w:highlight w:val="none"/>
                      <w:lang w:val="en-US" w:eastAsia="zh-CN"/>
                    </w:rPr>
                    <w:t>(</w:t>
                  </w:r>
                  <w:r>
                    <w:rPr>
                      <w:rFonts w:hint="eastAsia"/>
                      <w:color w:val="auto"/>
                      <w:highlight w:val="none"/>
                    </w:rPr>
                    <w:t>31.48,19.94,1</w:t>
                  </w:r>
                  <w:r>
                    <w:rPr>
                      <w:rFonts w:hint="eastAsia"/>
                      <w:color w:val="auto"/>
                      <w:highlight w:val="none"/>
                      <w:lang w:val="en-US" w:eastAsia="zh-CN"/>
                    </w:rPr>
                    <w:t>)</w:t>
                  </w:r>
                </w:p>
              </w:tc>
              <w:tc>
                <w:tcPr>
                  <w:tcW w:w="395" w:type="pct"/>
                  <w:noWrap/>
                  <w:vAlign w:val="center"/>
                </w:tcPr>
                <w:p w14:paraId="15155FF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c>
                <w:tcPr>
                  <w:tcW w:w="386" w:type="pct"/>
                  <w:vMerge w:val="continue"/>
                  <w:noWrap/>
                  <w:vAlign w:val="center"/>
                </w:tcPr>
                <w:p w14:paraId="2D33BB2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300" w:type="pct"/>
                  <w:vMerge w:val="continue"/>
                  <w:noWrap/>
                  <w:vAlign w:val="center"/>
                </w:tcPr>
                <w:p w14:paraId="4ABBD99C">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sz w:val="21"/>
                      <w:szCs w:val="21"/>
                      <w:highlight w:val="none"/>
                    </w:rPr>
                  </w:pPr>
                </w:p>
              </w:tc>
              <w:tc>
                <w:tcPr>
                  <w:tcW w:w="429" w:type="pct"/>
                  <w:vMerge w:val="continue"/>
                  <w:noWrap/>
                  <w:vAlign w:val="center"/>
                </w:tcPr>
                <w:p w14:paraId="029FA64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p>
              </w:tc>
              <w:tc>
                <w:tcPr>
                  <w:tcW w:w="357" w:type="pct"/>
                  <w:vMerge w:val="continue"/>
                  <w:noWrap/>
                  <w:vAlign w:val="center"/>
                </w:tcPr>
                <w:p w14:paraId="2855F25D">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lang w:val="en-US" w:eastAsia="zh-CN"/>
                    </w:rPr>
                  </w:pPr>
                </w:p>
              </w:tc>
              <w:tc>
                <w:tcPr>
                  <w:tcW w:w="337" w:type="pct"/>
                  <w:vMerge w:val="continue"/>
                  <w:noWrap/>
                  <w:vAlign w:val="center"/>
                </w:tcPr>
                <w:p w14:paraId="1396F21C">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p>
              </w:tc>
            </w:tr>
            <w:tr w14:paraId="66D38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08" w:type="pct"/>
                  <w:noWrap/>
                  <w:vAlign w:val="center"/>
                </w:tcPr>
                <w:p w14:paraId="558449C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cs="Times New Roman" w:eastAsiaTheme="minorEastAsia"/>
                      <w:color w:val="auto"/>
                      <w:kern w:val="0"/>
                      <w:sz w:val="21"/>
                      <w:szCs w:val="21"/>
                      <w:highlight w:val="none"/>
                      <w:lang w:val="en-US" w:eastAsia="zh-CN"/>
                    </w:rPr>
                    <w:t>4</w:t>
                  </w:r>
                </w:p>
              </w:tc>
              <w:tc>
                <w:tcPr>
                  <w:tcW w:w="389" w:type="pct"/>
                  <w:noWrap/>
                  <w:vAlign w:val="center"/>
                </w:tcPr>
                <w:p w14:paraId="70737B05">
                  <w:pPr>
                    <w:snapToGrid w:val="0"/>
                    <w:spacing w:line="360" w:lineRule="exact"/>
                    <w:ind w:firstLine="0" w:firstLineChars="0"/>
                    <w:jc w:val="center"/>
                    <w:rPr>
                      <w:rFonts w:hint="default" w:ascii="Times New Roman" w:hAnsi="Times New Roman" w:cs="Times New Roman" w:eastAsiaTheme="minorEastAsia"/>
                      <w:bCs/>
                      <w:color w:val="auto"/>
                      <w:sz w:val="21"/>
                      <w:szCs w:val="21"/>
                      <w:highlight w:val="none"/>
                    </w:rPr>
                  </w:pPr>
                  <w:r>
                    <w:rPr>
                      <w:rFonts w:hint="eastAsia" w:cs="Times New Roman"/>
                      <w:color w:val="auto"/>
                      <w:spacing w:val="6"/>
                      <w:kern w:val="0"/>
                      <w:sz w:val="21"/>
                      <w:szCs w:val="21"/>
                      <w:highlight w:val="none"/>
                      <w:lang w:val="en-US" w:eastAsia="zh-CN" w:bidi="ar"/>
                    </w:rPr>
                    <w:t>压球</w:t>
                  </w:r>
                  <w:r>
                    <w:rPr>
                      <w:rFonts w:hint="eastAsia" w:ascii="Times New Roman" w:hAnsi="Times New Roman" w:eastAsia="宋体" w:cs="Times New Roman"/>
                      <w:color w:val="auto"/>
                      <w:spacing w:val="6"/>
                      <w:kern w:val="0"/>
                      <w:sz w:val="21"/>
                      <w:szCs w:val="21"/>
                      <w:highlight w:val="none"/>
                      <w:lang w:val="en-US" w:eastAsia="zh-CN" w:bidi="ar"/>
                    </w:rPr>
                    <w:t>机</w:t>
                  </w:r>
                </w:p>
              </w:tc>
              <w:tc>
                <w:tcPr>
                  <w:tcW w:w="265" w:type="pct"/>
                  <w:noWrap/>
                  <w:vAlign w:val="center"/>
                </w:tcPr>
                <w:p w14:paraId="03173DE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rPr>
                  </w:pPr>
                  <w:r>
                    <w:rPr>
                      <w:rFonts w:hint="eastAsia" w:cs="Times New Roman" w:eastAsiaTheme="minorEastAsia"/>
                      <w:bCs/>
                      <w:color w:val="auto"/>
                      <w:sz w:val="21"/>
                      <w:szCs w:val="21"/>
                      <w:highlight w:val="none"/>
                      <w:lang w:val="en-US" w:eastAsia="zh-CN"/>
                    </w:rPr>
                    <w:t>1</w:t>
                  </w:r>
                </w:p>
              </w:tc>
              <w:tc>
                <w:tcPr>
                  <w:tcW w:w="367" w:type="pct"/>
                  <w:noWrap/>
                  <w:vAlign w:val="center"/>
                </w:tcPr>
                <w:p w14:paraId="69F9300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snapToGrid w:val="0"/>
                      <w:color w:val="auto"/>
                      <w:kern w:val="0"/>
                      <w:sz w:val="21"/>
                      <w:szCs w:val="21"/>
                      <w:highlight w:val="none"/>
                    </w:rPr>
                  </w:pPr>
                  <w:r>
                    <w:rPr>
                      <w:rFonts w:hint="default" w:ascii="Times New Roman" w:hAnsi="Times New Roman" w:cs="Times New Roman" w:eastAsiaTheme="minorEastAsia"/>
                      <w:bCs/>
                      <w:color w:val="auto"/>
                      <w:sz w:val="21"/>
                      <w:szCs w:val="21"/>
                      <w:highlight w:val="none"/>
                      <w:lang w:val="en-US" w:eastAsia="zh-CN"/>
                    </w:rPr>
                    <w:t>80</w:t>
                  </w:r>
                </w:p>
              </w:tc>
              <w:tc>
                <w:tcPr>
                  <w:tcW w:w="486" w:type="pct"/>
                  <w:vMerge w:val="continue"/>
                  <w:noWrap/>
                  <w:vAlign w:val="center"/>
                </w:tcPr>
                <w:p w14:paraId="7D29E4C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1076" w:type="pct"/>
                  <w:noWrap/>
                  <w:vAlign w:val="center"/>
                </w:tcPr>
                <w:p w14:paraId="0706DDF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olor w:val="auto"/>
                      <w:highlight w:val="none"/>
                      <w:lang w:val="en-US" w:eastAsia="zh-CN"/>
                    </w:rPr>
                    <w:t>(</w:t>
                  </w:r>
                  <w:r>
                    <w:rPr>
                      <w:rFonts w:hint="eastAsia"/>
                      <w:color w:val="auto"/>
                      <w:highlight w:val="none"/>
                    </w:rPr>
                    <w:t>49.88,42.47,1</w:t>
                  </w:r>
                  <w:r>
                    <w:rPr>
                      <w:rFonts w:hint="eastAsia"/>
                      <w:color w:val="auto"/>
                      <w:highlight w:val="none"/>
                      <w:lang w:val="en-US" w:eastAsia="zh-CN"/>
                    </w:rPr>
                    <w:t>)</w:t>
                  </w:r>
                </w:p>
              </w:tc>
              <w:tc>
                <w:tcPr>
                  <w:tcW w:w="395" w:type="pct"/>
                  <w:noWrap/>
                  <w:vAlign w:val="center"/>
                </w:tcPr>
                <w:p w14:paraId="3A7739F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c>
                <w:tcPr>
                  <w:tcW w:w="386" w:type="pct"/>
                  <w:noWrap/>
                  <w:vAlign w:val="center"/>
                </w:tcPr>
                <w:p w14:paraId="2E89A8BA">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80</w:t>
                  </w:r>
                </w:p>
              </w:tc>
              <w:tc>
                <w:tcPr>
                  <w:tcW w:w="300" w:type="pct"/>
                  <w:noWrap/>
                  <w:vAlign w:val="center"/>
                </w:tcPr>
                <w:p w14:paraId="1F80FAA7">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rPr>
                    <w:t>昼</w:t>
                  </w:r>
                </w:p>
              </w:tc>
              <w:tc>
                <w:tcPr>
                  <w:tcW w:w="429" w:type="pct"/>
                  <w:noWrap/>
                  <w:vAlign w:val="center"/>
                </w:tcPr>
                <w:p w14:paraId="7BADAEE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15</w:t>
                  </w:r>
                </w:p>
              </w:tc>
              <w:tc>
                <w:tcPr>
                  <w:tcW w:w="357" w:type="pct"/>
                  <w:noWrap/>
                  <w:vAlign w:val="center"/>
                </w:tcPr>
                <w:p w14:paraId="0C406D56">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65</w:t>
                  </w:r>
                </w:p>
              </w:tc>
              <w:tc>
                <w:tcPr>
                  <w:tcW w:w="337" w:type="pct"/>
                  <w:noWrap/>
                  <w:vAlign w:val="center"/>
                </w:tcPr>
                <w:p w14:paraId="2CA58728">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r>
            <w:tr w14:paraId="3161F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08" w:type="pct"/>
                  <w:noWrap/>
                  <w:vAlign w:val="center"/>
                </w:tcPr>
                <w:p w14:paraId="6DFABBF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cs="Times New Roman" w:eastAsiaTheme="minorEastAsia"/>
                      <w:color w:val="auto"/>
                      <w:kern w:val="0"/>
                      <w:sz w:val="21"/>
                      <w:szCs w:val="21"/>
                      <w:highlight w:val="none"/>
                      <w:lang w:val="en-US" w:eastAsia="zh-CN"/>
                    </w:rPr>
                    <w:t>5</w:t>
                  </w:r>
                </w:p>
              </w:tc>
              <w:tc>
                <w:tcPr>
                  <w:tcW w:w="389" w:type="pct"/>
                  <w:noWrap/>
                  <w:vAlign w:val="center"/>
                </w:tcPr>
                <w:p w14:paraId="69CFEDC8">
                  <w:pPr>
                    <w:snapToGrid w:val="0"/>
                    <w:spacing w:line="360" w:lineRule="exact"/>
                    <w:ind w:firstLine="0" w:firstLineChars="0"/>
                    <w:jc w:val="center"/>
                    <w:rPr>
                      <w:rFonts w:hint="default" w:ascii="Times New Roman" w:hAnsi="Times New Roman" w:cs="Times New Roman" w:eastAsiaTheme="minorEastAsia"/>
                      <w:bCs/>
                      <w:color w:val="auto"/>
                      <w:sz w:val="21"/>
                      <w:szCs w:val="21"/>
                      <w:highlight w:val="none"/>
                      <w:lang w:val="en-US" w:eastAsia="zh-CN"/>
                    </w:rPr>
                  </w:pPr>
                  <w:r>
                    <w:rPr>
                      <w:rFonts w:hint="eastAsia" w:eastAsia="宋体" w:cs="Times New Roman"/>
                      <w:color w:val="auto"/>
                      <w:spacing w:val="6"/>
                      <w:kern w:val="0"/>
                      <w:sz w:val="21"/>
                      <w:szCs w:val="21"/>
                      <w:highlight w:val="none"/>
                      <w:lang w:val="en-US" w:eastAsia="zh-CN" w:bidi="ar"/>
                    </w:rPr>
                    <w:t>振筛</w:t>
                  </w:r>
                </w:p>
              </w:tc>
              <w:tc>
                <w:tcPr>
                  <w:tcW w:w="265" w:type="pct"/>
                  <w:noWrap/>
                  <w:vAlign w:val="center"/>
                </w:tcPr>
                <w:p w14:paraId="3848444F">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bCs/>
                      <w:color w:val="auto"/>
                      <w:sz w:val="21"/>
                      <w:szCs w:val="21"/>
                      <w:highlight w:val="none"/>
                      <w:lang w:val="en-US" w:eastAsia="zh-CN"/>
                    </w:rPr>
                    <w:t>1</w:t>
                  </w:r>
                </w:p>
              </w:tc>
              <w:tc>
                <w:tcPr>
                  <w:tcW w:w="367" w:type="pct"/>
                  <w:noWrap/>
                  <w:vAlign w:val="center"/>
                </w:tcPr>
                <w:p w14:paraId="02F56AF5">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snapToGrid w:val="0"/>
                      <w:color w:val="auto"/>
                      <w:kern w:val="0"/>
                      <w:sz w:val="21"/>
                      <w:szCs w:val="21"/>
                      <w:highlight w:val="none"/>
                    </w:rPr>
                  </w:pPr>
                  <w:r>
                    <w:rPr>
                      <w:rFonts w:hint="default" w:ascii="Times New Roman" w:hAnsi="Times New Roman" w:cs="Times New Roman" w:eastAsiaTheme="minorEastAsia"/>
                      <w:bCs/>
                      <w:color w:val="auto"/>
                      <w:sz w:val="21"/>
                      <w:szCs w:val="21"/>
                      <w:highlight w:val="none"/>
                      <w:lang w:val="en-US" w:eastAsia="zh-CN"/>
                    </w:rPr>
                    <w:t>8</w:t>
                  </w:r>
                  <w:r>
                    <w:rPr>
                      <w:rFonts w:hint="eastAsia" w:cs="Times New Roman" w:eastAsiaTheme="minorEastAsia"/>
                      <w:bCs/>
                      <w:color w:val="auto"/>
                      <w:sz w:val="21"/>
                      <w:szCs w:val="21"/>
                      <w:highlight w:val="none"/>
                      <w:lang w:val="en-US" w:eastAsia="zh-CN"/>
                    </w:rPr>
                    <w:t>5</w:t>
                  </w:r>
                </w:p>
              </w:tc>
              <w:tc>
                <w:tcPr>
                  <w:tcW w:w="486" w:type="pct"/>
                  <w:vMerge w:val="continue"/>
                  <w:noWrap/>
                  <w:vAlign w:val="center"/>
                </w:tcPr>
                <w:p w14:paraId="0174D69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rPr>
                      <w:rFonts w:hint="default" w:ascii="Times New Roman" w:hAnsi="Times New Roman" w:cs="Times New Roman" w:eastAsiaTheme="minorEastAsia"/>
                      <w:color w:val="auto"/>
                      <w:kern w:val="0"/>
                      <w:sz w:val="21"/>
                      <w:szCs w:val="21"/>
                      <w:highlight w:val="none"/>
                    </w:rPr>
                  </w:pPr>
                </w:p>
              </w:tc>
              <w:tc>
                <w:tcPr>
                  <w:tcW w:w="1076" w:type="pct"/>
                  <w:noWrap/>
                  <w:vAlign w:val="center"/>
                </w:tcPr>
                <w:p w14:paraId="71413C2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olor w:val="auto"/>
                      <w:highlight w:val="none"/>
                      <w:lang w:val="en-US" w:eastAsia="zh-CN"/>
                    </w:rPr>
                    <w:t>(</w:t>
                  </w:r>
                  <w:r>
                    <w:rPr>
                      <w:rFonts w:hint="eastAsia"/>
                      <w:color w:val="auto"/>
                      <w:highlight w:val="none"/>
                    </w:rPr>
                    <w:t>78.44,53.89,1</w:t>
                  </w:r>
                  <w:r>
                    <w:rPr>
                      <w:rFonts w:hint="eastAsia"/>
                      <w:color w:val="auto"/>
                      <w:highlight w:val="none"/>
                      <w:lang w:val="en-US" w:eastAsia="zh-CN"/>
                    </w:rPr>
                    <w:t>)</w:t>
                  </w:r>
                </w:p>
              </w:tc>
              <w:tc>
                <w:tcPr>
                  <w:tcW w:w="395" w:type="pct"/>
                  <w:noWrap/>
                  <w:vAlign w:val="center"/>
                </w:tcPr>
                <w:p w14:paraId="368F674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c>
                <w:tcPr>
                  <w:tcW w:w="386" w:type="pct"/>
                  <w:noWrap/>
                  <w:vAlign w:val="center"/>
                </w:tcPr>
                <w:p w14:paraId="0F24DE82">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bCs/>
                      <w:color w:val="auto"/>
                      <w:sz w:val="21"/>
                      <w:szCs w:val="21"/>
                      <w:highlight w:val="none"/>
                      <w:lang w:val="en-US" w:eastAsia="zh-CN"/>
                    </w:rPr>
                    <w:t>85</w:t>
                  </w:r>
                </w:p>
              </w:tc>
              <w:tc>
                <w:tcPr>
                  <w:tcW w:w="300" w:type="pct"/>
                  <w:noWrap/>
                  <w:vAlign w:val="center"/>
                </w:tcPr>
                <w:p w14:paraId="00400E16">
                  <w:pPr>
                    <w:widowControl/>
                    <w:adjustRightInd w:val="0"/>
                    <w:snapToGrid w:val="0"/>
                    <w:spacing w:line="280" w:lineRule="exact"/>
                    <w:ind w:firstLine="0" w:firstLineChars="0"/>
                    <w:jc w:val="center"/>
                    <w:textAlignment w:val="center"/>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rPr>
                    <w:t>昼</w:t>
                  </w:r>
                </w:p>
              </w:tc>
              <w:tc>
                <w:tcPr>
                  <w:tcW w:w="429" w:type="pct"/>
                  <w:noWrap/>
                  <w:vAlign w:val="center"/>
                </w:tcPr>
                <w:p w14:paraId="561AED7E">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15</w:t>
                  </w:r>
                </w:p>
              </w:tc>
              <w:tc>
                <w:tcPr>
                  <w:tcW w:w="357" w:type="pct"/>
                  <w:noWrap/>
                  <w:vAlign w:val="center"/>
                </w:tcPr>
                <w:p w14:paraId="5EAA4564">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cs="Times New Roman" w:eastAsiaTheme="minorEastAsia"/>
                      <w:color w:val="auto"/>
                      <w:kern w:val="0"/>
                      <w:sz w:val="21"/>
                      <w:szCs w:val="21"/>
                      <w:highlight w:val="none"/>
                      <w:lang w:val="en-US" w:eastAsia="zh-CN"/>
                    </w:rPr>
                    <w:t>70</w:t>
                  </w:r>
                </w:p>
              </w:tc>
              <w:tc>
                <w:tcPr>
                  <w:tcW w:w="337" w:type="pct"/>
                  <w:noWrap/>
                  <w:vAlign w:val="center"/>
                </w:tcPr>
                <w:p w14:paraId="6CC24381">
                  <w:pPr>
                    <w:keepNext w:val="0"/>
                    <w:keepLines w:val="0"/>
                    <w:pageBreakBefore w:val="0"/>
                    <w:widowControl/>
                    <w:kinsoku/>
                    <w:wordWrap/>
                    <w:overflowPunct/>
                    <w:topLinePunct w:val="0"/>
                    <w:autoSpaceDE w:val="0"/>
                    <w:autoSpaceDN w:val="0"/>
                    <w:bidi w:val="0"/>
                    <w:adjustRightInd w:val="0"/>
                    <w:snapToGrid w:val="0"/>
                    <w:spacing w:line="280" w:lineRule="exact"/>
                    <w:ind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r>
          </w:tbl>
          <w:p w14:paraId="241EF5A9">
            <w:pPr>
              <w:pStyle w:val="21"/>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16</w:t>
            </w:r>
            <w:r>
              <w:rPr>
                <w:rFonts w:hint="default" w:ascii="Times New Roman" w:hAnsi="Times New Roman" w:cs="Times New Roman"/>
                <w:color w:val="auto"/>
                <w:sz w:val="21"/>
                <w:szCs w:val="21"/>
                <w:highlight w:val="none"/>
              </w:rPr>
              <w:t xml:space="preserve">    噪声源四周厂界噪声预测值一览表(dB(A))</w:t>
            </w:r>
          </w:p>
          <w:tbl>
            <w:tblPr>
              <w:tblStyle w:val="84"/>
              <w:tblW w:w="4991"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525"/>
              <w:gridCol w:w="1717"/>
              <w:gridCol w:w="680"/>
              <w:gridCol w:w="527"/>
              <w:gridCol w:w="408"/>
              <w:gridCol w:w="936"/>
              <w:gridCol w:w="907"/>
              <w:gridCol w:w="913"/>
              <w:gridCol w:w="350"/>
              <w:gridCol w:w="444"/>
              <w:gridCol w:w="415"/>
              <w:gridCol w:w="416"/>
            </w:tblGrid>
            <w:tr w14:paraId="577A5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23" w:type="pct"/>
                  <w:vMerge w:val="restart"/>
                  <w:tcBorders>
                    <w:tl2br w:val="nil"/>
                    <w:tr2bl w:val="nil"/>
                  </w:tcBorders>
                  <w:vAlign w:val="center"/>
                </w:tcPr>
                <w:p w14:paraId="559BFE74">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点位</w:t>
                  </w:r>
                </w:p>
              </w:tc>
              <w:tc>
                <w:tcPr>
                  <w:tcW w:w="1045" w:type="pct"/>
                  <w:vMerge w:val="restart"/>
                  <w:tcBorders>
                    <w:right w:val="single" w:color="auto" w:sz="4" w:space="0"/>
                    <w:tl2br w:val="nil"/>
                    <w:tr2bl w:val="nil"/>
                  </w:tcBorders>
                  <w:noWrap/>
                  <w:vAlign w:val="center"/>
                </w:tcPr>
                <w:p w14:paraId="67440E8F">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rPr>
                    <w:t>空间相对位置(m)</w:t>
                  </w:r>
                </w:p>
              </w:tc>
              <w:tc>
                <w:tcPr>
                  <w:tcW w:w="717" w:type="pct"/>
                  <w:gridSpan w:val="2"/>
                  <w:tcBorders>
                    <w:left w:val="single" w:color="auto" w:sz="4" w:space="0"/>
                    <w:tl2br w:val="nil"/>
                    <w:tr2bl w:val="nil"/>
                  </w:tcBorders>
                  <w:noWrap/>
                  <w:vAlign w:val="center"/>
                </w:tcPr>
                <w:p w14:paraId="02ED53FC">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贡献值</w:t>
                  </w:r>
                </w:p>
              </w:tc>
              <w:tc>
                <w:tcPr>
                  <w:tcW w:w="798" w:type="pct"/>
                  <w:gridSpan w:val="2"/>
                  <w:tcBorders>
                    <w:tl2br w:val="nil"/>
                    <w:tr2bl w:val="nil"/>
                  </w:tcBorders>
                  <w:noWrap/>
                  <w:vAlign w:val="center"/>
                </w:tcPr>
                <w:p w14:paraId="6103EBD3">
                  <w:pPr>
                    <w:spacing w:line="240" w:lineRule="exact"/>
                    <w:ind w:firstLine="0" w:firstLineChars="0"/>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现状值</w:t>
                  </w:r>
                </w:p>
              </w:tc>
              <w:tc>
                <w:tcPr>
                  <w:tcW w:w="1112" w:type="pct"/>
                  <w:gridSpan w:val="2"/>
                  <w:tcBorders>
                    <w:tl2br w:val="nil"/>
                    <w:tr2bl w:val="nil"/>
                  </w:tcBorders>
                  <w:noWrap/>
                  <w:vAlign w:val="center"/>
                </w:tcPr>
                <w:p w14:paraId="392C54FC">
                  <w:pPr>
                    <w:spacing w:line="240" w:lineRule="exact"/>
                    <w:ind w:firstLine="0" w:firstLineChars="0"/>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预测值</w:t>
                  </w:r>
                </w:p>
              </w:tc>
              <w:tc>
                <w:tcPr>
                  <w:tcW w:w="490" w:type="pct"/>
                  <w:gridSpan w:val="2"/>
                  <w:tcBorders>
                    <w:tl2br w:val="nil"/>
                    <w:tr2bl w:val="nil"/>
                  </w:tcBorders>
                  <w:noWrap/>
                  <w:vAlign w:val="center"/>
                </w:tcPr>
                <w:p w14:paraId="7E359B42">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标准值</w:t>
                  </w:r>
                </w:p>
              </w:tc>
              <w:tc>
                <w:tcPr>
                  <w:tcW w:w="511" w:type="pct"/>
                  <w:gridSpan w:val="2"/>
                  <w:tcBorders>
                    <w:tl2br w:val="nil"/>
                    <w:tr2bl w:val="nil"/>
                  </w:tcBorders>
                  <w:noWrap/>
                  <w:vAlign w:val="center"/>
                </w:tcPr>
                <w:p w14:paraId="76B003F2">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达标分析</w:t>
                  </w:r>
                </w:p>
              </w:tc>
            </w:tr>
            <w:tr w14:paraId="700B5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23" w:type="pct"/>
                  <w:vMerge w:val="continue"/>
                  <w:tcBorders>
                    <w:tl2br w:val="nil"/>
                    <w:tr2bl w:val="nil"/>
                  </w:tcBorders>
                  <w:vAlign w:val="center"/>
                </w:tcPr>
                <w:p w14:paraId="23FCD3DF">
                  <w:pPr>
                    <w:spacing w:line="240" w:lineRule="exact"/>
                    <w:ind w:firstLine="0" w:firstLineChars="0"/>
                    <w:jc w:val="center"/>
                    <w:rPr>
                      <w:rFonts w:hint="default" w:ascii="Times New Roman" w:hAnsi="Times New Roman" w:cs="Times New Roman"/>
                      <w:color w:val="auto"/>
                      <w:sz w:val="21"/>
                      <w:szCs w:val="21"/>
                      <w:highlight w:val="none"/>
                    </w:rPr>
                  </w:pPr>
                </w:p>
              </w:tc>
              <w:tc>
                <w:tcPr>
                  <w:tcW w:w="1045" w:type="pct"/>
                  <w:vMerge w:val="continue"/>
                  <w:tcBorders>
                    <w:right w:val="single" w:color="auto" w:sz="4" w:space="0"/>
                    <w:tl2br w:val="nil"/>
                    <w:tr2bl w:val="nil"/>
                  </w:tcBorders>
                  <w:vAlign w:val="center"/>
                </w:tcPr>
                <w:p w14:paraId="60B0E99E">
                  <w:pPr>
                    <w:spacing w:line="240" w:lineRule="exact"/>
                    <w:ind w:firstLine="0" w:firstLineChars="0"/>
                    <w:jc w:val="center"/>
                    <w:rPr>
                      <w:rFonts w:hint="default" w:ascii="Times New Roman" w:hAnsi="Times New Roman" w:cs="Times New Roman"/>
                      <w:color w:val="auto"/>
                      <w:sz w:val="21"/>
                      <w:szCs w:val="21"/>
                      <w:highlight w:val="none"/>
                    </w:rPr>
                  </w:pPr>
                </w:p>
              </w:tc>
              <w:tc>
                <w:tcPr>
                  <w:tcW w:w="404" w:type="pct"/>
                  <w:tcBorders>
                    <w:left w:val="single" w:color="auto" w:sz="4" w:space="0"/>
                    <w:right w:val="single" w:color="auto" w:sz="4" w:space="0"/>
                    <w:tl2br w:val="nil"/>
                    <w:tr2bl w:val="nil"/>
                  </w:tcBorders>
                  <w:vAlign w:val="center"/>
                </w:tcPr>
                <w:p w14:paraId="2CD7BA52">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312" w:type="pct"/>
                  <w:tcBorders>
                    <w:left w:val="single" w:color="auto" w:sz="4" w:space="0"/>
                    <w:tl2br w:val="nil"/>
                    <w:tr2bl w:val="nil"/>
                  </w:tcBorders>
                  <w:vAlign w:val="center"/>
                </w:tcPr>
                <w:p w14:paraId="6A35E178">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c>
                <w:tcPr>
                  <w:tcW w:w="242" w:type="pct"/>
                  <w:tcBorders>
                    <w:tl2br w:val="nil"/>
                    <w:tr2bl w:val="nil"/>
                  </w:tcBorders>
                  <w:vAlign w:val="center"/>
                </w:tcPr>
                <w:p w14:paraId="0611D7AF">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555" w:type="pct"/>
                  <w:tcBorders>
                    <w:tl2br w:val="nil"/>
                    <w:tr2bl w:val="nil"/>
                  </w:tcBorders>
                  <w:vAlign w:val="center"/>
                </w:tcPr>
                <w:p w14:paraId="3C88BA6D">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c>
                <w:tcPr>
                  <w:tcW w:w="554" w:type="pct"/>
                  <w:tcBorders>
                    <w:tl2br w:val="nil"/>
                    <w:tr2bl w:val="nil"/>
                  </w:tcBorders>
                  <w:vAlign w:val="center"/>
                </w:tcPr>
                <w:p w14:paraId="09739BD4">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557" w:type="pct"/>
                  <w:tcBorders>
                    <w:tl2br w:val="nil"/>
                    <w:tr2bl w:val="nil"/>
                  </w:tcBorders>
                  <w:vAlign w:val="center"/>
                </w:tcPr>
                <w:p w14:paraId="15D37369">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c>
                <w:tcPr>
                  <w:tcW w:w="216" w:type="pct"/>
                  <w:tcBorders>
                    <w:tl2br w:val="nil"/>
                    <w:tr2bl w:val="nil"/>
                  </w:tcBorders>
                  <w:vAlign w:val="center"/>
                </w:tcPr>
                <w:p w14:paraId="664A4B68">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274" w:type="pct"/>
                  <w:tcBorders>
                    <w:tl2br w:val="nil"/>
                    <w:tr2bl w:val="nil"/>
                  </w:tcBorders>
                  <w:vAlign w:val="center"/>
                </w:tcPr>
                <w:p w14:paraId="01135DC1">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c>
                <w:tcPr>
                  <w:tcW w:w="255" w:type="pct"/>
                  <w:tcBorders>
                    <w:tl2br w:val="nil"/>
                    <w:tr2bl w:val="nil"/>
                  </w:tcBorders>
                  <w:vAlign w:val="center"/>
                </w:tcPr>
                <w:p w14:paraId="2E6E11AC">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255" w:type="pct"/>
                  <w:tcBorders>
                    <w:tl2br w:val="nil"/>
                    <w:tr2bl w:val="nil"/>
                  </w:tcBorders>
                  <w:vAlign w:val="center"/>
                </w:tcPr>
                <w:p w14:paraId="0A556D0E">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r>
            <w:tr w14:paraId="77226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07" w:hRule="atLeast"/>
                <w:jc w:val="center"/>
              </w:trPr>
              <w:tc>
                <w:tcPr>
                  <w:tcW w:w="323" w:type="pct"/>
                  <w:tcBorders>
                    <w:tl2br w:val="nil"/>
                    <w:tr2bl w:val="nil"/>
                  </w:tcBorders>
                  <w:vAlign w:val="center"/>
                </w:tcPr>
                <w:p w14:paraId="41378B07">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1#北厂界</w:t>
                  </w:r>
                </w:p>
              </w:tc>
              <w:tc>
                <w:tcPr>
                  <w:tcW w:w="1045" w:type="pct"/>
                  <w:tcBorders>
                    <w:right w:val="single" w:color="auto" w:sz="4" w:space="0"/>
                    <w:tl2br w:val="nil"/>
                    <w:tr2bl w:val="nil"/>
                  </w:tcBorders>
                  <w:noWrap/>
                  <w:vAlign w:val="center"/>
                </w:tcPr>
                <w:p w14:paraId="7EB8E49B">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141.13</w:t>
                  </w: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257.88</w:t>
                  </w:r>
                  <w:r>
                    <w:rPr>
                      <w:rFonts w:hint="eastAsia" w:cs="Times New Roman"/>
                      <w:color w:val="auto"/>
                      <w:sz w:val="21"/>
                      <w:szCs w:val="21"/>
                      <w:highlight w:val="none"/>
                      <w:lang w:val="en-US" w:eastAsia="zh-CN"/>
                    </w:rPr>
                    <w:t>,1.2</w:t>
                  </w:r>
                  <w:r>
                    <w:rPr>
                      <w:rFonts w:hint="eastAsia"/>
                      <w:color w:val="auto"/>
                      <w:highlight w:val="none"/>
                      <w:lang w:val="en-US" w:eastAsia="zh-CN"/>
                    </w:rPr>
                    <w:t>)</w:t>
                  </w:r>
                </w:p>
              </w:tc>
              <w:tc>
                <w:tcPr>
                  <w:tcW w:w="404" w:type="pct"/>
                  <w:tcBorders>
                    <w:left w:val="single" w:color="auto" w:sz="4" w:space="0"/>
                    <w:right w:val="single" w:color="auto" w:sz="4" w:space="0"/>
                    <w:tl2br w:val="nil"/>
                    <w:tr2bl w:val="nil"/>
                  </w:tcBorders>
                  <w:noWrap/>
                  <w:vAlign w:val="center"/>
                </w:tcPr>
                <w:p w14:paraId="68EE7FA3">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16.8</w:t>
                  </w:r>
                </w:p>
              </w:tc>
              <w:tc>
                <w:tcPr>
                  <w:tcW w:w="312" w:type="pct"/>
                  <w:tcBorders>
                    <w:left w:val="single" w:color="auto" w:sz="4" w:space="0"/>
                    <w:tl2br w:val="nil"/>
                    <w:tr2bl w:val="nil"/>
                  </w:tcBorders>
                  <w:noWrap/>
                  <w:vAlign w:val="center"/>
                </w:tcPr>
                <w:p w14:paraId="21B5A4F4">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16.8</w:t>
                  </w:r>
                </w:p>
              </w:tc>
              <w:tc>
                <w:tcPr>
                  <w:tcW w:w="242" w:type="pct"/>
                  <w:tcBorders>
                    <w:tl2br w:val="nil"/>
                    <w:tr2bl w:val="nil"/>
                  </w:tcBorders>
                  <w:noWrap/>
                  <w:vAlign w:val="center"/>
                </w:tcPr>
                <w:p w14:paraId="131DCA60">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58</w:t>
                  </w:r>
                </w:p>
              </w:tc>
              <w:tc>
                <w:tcPr>
                  <w:tcW w:w="555" w:type="pct"/>
                  <w:tcBorders>
                    <w:tl2br w:val="nil"/>
                    <w:tr2bl w:val="nil"/>
                  </w:tcBorders>
                  <w:noWrap/>
                  <w:vAlign w:val="center"/>
                </w:tcPr>
                <w:p w14:paraId="788D00E2">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53</w:t>
                  </w:r>
                </w:p>
              </w:tc>
              <w:tc>
                <w:tcPr>
                  <w:tcW w:w="554" w:type="pct"/>
                  <w:tcBorders>
                    <w:tl2br w:val="nil"/>
                    <w:tr2bl w:val="nil"/>
                  </w:tcBorders>
                  <w:noWrap/>
                  <w:vAlign w:val="center"/>
                </w:tcPr>
                <w:p w14:paraId="5C5E51B3">
                  <w:pPr>
                    <w:spacing w:line="240" w:lineRule="exact"/>
                    <w:ind w:firstLine="0" w:firstLine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58</w:t>
                  </w:r>
                </w:p>
              </w:tc>
              <w:tc>
                <w:tcPr>
                  <w:tcW w:w="557" w:type="pct"/>
                  <w:tcBorders>
                    <w:tl2br w:val="nil"/>
                    <w:tr2bl w:val="nil"/>
                  </w:tcBorders>
                  <w:noWrap/>
                  <w:vAlign w:val="center"/>
                </w:tcPr>
                <w:p w14:paraId="6D04CC8E">
                  <w:pPr>
                    <w:spacing w:line="240" w:lineRule="exact"/>
                    <w:ind w:firstLine="0" w:firstLine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53</w:t>
                  </w:r>
                </w:p>
              </w:tc>
              <w:tc>
                <w:tcPr>
                  <w:tcW w:w="216" w:type="pct"/>
                  <w:tcBorders>
                    <w:tl2br w:val="nil"/>
                    <w:tr2bl w:val="nil"/>
                  </w:tcBorders>
                  <w:noWrap/>
                  <w:vAlign w:val="center"/>
                </w:tcPr>
                <w:p w14:paraId="1AFAB4C5">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65</w:t>
                  </w:r>
                </w:p>
              </w:tc>
              <w:tc>
                <w:tcPr>
                  <w:tcW w:w="274" w:type="pct"/>
                  <w:tcBorders>
                    <w:tl2br w:val="nil"/>
                    <w:tr2bl w:val="nil"/>
                  </w:tcBorders>
                  <w:noWrap/>
                  <w:vAlign w:val="center"/>
                </w:tcPr>
                <w:p w14:paraId="5CD375CB">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55</w:t>
                  </w:r>
                </w:p>
              </w:tc>
              <w:tc>
                <w:tcPr>
                  <w:tcW w:w="255" w:type="pct"/>
                  <w:tcBorders>
                    <w:tl2br w:val="nil"/>
                    <w:tr2bl w:val="nil"/>
                  </w:tcBorders>
                  <w:noWrap/>
                  <w:vAlign w:val="center"/>
                </w:tcPr>
                <w:p w14:paraId="157BF4A1">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c>
                <w:tcPr>
                  <w:tcW w:w="255" w:type="pct"/>
                  <w:tcBorders>
                    <w:tl2br w:val="nil"/>
                    <w:tr2bl w:val="nil"/>
                  </w:tcBorders>
                  <w:noWrap/>
                  <w:vAlign w:val="center"/>
                </w:tcPr>
                <w:p w14:paraId="127DFA31">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r w14:paraId="668CB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23" w:type="pct"/>
                  <w:tcBorders>
                    <w:tl2br w:val="nil"/>
                    <w:tr2bl w:val="nil"/>
                  </w:tcBorders>
                  <w:vAlign w:val="center"/>
                </w:tcPr>
                <w:p w14:paraId="07174760">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2#南厂界</w:t>
                  </w:r>
                </w:p>
              </w:tc>
              <w:tc>
                <w:tcPr>
                  <w:tcW w:w="1045" w:type="pct"/>
                  <w:tcBorders>
                    <w:right w:val="single" w:color="auto" w:sz="4" w:space="0"/>
                    <w:tl2br w:val="nil"/>
                    <w:tr2bl w:val="nil"/>
                  </w:tcBorders>
                  <w:noWrap/>
                  <w:vAlign w:val="center"/>
                </w:tcPr>
                <w:p w14:paraId="442319A4">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1310.2</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-577.17</w:t>
                  </w:r>
                  <w:r>
                    <w:rPr>
                      <w:rFonts w:hint="eastAsia" w:cs="Times New Roman"/>
                      <w:color w:val="auto"/>
                      <w:sz w:val="21"/>
                      <w:szCs w:val="21"/>
                      <w:highlight w:val="none"/>
                      <w:lang w:val="en-US" w:eastAsia="zh-CN"/>
                    </w:rPr>
                    <w:t>,1.2</w:t>
                  </w:r>
                  <w:r>
                    <w:rPr>
                      <w:rFonts w:hint="eastAsia"/>
                      <w:color w:val="auto"/>
                      <w:highlight w:val="none"/>
                      <w:lang w:val="en-US" w:eastAsia="zh-CN"/>
                    </w:rPr>
                    <w:t>)</w:t>
                  </w:r>
                </w:p>
              </w:tc>
              <w:tc>
                <w:tcPr>
                  <w:tcW w:w="404" w:type="pct"/>
                  <w:tcBorders>
                    <w:left w:val="single" w:color="auto" w:sz="4" w:space="0"/>
                    <w:right w:val="single" w:color="auto" w:sz="4" w:space="0"/>
                    <w:tl2br w:val="nil"/>
                    <w:tr2bl w:val="nil"/>
                  </w:tcBorders>
                  <w:noWrap/>
                  <w:vAlign w:val="center"/>
                </w:tcPr>
                <w:p w14:paraId="35257AC3">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312" w:type="pct"/>
                  <w:tcBorders>
                    <w:left w:val="single" w:color="auto" w:sz="4" w:space="0"/>
                    <w:tl2br w:val="nil"/>
                    <w:tr2bl w:val="nil"/>
                  </w:tcBorders>
                  <w:noWrap/>
                  <w:vAlign w:val="center"/>
                </w:tcPr>
                <w:p w14:paraId="0C15F9F5">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242" w:type="pct"/>
                  <w:tcBorders>
                    <w:tl2br w:val="nil"/>
                    <w:tr2bl w:val="nil"/>
                  </w:tcBorders>
                  <w:noWrap/>
                  <w:vAlign w:val="center"/>
                </w:tcPr>
                <w:p w14:paraId="3885DB08">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58</w:t>
                  </w:r>
                </w:p>
              </w:tc>
              <w:tc>
                <w:tcPr>
                  <w:tcW w:w="555" w:type="pct"/>
                  <w:tcBorders>
                    <w:tl2br w:val="nil"/>
                    <w:tr2bl w:val="nil"/>
                  </w:tcBorders>
                  <w:noWrap/>
                  <w:vAlign w:val="center"/>
                </w:tcPr>
                <w:p w14:paraId="3AAC7AE6">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53</w:t>
                  </w:r>
                </w:p>
              </w:tc>
              <w:tc>
                <w:tcPr>
                  <w:tcW w:w="554" w:type="pct"/>
                  <w:tcBorders>
                    <w:tl2br w:val="nil"/>
                    <w:tr2bl w:val="nil"/>
                  </w:tcBorders>
                  <w:noWrap/>
                  <w:vAlign w:val="center"/>
                </w:tcPr>
                <w:p w14:paraId="6E952589">
                  <w:pPr>
                    <w:spacing w:line="240" w:lineRule="exact"/>
                    <w:ind w:firstLine="0" w:firstLine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58</w:t>
                  </w:r>
                </w:p>
              </w:tc>
              <w:tc>
                <w:tcPr>
                  <w:tcW w:w="557" w:type="pct"/>
                  <w:tcBorders>
                    <w:tl2br w:val="nil"/>
                    <w:tr2bl w:val="nil"/>
                  </w:tcBorders>
                  <w:noWrap/>
                  <w:vAlign w:val="center"/>
                </w:tcPr>
                <w:p w14:paraId="43D421E4">
                  <w:pPr>
                    <w:spacing w:line="240" w:lineRule="exact"/>
                    <w:ind w:firstLine="0" w:firstLine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53</w:t>
                  </w:r>
                </w:p>
              </w:tc>
              <w:tc>
                <w:tcPr>
                  <w:tcW w:w="216" w:type="pct"/>
                  <w:tcBorders>
                    <w:tl2br w:val="nil"/>
                    <w:tr2bl w:val="nil"/>
                  </w:tcBorders>
                  <w:noWrap/>
                  <w:vAlign w:val="center"/>
                </w:tcPr>
                <w:p w14:paraId="4889DB7F">
                  <w:pPr>
                    <w:spacing w:line="240" w:lineRule="exact"/>
                    <w:ind w:firstLine="0" w:firstLineChars="0"/>
                    <w:jc w:val="cente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65</w:t>
                  </w:r>
                </w:p>
              </w:tc>
              <w:tc>
                <w:tcPr>
                  <w:tcW w:w="274" w:type="pct"/>
                  <w:tcBorders>
                    <w:tl2br w:val="nil"/>
                    <w:tr2bl w:val="nil"/>
                  </w:tcBorders>
                  <w:noWrap/>
                  <w:vAlign w:val="center"/>
                </w:tcPr>
                <w:p w14:paraId="69A95C7D">
                  <w:pPr>
                    <w:spacing w:line="240" w:lineRule="exact"/>
                    <w:ind w:firstLine="0" w:firstLineChars="0"/>
                    <w:jc w:val="cente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55</w:t>
                  </w:r>
                </w:p>
              </w:tc>
              <w:tc>
                <w:tcPr>
                  <w:tcW w:w="255" w:type="pct"/>
                  <w:tcBorders>
                    <w:tl2br w:val="nil"/>
                    <w:tr2bl w:val="nil"/>
                  </w:tcBorders>
                  <w:noWrap/>
                  <w:vAlign w:val="center"/>
                </w:tcPr>
                <w:p w14:paraId="372DCFB3">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c>
                <w:tcPr>
                  <w:tcW w:w="255" w:type="pct"/>
                  <w:tcBorders>
                    <w:tl2br w:val="nil"/>
                    <w:tr2bl w:val="nil"/>
                  </w:tcBorders>
                  <w:noWrap/>
                  <w:vAlign w:val="center"/>
                </w:tcPr>
                <w:p w14:paraId="3A0C47E2">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r w14:paraId="67F7F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23" w:type="pct"/>
                  <w:tcBorders>
                    <w:tl2br w:val="nil"/>
                    <w:tr2bl w:val="nil"/>
                  </w:tcBorders>
                  <w:vAlign w:val="center"/>
                </w:tcPr>
                <w:p w14:paraId="003D1CBA">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w:t>
                  </w:r>
                  <w:r>
                    <w:rPr>
                      <w:rFonts w:hint="eastAsia" w:cs="Times New Roman"/>
                      <w:color w:val="auto"/>
                      <w:sz w:val="21"/>
                      <w:szCs w:val="21"/>
                      <w:highlight w:val="none"/>
                      <w:lang w:val="en-US" w:eastAsia="zh-CN"/>
                    </w:rPr>
                    <w:t>东</w:t>
                  </w:r>
                  <w:r>
                    <w:rPr>
                      <w:rFonts w:hint="default" w:ascii="Times New Roman" w:hAnsi="Times New Roman" w:cs="Times New Roman"/>
                      <w:color w:val="auto"/>
                      <w:sz w:val="21"/>
                      <w:szCs w:val="21"/>
                      <w:highlight w:val="none"/>
                    </w:rPr>
                    <w:t>厂界</w:t>
                  </w:r>
                </w:p>
              </w:tc>
              <w:tc>
                <w:tcPr>
                  <w:tcW w:w="1045" w:type="pct"/>
                  <w:tcBorders>
                    <w:right w:val="single" w:color="auto" w:sz="4" w:space="0"/>
                    <w:tl2br w:val="nil"/>
                    <w:tr2bl w:val="nil"/>
                  </w:tcBorders>
                  <w:noWrap/>
                  <w:vAlign w:val="center"/>
                </w:tcPr>
                <w:p w14:paraId="65972CE0">
                  <w:pPr>
                    <w:spacing w:line="240" w:lineRule="exact"/>
                    <w:ind w:firstLine="0" w:firstLineChars="0"/>
                    <w:jc w:val="center"/>
                    <w:rPr>
                      <w:rFonts w:hint="default" w:ascii="Times New Roman" w:hAnsi="Times New Roman"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1284.22</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153.96</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1.2</w:t>
                  </w:r>
                  <w:r>
                    <w:rPr>
                      <w:rFonts w:hint="eastAsia"/>
                      <w:color w:val="auto"/>
                      <w:highlight w:val="none"/>
                      <w:lang w:val="en-US" w:eastAsia="zh-CN"/>
                    </w:rPr>
                    <w:t>)</w:t>
                  </w:r>
                </w:p>
              </w:tc>
              <w:tc>
                <w:tcPr>
                  <w:tcW w:w="404" w:type="pct"/>
                  <w:tcBorders>
                    <w:left w:val="single" w:color="auto" w:sz="4" w:space="0"/>
                    <w:right w:val="single" w:color="auto" w:sz="4" w:space="0"/>
                    <w:tl2br w:val="nil"/>
                    <w:tr2bl w:val="nil"/>
                  </w:tcBorders>
                  <w:noWrap/>
                  <w:vAlign w:val="center"/>
                </w:tcPr>
                <w:p w14:paraId="04AEC511">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312" w:type="pct"/>
                  <w:tcBorders>
                    <w:left w:val="single" w:color="auto" w:sz="4" w:space="0"/>
                    <w:tl2br w:val="nil"/>
                    <w:tr2bl w:val="nil"/>
                  </w:tcBorders>
                  <w:noWrap/>
                  <w:vAlign w:val="center"/>
                </w:tcPr>
                <w:p w14:paraId="27112749">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242" w:type="pct"/>
                  <w:tcBorders>
                    <w:tl2br w:val="nil"/>
                    <w:tr2bl w:val="nil"/>
                  </w:tcBorders>
                  <w:noWrap/>
                  <w:vAlign w:val="center"/>
                </w:tcPr>
                <w:p w14:paraId="76E55870">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61</w:t>
                  </w:r>
                </w:p>
              </w:tc>
              <w:tc>
                <w:tcPr>
                  <w:tcW w:w="555" w:type="pct"/>
                  <w:tcBorders>
                    <w:tl2br w:val="nil"/>
                    <w:tr2bl w:val="nil"/>
                  </w:tcBorders>
                  <w:noWrap/>
                  <w:vAlign w:val="center"/>
                </w:tcPr>
                <w:p w14:paraId="7F276EB2">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54</w:t>
                  </w:r>
                </w:p>
              </w:tc>
              <w:tc>
                <w:tcPr>
                  <w:tcW w:w="554" w:type="pct"/>
                  <w:tcBorders>
                    <w:tl2br w:val="nil"/>
                    <w:tr2bl w:val="nil"/>
                  </w:tcBorders>
                  <w:shd w:val="clear" w:color="auto" w:fill="auto"/>
                  <w:noWrap/>
                  <w:vAlign w:val="center"/>
                </w:tcPr>
                <w:p w14:paraId="013DBDA7">
                  <w:pPr>
                    <w:spacing w:line="240" w:lineRule="exact"/>
                    <w:ind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61</w:t>
                  </w:r>
                </w:p>
              </w:tc>
              <w:tc>
                <w:tcPr>
                  <w:tcW w:w="557" w:type="pct"/>
                  <w:tcBorders>
                    <w:tl2br w:val="nil"/>
                    <w:tr2bl w:val="nil"/>
                  </w:tcBorders>
                  <w:shd w:val="clear" w:color="auto" w:fill="auto"/>
                  <w:noWrap/>
                  <w:vAlign w:val="center"/>
                </w:tcPr>
                <w:p w14:paraId="404B883A">
                  <w:pPr>
                    <w:spacing w:line="240" w:lineRule="exact"/>
                    <w:ind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54</w:t>
                  </w:r>
                </w:p>
              </w:tc>
              <w:tc>
                <w:tcPr>
                  <w:tcW w:w="216" w:type="pct"/>
                  <w:tcBorders>
                    <w:tl2br w:val="nil"/>
                    <w:tr2bl w:val="nil"/>
                  </w:tcBorders>
                  <w:noWrap/>
                  <w:vAlign w:val="center"/>
                </w:tcPr>
                <w:p w14:paraId="76D89B93">
                  <w:pPr>
                    <w:spacing w:line="240" w:lineRule="exact"/>
                    <w:ind w:firstLine="0" w:firstLineChars="0"/>
                    <w:jc w:val="cente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65</w:t>
                  </w:r>
                </w:p>
              </w:tc>
              <w:tc>
                <w:tcPr>
                  <w:tcW w:w="274" w:type="pct"/>
                  <w:tcBorders>
                    <w:tl2br w:val="nil"/>
                    <w:tr2bl w:val="nil"/>
                  </w:tcBorders>
                  <w:noWrap/>
                  <w:vAlign w:val="center"/>
                </w:tcPr>
                <w:p w14:paraId="7213CA34">
                  <w:pPr>
                    <w:spacing w:line="240" w:lineRule="exact"/>
                    <w:ind w:firstLine="0" w:firstLineChars="0"/>
                    <w:jc w:val="cente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55</w:t>
                  </w:r>
                </w:p>
              </w:tc>
              <w:tc>
                <w:tcPr>
                  <w:tcW w:w="255" w:type="pct"/>
                  <w:tcBorders>
                    <w:tl2br w:val="nil"/>
                    <w:tr2bl w:val="nil"/>
                  </w:tcBorders>
                  <w:noWrap/>
                  <w:vAlign w:val="center"/>
                </w:tcPr>
                <w:p w14:paraId="5F81FF15">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c>
                <w:tcPr>
                  <w:tcW w:w="255" w:type="pct"/>
                  <w:tcBorders>
                    <w:tl2br w:val="nil"/>
                    <w:tr2bl w:val="nil"/>
                  </w:tcBorders>
                  <w:noWrap/>
                  <w:vAlign w:val="center"/>
                </w:tcPr>
                <w:p w14:paraId="64D565F8">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r w14:paraId="30789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23" w:type="pct"/>
                  <w:tcBorders>
                    <w:tl2br w:val="nil"/>
                    <w:tr2bl w:val="nil"/>
                  </w:tcBorders>
                  <w:vAlign w:val="center"/>
                </w:tcPr>
                <w:p w14:paraId="29FDD22F">
                  <w:pPr>
                    <w:spacing w:line="240" w:lineRule="exact"/>
                    <w:ind w:firstLine="0" w:firstLineChars="0"/>
                    <w:jc w:val="cente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w:t>
                  </w:r>
                  <w:r>
                    <w:rPr>
                      <w:rFonts w:hint="eastAsia" w:cs="Times New Roman"/>
                      <w:color w:val="auto"/>
                      <w:sz w:val="21"/>
                      <w:szCs w:val="21"/>
                      <w:highlight w:val="none"/>
                      <w:lang w:val="en-US" w:eastAsia="zh-CN"/>
                    </w:rPr>
                    <w:t>西</w:t>
                  </w:r>
                  <w:r>
                    <w:rPr>
                      <w:rFonts w:hint="default" w:ascii="Times New Roman" w:hAnsi="Times New Roman" w:cs="Times New Roman"/>
                      <w:color w:val="auto"/>
                      <w:sz w:val="21"/>
                      <w:szCs w:val="21"/>
                      <w:highlight w:val="none"/>
                    </w:rPr>
                    <w:t>厂界</w:t>
                  </w:r>
                </w:p>
              </w:tc>
              <w:tc>
                <w:tcPr>
                  <w:tcW w:w="1045" w:type="pct"/>
                  <w:tcBorders>
                    <w:right w:val="single" w:color="auto" w:sz="4" w:space="0"/>
                    <w:tl2br w:val="nil"/>
                    <w:tr2bl w:val="nil"/>
                  </w:tcBorders>
                  <w:noWrap/>
                  <w:vAlign w:val="center"/>
                </w:tcPr>
                <w:p w14:paraId="2D40BFFD">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352.68</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-818.4</w:t>
                  </w:r>
                  <w:r>
                    <w:rPr>
                      <w:rFonts w:hint="eastAsia" w:cs="Times New Roman"/>
                      <w:color w:val="auto"/>
                      <w:sz w:val="21"/>
                      <w:szCs w:val="21"/>
                      <w:highlight w:val="none"/>
                      <w:lang w:val="en-US" w:eastAsia="zh-CN"/>
                    </w:rPr>
                    <w:t>,1.2</w:t>
                  </w:r>
                  <w:r>
                    <w:rPr>
                      <w:rFonts w:hint="eastAsia"/>
                      <w:color w:val="auto"/>
                      <w:highlight w:val="none"/>
                      <w:lang w:val="en-US" w:eastAsia="zh-CN"/>
                    </w:rPr>
                    <w:t>)</w:t>
                  </w:r>
                </w:p>
              </w:tc>
              <w:tc>
                <w:tcPr>
                  <w:tcW w:w="688" w:type="dxa"/>
                  <w:tcBorders>
                    <w:left w:val="single" w:color="auto" w:sz="4" w:space="0"/>
                    <w:right w:val="single" w:color="auto" w:sz="4" w:space="0"/>
                    <w:tl2br w:val="nil"/>
                    <w:tr2bl w:val="nil"/>
                  </w:tcBorders>
                  <w:noWrap/>
                  <w:vAlign w:val="center"/>
                </w:tcPr>
                <w:p w14:paraId="28AFC2D6">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3.7</w:t>
                  </w:r>
                </w:p>
              </w:tc>
              <w:tc>
                <w:tcPr>
                  <w:tcW w:w="534" w:type="dxa"/>
                  <w:tcBorders>
                    <w:left w:val="single" w:color="auto" w:sz="4" w:space="0"/>
                    <w:tl2br w:val="nil"/>
                    <w:tr2bl w:val="nil"/>
                  </w:tcBorders>
                  <w:noWrap/>
                  <w:vAlign w:val="center"/>
                </w:tcPr>
                <w:p w14:paraId="55BBFF31">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3.7</w:t>
                  </w:r>
                </w:p>
              </w:tc>
              <w:tc>
                <w:tcPr>
                  <w:tcW w:w="413" w:type="dxa"/>
                  <w:tcBorders>
                    <w:tl2br w:val="nil"/>
                    <w:tr2bl w:val="nil"/>
                  </w:tcBorders>
                  <w:noWrap/>
                  <w:vAlign w:val="center"/>
                </w:tcPr>
                <w:p w14:paraId="6E5EC2B2">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58</w:t>
                  </w:r>
                </w:p>
              </w:tc>
              <w:tc>
                <w:tcPr>
                  <w:tcW w:w="948" w:type="dxa"/>
                  <w:tcBorders>
                    <w:tl2br w:val="nil"/>
                    <w:tr2bl w:val="nil"/>
                  </w:tcBorders>
                  <w:noWrap/>
                  <w:vAlign w:val="center"/>
                </w:tcPr>
                <w:p w14:paraId="30B61E14">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52</w:t>
                  </w:r>
                </w:p>
              </w:tc>
              <w:tc>
                <w:tcPr>
                  <w:tcW w:w="554" w:type="pct"/>
                  <w:tcBorders>
                    <w:tl2br w:val="nil"/>
                    <w:tr2bl w:val="nil"/>
                  </w:tcBorders>
                  <w:noWrap/>
                  <w:vAlign w:val="center"/>
                </w:tcPr>
                <w:p w14:paraId="500E0867">
                  <w:pPr>
                    <w:spacing w:line="240" w:lineRule="exact"/>
                    <w:ind w:firstLine="0" w:firstLine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58</w:t>
                  </w:r>
                </w:p>
              </w:tc>
              <w:tc>
                <w:tcPr>
                  <w:tcW w:w="557" w:type="pct"/>
                  <w:tcBorders>
                    <w:tl2br w:val="nil"/>
                    <w:tr2bl w:val="nil"/>
                  </w:tcBorders>
                  <w:noWrap/>
                  <w:vAlign w:val="center"/>
                </w:tcPr>
                <w:p w14:paraId="2D3E8B36">
                  <w:pPr>
                    <w:spacing w:line="240" w:lineRule="exact"/>
                    <w:ind w:firstLine="0" w:firstLine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52</w:t>
                  </w:r>
                </w:p>
              </w:tc>
              <w:tc>
                <w:tcPr>
                  <w:tcW w:w="216" w:type="pct"/>
                  <w:tcBorders>
                    <w:tl2br w:val="nil"/>
                    <w:tr2bl w:val="nil"/>
                  </w:tcBorders>
                  <w:noWrap/>
                  <w:vAlign w:val="center"/>
                </w:tcPr>
                <w:p w14:paraId="402B7004">
                  <w:pPr>
                    <w:spacing w:line="240" w:lineRule="exact"/>
                    <w:ind w:firstLine="0" w:firstLineChars="0"/>
                    <w:jc w:val="cente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65</w:t>
                  </w:r>
                </w:p>
              </w:tc>
              <w:tc>
                <w:tcPr>
                  <w:tcW w:w="274" w:type="pct"/>
                  <w:tcBorders>
                    <w:tl2br w:val="nil"/>
                    <w:tr2bl w:val="nil"/>
                  </w:tcBorders>
                  <w:noWrap/>
                  <w:vAlign w:val="center"/>
                </w:tcPr>
                <w:p w14:paraId="43F2FB40">
                  <w:pPr>
                    <w:spacing w:line="240" w:lineRule="exact"/>
                    <w:ind w:firstLine="0" w:firstLineChars="0"/>
                    <w:jc w:val="cente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55</w:t>
                  </w:r>
                </w:p>
              </w:tc>
              <w:tc>
                <w:tcPr>
                  <w:tcW w:w="255" w:type="pct"/>
                  <w:tcBorders>
                    <w:tl2br w:val="nil"/>
                    <w:tr2bl w:val="nil"/>
                  </w:tcBorders>
                  <w:noWrap/>
                  <w:vAlign w:val="center"/>
                </w:tcPr>
                <w:p w14:paraId="34F6A0CA">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c>
                <w:tcPr>
                  <w:tcW w:w="255" w:type="pct"/>
                  <w:tcBorders>
                    <w:tl2br w:val="nil"/>
                    <w:tr2bl w:val="nil"/>
                  </w:tcBorders>
                  <w:noWrap/>
                  <w:vAlign w:val="center"/>
                </w:tcPr>
                <w:p w14:paraId="66BA7359">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bl>
          <w:p w14:paraId="1B2DE4AF">
            <w:pPr>
              <w:pStyle w:val="21"/>
              <w:jc w:val="both"/>
              <w:rPr>
                <w:rFonts w:hint="default" w:ascii="Times New Roman" w:hAnsi="Times New Roman" w:eastAsia="宋体" w:cs="Times New Roman"/>
                <w:b w:val="0"/>
                <w:bCs/>
                <w:color w:val="auto"/>
                <w:highlight w:val="none"/>
                <w:lang w:val="en-US" w:eastAsia="zh-CN"/>
              </w:rPr>
            </w:pPr>
            <w:r>
              <w:rPr>
                <w:rFonts w:hint="default" w:ascii="Times New Roman" w:hAnsi="Times New Roman" w:cs="Times New Roman"/>
                <w:b w:val="0"/>
                <w:bCs/>
                <w:color w:val="auto"/>
                <w:sz w:val="21"/>
                <w:szCs w:val="21"/>
                <w:highlight w:val="none"/>
                <w:lang w:val="en-US" w:eastAsia="zh-CN"/>
              </w:rPr>
              <w:t>注：现状值为</w:t>
            </w:r>
            <w:r>
              <w:rPr>
                <w:rFonts w:hint="default" w:ascii="Times New Roman" w:hAnsi="Times New Roman" w:eastAsia="宋体" w:cs="Times New Roman"/>
                <w:b w:val="0"/>
                <w:bCs/>
                <w:color w:val="auto"/>
                <w:highlight w:val="none"/>
              </w:rPr>
              <w:t>2021年</w:t>
            </w:r>
            <w:r>
              <w:rPr>
                <w:rFonts w:hint="default" w:ascii="Times New Roman" w:hAnsi="Times New Roman" w:eastAsia="宋体" w:cs="Times New Roman"/>
                <w:b w:val="0"/>
                <w:bCs/>
                <w:color w:val="auto"/>
                <w:highlight w:val="none"/>
                <w:lang w:val="en-US" w:eastAsia="zh-CN"/>
              </w:rPr>
              <w:t>12</w:t>
            </w:r>
            <w:r>
              <w:rPr>
                <w:rFonts w:hint="default" w:ascii="Times New Roman" w:hAnsi="Times New Roman" w:eastAsia="宋体" w:cs="Times New Roman"/>
                <w:b w:val="0"/>
                <w:bCs/>
                <w:color w:val="auto"/>
                <w:highlight w:val="none"/>
              </w:rPr>
              <w:t>月1</w:t>
            </w:r>
            <w:r>
              <w:rPr>
                <w:rFonts w:hint="default" w:ascii="Times New Roman" w:hAnsi="Times New Roman" w:eastAsia="宋体" w:cs="Times New Roman"/>
                <w:b w:val="0"/>
                <w:bCs/>
                <w:color w:val="auto"/>
                <w:highlight w:val="none"/>
                <w:lang w:val="en-US" w:eastAsia="zh-CN"/>
              </w:rPr>
              <w:t>7</w:t>
            </w:r>
            <w:r>
              <w:rPr>
                <w:rFonts w:hint="default" w:ascii="Times New Roman" w:hAnsi="Times New Roman" w:eastAsia="宋体" w:cs="Times New Roman"/>
                <w:b w:val="0"/>
                <w:bCs/>
                <w:color w:val="auto"/>
                <w:highlight w:val="none"/>
              </w:rPr>
              <w:t>日、20</w:t>
            </w:r>
            <w:r>
              <w:rPr>
                <w:rFonts w:hint="default" w:ascii="Times New Roman" w:hAnsi="Times New Roman" w:eastAsia="宋体" w:cs="Times New Roman"/>
                <w:b w:val="0"/>
                <w:bCs/>
                <w:color w:val="auto"/>
                <w:highlight w:val="none"/>
                <w:lang w:val="en-US" w:eastAsia="zh-CN"/>
              </w:rPr>
              <w:t>21</w:t>
            </w:r>
            <w:r>
              <w:rPr>
                <w:rFonts w:hint="default" w:ascii="Times New Roman" w:hAnsi="Times New Roman" w:eastAsia="宋体" w:cs="Times New Roman"/>
                <w:b w:val="0"/>
                <w:bCs/>
                <w:color w:val="auto"/>
                <w:highlight w:val="none"/>
              </w:rPr>
              <w:t>年</w:t>
            </w:r>
            <w:r>
              <w:rPr>
                <w:rFonts w:hint="default" w:ascii="Times New Roman" w:hAnsi="Times New Roman" w:eastAsia="宋体" w:cs="Times New Roman"/>
                <w:b w:val="0"/>
                <w:bCs/>
                <w:color w:val="auto"/>
                <w:highlight w:val="none"/>
                <w:lang w:val="en-US" w:eastAsia="zh-CN"/>
              </w:rPr>
              <w:t>12</w:t>
            </w:r>
            <w:r>
              <w:rPr>
                <w:rFonts w:hint="default" w:ascii="Times New Roman" w:hAnsi="Times New Roman" w:eastAsia="宋体" w:cs="Times New Roman"/>
                <w:b w:val="0"/>
                <w:bCs/>
                <w:color w:val="auto"/>
                <w:highlight w:val="none"/>
              </w:rPr>
              <w:t>月</w:t>
            </w:r>
            <w:r>
              <w:rPr>
                <w:rFonts w:hint="default" w:ascii="Times New Roman" w:hAnsi="Times New Roman" w:eastAsia="宋体" w:cs="Times New Roman"/>
                <w:b w:val="0"/>
                <w:bCs/>
                <w:color w:val="auto"/>
                <w:highlight w:val="none"/>
                <w:lang w:val="en-US" w:eastAsia="zh-CN"/>
              </w:rPr>
              <w:t>18日的监测值，后续未有项目投产运行。</w:t>
            </w:r>
          </w:p>
          <w:p w14:paraId="6799E92B">
            <w:pPr>
              <w:pStyle w:val="21"/>
              <w:rPr>
                <w:rFonts w:hint="default" w:ascii="Times New Roman" w:hAnsi="Times New Roman" w:cs="Times New Roman"/>
                <w:color w:val="auto"/>
                <w:sz w:val="21"/>
                <w:szCs w:val="21"/>
                <w:highlight w:val="none"/>
              </w:rPr>
            </w:pPr>
          </w:p>
          <w:p w14:paraId="457C36DD">
            <w:pPr>
              <w:pStyle w:val="21"/>
              <w:rPr>
                <w:rFonts w:hint="default" w:ascii="Times New Roman" w:hAnsi="Times New Roman" w:cs="Times New Roman"/>
                <w:color w:val="auto"/>
                <w:sz w:val="21"/>
                <w:szCs w:val="21"/>
                <w:highlight w:val="none"/>
              </w:rPr>
            </w:pPr>
          </w:p>
          <w:p w14:paraId="79E411B4">
            <w:pPr>
              <w:pStyle w:val="21"/>
              <w:rPr>
                <w:rFonts w:hint="default" w:ascii="Times New Roman" w:hAnsi="Times New Roman" w:cs="Times New Roman"/>
                <w:color w:val="auto"/>
                <w:sz w:val="21"/>
                <w:szCs w:val="21"/>
                <w:highlight w:val="none"/>
              </w:rPr>
            </w:pPr>
          </w:p>
          <w:p w14:paraId="059D3B75">
            <w:pPr>
              <w:pStyle w:val="21"/>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17</w:t>
            </w:r>
            <w:r>
              <w:rPr>
                <w:rFonts w:hint="default" w:ascii="Times New Roman" w:hAnsi="Times New Roman" w:cs="Times New Roman"/>
                <w:color w:val="auto"/>
                <w:sz w:val="21"/>
                <w:szCs w:val="21"/>
                <w:highlight w:val="none"/>
              </w:rPr>
              <w:t xml:space="preserve">   </w:t>
            </w:r>
            <w:r>
              <w:rPr>
                <w:rFonts w:hint="eastAsia" w:ascii="Times New Roman" w:hAnsi="Times New Roman" w:cs="Times New Roman"/>
                <w:color w:val="auto"/>
                <w:sz w:val="21"/>
                <w:szCs w:val="21"/>
                <w:highlight w:val="none"/>
                <w:lang w:val="en-US" w:eastAsia="zh-CN"/>
              </w:rPr>
              <w:t>敏感点噪声</w:t>
            </w:r>
            <w:r>
              <w:rPr>
                <w:rFonts w:hint="default" w:ascii="Times New Roman" w:hAnsi="Times New Roman" w:cs="Times New Roman"/>
                <w:color w:val="auto"/>
                <w:sz w:val="21"/>
                <w:szCs w:val="21"/>
                <w:highlight w:val="none"/>
              </w:rPr>
              <w:t>预测值一览表(dB(A))</w:t>
            </w:r>
          </w:p>
          <w:tbl>
            <w:tblPr>
              <w:tblStyle w:val="84"/>
              <w:tblW w:w="499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740"/>
              <w:gridCol w:w="1575"/>
              <w:gridCol w:w="474"/>
              <w:gridCol w:w="552"/>
              <w:gridCol w:w="530"/>
              <w:gridCol w:w="912"/>
              <w:gridCol w:w="905"/>
              <w:gridCol w:w="912"/>
              <w:gridCol w:w="346"/>
              <w:gridCol w:w="446"/>
              <w:gridCol w:w="422"/>
              <w:gridCol w:w="423"/>
            </w:tblGrid>
            <w:tr w14:paraId="7D2D0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449" w:type="pct"/>
                  <w:vMerge w:val="restart"/>
                  <w:tcBorders>
                    <w:tl2br w:val="nil"/>
                    <w:tr2bl w:val="nil"/>
                  </w:tcBorders>
                  <w:vAlign w:val="center"/>
                </w:tcPr>
                <w:p w14:paraId="19172F79">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点位</w:t>
                  </w:r>
                </w:p>
              </w:tc>
              <w:tc>
                <w:tcPr>
                  <w:tcW w:w="956" w:type="pct"/>
                  <w:vMerge w:val="restart"/>
                  <w:tcBorders>
                    <w:right w:val="single" w:color="auto" w:sz="4" w:space="0"/>
                    <w:tl2br w:val="nil"/>
                    <w:tr2bl w:val="nil"/>
                  </w:tcBorders>
                  <w:noWrap/>
                  <w:vAlign w:val="center"/>
                </w:tcPr>
                <w:p w14:paraId="2C8E35B1">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rPr>
                    <w:t>空间相对位置(m)</w:t>
                  </w:r>
                </w:p>
              </w:tc>
              <w:tc>
                <w:tcPr>
                  <w:tcW w:w="623" w:type="pct"/>
                  <w:gridSpan w:val="2"/>
                  <w:tcBorders>
                    <w:left w:val="single" w:color="auto" w:sz="4" w:space="0"/>
                    <w:tl2br w:val="nil"/>
                    <w:tr2bl w:val="nil"/>
                  </w:tcBorders>
                  <w:noWrap/>
                  <w:vAlign w:val="center"/>
                </w:tcPr>
                <w:p w14:paraId="7C2AFAC3">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贡献值</w:t>
                  </w:r>
                </w:p>
              </w:tc>
              <w:tc>
                <w:tcPr>
                  <w:tcW w:w="875" w:type="pct"/>
                  <w:gridSpan w:val="2"/>
                  <w:tcBorders>
                    <w:tl2br w:val="nil"/>
                    <w:tr2bl w:val="nil"/>
                  </w:tcBorders>
                  <w:noWrap/>
                  <w:vAlign w:val="center"/>
                </w:tcPr>
                <w:p w14:paraId="3C6D65F0">
                  <w:pPr>
                    <w:spacing w:line="240" w:lineRule="exact"/>
                    <w:ind w:firstLine="0" w:firstLineChars="0"/>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现状值</w:t>
                  </w:r>
                </w:p>
              </w:tc>
              <w:tc>
                <w:tcPr>
                  <w:tcW w:w="1102" w:type="pct"/>
                  <w:gridSpan w:val="2"/>
                  <w:tcBorders>
                    <w:tl2br w:val="nil"/>
                    <w:tr2bl w:val="nil"/>
                  </w:tcBorders>
                  <w:noWrap/>
                  <w:vAlign w:val="center"/>
                </w:tcPr>
                <w:p w14:paraId="030F6074">
                  <w:pPr>
                    <w:spacing w:line="240" w:lineRule="exact"/>
                    <w:ind w:firstLine="0" w:firstLineChars="0"/>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预测值</w:t>
                  </w:r>
                </w:p>
              </w:tc>
              <w:tc>
                <w:tcPr>
                  <w:tcW w:w="481" w:type="pct"/>
                  <w:gridSpan w:val="2"/>
                  <w:tcBorders>
                    <w:tl2br w:val="nil"/>
                    <w:tr2bl w:val="nil"/>
                  </w:tcBorders>
                  <w:noWrap/>
                  <w:vAlign w:val="center"/>
                </w:tcPr>
                <w:p w14:paraId="5C052F31">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标准值</w:t>
                  </w:r>
                </w:p>
              </w:tc>
              <w:tc>
                <w:tcPr>
                  <w:tcW w:w="512" w:type="pct"/>
                  <w:gridSpan w:val="2"/>
                  <w:tcBorders>
                    <w:tl2br w:val="nil"/>
                    <w:tr2bl w:val="nil"/>
                  </w:tcBorders>
                  <w:noWrap/>
                  <w:vAlign w:val="center"/>
                </w:tcPr>
                <w:p w14:paraId="63923D17">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达标分析</w:t>
                  </w:r>
                </w:p>
              </w:tc>
            </w:tr>
            <w:tr w14:paraId="590A4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449" w:type="pct"/>
                  <w:vMerge w:val="continue"/>
                  <w:tcBorders>
                    <w:tl2br w:val="nil"/>
                    <w:tr2bl w:val="nil"/>
                  </w:tcBorders>
                  <w:vAlign w:val="center"/>
                </w:tcPr>
                <w:p w14:paraId="7D05769B">
                  <w:pPr>
                    <w:spacing w:line="240" w:lineRule="exact"/>
                    <w:ind w:firstLine="0" w:firstLineChars="0"/>
                    <w:jc w:val="center"/>
                    <w:rPr>
                      <w:rFonts w:hint="default" w:ascii="Times New Roman" w:hAnsi="Times New Roman" w:cs="Times New Roman"/>
                      <w:color w:val="auto"/>
                      <w:sz w:val="21"/>
                      <w:szCs w:val="21"/>
                      <w:highlight w:val="none"/>
                    </w:rPr>
                  </w:pPr>
                </w:p>
              </w:tc>
              <w:tc>
                <w:tcPr>
                  <w:tcW w:w="956" w:type="pct"/>
                  <w:vMerge w:val="continue"/>
                  <w:tcBorders>
                    <w:right w:val="single" w:color="auto" w:sz="4" w:space="0"/>
                    <w:tl2br w:val="nil"/>
                    <w:tr2bl w:val="nil"/>
                  </w:tcBorders>
                  <w:vAlign w:val="center"/>
                </w:tcPr>
                <w:p w14:paraId="0227B6A5">
                  <w:pPr>
                    <w:spacing w:line="240" w:lineRule="exact"/>
                    <w:ind w:firstLine="0" w:firstLineChars="0"/>
                    <w:jc w:val="center"/>
                    <w:rPr>
                      <w:rFonts w:hint="default" w:ascii="Times New Roman" w:hAnsi="Times New Roman" w:cs="Times New Roman"/>
                      <w:color w:val="auto"/>
                      <w:sz w:val="21"/>
                      <w:szCs w:val="21"/>
                      <w:highlight w:val="none"/>
                    </w:rPr>
                  </w:pPr>
                </w:p>
              </w:tc>
              <w:tc>
                <w:tcPr>
                  <w:tcW w:w="288" w:type="pct"/>
                  <w:tcBorders>
                    <w:left w:val="single" w:color="auto" w:sz="4" w:space="0"/>
                    <w:right w:val="single" w:color="auto" w:sz="4" w:space="0"/>
                    <w:tl2br w:val="nil"/>
                    <w:tr2bl w:val="nil"/>
                  </w:tcBorders>
                  <w:vAlign w:val="center"/>
                </w:tcPr>
                <w:p w14:paraId="49C2B259">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334" w:type="pct"/>
                  <w:tcBorders>
                    <w:left w:val="single" w:color="auto" w:sz="4" w:space="0"/>
                    <w:tl2br w:val="nil"/>
                    <w:tr2bl w:val="nil"/>
                  </w:tcBorders>
                  <w:vAlign w:val="center"/>
                </w:tcPr>
                <w:p w14:paraId="2739C587">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c>
                <w:tcPr>
                  <w:tcW w:w="322" w:type="pct"/>
                  <w:tcBorders>
                    <w:tl2br w:val="nil"/>
                    <w:tr2bl w:val="nil"/>
                  </w:tcBorders>
                  <w:vAlign w:val="center"/>
                </w:tcPr>
                <w:p w14:paraId="5978B98C">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552" w:type="pct"/>
                  <w:tcBorders>
                    <w:tl2br w:val="nil"/>
                    <w:tr2bl w:val="nil"/>
                  </w:tcBorders>
                  <w:vAlign w:val="center"/>
                </w:tcPr>
                <w:p w14:paraId="1A0CD454">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c>
                <w:tcPr>
                  <w:tcW w:w="549" w:type="pct"/>
                  <w:tcBorders>
                    <w:tl2br w:val="nil"/>
                    <w:tr2bl w:val="nil"/>
                  </w:tcBorders>
                  <w:vAlign w:val="center"/>
                </w:tcPr>
                <w:p w14:paraId="72968C5D">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552" w:type="pct"/>
                  <w:tcBorders>
                    <w:tl2br w:val="nil"/>
                    <w:tr2bl w:val="nil"/>
                  </w:tcBorders>
                  <w:vAlign w:val="center"/>
                </w:tcPr>
                <w:p w14:paraId="46867FC7">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c>
                <w:tcPr>
                  <w:tcW w:w="210" w:type="pct"/>
                  <w:tcBorders>
                    <w:tl2br w:val="nil"/>
                    <w:tr2bl w:val="nil"/>
                  </w:tcBorders>
                  <w:vAlign w:val="center"/>
                </w:tcPr>
                <w:p w14:paraId="65C2793F">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271" w:type="pct"/>
                  <w:tcBorders>
                    <w:tl2br w:val="nil"/>
                    <w:tr2bl w:val="nil"/>
                  </w:tcBorders>
                  <w:vAlign w:val="center"/>
                </w:tcPr>
                <w:p w14:paraId="6723EA5B">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c>
                <w:tcPr>
                  <w:tcW w:w="256" w:type="pct"/>
                  <w:tcBorders>
                    <w:tl2br w:val="nil"/>
                    <w:tr2bl w:val="nil"/>
                  </w:tcBorders>
                  <w:vAlign w:val="center"/>
                </w:tcPr>
                <w:p w14:paraId="3803D5EE">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昼间</w:t>
                  </w:r>
                </w:p>
              </w:tc>
              <w:tc>
                <w:tcPr>
                  <w:tcW w:w="256" w:type="pct"/>
                  <w:tcBorders>
                    <w:tl2br w:val="nil"/>
                    <w:tr2bl w:val="nil"/>
                  </w:tcBorders>
                  <w:vAlign w:val="center"/>
                </w:tcPr>
                <w:p w14:paraId="66219D3F">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夜间</w:t>
                  </w:r>
                </w:p>
              </w:tc>
            </w:tr>
            <w:tr w14:paraId="11440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449" w:type="pct"/>
                  <w:tcBorders>
                    <w:tl2br w:val="nil"/>
                    <w:tr2bl w:val="nil"/>
                  </w:tcBorders>
                  <w:vAlign w:val="center"/>
                </w:tcPr>
                <w:p w14:paraId="552E05C0">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曹庄子村</w:t>
                  </w:r>
                </w:p>
              </w:tc>
              <w:tc>
                <w:tcPr>
                  <w:tcW w:w="956" w:type="pct"/>
                  <w:tcBorders>
                    <w:right w:val="single" w:color="auto" w:sz="4" w:space="0"/>
                    <w:tl2br w:val="nil"/>
                    <w:tr2bl w:val="nil"/>
                  </w:tcBorders>
                  <w:noWrap/>
                  <w:vAlign w:val="center"/>
                </w:tcPr>
                <w:p w14:paraId="117B1CB5">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1076.39</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-937.16</w:t>
                  </w:r>
                  <w:r>
                    <w:rPr>
                      <w:rFonts w:hint="eastAsia" w:cs="Times New Roman"/>
                      <w:color w:val="auto"/>
                      <w:sz w:val="21"/>
                      <w:szCs w:val="21"/>
                      <w:highlight w:val="none"/>
                      <w:lang w:val="en-US" w:eastAsia="zh-CN"/>
                    </w:rPr>
                    <w:t>,1.2)</w:t>
                  </w:r>
                </w:p>
              </w:tc>
              <w:tc>
                <w:tcPr>
                  <w:tcW w:w="288" w:type="pct"/>
                  <w:tcBorders>
                    <w:left w:val="single" w:color="auto" w:sz="4" w:space="0"/>
                    <w:right w:val="single" w:color="auto" w:sz="4" w:space="0"/>
                    <w:tl2br w:val="nil"/>
                    <w:tr2bl w:val="nil"/>
                  </w:tcBorders>
                  <w:noWrap/>
                  <w:vAlign w:val="center"/>
                </w:tcPr>
                <w:p w14:paraId="73E509D1">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w:t>
                  </w:r>
                </w:p>
              </w:tc>
              <w:tc>
                <w:tcPr>
                  <w:tcW w:w="334" w:type="pct"/>
                  <w:tcBorders>
                    <w:left w:val="single" w:color="auto" w:sz="4" w:space="0"/>
                    <w:tl2br w:val="nil"/>
                    <w:tr2bl w:val="nil"/>
                  </w:tcBorders>
                  <w:noWrap/>
                  <w:vAlign w:val="center"/>
                </w:tcPr>
                <w:p w14:paraId="656B10EF">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w:t>
                  </w:r>
                </w:p>
              </w:tc>
              <w:tc>
                <w:tcPr>
                  <w:tcW w:w="322" w:type="pct"/>
                  <w:tcBorders>
                    <w:tl2br w:val="nil"/>
                    <w:tr2bl w:val="nil"/>
                  </w:tcBorders>
                  <w:noWrap/>
                  <w:vAlign w:val="center"/>
                </w:tcPr>
                <w:p w14:paraId="7772B40C">
                  <w:pPr>
                    <w:spacing w:line="240" w:lineRule="exact"/>
                    <w:ind w:firstLine="0" w:firstLineChars="0"/>
                    <w:jc w:val="center"/>
                    <w:rPr>
                      <w:rFonts w:hint="eastAsia"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54</w:t>
                  </w:r>
                </w:p>
              </w:tc>
              <w:tc>
                <w:tcPr>
                  <w:tcW w:w="552" w:type="pct"/>
                  <w:tcBorders>
                    <w:tl2br w:val="nil"/>
                    <w:tr2bl w:val="nil"/>
                  </w:tcBorders>
                  <w:noWrap/>
                  <w:vAlign w:val="center"/>
                </w:tcPr>
                <w:p w14:paraId="11359598">
                  <w:pPr>
                    <w:spacing w:line="240" w:lineRule="exact"/>
                    <w:ind w:firstLine="0" w:firstLineChars="0"/>
                    <w:jc w:val="center"/>
                    <w:rPr>
                      <w:rFonts w:hint="eastAsia"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48</w:t>
                  </w:r>
                </w:p>
              </w:tc>
              <w:tc>
                <w:tcPr>
                  <w:tcW w:w="549" w:type="pct"/>
                  <w:tcBorders>
                    <w:tl2br w:val="nil"/>
                    <w:tr2bl w:val="nil"/>
                  </w:tcBorders>
                  <w:noWrap/>
                  <w:vAlign w:val="center"/>
                </w:tcPr>
                <w:p w14:paraId="0A17843C">
                  <w:pPr>
                    <w:spacing w:line="240" w:lineRule="exact"/>
                    <w:ind w:firstLine="0" w:firstLineChars="0"/>
                    <w:jc w:val="center"/>
                    <w:rPr>
                      <w:rFonts w:hint="eastAsia"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54</w:t>
                  </w:r>
                </w:p>
              </w:tc>
              <w:tc>
                <w:tcPr>
                  <w:tcW w:w="552" w:type="pct"/>
                  <w:tcBorders>
                    <w:tl2br w:val="nil"/>
                    <w:tr2bl w:val="nil"/>
                  </w:tcBorders>
                  <w:noWrap/>
                  <w:vAlign w:val="center"/>
                </w:tcPr>
                <w:p w14:paraId="66D20B5F">
                  <w:pPr>
                    <w:spacing w:line="240" w:lineRule="exact"/>
                    <w:ind w:firstLine="0" w:firstLineChars="0"/>
                    <w:jc w:val="center"/>
                    <w:rPr>
                      <w:rFonts w:hint="eastAsia"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48</w:t>
                  </w:r>
                </w:p>
              </w:tc>
              <w:tc>
                <w:tcPr>
                  <w:tcW w:w="210" w:type="pct"/>
                  <w:tcBorders>
                    <w:tl2br w:val="nil"/>
                    <w:tr2bl w:val="nil"/>
                  </w:tcBorders>
                  <w:noWrap/>
                  <w:vAlign w:val="center"/>
                </w:tcPr>
                <w:p w14:paraId="551B874A">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60</w:t>
                  </w:r>
                </w:p>
              </w:tc>
              <w:tc>
                <w:tcPr>
                  <w:tcW w:w="271" w:type="pct"/>
                  <w:tcBorders>
                    <w:tl2br w:val="nil"/>
                    <w:tr2bl w:val="nil"/>
                  </w:tcBorders>
                  <w:noWrap/>
                  <w:vAlign w:val="center"/>
                </w:tcPr>
                <w:p w14:paraId="76946145">
                  <w:pPr>
                    <w:spacing w:line="240" w:lineRule="exact"/>
                    <w:ind w:firstLine="0" w:firstLineChars="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256" w:type="pct"/>
                  <w:tcBorders>
                    <w:tl2br w:val="nil"/>
                    <w:tr2bl w:val="nil"/>
                  </w:tcBorders>
                  <w:noWrap/>
                  <w:vAlign w:val="center"/>
                </w:tcPr>
                <w:p w14:paraId="5D49479B">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c>
                <w:tcPr>
                  <w:tcW w:w="256" w:type="pct"/>
                  <w:tcBorders>
                    <w:tl2br w:val="nil"/>
                    <w:tr2bl w:val="nil"/>
                  </w:tcBorders>
                  <w:noWrap/>
                  <w:vAlign w:val="center"/>
                </w:tcPr>
                <w:p w14:paraId="5DCC58EE">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r w14:paraId="2240D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449" w:type="pct"/>
                  <w:tcBorders>
                    <w:tl2br w:val="nil"/>
                    <w:tr2bl w:val="nil"/>
                  </w:tcBorders>
                  <w:vAlign w:val="center"/>
                </w:tcPr>
                <w:p w14:paraId="47442F0E">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木厂口村</w:t>
                  </w:r>
                </w:p>
              </w:tc>
              <w:tc>
                <w:tcPr>
                  <w:tcW w:w="956" w:type="pct"/>
                  <w:tcBorders>
                    <w:right w:val="single" w:color="auto" w:sz="4" w:space="0"/>
                    <w:tl2br w:val="nil"/>
                    <w:tr2bl w:val="nil"/>
                  </w:tcBorders>
                  <w:noWrap/>
                  <w:vAlign w:val="center"/>
                </w:tcPr>
                <w:p w14:paraId="65FD43CB">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1588.55</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-202.32</w:t>
                  </w:r>
                  <w:r>
                    <w:rPr>
                      <w:rFonts w:hint="eastAsia" w:cs="Times New Roman"/>
                      <w:color w:val="auto"/>
                      <w:sz w:val="21"/>
                      <w:szCs w:val="21"/>
                      <w:highlight w:val="none"/>
                      <w:lang w:val="en-US" w:eastAsia="zh-CN"/>
                    </w:rPr>
                    <w:t>,1.2)</w:t>
                  </w:r>
                </w:p>
              </w:tc>
              <w:tc>
                <w:tcPr>
                  <w:tcW w:w="288" w:type="pct"/>
                  <w:tcBorders>
                    <w:left w:val="single" w:color="auto" w:sz="4" w:space="0"/>
                    <w:right w:val="single" w:color="auto" w:sz="4" w:space="0"/>
                    <w:tl2br w:val="nil"/>
                    <w:tr2bl w:val="nil"/>
                  </w:tcBorders>
                  <w:noWrap/>
                  <w:vAlign w:val="center"/>
                </w:tcPr>
                <w:p w14:paraId="7D546F83">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w:t>
                  </w:r>
                </w:p>
              </w:tc>
              <w:tc>
                <w:tcPr>
                  <w:tcW w:w="334" w:type="pct"/>
                  <w:tcBorders>
                    <w:left w:val="single" w:color="auto" w:sz="4" w:space="0"/>
                    <w:tl2br w:val="nil"/>
                    <w:tr2bl w:val="nil"/>
                  </w:tcBorders>
                  <w:noWrap/>
                  <w:vAlign w:val="center"/>
                </w:tcPr>
                <w:p w14:paraId="110FCEB6">
                  <w:pPr>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w:t>
                  </w:r>
                </w:p>
              </w:tc>
              <w:tc>
                <w:tcPr>
                  <w:tcW w:w="322" w:type="pct"/>
                  <w:tcBorders>
                    <w:tl2br w:val="nil"/>
                    <w:tr2bl w:val="nil"/>
                  </w:tcBorders>
                  <w:noWrap/>
                  <w:vAlign w:val="center"/>
                </w:tcPr>
                <w:p w14:paraId="0F6F3F04">
                  <w:pPr>
                    <w:spacing w:line="240" w:lineRule="exact"/>
                    <w:ind w:firstLine="0" w:firstLineChars="0"/>
                    <w:jc w:val="center"/>
                    <w:rPr>
                      <w:rFonts w:hint="eastAsia"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54</w:t>
                  </w:r>
                </w:p>
              </w:tc>
              <w:tc>
                <w:tcPr>
                  <w:tcW w:w="552" w:type="pct"/>
                  <w:tcBorders>
                    <w:tl2br w:val="nil"/>
                    <w:tr2bl w:val="nil"/>
                  </w:tcBorders>
                  <w:noWrap/>
                  <w:vAlign w:val="center"/>
                </w:tcPr>
                <w:p w14:paraId="7538CEB1">
                  <w:pPr>
                    <w:spacing w:line="240" w:lineRule="exact"/>
                    <w:ind w:firstLine="0" w:firstLineChars="0"/>
                    <w:jc w:val="center"/>
                    <w:rPr>
                      <w:rFonts w:hint="eastAsia"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48</w:t>
                  </w:r>
                </w:p>
              </w:tc>
              <w:tc>
                <w:tcPr>
                  <w:tcW w:w="549" w:type="pct"/>
                  <w:tcBorders>
                    <w:tl2br w:val="nil"/>
                    <w:tr2bl w:val="nil"/>
                  </w:tcBorders>
                  <w:noWrap/>
                  <w:vAlign w:val="center"/>
                </w:tcPr>
                <w:p w14:paraId="1BE5A014">
                  <w:pPr>
                    <w:spacing w:line="240" w:lineRule="exact"/>
                    <w:ind w:firstLine="0" w:firstLineChars="0"/>
                    <w:jc w:val="center"/>
                    <w:rPr>
                      <w:rFonts w:hint="eastAsia"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54</w:t>
                  </w:r>
                </w:p>
              </w:tc>
              <w:tc>
                <w:tcPr>
                  <w:tcW w:w="552" w:type="pct"/>
                  <w:tcBorders>
                    <w:tl2br w:val="nil"/>
                    <w:tr2bl w:val="nil"/>
                  </w:tcBorders>
                  <w:noWrap/>
                  <w:vAlign w:val="center"/>
                </w:tcPr>
                <w:p w14:paraId="6366D407">
                  <w:pPr>
                    <w:spacing w:line="240" w:lineRule="exact"/>
                    <w:ind w:firstLine="0" w:firstLineChars="0"/>
                    <w:jc w:val="center"/>
                    <w:rPr>
                      <w:rFonts w:hint="eastAsia"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48</w:t>
                  </w:r>
                </w:p>
              </w:tc>
              <w:tc>
                <w:tcPr>
                  <w:tcW w:w="210" w:type="pct"/>
                  <w:tcBorders>
                    <w:tl2br w:val="nil"/>
                    <w:tr2bl w:val="nil"/>
                  </w:tcBorders>
                  <w:noWrap/>
                  <w:vAlign w:val="center"/>
                </w:tcPr>
                <w:p w14:paraId="38EAA836">
                  <w:pPr>
                    <w:spacing w:line="240" w:lineRule="exact"/>
                    <w:ind w:firstLine="0" w:firstLine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60</w:t>
                  </w:r>
                </w:p>
              </w:tc>
              <w:tc>
                <w:tcPr>
                  <w:tcW w:w="271" w:type="pct"/>
                  <w:tcBorders>
                    <w:tl2br w:val="nil"/>
                    <w:tr2bl w:val="nil"/>
                  </w:tcBorders>
                  <w:noWrap/>
                  <w:vAlign w:val="center"/>
                </w:tcPr>
                <w:p w14:paraId="5ED5D435">
                  <w:pPr>
                    <w:spacing w:line="240" w:lineRule="exact"/>
                    <w:ind w:firstLine="0" w:firstLineChars="0"/>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256" w:type="pct"/>
                  <w:tcBorders>
                    <w:tl2br w:val="nil"/>
                    <w:tr2bl w:val="nil"/>
                  </w:tcBorders>
                  <w:noWrap/>
                  <w:vAlign w:val="center"/>
                </w:tcPr>
                <w:p w14:paraId="1521FE56">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c>
                <w:tcPr>
                  <w:tcW w:w="256" w:type="pct"/>
                  <w:tcBorders>
                    <w:tl2br w:val="nil"/>
                    <w:tr2bl w:val="nil"/>
                  </w:tcBorders>
                  <w:noWrap/>
                  <w:vAlign w:val="center"/>
                </w:tcPr>
                <w:p w14:paraId="7CAA0276">
                  <w:pPr>
                    <w:spacing w:line="2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bl>
          <w:p w14:paraId="65CC2E00">
            <w:pPr>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3.5</w:t>
            </w:r>
            <w:r>
              <w:rPr>
                <w:rFonts w:hint="default" w:ascii="Times New Roman" w:hAnsi="Times New Roman" w:cs="Times New Roman"/>
                <w:color w:val="auto"/>
                <w:sz w:val="21"/>
                <w:szCs w:val="21"/>
                <w:highlight w:val="none"/>
              </w:rPr>
              <w:t>达标情况分析</w:t>
            </w:r>
          </w:p>
          <w:p w14:paraId="2C92D354">
            <w:pPr>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据预测结果，本项目四周厂界噪声</w:t>
            </w:r>
            <w:r>
              <w:rPr>
                <w:rFonts w:hint="eastAsia" w:cs="Times New Roman"/>
                <w:color w:val="auto"/>
                <w:sz w:val="21"/>
                <w:szCs w:val="21"/>
                <w:highlight w:val="none"/>
                <w:lang w:val="en-US" w:eastAsia="zh-CN"/>
              </w:rPr>
              <w:t>昼间</w:t>
            </w:r>
            <w:r>
              <w:rPr>
                <w:rFonts w:hint="default" w:ascii="Times New Roman" w:hAnsi="Times New Roman" w:cs="Times New Roman"/>
                <w:color w:val="auto"/>
                <w:sz w:val="21"/>
                <w:szCs w:val="21"/>
                <w:highlight w:val="none"/>
              </w:rPr>
              <w:t>贡献值为</w:t>
            </w:r>
            <w:r>
              <w:rPr>
                <w:rFonts w:hint="eastAsia" w:cs="Times New Roman"/>
                <w:color w:val="auto"/>
                <w:sz w:val="21"/>
                <w:szCs w:val="21"/>
                <w:highlight w:val="none"/>
                <w:lang w:val="en-US" w:eastAsia="zh-CN"/>
              </w:rPr>
              <w:t>58-61</w:t>
            </w:r>
            <w:r>
              <w:rPr>
                <w:rFonts w:hint="default" w:ascii="Times New Roman" w:hAnsi="Times New Roman" w:cs="Times New Roman"/>
                <w:color w:val="auto"/>
                <w:sz w:val="21"/>
                <w:szCs w:val="21"/>
                <w:highlight w:val="none"/>
              </w:rPr>
              <w:t>dB(A)，</w:t>
            </w:r>
            <w:r>
              <w:rPr>
                <w:rFonts w:hint="eastAsia" w:cs="Times New Roman"/>
                <w:color w:val="auto"/>
                <w:sz w:val="21"/>
                <w:szCs w:val="21"/>
                <w:highlight w:val="none"/>
                <w:lang w:val="en-US" w:eastAsia="zh-CN"/>
              </w:rPr>
              <w:t>夜间</w:t>
            </w:r>
            <w:r>
              <w:rPr>
                <w:rFonts w:hint="default" w:ascii="Times New Roman" w:hAnsi="Times New Roman" w:cs="Times New Roman"/>
                <w:color w:val="auto"/>
                <w:sz w:val="21"/>
                <w:szCs w:val="21"/>
                <w:highlight w:val="none"/>
              </w:rPr>
              <w:t>贡献值为</w:t>
            </w:r>
            <w:r>
              <w:rPr>
                <w:rFonts w:hint="eastAsia" w:cs="Times New Roman"/>
                <w:color w:val="auto"/>
                <w:sz w:val="21"/>
                <w:szCs w:val="21"/>
                <w:highlight w:val="none"/>
                <w:lang w:val="en-US" w:eastAsia="zh-CN"/>
              </w:rPr>
              <w:t>52-54</w:t>
            </w:r>
            <w:r>
              <w:rPr>
                <w:rFonts w:hint="default" w:ascii="Times New Roman" w:hAnsi="Times New Roman" w:cs="Times New Roman"/>
                <w:color w:val="auto"/>
                <w:sz w:val="21"/>
                <w:szCs w:val="21"/>
                <w:highlight w:val="none"/>
              </w:rPr>
              <w:t>dB(A)</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厂界噪声能够满足《工业企业厂界环境噪声排放标准》(GB12348-2008)</w:t>
            </w: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类标准</w:t>
            </w:r>
            <w:r>
              <w:rPr>
                <w:rFonts w:hint="eastAsia" w:cs="Times New Roman"/>
                <w:color w:val="auto"/>
                <w:sz w:val="21"/>
                <w:szCs w:val="21"/>
                <w:highlight w:val="none"/>
                <w:lang w:eastAsia="zh-CN"/>
              </w:rPr>
              <w:t>，</w:t>
            </w:r>
            <w:r>
              <w:rPr>
                <w:rFonts w:hint="eastAsia" w:cs="Times New Roman"/>
                <w:color w:val="auto"/>
                <w:sz w:val="21"/>
                <w:szCs w:val="21"/>
                <w:highlight w:val="none"/>
                <w:lang w:val="en-US" w:eastAsia="zh-CN"/>
              </w:rPr>
              <w:t>敏感点</w:t>
            </w:r>
            <w:r>
              <w:rPr>
                <w:rFonts w:hint="eastAsia"/>
                <w:color w:val="auto"/>
                <w:lang w:val="en-US" w:eastAsia="zh-CN"/>
              </w:rPr>
              <w:t>木厂口村、曹庄子村噪声预测值</w:t>
            </w:r>
            <w:r>
              <w:rPr>
                <w:rFonts w:hint="eastAsia"/>
                <w:color w:val="auto"/>
              </w:rPr>
              <w:t>满足《声环境质量标准》(GB3096-2008)2类标准</w:t>
            </w:r>
            <w:r>
              <w:rPr>
                <w:rFonts w:hint="default" w:ascii="Times New Roman" w:hAnsi="Times New Roman" w:cs="Times New Roman"/>
                <w:color w:val="auto"/>
                <w:sz w:val="21"/>
                <w:szCs w:val="21"/>
                <w:highlight w:val="none"/>
              </w:rPr>
              <w:t>。</w:t>
            </w:r>
          </w:p>
          <w:p w14:paraId="1BD177E0">
            <w:pPr>
              <w:jc w:val="both"/>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3.6</w:t>
            </w:r>
            <w:r>
              <w:rPr>
                <w:rFonts w:hint="default" w:ascii="Times New Roman" w:hAnsi="Times New Roman" w:cs="Times New Roman"/>
                <w:color w:val="auto"/>
                <w:sz w:val="21"/>
                <w:szCs w:val="21"/>
                <w:highlight w:val="none"/>
              </w:rPr>
              <w:t>可行性分析</w:t>
            </w:r>
          </w:p>
          <w:p w14:paraId="5EE38194">
            <w:pPr>
              <w:ind w:firstLine="420"/>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项目对噪声控制主要是在保证运行的同时尽量选用低噪声设备，设备采取基础</w:t>
            </w:r>
            <w:r>
              <w:rPr>
                <w:rFonts w:hint="eastAsia" w:cs="Times New Roman"/>
                <w:color w:val="auto"/>
                <w:sz w:val="21"/>
                <w:szCs w:val="21"/>
                <w:highlight w:val="none"/>
                <w:lang w:eastAsia="zh-CN"/>
              </w:rPr>
              <w:t>减振</w:t>
            </w:r>
            <w:r>
              <w:rPr>
                <w:rFonts w:hint="default" w:ascii="Times New Roman" w:hAnsi="Times New Roman" w:cs="Times New Roman"/>
                <w:color w:val="auto"/>
                <w:sz w:val="21"/>
                <w:szCs w:val="21"/>
                <w:highlight w:val="none"/>
              </w:rPr>
              <w:t>，厂房隔声措施，可降噪1</w:t>
            </w:r>
            <w:r>
              <w:rPr>
                <w:rFonts w:hint="eastAsia"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dB(A)左右。上述噪声治理措施均为成熟可行、可靠的降噪技术，在经济上也是可以接受的。所述项目采用的降噪措施行之有效，治理措施是可行的。</w:t>
            </w:r>
          </w:p>
          <w:p w14:paraId="5DD77433">
            <w:pPr>
              <w:pStyle w:val="2"/>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3.7监测计划</w:t>
            </w:r>
          </w:p>
          <w:p w14:paraId="2D5B43F7">
            <w:pPr>
              <w:pStyle w:val="3"/>
              <w:rPr>
                <w:rFonts w:hint="eastAsia"/>
                <w:color w:val="auto"/>
                <w:lang w:val="en-US" w:eastAsia="zh-CN"/>
              </w:rPr>
            </w:pPr>
            <w:r>
              <w:rPr>
                <w:rFonts w:hint="eastAsia"/>
                <w:color w:val="auto"/>
                <w:lang w:val="en-US" w:eastAsia="zh-CN"/>
              </w:rPr>
              <w:t>项目噪声监测计划如下。</w:t>
            </w:r>
          </w:p>
          <w:p w14:paraId="2B6212D4">
            <w:pPr>
              <w:pStyle w:val="4"/>
              <w:ind w:left="0" w:leftChars="0" w:firstLine="0" w:firstLineChars="0"/>
              <w:jc w:val="center"/>
              <w:rPr>
                <w:rFonts w:hint="default" w:ascii="Times New Roman" w:hAnsi="Times New Roman" w:cs="Times New Roman"/>
                <w:b/>
                <w:bCs/>
                <w:color w:val="auto"/>
                <w:lang w:val="en-US" w:eastAsia="zh-CN"/>
              </w:rPr>
            </w:pPr>
            <w:r>
              <w:rPr>
                <w:rFonts w:hint="default" w:ascii="Times New Roman" w:hAnsi="Times New Roman" w:cs="Times New Roman"/>
                <w:b/>
                <w:bCs/>
                <w:color w:val="auto"/>
                <w:lang w:val="en-US" w:eastAsia="zh-CN"/>
              </w:rPr>
              <w:t>表</w:t>
            </w:r>
            <w:r>
              <w:rPr>
                <w:rFonts w:hint="eastAsia" w:ascii="Times New Roman" w:hAnsi="Times New Roman" w:cs="Times New Roman"/>
                <w:b/>
                <w:bCs/>
                <w:color w:val="auto"/>
                <w:lang w:val="en-US" w:eastAsia="zh-CN"/>
              </w:rPr>
              <w:t xml:space="preserve">4-18  </w:t>
            </w:r>
            <w:r>
              <w:rPr>
                <w:rFonts w:hint="default" w:ascii="Times New Roman" w:hAnsi="Times New Roman" w:cs="Times New Roman"/>
                <w:b/>
                <w:bCs/>
                <w:color w:val="auto"/>
                <w:lang w:val="en-US" w:eastAsia="zh-CN"/>
              </w:rPr>
              <w:t xml:space="preserve">  监测计划一览表</w:t>
            </w:r>
          </w:p>
          <w:tbl>
            <w:tblPr>
              <w:tblStyle w:val="8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59"/>
              <w:gridCol w:w="4418"/>
              <w:gridCol w:w="920"/>
              <w:gridCol w:w="8"/>
              <w:gridCol w:w="1951"/>
            </w:tblGrid>
            <w:tr w14:paraId="48D70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tblHeader/>
                <w:jc w:val="center"/>
              </w:trPr>
              <w:tc>
                <w:tcPr>
                  <w:tcW w:w="581" w:type="pct"/>
                  <w:vAlign w:val="center"/>
                </w:tcPr>
                <w:p w14:paraId="2FB55D47">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项目</w:t>
                  </w:r>
                </w:p>
              </w:tc>
              <w:tc>
                <w:tcPr>
                  <w:tcW w:w="2675" w:type="pct"/>
                  <w:vAlign w:val="center"/>
                </w:tcPr>
                <w:p w14:paraId="2E832145">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监测点位</w:t>
                  </w:r>
                </w:p>
              </w:tc>
              <w:tc>
                <w:tcPr>
                  <w:tcW w:w="557" w:type="pct"/>
                  <w:vAlign w:val="center"/>
                </w:tcPr>
                <w:p w14:paraId="03AF8B28">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监测指标</w:t>
                  </w:r>
                </w:p>
              </w:tc>
              <w:tc>
                <w:tcPr>
                  <w:tcW w:w="1186" w:type="pct"/>
                  <w:gridSpan w:val="2"/>
                  <w:vAlign w:val="center"/>
                </w:tcPr>
                <w:p w14:paraId="281466F2">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监测频次</w:t>
                  </w:r>
                </w:p>
              </w:tc>
            </w:tr>
            <w:tr w14:paraId="29A61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tblHeader/>
                <w:jc w:val="center"/>
              </w:trPr>
              <w:tc>
                <w:tcPr>
                  <w:tcW w:w="581" w:type="pct"/>
                  <w:vAlign w:val="center"/>
                </w:tcPr>
                <w:p w14:paraId="17637C89">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厂界</w:t>
                  </w:r>
                </w:p>
              </w:tc>
              <w:tc>
                <w:tcPr>
                  <w:tcW w:w="2675" w:type="pct"/>
                  <w:vAlign w:val="center"/>
                </w:tcPr>
                <w:p w14:paraId="79979B2D">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厂界(东厂界3个、南厂界2个、西厂界2个、北厂界2个)</w:t>
                  </w:r>
                </w:p>
              </w:tc>
              <w:tc>
                <w:tcPr>
                  <w:tcW w:w="557" w:type="pct"/>
                  <w:vAlign w:val="center"/>
                </w:tcPr>
                <w:p w14:paraId="1750A031">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Leq</w:t>
                  </w:r>
                </w:p>
              </w:tc>
              <w:tc>
                <w:tcPr>
                  <w:tcW w:w="1186" w:type="pct"/>
                  <w:gridSpan w:val="2"/>
                  <w:vAlign w:val="center"/>
                </w:tcPr>
                <w:p w14:paraId="5CC741DE">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1次/季</w:t>
                  </w:r>
                </w:p>
              </w:tc>
            </w:tr>
            <w:tr w14:paraId="6B0C1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jc w:val="center"/>
              </w:trPr>
              <w:tc>
                <w:tcPr>
                  <w:tcW w:w="581" w:type="pct"/>
                  <w:vAlign w:val="center"/>
                </w:tcPr>
                <w:p w14:paraId="6DF6543B">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敏感点</w:t>
                  </w:r>
                </w:p>
              </w:tc>
              <w:tc>
                <w:tcPr>
                  <w:tcW w:w="2675" w:type="pct"/>
                  <w:vAlign w:val="center"/>
                </w:tcPr>
                <w:p w14:paraId="19FE3647">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木厂口村、曹庄子村</w:t>
                  </w:r>
                </w:p>
              </w:tc>
              <w:tc>
                <w:tcPr>
                  <w:tcW w:w="562" w:type="pct"/>
                  <w:gridSpan w:val="2"/>
                  <w:vAlign w:val="center"/>
                </w:tcPr>
                <w:p w14:paraId="4091DC5B">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Leq</w:t>
                  </w:r>
                </w:p>
              </w:tc>
              <w:tc>
                <w:tcPr>
                  <w:tcW w:w="1180" w:type="pct"/>
                  <w:vAlign w:val="center"/>
                </w:tcPr>
                <w:p w14:paraId="5822A564">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1次/季</w:t>
                  </w:r>
                </w:p>
              </w:tc>
            </w:tr>
          </w:tbl>
          <w:p w14:paraId="7B625AB2">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4、固体废物环境影响分析</w:t>
            </w:r>
          </w:p>
          <w:p w14:paraId="0F9C0256">
            <w:pPr>
              <w:ind w:firstLine="420"/>
              <w:jc w:val="both"/>
              <w:rPr>
                <w:rFonts w:hint="default" w:ascii="Times New Roman" w:hAnsi="Times New Roman" w:cs="Times New Roman"/>
                <w:color w:val="auto"/>
                <w:sz w:val="21"/>
                <w:szCs w:val="21"/>
                <w:highlight w:val="none"/>
                <w:lang w:val="eu-ES"/>
              </w:rPr>
            </w:pPr>
            <w:r>
              <w:rPr>
                <w:rFonts w:hint="default" w:ascii="Times New Roman" w:hAnsi="Times New Roman" w:cs="Times New Roman"/>
                <w:color w:val="auto"/>
                <w:sz w:val="21"/>
                <w:szCs w:val="21"/>
                <w:highlight w:val="none"/>
              </w:rPr>
              <w:t>本项目产生的固体废物包括</w:t>
            </w:r>
            <w:r>
              <w:rPr>
                <w:rFonts w:hint="eastAsia" w:cs="Times New Roman"/>
                <w:color w:val="auto"/>
                <w:sz w:val="21"/>
                <w:szCs w:val="21"/>
                <w:highlight w:val="none"/>
                <w:lang w:val="en-US" w:eastAsia="zh-CN"/>
              </w:rPr>
              <w:t>大粒径物料、除尘灰、废布袋、</w:t>
            </w:r>
            <w:r>
              <w:rPr>
                <w:rFonts w:hint="eastAsia"/>
                <w:color w:val="auto"/>
                <w:highlight w:val="none"/>
              </w:rPr>
              <w:t>粘合剂废包装袋</w:t>
            </w:r>
            <w:r>
              <w:rPr>
                <w:rFonts w:hint="eastAsia"/>
                <w:color w:val="auto"/>
                <w:highlight w:val="none"/>
                <w:lang w:eastAsia="zh-CN"/>
              </w:rPr>
              <w:t>、</w:t>
            </w:r>
            <w:r>
              <w:rPr>
                <w:rFonts w:hint="eastAsia" w:cs="Times New Roman"/>
                <w:color w:val="auto"/>
                <w:sz w:val="21"/>
                <w:szCs w:val="21"/>
                <w:highlight w:val="none"/>
                <w:lang w:val="en-US" w:eastAsia="zh-CN"/>
              </w:rPr>
              <w:t>未成形的不合格品、半成品筛分筛下物、洗车沉泥、</w:t>
            </w:r>
            <w:r>
              <w:rPr>
                <w:rFonts w:hint="eastAsia"/>
                <w:color w:val="auto"/>
                <w:sz w:val="21"/>
                <w:szCs w:val="21"/>
                <w:highlight w:val="none"/>
              </w:rPr>
              <w:t>废润滑油、废液压油</w:t>
            </w:r>
            <w:r>
              <w:rPr>
                <w:rFonts w:hint="eastAsia"/>
                <w:color w:val="auto"/>
                <w:sz w:val="21"/>
                <w:szCs w:val="21"/>
                <w:highlight w:val="none"/>
                <w:lang w:eastAsia="zh-CN"/>
              </w:rPr>
              <w:t>、</w:t>
            </w:r>
            <w:r>
              <w:rPr>
                <w:rFonts w:hint="eastAsia"/>
                <w:color w:val="auto"/>
                <w:sz w:val="21"/>
                <w:szCs w:val="21"/>
                <w:highlight w:val="none"/>
              </w:rPr>
              <w:t>废油桶</w:t>
            </w:r>
            <w:r>
              <w:rPr>
                <w:rFonts w:hint="eastAsia"/>
                <w:color w:val="auto"/>
                <w:sz w:val="21"/>
                <w:szCs w:val="21"/>
                <w:highlight w:val="none"/>
                <w:lang w:eastAsia="zh-CN"/>
              </w:rPr>
              <w:t>、</w:t>
            </w:r>
            <w:r>
              <w:rPr>
                <w:rFonts w:hint="eastAsia"/>
                <w:color w:val="auto"/>
                <w:sz w:val="21"/>
                <w:szCs w:val="21"/>
                <w:highlight w:val="none"/>
                <w:lang w:val="en-US" w:eastAsia="zh-CN"/>
              </w:rPr>
              <w:t>废电瓶</w:t>
            </w:r>
            <w:r>
              <w:rPr>
                <w:rFonts w:hint="eastAsia"/>
                <w:color w:val="auto"/>
                <w:sz w:val="21"/>
                <w:szCs w:val="21"/>
                <w:highlight w:val="none"/>
                <w:lang w:eastAsia="zh-CN"/>
              </w:rPr>
              <w:t>，</w:t>
            </w:r>
            <w:r>
              <w:rPr>
                <w:rFonts w:hint="default" w:ascii="Times New Roman" w:hAnsi="Times New Roman" w:cs="Times New Roman"/>
                <w:color w:val="auto"/>
                <w:sz w:val="21"/>
                <w:szCs w:val="21"/>
                <w:highlight w:val="none"/>
              </w:rPr>
              <w:t>项目不新增劳动定员，不增加生活垃圾产生。</w:t>
            </w:r>
          </w:p>
          <w:p w14:paraId="7608F6A5">
            <w:pPr>
              <w:ind w:firstLine="420"/>
              <w:jc w:val="both"/>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4.1一般固废</w:t>
            </w:r>
          </w:p>
          <w:p w14:paraId="60953D03">
            <w:pPr>
              <w:ind w:firstLine="480"/>
              <w:jc w:val="both"/>
              <w:rPr>
                <w:rFonts w:hint="default" w:eastAsia="宋体"/>
                <w:color w:val="auto"/>
                <w:sz w:val="21"/>
                <w:szCs w:val="21"/>
                <w:highlight w:val="none"/>
                <w:lang w:val="en-US" w:eastAsia="zh-CN"/>
              </w:rPr>
            </w:pPr>
            <w:r>
              <w:rPr>
                <w:rFonts w:hint="eastAsia"/>
                <w:color w:val="auto"/>
                <w:sz w:val="21"/>
                <w:szCs w:val="21"/>
                <w:highlight w:val="none"/>
                <w:lang w:val="en-US" w:eastAsia="zh-CN"/>
              </w:rPr>
              <w:t>(1)大粒径物料：项目产生的大粒径物料产生量约为1000t，主要为含铁废料，统一收集后回烧结配料。</w:t>
            </w:r>
          </w:p>
          <w:p w14:paraId="19F3FC54">
            <w:pPr>
              <w:ind w:firstLine="480"/>
              <w:jc w:val="both"/>
              <w:rPr>
                <w:color w:val="auto"/>
                <w:sz w:val="21"/>
                <w:szCs w:val="21"/>
                <w:highlight w:val="none"/>
              </w:rPr>
            </w:pPr>
            <w:r>
              <w:rPr>
                <w:rFonts w:hint="eastAsia"/>
                <w:color w:val="auto"/>
                <w:sz w:val="21"/>
                <w:szCs w:val="21"/>
                <w:highlight w:val="none"/>
                <w:lang w:val="en-US" w:eastAsia="zh-CN"/>
              </w:rPr>
              <w:t>(2)</w:t>
            </w:r>
            <w:r>
              <w:rPr>
                <w:rFonts w:hint="eastAsia"/>
                <w:color w:val="auto"/>
                <w:sz w:val="21"/>
                <w:szCs w:val="21"/>
                <w:highlight w:val="none"/>
              </w:rPr>
              <w:t>除尘灰：项目产生的除尘灰主要成分为含铁颗粒</w:t>
            </w:r>
            <w:r>
              <w:rPr>
                <w:rFonts w:hint="eastAsia" w:hAnsi="Cambria Math"/>
                <w:color w:val="auto"/>
                <w:sz w:val="21"/>
                <w:szCs w:val="21"/>
                <w:highlight w:val="none"/>
              </w:rPr>
              <w:t>，产生量约为</w:t>
            </w:r>
            <w:r>
              <w:rPr>
                <w:rFonts w:hint="eastAsia"/>
                <w:color w:val="auto"/>
                <w:sz w:val="21"/>
                <w:szCs w:val="21"/>
                <w:highlight w:val="none"/>
                <w:lang w:val="en-US" w:eastAsia="zh-CN"/>
              </w:rPr>
              <w:t>70.728</w:t>
            </w:r>
            <w:r>
              <w:rPr>
                <w:rFonts w:hint="eastAsia"/>
                <w:color w:val="auto"/>
                <w:sz w:val="21"/>
                <w:szCs w:val="21"/>
                <w:highlight w:val="none"/>
              </w:rPr>
              <w:t>t/a</w:t>
            </w:r>
            <w:r>
              <w:rPr>
                <w:rFonts w:hint="eastAsia" w:hAnsi="Cambria Math"/>
                <w:color w:val="auto"/>
                <w:sz w:val="21"/>
                <w:szCs w:val="21"/>
                <w:highlight w:val="none"/>
              </w:rPr>
              <w:t>，</w:t>
            </w:r>
            <w:r>
              <w:rPr>
                <w:rFonts w:hint="eastAsia" w:ascii="Times New Roman"/>
                <w:color w:val="auto"/>
                <w:sz w:val="21"/>
                <w:szCs w:val="21"/>
                <w:highlight w:val="none"/>
              </w:rPr>
              <w:t>收集后</w:t>
            </w:r>
            <w:r>
              <w:rPr>
                <w:rFonts w:hint="eastAsia" w:ascii="Times New Roman"/>
                <w:color w:val="auto"/>
                <w:sz w:val="21"/>
                <w:szCs w:val="21"/>
                <w:highlight w:val="none"/>
                <w:lang w:val="en-US" w:eastAsia="zh-CN"/>
              </w:rPr>
              <w:t>作为原料回用</w:t>
            </w:r>
            <w:r>
              <w:rPr>
                <w:rFonts w:hint="eastAsia" w:hAnsi="Cambria Math"/>
                <w:color w:val="auto"/>
                <w:sz w:val="21"/>
                <w:szCs w:val="21"/>
                <w:highlight w:val="none"/>
              </w:rPr>
              <w:t>。</w:t>
            </w:r>
          </w:p>
          <w:p w14:paraId="2BC0C6BB">
            <w:pPr>
              <w:widowControl/>
              <w:ind w:firstLine="480"/>
              <w:rPr>
                <w:rFonts w:hint="eastAsia"/>
                <w:color w:val="auto"/>
                <w:sz w:val="21"/>
                <w:szCs w:val="21"/>
                <w:highlight w:val="none"/>
              </w:rPr>
            </w:pPr>
            <w:r>
              <w:rPr>
                <w:rFonts w:hint="eastAsia"/>
                <w:color w:val="auto"/>
                <w:sz w:val="21"/>
                <w:szCs w:val="21"/>
                <w:highlight w:val="none"/>
                <w:lang w:val="en-US" w:eastAsia="zh-CN"/>
              </w:rPr>
              <w:t>(3)</w:t>
            </w:r>
            <w:r>
              <w:rPr>
                <w:rFonts w:hint="eastAsia"/>
                <w:color w:val="auto"/>
                <w:sz w:val="21"/>
                <w:szCs w:val="21"/>
                <w:highlight w:val="none"/>
              </w:rPr>
              <w:t>废布袋：除尘器废布袋的产生量约为0.1t/a，收集后由厂家回收利用。</w:t>
            </w:r>
          </w:p>
          <w:p w14:paraId="38F999D4">
            <w:pPr>
              <w:widowControl/>
              <w:ind w:firstLine="480"/>
              <w:rPr>
                <w:rFonts w:hint="eastAsia"/>
                <w:color w:val="auto"/>
                <w:sz w:val="21"/>
                <w:szCs w:val="21"/>
                <w:highlight w:val="none"/>
                <w:lang w:val="en-US" w:eastAsia="zh-CN"/>
              </w:rPr>
            </w:pPr>
            <w:r>
              <w:rPr>
                <w:rFonts w:hint="eastAsia"/>
                <w:color w:val="auto"/>
                <w:sz w:val="21"/>
                <w:szCs w:val="21"/>
                <w:highlight w:val="none"/>
                <w:lang w:val="en-US" w:eastAsia="zh-CN"/>
              </w:rPr>
              <w:t>(4)</w:t>
            </w:r>
            <w:r>
              <w:rPr>
                <w:rFonts w:hint="eastAsia"/>
                <w:color w:val="auto"/>
                <w:sz w:val="21"/>
                <w:szCs w:val="21"/>
                <w:highlight w:val="none"/>
              </w:rPr>
              <w:t>粘合剂废包装袋</w:t>
            </w:r>
            <w:r>
              <w:rPr>
                <w:rFonts w:hint="eastAsia"/>
                <w:color w:val="auto"/>
                <w:sz w:val="21"/>
                <w:szCs w:val="21"/>
                <w:highlight w:val="none"/>
                <w:lang w:eastAsia="zh-CN"/>
              </w:rPr>
              <w:t>：</w:t>
            </w:r>
            <w:r>
              <w:rPr>
                <w:rFonts w:hint="eastAsia"/>
                <w:color w:val="auto"/>
                <w:sz w:val="21"/>
                <w:szCs w:val="21"/>
                <w:highlight w:val="none"/>
                <w:lang w:val="en-US" w:eastAsia="zh-CN"/>
              </w:rPr>
              <w:t>项目粘合剂废包装产生量约为2t/a，</w:t>
            </w:r>
            <w:r>
              <w:rPr>
                <w:rFonts w:hint="eastAsia"/>
                <w:color w:val="auto"/>
                <w:sz w:val="21"/>
                <w:szCs w:val="21"/>
                <w:highlight w:val="none"/>
              </w:rPr>
              <w:t>收集后由厂家回收利用</w:t>
            </w:r>
            <w:r>
              <w:rPr>
                <w:rFonts w:hint="eastAsia"/>
                <w:color w:val="auto"/>
                <w:sz w:val="21"/>
                <w:szCs w:val="21"/>
                <w:highlight w:val="none"/>
                <w:lang w:val="en-US" w:eastAsia="zh-CN"/>
              </w:rPr>
              <w:t>。</w:t>
            </w:r>
          </w:p>
          <w:p w14:paraId="792929E4">
            <w:pPr>
              <w:widowControl/>
              <w:ind w:firstLine="480"/>
              <w:rPr>
                <w:color w:val="auto"/>
                <w:sz w:val="21"/>
                <w:szCs w:val="21"/>
                <w:highlight w:val="none"/>
              </w:rPr>
            </w:pPr>
            <w:r>
              <w:rPr>
                <w:rFonts w:hint="eastAsia"/>
                <w:color w:val="auto"/>
                <w:sz w:val="21"/>
                <w:szCs w:val="21"/>
                <w:highlight w:val="none"/>
                <w:lang w:val="en-US" w:eastAsia="zh-CN"/>
              </w:rPr>
              <w:t>(5)</w:t>
            </w:r>
            <w:r>
              <w:rPr>
                <w:rFonts w:hint="eastAsia"/>
                <w:color w:val="auto"/>
                <w:sz w:val="21"/>
                <w:szCs w:val="21"/>
                <w:highlight w:val="none"/>
              </w:rPr>
              <w:t>未成形的不合格品：未成形的不合格品产生量约为</w:t>
            </w:r>
            <w:r>
              <w:rPr>
                <w:rFonts w:hint="eastAsia"/>
                <w:color w:val="auto"/>
                <w:sz w:val="21"/>
                <w:szCs w:val="21"/>
                <w:highlight w:val="none"/>
                <w:lang w:val="en-US" w:eastAsia="zh-CN"/>
              </w:rPr>
              <w:t>10000</w:t>
            </w:r>
            <w:r>
              <w:rPr>
                <w:rFonts w:hint="eastAsia"/>
                <w:color w:val="auto"/>
                <w:sz w:val="21"/>
                <w:szCs w:val="21"/>
                <w:highlight w:val="none"/>
              </w:rPr>
              <w:t>t/a，</w:t>
            </w:r>
            <w:r>
              <w:rPr>
                <w:rFonts w:hint="eastAsia" w:ascii="Times New Roman"/>
                <w:color w:val="auto"/>
                <w:sz w:val="21"/>
                <w:szCs w:val="21"/>
                <w:highlight w:val="none"/>
                <w:lang w:val="en-US" w:eastAsia="zh-CN"/>
              </w:rPr>
              <w:t>直接由皮带</w:t>
            </w:r>
            <w:r>
              <w:rPr>
                <w:rFonts w:hint="eastAsia" w:ascii="Times New Roman"/>
                <w:color w:val="auto"/>
                <w:sz w:val="21"/>
                <w:szCs w:val="21"/>
                <w:highlight w:val="none"/>
              </w:rPr>
              <w:t>返回</w:t>
            </w:r>
            <w:r>
              <w:rPr>
                <w:rFonts w:hint="eastAsia" w:ascii="Times New Roman"/>
                <w:color w:val="auto"/>
                <w:sz w:val="21"/>
                <w:szCs w:val="21"/>
                <w:highlight w:val="none"/>
                <w:lang w:val="en-US" w:eastAsia="zh-CN"/>
              </w:rPr>
              <w:t>中转</w:t>
            </w:r>
            <w:r>
              <w:rPr>
                <w:rFonts w:hint="eastAsia" w:ascii="Times New Roman"/>
                <w:color w:val="auto"/>
                <w:sz w:val="21"/>
                <w:szCs w:val="21"/>
                <w:highlight w:val="none"/>
              </w:rPr>
              <w:t>工序回用</w:t>
            </w:r>
            <w:r>
              <w:rPr>
                <w:rFonts w:hint="eastAsia"/>
                <w:color w:val="auto"/>
                <w:sz w:val="21"/>
                <w:szCs w:val="21"/>
                <w:highlight w:val="none"/>
              </w:rPr>
              <w:t>。</w:t>
            </w:r>
          </w:p>
          <w:p w14:paraId="0F07D49B">
            <w:pPr>
              <w:widowControl/>
              <w:ind w:firstLine="480"/>
              <w:rPr>
                <w:rFonts w:hint="eastAsia"/>
                <w:color w:val="auto"/>
                <w:sz w:val="21"/>
                <w:szCs w:val="21"/>
                <w:highlight w:val="none"/>
                <w:lang w:val="en-US" w:eastAsia="zh-CN"/>
              </w:rPr>
            </w:pPr>
            <w:r>
              <w:rPr>
                <w:rFonts w:hint="eastAsia"/>
                <w:color w:val="auto"/>
                <w:sz w:val="21"/>
                <w:szCs w:val="21"/>
                <w:highlight w:val="none"/>
                <w:lang w:val="en-US" w:eastAsia="zh-CN"/>
              </w:rPr>
              <w:t>(6)</w:t>
            </w:r>
            <w:r>
              <w:rPr>
                <w:rFonts w:hint="eastAsia" w:cs="Times New Roman"/>
                <w:color w:val="auto"/>
                <w:sz w:val="21"/>
                <w:szCs w:val="21"/>
                <w:highlight w:val="none"/>
                <w:lang w:val="en-US" w:eastAsia="zh-CN"/>
              </w:rPr>
              <w:t>半成品筛分筛下物</w:t>
            </w:r>
            <w:r>
              <w:rPr>
                <w:rFonts w:hint="eastAsia"/>
                <w:color w:val="auto"/>
                <w:sz w:val="21"/>
                <w:szCs w:val="21"/>
                <w:highlight w:val="none"/>
                <w:lang w:val="en-US" w:eastAsia="zh-CN"/>
              </w:rPr>
              <w:t>：筛下物的量约为1000</w:t>
            </w:r>
            <w:r>
              <w:rPr>
                <w:rFonts w:hint="eastAsia"/>
                <w:color w:val="auto"/>
                <w:sz w:val="21"/>
                <w:szCs w:val="21"/>
                <w:highlight w:val="none"/>
              </w:rPr>
              <w:t>t/a</w:t>
            </w:r>
            <w:r>
              <w:rPr>
                <w:rFonts w:hint="eastAsia"/>
                <w:color w:val="auto"/>
                <w:sz w:val="21"/>
                <w:szCs w:val="21"/>
                <w:highlight w:val="none"/>
                <w:lang w:eastAsia="zh-CN"/>
              </w:rPr>
              <w:t>，</w:t>
            </w:r>
            <w:r>
              <w:rPr>
                <w:rFonts w:hint="eastAsia"/>
                <w:color w:val="auto"/>
                <w:sz w:val="21"/>
                <w:szCs w:val="21"/>
                <w:highlight w:val="none"/>
                <w:lang w:val="en-US" w:eastAsia="zh-CN"/>
              </w:rPr>
              <w:t>统一收集后</w:t>
            </w:r>
            <w:r>
              <w:rPr>
                <w:rFonts w:hint="eastAsia" w:ascii="宋体" w:hAnsi="宋体" w:cs="宋体"/>
                <w:color w:val="auto"/>
                <w:kern w:val="0"/>
                <w:sz w:val="21"/>
                <w:szCs w:val="21"/>
                <w:highlight w:val="none"/>
                <w:lang w:val="en-US" w:eastAsia="zh-CN" w:bidi="ar"/>
              </w:rPr>
              <w:t>返回原料区作为原料使用</w:t>
            </w:r>
            <w:r>
              <w:rPr>
                <w:rFonts w:hint="eastAsia"/>
                <w:color w:val="auto"/>
                <w:sz w:val="21"/>
                <w:szCs w:val="21"/>
                <w:highlight w:val="none"/>
                <w:lang w:val="en-US" w:eastAsia="zh-CN"/>
              </w:rPr>
              <w:t>。</w:t>
            </w:r>
          </w:p>
          <w:p w14:paraId="51EB3428">
            <w:pPr>
              <w:widowControl/>
              <w:ind w:firstLine="480"/>
              <w:rPr>
                <w:rFonts w:hint="default"/>
                <w:color w:val="auto"/>
                <w:sz w:val="21"/>
                <w:szCs w:val="21"/>
                <w:highlight w:val="none"/>
                <w:lang w:val="en-US" w:eastAsia="zh-CN"/>
              </w:rPr>
            </w:pPr>
            <w:r>
              <w:rPr>
                <w:rFonts w:hint="eastAsia"/>
                <w:color w:val="auto"/>
                <w:sz w:val="21"/>
                <w:szCs w:val="21"/>
                <w:highlight w:val="none"/>
                <w:lang w:val="en-US" w:eastAsia="zh-CN"/>
              </w:rPr>
              <w:t>(7)洗车沉泥：产生量约为2t/a，收集作为原料回用。</w:t>
            </w:r>
          </w:p>
          <w:p w14:paraId="2A130F6B">
            <w:pPr>
              <w:ind w:firstLine="480"/>
              <w:jc w:val="both"/>
              <w:rPr>
                <w:color w:val="auto"/>
                <w:sz w:val="21"/>
                <w:szCs w:val="21"/>
                <w:highlight w:val="none"/>
              </w:rPr>
            </w:pPr>
            <w:r>
              <w:rPr>
                <w:rFonts w:hint="eastAsia" w:cs="Times New Roman"/>
                <w:color w:val="auto"/>
                <w:sz w:val="21"/>
                <w:szCs w:val="21"/>
                <w:highlight w:val="none"/>
                <w:lang w:val="en-US" w:eastAsia="zh-CN"/>
              </w:rPr>
              <w:t>4.2</w:t>
            </w:r>
            <w:r>
              <w:rPr>
                <w:rFonts w:hint="eastAsia"/>
                <w:color w:val="auto"/>
                <w:sz w:val="21"/>
                <w:szCs w:val="21"/>
                <w:highlight w:val="none"/>
              </w:rPr>
              <w:t>危险废物</w:t>
            </w:r>
          </w:p>
          <w:p w14:paraId="2F185EEF">
            <w:pPr>
              <w:snapToGrid w:val="0"/>
              <w:ind w:firstLine="480"/>
              <w:jc w:val="both"/>
              <w:rPr>
                <w:color w:val="auto"/>
                <w:sz w:val="21"/>
                <w:szCs w:val="21"/>
                <w:highlight w:val="none"/>
              </w:rPr>
            </w:pPr>
            <w:r>
              <w:rPr>
                <w:rFonts w:hint="eastAsia"/>
                <w:color w:val="auto"/>
                <w:sz w:val="21"/>
                <w:szCs w:val="21"/>
                <w:highlight w:val="none"/>
              </w:rPr>
              <w:t>废液压油：</w:t>
            </w:r>
            <w:r>
              <w:rPr>
                <w:color w:val="auto"/>
                <w:sz w:val="21"/>
                <w:szCs w:val="21"/>
                <w:highlight w:val="none"/>
              </w:rPr>
              <w:t>根据《国家危险废物名录》</w:t>
            </w:r>
            <w:r>
              <w:rPr>
                <w:rFonts w:hint="eastAsia"/>
                <w:color w:val="auto"/>
                <w:sz w:val="21"/>
                <w:szCs w:val="21"/>
                <w:highlight w:val="none"/>
                <w:lang w:eastAsia="zh-CN"/>
              </w:rPr>
              <w:t>(</w:t>
            </w:r>
            <w:r>
              <w:rPr>
                <w:color w:val="auto"/>
                <w:sz w:val="21"/>
                <w:szCs w:val="21"/>
                <w:highlight w:val="none"/>
              </w:rPr>
              <w:t>202</w:t>
            </w:r>
            <w:r>
              <w:rPr>
                <w:rFonts w:hint="eastAsia"/>
                <w:color w:val="auto"/>
                <w:sz w:val="21"/>
                <w:szCs w:val="21"/>
                <w:highlight w:val="none"/>
                <w:lang w:val="en-US" w:eastAsia="zh-CN"/>
              </w:rPr>
              <w:t>5</w:t>
            </w:r>
            <w:r>
              <w:rPr>
                <w:color w:val="auto"/>
                <w:sz w:val="21"/>
                <w:szCs w:val="21"/>
                <w:highlight w:val="none"/>
              </w:rPr>
              <w:t>年版</w:t>
            </w:r>
            <w:r>
              <w:rPr>
                <w:rFonts w:hint="eastAsia"/>
                <w:color w:val="auto"/>
                <w:sz w:val="21"/>
                <w:szCs w:val="21"/>
                <w:highlight w:val="none"/>
              </w:rPr>
              <w:t>)</w:t>
            </w:r>
            <w:r>
              <w:rPr>
                <w:color w:val="auto"/>
                <w:sz w:val="21"/>
                <w:szCs w:val="21"/>
                <w:highlight w:val="none"/>
              </w:rPr>
              <w:t>，废液压油</w:t>
            </w:r>
            <w:r>
              <w:rPr>
                <w:rFonts w:hint="eastAsia"/>
                <w:color w:val="auto"/>
                <w:sz w:val="21"/>
                <w:szCs w:val="21"/>
                <w:highlight w:val="none"/>
              </w:rPr>
              <w:t>属于</w:t>
            </w:r>
            <w:r>
              <w:rPr>
                <w:color w:val="auto"/>
                <w:sz w:val="21"/>
                <w:szCs w:val="21"/>
                <w:highlight w:val="none"/>
              </w:rPr>
              <w:t>“HW08废矿物油与含矿物油废物”</w:t>
            </w:r>
            <w:r>
              <w:rPr>
                <w:rFonts w:hint="eastAsia"/>
                <w:color w:val="auto"/>
                <w:sz w:val="21"/>
                <w:szCs w:val="21"/>
                <w:highlight w:val="none"/>
              </w:rPr>
              <w:t>；废液压油</w:t>
            </w:r>
            <w:r>
              <w:rPr>
                <w:color w:val="auto"/>
                <w:sz w:val="21"/>
                <w:szCs w:val="21"/>
                <w:highlight w:val="none"/>
              </w:rPr>
              <w:t>废物代码为</w:t>
            </w:r>
            <w:r>
              <w:rPr>
                <w:rFonts w:hint="eastAsia"/>
                <w:color w:val="auto"/>
                <w:sz w:val="21"/>
                <w:szCs w:val="21"/>
                <w:highlight w:val="none"/>
              </w:rPr>
              <w:t>“</w:t>
            </w:r>
            <w:r>
              <w:rPr>
                <w:color w:val="auto"/>
                <w:sz w:val="21"/>
                <w:szCs w:val="21"/>
                <w:highlight w:val="none"/>
              </w:rPr>
              <w:t>900-21</w:t>
            </w:r>
            <w:r>
              <w:rPr>
                <w:rFonts w:hint="eastAsia"/>
                <w:color w:val="auto"/>
                <w:sz w:val="21"/>
                <w:szCs w:val="21"/>
                <w:highlight w:val="none"/>
              </w:rPr>
              <w:t>8</w:t>
            </w:r>
            <w:r>
              <w:rPr>
                <w:color w:val="auto"/>
                <w:sz w:val="21"/>
                <w:szCs w:val="21"/>
                <w:highlight w:val="none"/>
              </w:rPr>
              <w:t>-08</w:t>
            </w:r>
            <w:r>
              <w:rPr>
                <w:rFonts w:hint="eastAsia"/>
                <w:color w:val="auto"/>
                <w:sz w:val="21"/>
                <w:szCs w:val="21"/>
                <w:highlight w:val="none"/>
              </w:rPr>
              <w:t>液压设备维护、更换和拆解过程中产生的废液压油”</w:t>
            </w:r>
            <w:r>
              <w:rPr>
                <w:color w:val="auto"/>
                <w:kern w:val="0"/>
                <w:sz w:val="21"/>
                <w:szCs w:val="21"/>
                <w:highlight w:val="none"/>
              </w:rPr>
              <w:t>，</w:t>
            </w:r>
            <w:r>
              <w:rPr>
                <w:color w:val="auto"/>
                <w:sz w:val="21"/>
                <w:szCs w:val="21"/>
                <w:highlight w:val="none"/>
              </w:rPr>
              <w:t>产生量约</w:t>
            </w:r>
            <w:r>
              <w:rPr>
                <w:color w:val="auto"/>
                <w:kern w:val="0"/>
                <w:sz w:val="21"/>
                <w:szCs w:val="21"/>
                <w:highlight w:val="none"/>
              </w:rPr>
              <w:t>为</w:t>
            </w:r>
            <w:r>
              <w:rPr>
                <w:rFonts w:hint="eastAsia"/>
                <w:color w:val="auto"/>
                <w:kern w:val="0"/>
                <w:sz w:val="21"/>
                <w:szCs w:val="21"/>
                <w:highlight w:val="none"/>
                <w:lang w:val="en-US" w:eastAsia="zh-CN"/>
              </w:rPr>
              <w:t>0.1</w:t>
            </w:r>
            <w:r>
              <w:rPr>
                <w:color w:val="auto"/>
                <w:kern w:val="0"/>
                <w:sz w:val="21"/>
                <w:szCs w:val="21"/>
                <w:highlight w:val="none"/>
              </w:rPr>
              <w:t>t/a</w:t>
            </w:r>
            <w:r>
              <w:rPr>
                <w:color w:val="auto"/>
                <w:sz w:val="21"/>
                <w:szCs w:val="21"/>
                <w:highlight w:val="none"/>
              </w:rPr>
              <w:t>；桶装收集后，暂存厂区危废间，交有资质单位处理。</w:t>
            </w:r>
          </w:p>
          <w:p w14:paraId="6ACD9253">
            <w:pPr>
              <w:keepNext w:val="0"/>
              <w:keepLines w:val="0"/>
              <w:widowControl/>
              <w:suppressLineNumbers w:val="0"/>
              <w:jc w:val="left"/>
              <w:rPr>
                <w:color w:val="auto"/>
                <w:sz w:val="21"/>
                <w:szCs w:val="21"/>
                <w:highlight w:val="none"/>
              </w:rPr>
            </w:pPr>
            <w:r>
              <w:rPr>
                <w:rFonts w:hint="eastAsia"/>
                <w:color w:val="auto"/>
                <w:sz w:val="21"/>
                <w:szCs w:val="21"/>
                <w:highlight w:val="none"/>
              </w:rPr>
              <w:t>废润滑油</w:t>
            </w:r>
            <w:r>
              <w:rPr>
                <w:color w:val="auto"/>
                <w:sz w:val="21"/>
                <w:szCs w:val="21"/>
                <w:highlight w:val="none"/>
              </w:rPr>
              <w:t>：根据《国家危险废物名录》</w:t>
            </w:r>
            <w:r>
              <w:rPr>
                <w:rFonts w:hint="eastAsia"/>
                <w:color w:val="auto"/>
                <w:sz w:val="21"/>
                <w:szCs w:val="21"/>
                <w:highlight w:val="none"/>
                <w:lang w:eastAsia="zh-CN"/>
              </w:rPr>
              <w:t>(</w:t>
            </w:r>
            <w:r>
              <w:rPr>
                <w:color w:val="auto"/>
                <w:sz w:val="21"/>
                <w:szCs w:val="21"/>
                <w:highlight w:val="none"/>
              </w:rPr>
              <w:t>202</w:t>
            </w:r>
            <w:r>
              <w:rPr>
                <w:rFonts w:hint="eastAsia"/>
                <w:color w:val="auto"/>
                <w:sz w:val="21"/>
                <w:szCs w:val="21"/>
                <w:highlight w:val="none"/>
                <w:lang w:val="en-US" w:eastAsia="zh-CN"/>
              </w:rPr>
              <w:t>5</w:t>
            </w:r>
            <w:r>
              <w:rPr>
                <w:color w:val="auto"/>
                <w:sz w:val="21"/>
                <w:szCs w:val="21"/>
                <w:highlight w:val="none"/>
              </w:rPr>
              <w:t>年版</w:t>
            </w:r>
            <w:r>
              <w:rPr>
                <w:rFonts w:hint="eastAsia"/>
                <w:color w:val="auto"/>
                <w:sz w:val="21"/>
                <w:szCs w:val="21"/>
                <w:highlight w:val="none"/>
              </w:rPr>
              <w:t>)</w:t>
            </w:r>
            <w:r>
              <w:rPr>
                <w:color w:val="auto"/>
                <w:sz w:val="21"/>
                <w:szCs w:val="21"/>
                <w:highlight w:val="none"/>
              </w:rPr>
              <w:t>，废润滑油</w:t>
            </w:r>
            <w:r>
              <w:rPr>
                <w:rFonts w:hint="eastAsia"/>
                <w:color w:val="auto"/>
                <w:sz w:val="21"/>
                <w:szCs w:val="21"/>
                <w:highlight w:val="none"/>
              </w:rPr>
              <w:t>属</w:t>
            </w:r>
            <w:r>
              <w:rPr>
                <w:color w:val="auto"/>
                <w:sz w:val="21"/>
                <w:szCs w:val="21"/>
                <w:highlight w:val="none"/>
              </w:rPr>
              <w:t>于“HW08废矿物油与含矿物油废物”；废润滑油废物代码为“900-21</w:t>
            </w:r>
            <w:r>
              <w:rPr>
                <w:rFonts w:hint="eastAsia"/>
                <w:color w:val="auto"/>
                <w:sz w:val="21"/>
                <w:szCs w:val="21"/>
                <w:highlight w:val="none"/>
                <w:lang w:val="en-US" w:eastAsia="zh-CN"/>
              </w:rPr>
              <w:t>7</w:t>
            </w:r>
            <w:r>
              <w:rPr>
                <w:color w:val="auto"/>
                <w:sz w:val="21"/>
                <w:szCs w:val="21"/>
                <w:highlight w:val="none"/>
              </w:rPr>
              <w:t>-08</w:t>
            </w:r>
            <w:r>
              <w:rPr>
                <w:rFonts w:hint="eastAsia" w:ascii="宋体" w:hAnsi="宋体" w:eastAsia="宋体" w:cs="宋体"/>
                <w:color w:val="auto"/>
                <w:kern w:val="0"/>
                <w:sz w:val="20"/>
                <w:szCs w:val="20"/>
                <w:highlight w:val="none"/>
                <w:lang w:val="en-US" w:eastAsia="zh-CN" w:bidi="ar"/>
              </w:rPr>
              <w:t>使用工业齿轮油进行机械设备润滑过程中产生的废润滑油</w:t>
            </w:r>
            <w:r>
              <w:rPr>
                <w:color w:val="auto"/>
                <w:sz w:val="21"/>
                <w:szCs w:val="21"/>
                <w:highlight w:val="none"/>
              </w:rPr>
              <w:t>”</w:t>
            </w:r>
            <w:r>
              <w:rPr>
                <w:rFonts w:hint="eastAsia"/>
                <w:color w:val="auto"/>
                <w:sz w:val="21"/>
                <w:szCs w:val="21"/>
                <w:highlight w:val="none"/>
              </w:rPr>
              <w:t>，</w:t>
            </w:r>
            <w:r>
              <w:rPr>
                <w:color w:val="auto"/>
                <w:sz w:val="21"/>
                <w:szCs w:val="21"/>
                <w:highlight w:val="none"/>
              </w:rPr>
              <w:t>年产生量为</w:t>
            </w:r>
            <w:r>
              <w:rPr>
                <w:rFonts w:hint="eastAsia"/>
                <w:color w:val="auto"/>
                <w:sz w:val="21"/>
                <w:szCs w:val="21"/>
                <w:highlight w:val="none"/>
              </w:rPr>
              <w:t>0.</w:t>
            </w:r>
            <w:r>
              <w:rPr>
                <w:rFonts w:hint="eastAsia"/>
                <w:color w:val="auto"/>
                <w:sz w:val="21"/>
                <w:szCs w:val="21"/>
                <w:highlight w:val="none"/>
                <w:lang w:val="en-US" w:eastAsia="zh-CN"/>
              </w:rPr>
              <w:t>05</w:t>
            </w:r>
            <w:r>
              <w:rPr>
                <w:color w:val="auto"/>
                <w:sz w:val="21"/>
                <w:szCs w:val="21"/>
                <w:highlight w:val="none"/>
              </w:rPr>
              <w:t>t/a；桶装收集后，暂存厂区危废间，交有资质单位处理。</w:t>
            </w:r>
          </w:p>
          <w:p w14:paraId="21D1E370">
            <w:pPr>
              <w:widowControl/>
              <w:ind w:firstLine="480"/>
              <w:rPr>
                <w:color w:val="auto"/>
                <w:sz w:val="21"/>
                <w:szCs w:val="21"/>
                <w:highlight w:val="none"/>
              </w:rPr>
            </w:pPr>
            <w:r>
              <w:rPr>
                <w:color w:val="auto"/>
                <w:sz w:val="21"/>
                <w:szCs w:val="21"/>
                <w:highlight w:val="none"/>
              </w:rPr>
              <w:t>废油桶：根据《国家危险废物名录》</w:t>
            </w:r>
            <w:r>
              <w:rPr>
                <w:rFonts w:hint="eastAsia"/>
                <w:color w:val="auto"/>
                <w:sz w:val="21"/>
                <w:szCs w:val="21"/>
                <w:highlight w:val="none"/>
                <w:lang w:eastAsia="zh-CN"/>
              </w:rPr>
              <w:t>(</w:t>
            </w:r>
            <w:r>
              <w:rPr>
                <w:color w:val="auto"/>
                <w:sz w:val="21"/>
                <w:szCs w:val="21"/>
                <w:highlight w:val="none"/>
              </w:rPr>
              <w:t>202</w:t>
            </w:r>
            <w:r>
              <w:rPr>
                <w:rFonts w:hint="eastAsia"/>
                <w:color w:val="auto"/>
                <w:sz w:val="21"/>
                <w:szCs w:val="21"/>
                <w:highlight w:val="none"/>
                <w:lang w:val="en-US" w:eastAsia="zh-CN"/>
              </w:rPr>
              <w:t>5</w:t>
            </w:r>
            <w:r>
              <w:rPr>
                <w:color w:val="auto"/>
                <w:sz w:val="21"/>
                <w:szCs w:val="21"/>
                <w:highlight w:val="none"/>
              </w:rPr>
              <w:t>年)，项目废油桶属于HW08，危险废物代码为</w:t>
            </w:r>
            <w:r>
              <w:rPr>
                <w:rFonts w:hint="eastAsia"/>
                <w:color w:val="auto"/>
                <w:sz w:val="21"/>
                <w:szCs w:val="21"/>
                <w:highlight w:val="none"/>
              </w:rPr>
              <w:t>“900-249-08其他生产、销售、使用过程中产生的废矿物油及沾染矿物油的废弃包装物</w:t>
            </w:r>
            <w:r>
              <w:rPr>
                <w:color w:val="auto"/>
                <w:sz w:val="21"/>
                <w:szCs w:val="21"/>
                <w:highlight w:val="none"/>
              </w:rPr>
              <w:t>类危险废物</w:t>
            </w:r>
            <w:r>
              <w:rPr>
                <w:rFonts w:hint="eastAsia"/>
                <w:color w:val="auto"/>
                <w:sz w:val="21"/>
                <w:szCs w:val="21"/>
                <w:highlight w:val="none"/>
              </w:rPr>
              <w:t>”</w:t>
            </w:r>
            <w:r>
              <w:rPr>
                <w:color w:val="auto"/>
                <w:sz w:val="21"/>
                <w:szCs w:val="21"/>
                <w:highlight w:val="none"/>
              </w:rPr>
              <w:t>。项目废油桶年产生量为</w:t>
            </w:r>
            <w:r>
              <w:rPr>
                <w:rFonts w:hint="eastAsia"/>
                <w:color w:val="auto"/>
                <w:sz w:val="21"/>
                <w:szCs w:val="21"/>
                <w:highlight w:val="none"/>
              </w:rPr>
              <w:t>0.0</w:t>
            </w:r>
            <w:r>
              <w:rPr>
                <w:rFonts w:hint="eastAsia"/>
                <w:color w:val="auto"/>
                <w:sz w:val="21"/>
                <w:szCs w:val="21"/>
                <w:highlight w:val="none"/>
                <w:lang w:val="en-US" w:eastAsia="zh-CN"/>
              </w:rPr>
              <w:t>3</w:t>
            </w:r>
            <w:r>
              <w:rPr>
                <w:color w:val="auto"/>
                <w:sz w:val="21"/>
                <w:szCs w:val="21"/>
                <w:highlight w:val="none"/>
              </w:rPr>
              <w:t>t/a，收集后，暂存厂区危废间，交有资质单位处理。</w:t>
            </w:r>
          </w:p>
          <w:p w14:paraId="7F0441AC">
            <w:pPr>
              <w:widowControl/>
              <w:ind w:firstLine="480"/>
              <w:rPr>
                <w:rFonts w:hint="default"/>
                <w:color w:val="auto"/>
                <w:sz w:val="21"/>
                <w:szCs w:val="21"/>
                <w:highlight w:val="red"/>
                <w:lang w:val="en-US" w:eastAsia="zh-CN"/>
              </w:rPr>
            </w:pPr>
            <w:r>
              <w:rPr>
                <w:rFonts w:hint="eastAsia"/>
                <w:color w:val="auto"/>
                <w:sz w:val="21"/>
                <w:szCs w:val="21"/>
                <w:highlight w:val="red"/>
                <w:lang w:val="en-US" w:eastAsia="zh-CN"/>
              </w:rPr>
              <w:t>废电瓶：项目装载机使用的电瓶为铅蓄电池，定期进行更换，电瓶的产生量</w:t>
            </w:r>
            <w:r>
              <w:commentReference w:id="11"/>
            </w:r>
            <w:r>
              <w:rPr>
                <w:rFonts w:hint="eastAsia"/>
                <w:color w:val="auto"/>
                <w:sz w:val="21"/>
                <w:szCs w:val="21"/>
                <w:highlight w:val="red"/>
                <w:lang w:val="en-US" w:eastAsia="zh-CN"/>
              </w:rPr>
              <w:t>约为0.05t/a，废电瓶属于“</w:t>
            </w:r>
            <w:r>
              <w:rPr>
                <w:rFonts w:hint="eastAsia"/>
                <w:color w:val="auto"/>
                <w:sz w:val="21"/>
                <w:szCs w:val="21"/>
                <w:highlight w:val="red"/>
              </w:rPr>
              <w:t>HW31含铅废物</w:t>
            </w:r>
            <w:r>
              <w:rPr>
                <w:rFonts w:hint="eastAsia"/>
                <w:color w:val="auto"/>
                <w:sz w:val="21"/>
                <w:szCs w:val="21"/>
                <w:highlight w:val="red"/>
                <w:lang w:val="en-US" w:eastAsia="zh-CN"/>
              </w:rPr>
              <w:t>”；废电瓶的代码为“900-052-31废铅蓄电池及废铅蓄电池拆解过程中产生的废铅板、废铅膏和酸液”；收集后</w:t>
            </w:r>
            <w:r>
              <w:rPr>
                <w:color w:val="auto"/>
                <w:sz w:val="21"/>
                <w:szCs w:val="21"/>
                <w:highlight w:val="red"/>
              </w:rPr>
              <w:t>暂存厂区危废间，交有资质单位处理。</w:t>
            </w:r>
          </w:p>
          <w:p w14:paraId="71736B43">
            <w:pPr>
              <w:ind w:firstLine="420"/>
              <w:jc w:val="both"/>
              <w:rPr>
                <w:rFonts w:hint="default" w:ascii="Times New Roman" w:hAnsi="Times New Roman" w:cs="Times New Roman"/>
                <w:bCs/>
                <w:color w:val="auto"/>
                <w:kern w:val="24"/>
                <w:sz w:val="21"/>
                <w:szCs w:val="21"/>
                <w:highlight w:val="none"/>
              </w:rPr>
            </w:pPr>
            <w:r>
              <w:rPr>
                <w:rFonts w:hint="default" w:ascii="Times New Roman" w:hAnsi="Times New Roman" w:cs="Times New Roman"/>
                <w:bCs/>
                <w:color w:val="auto"/>
                <w:kern w:val="24"/>
                <w:sz w:val="21"/>
                <w:szCs w:val="21"/>
                <w:highlight w:val="none"/>
              </w:rPr>
              <w:t>项目固体废物产生、治理和排放情况</w:t>
            </w:r>
            <w:r>
              <w:rPr>
                <w:rFonts w:hint="default" w:ascii="Times New Roman" w:hAnsi="Times New Roman" w:cs="Times New Roman"/>
                <w:bCs/>
                <w:color w:val="auto"/>
                <w:kern w:val="24"/>
                <w:sz w:val="21"/>
                <w:szCs w:val="21"/>
                <w:highlight w:val="none"/>
                <w:lang w:val="en-US" w:eastAsia="zh-CN"/>
              </w:rPr>
              <w:t>见</w:t>
            </w:r>
            <w:r>
              <w:rPr>
                <w:rFonts w:hint="default" w:ascii="Times New Roman" w:hAnsi="Times New Roman" w:cs="Times New Roman"/>
                <w:bCs/>
                <w:color w:val="auto"/>
                <w:kern w:val="24"/>
                <w:sz w:val="21"/>
                <w:szCs w:val="21"/>
                <w:highlight w:val="none"/>
                <w:lang w:val="en-US"/>
              </w:rPr>
              <w:fldChar w:fldCharType="begin"/>
            </w:r>
            <w:r>
              <w:rPr>
                <w:color w:val="auto"/>
              </w:rPr>
              <w:instrText xml:space="preserve"> REF _Ref16485 \h  \* MERGEFORMAT</w:instrText>
            </w:r>
            <w:r>
              <w:rPr>
                <w:rFonts w:hint="default" w:ascii="Times New Roman" w:hAnsi="Times New Roman" w:cs="Times New Roman"/>
                <w:bCs/>
                <w:color w:val="auto"/>
                <w:kern w:val="24"/>
                <w:sz w:val="21"/>
                <w:szCs w:val="21"/>
                <w:highlight w:val="none"/>
                <w:lang w:val="en-US"/>
              </w:rPr>
              <w:fldChar w:fldCharType="separate"/>
            </w:r>
            <w:r>
              <w:rPr>
                <w:rFonts w:hint="default" w:ascii="Times New Roman" w:hAnsi="Times New Roman"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4</w:t>
            </w:r>
            <w:r>
              <w:rPr>
                <w:rFonts w:hint="default" w:ascii="Times New Roman" w:hAnsi="Times New Roman" w:cs="Times New Roman"/>
                <w:bCs/>
                <w:color w:val="auto"/>
                <w:kern w:val="24"/>
                <w:sz w:val="21"/>
                <w:szCs w:val="21"/>
                <w:highlight w:val="none"/>
                <w:lang w:val="en-US"/>
              </w:rPr>
              <w:fldChar w:fldCharType="end"/>
            </w:r>
            <w:r>
              <w:rPr>
                <w:rFonts w:hint="eastAsia" w:ascii="Times New Roman" w:hAnsi="Times New Roman" w:cs="Times New Roman"/>
                <w:bCs/>
                <w:color w:val="auto"/>
                <w:kern w:val="24"/>
                <w:sz w:val="21"/>
                <w:szCs w:val="21"/>
                <w:highlight w:val="none"/>
                <w:lang w:val="en-US" w:eastAsia="zh-CN"/>
              </w:rPr>
              <w:t>-</w:t>
            </w:r>
            <w:r>
              <w:rPr>
                <w:rFonts w:hint="eastAsia" w:cs="Times New Roman"/>
                <w:bCs/>
                <w:color w:val="auto"/>
                <w:kern w:val="24"/>
                <w:sz w:val="21"/>
                <w:szCs w:val="21"/>
                <w:highlight w:val="none"/>
                <w:lang w:val="en-US" w:eastAsia="zh-CN"/>
              </w:rPr>
              <w:t>19</w:t>
            </w:r>
            <w:r>
              <w:rPr>
                <w:rFonts w:hint="default" w:ascii="Times New Roman" w:hAnsi="Times New Roman" w:cs="Times New Roman"/>
                <w:bCs/>
                <w:color w:val="auto"/>
                <w:kern w:val="24"/>
                <w:sz w:val="21"/>
                <w:szCs w:val="21"/>
                <w:highlight w:val="none"/>
              </w:rPr>
              <w:t>。</w:t>
            </w:r>
          </w:p>
          <w:p w14:paraId="436F8222">
            <w:pPr>
              <w:ind w:firstLine="0" w:firstLineChars="0"/>
              <w:jc w:val="center"/>
              <w:rPr>
                <w:b/>
                <w:bCs/>
                <w:color w:val="auto"/>
                <w:sz w:val="21"/>
                <w:szCs w:val="21"/>
                <w:highlight w:val="none"/>
              </w:rPr>
            </w:pPr>
            <w:r>
              <w:rPr>
                <w:b/>
                <w:bCs/>
                <w:color w:val="auto"/>
                <w:sz w:val="21"/>
                <w:szCs w:val="21"/>
                <w:highlight w:val="none"/>
              </w:rPr>
              <w:t>表</w:t>
            </w:r>
            <w:r>
              <w:rPr>
                <w:rFonts w:hint="eastAsia"/>
                <w:b/>
                <w:bCs/>
                <w:color w:val="auto"/>
                <w:sz w:val="21"/>
                <w:szCs w:val="21"/>
                <w:highlight w:val="none"/>
                <w:lang w:val="en-US" w:eastAsia="zh-CN"/>
              </w:rPr>
              <w:t>4-19</w:t>
            </w:r>
            <w:r>
              <w:rPr>
                <w:b/>
                <w:bCs/>
                <w:color w:val="auto"/>
                <w:sz w:val="21"/>
                <w:szCs w:val="21"/>
                <w:highlight w:val="none"/>
              </w:rPr>
              <w:t xml:space="preserve">    固体废物产生情况一览表   单位t/a</w:t>
            </w:r>
          </w:p>
          <w:tbl>
            <w:tblPr>
              <w:tblStyle w:val="84"/>
              <w:tblW w:w="498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01"/>
              <w:gridCol w:w="626"/>
              <w:gridCol w:w="1200"/>
              <w:gridCol w:w="734"/>
              <w:gridCol w:w="320"/>
              <w:gridCol w:w="463"/>
              <w:gridCol w:w="663"/>
              <w:gridCol w:w="569"/>
              <w:gridCol w:w="808"/>
              <w:gridCol w:w="663"/>
              <w:gridCol w:w="1790"/>
            </w:tblGrid>
            <w:tr w14:paraId="7B5D7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43" w:type="pct"/>
                  <w:tcBorders>
                    <w:tl2br w:val="nil"/>
                    <w:tr2bl w:val="nil"/>
                  </w:tcBorders>
                  <w:tcMar>
                    <w:top w:w="15" w:type="dxa"/>
                    <w:left w:w="15" w:type="dxa"/>
                    <w:right w:w="15" w:type="dxa"/>
                  </w:tcMar>
                  <w:vAlign w:val="center"/>
                </w:tcPr>
                <w:p w14:paraId="71ADCDB2">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产生环节</w:t>
                  </w:r>
                </w:p>
              </w:tc>
              <w:tc>
                <w:tcPr>
                  <w:tcW w:w="379" w:type="pct"/>
                  <w:tcBorders>
                    <w:tl2br w:val="nil"/>
                    <w:tr2bl w:val="nil"/>
                  </w:tcBorders>
                  <w:tcMar>
                    <w:top w:w="15" w:type="dxa"/>
                    <w:left w:w="15" w:type="dxa"/>
                    <w:right w:w="15" w:type="dxa"/>
                  </w:tcMar>
                  <w:vAlign w:val="center"/>
                </w:tcPr>
                <w:p w14:paraId="40AA360B">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名称</w:t>
                  </w:r>
                </w:p>
              </w:tc>
              <w:tc>
                <w:tcPr>
                  <w:tcW w:w="728" w:type="pct"/>
                  <w:tcBorders>
                    <w:tl2br w:val="nil"/>
                    <w:tr2bl w:val="nil"/>
                  </w:tcBorders>
                  <w:tcMar>
                    <w:top w:w="15" w:type="dxa"/>
                    <w:left w:w="15" w:type="dxa"/>
                    <w:right w:w="15" w:type="dxa"/>
                  </w:tcMar>
                  <w:vAlign w:val="center"/>
                </w:tcPr>
                <w:p w14:paraId="1748F981">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属性</w:t>
                  </w:r>
                </w:p>
              </w:tc>
              <w:tc>
                <w:tcPr>
                  <w:tcW w:w="445" w:type="pct"/>
                  <w:tcBorders>
                    <w:tl2br w:val="nil"/>
                    <w:tr2bl w:val="nil"/>
                  </w:tcBorders>
                  <w:tcMar>
                    <w:top w:w="15" w:type="dxa"/>
                    <w:left w:w="15" w:type="dxa"/>
                    <w:right w:w="15" w:type="dxa"/>
                  </w:tcMar>
                  <w:vAlign w:val="center"/>
                </w:tcPr>
                <w:p w14:paraId="2DD139CF">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主要有毒有害物质名称</w:t>
                  </w:r>
                </w:p>
              </w:tc>
              <w:tc>
                <w:tcPr>
                  <w:tcW w:w="194" w:type="pct"/>
                  <w:tcBorders>
                    <w:tl2br w:val="nil"/>
                    <w:tr2bl w:val="nil"/>
                  </w:tcBorders>
                  <w:tcMar>
                    <w:top w:w="15" w:type="dxa"/>
                    <w:left w:w="15" w:type="dxa"/>
                    <w:right w:w="15" w:type="dxa"/>
                  </w:tcMar>
                  <w:vAlign w:val="center"/>
                </w:tcPr>
                <w:p w14:paraId="2D9659E8">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物理性状</w:t>
                  </w:r>
                </w:p>
              </w:tc>
              <w:tc>
                <w:tcPr>
                  <w:tcW w:w="281" w:type="pct"/>
                  <w:tcBorders>
                    <w:tl2br w:val="nil"/>
                    <w:tr2bl w:val="nil"/>
                  </w:tcBorders>
                  <w:tcMar>
                    <w:top w:w="15" w:type="dxa"/>
                    <w:left w:w="15" w:type="dxa"/>
                    <w:right w:w="15" w:type="dxa"/>
                  </w:tcMar>
                  <w:vAlign w:val="center"/>
                </w:tcPr>
                <w:p w14:paraId="350C309F">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环境危险特性</w:t>
                  </w:r>
                </w:p>
              </w:tc>
              <w:tc>
                <w:tcPr>
                  <w:tcW w:w="402" w:type="pct"/>
                  <w:tcBorders>
                    <w:tl2br w:val="nil"/>
                    <w:tr2bl w:val="nil"/>
                  </w:tcBorders>
                  <w:tcMar>
                    <w:top w:w="15" w:type="dxa"/>
                    <w:left w:w="15" w:type="dxa"/>
                    <w:right w:w="15" w:type="dxa"/>
                  </w:tcMar>
                  <w:vAlign w:val="center"/>
                </w:tcPr>
                <w:p w14:paraId="0FD66080">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年度产生量t</w:t>
                  </w:r>
                </w:p>
              </w:tc>
              <w:tc>
                <w:tcPr>
                  <w:tcW w:w="345" w:type="pct"/>
                  <w:tcBorders>
                    <w:tl2br w:val="nil"/>
                    <w:tr2bl w:val="nil"/>
                  </w:tcBorders>
                  <w:tcMar>
                    <w:top w:w="15" w:type="dxa"/>
                    <w:left w:w="15" w:type="dxa"/>
                    <w:right w:w="15" w:type="dxa"/>
                  </w:tcMar>
                  <w:vAlign w:val="center"/>
                </w:tcPr>
                <w:p w14:paraId="0F90C468">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贮存方式</w:t>
                  </w:r>
                </w:p>
              </w:tc>
              <w:tc>
                <w:tcPr>
                  <w:tcW w:w="490" w:type="pct"/>
                  <w:tcBorders>
                    <w:tl2br w:val="nil"/>
                    <w:tr2bl w:val="nil"/>
                  </w:tcBorders>
                  <w:tcMar>
                    <w:top w:w="15" w:type="dxa"/>
                    <w:left w:w="15" w:type="dxa"/>
                    <w:right w:w="15" w:type="dxa"/>
                  </w:tcMar>
                  <w:vAlign w:val="center"/>
                </w:tcPr>
                <w:p w14:paraId="33249125">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利用及处置方式和去向</w:t>
                  </w:r>
                </w:p>
              </w:tc>
              <w:tc>
                <w:tcPr>
                  <w:tcW w:w="402" w:type="pct"/>
                  <w:tcBorders>
                    <w:tl2br w:val="nil"/>
                    <w:tr2bl w:val="nil"/>
                  </w:tcBorders>
                  <w:tcMar>
                    <w:top w:w="15" w:type="dxa"/>
                    <w:left w:w="15" w:type="dxa"/>
                    <w:right w:w="15" w:type="dxa"/>
                  </w:tcMar>
                  <w:vAlign w:val="center"/>
                </w:tcPr>
                <w:p w14:paraId="01D5ABEF">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利用或处置量t</w:t>
                  </w:r>
                </w:p>
              </w:tc>
              <w:tc>
                <w:tcPr>
                  <w:tcW w:w="1086" w:type="pct"/>
                  <w:tcBorders>
                    <w:tl2br w:val="nil"/>
                    <w:tr2bl w:val="nil"/>
                  </w:tcBorders>
                  <w:tcMar>
                    <w:top w:w="15" w:type="dxa"/>
                    <w:left w:w="15" w:type="dxa"/>
                    <w:right w:w="15" w:type="dxa"/>
                  </w:tcMar>
                  <w:vAlign w:val="center"/>
                </w:tcPr>
                <w:p w14:paraId="04850207">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环境管理要求</w:t>
                  </w:r>
                </w:p>
              </w:tc>
            </w:tr>
            <w:tr w14:paraId="4852F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43" w:type="pct"/>
                  <w:vMerge w:val="restart"/>
                  <w:tcBorders>
                    <w:tl2br w:val="nil"/>
                    <w:tr2bl w:val="nil"/>
                  </w:tcBorders>
                  <w:tcMar>
                    <w:top w:w="15" w:type="dxa"/>
                    <w:left w:w="15" w:type="dxa"/>
                    <w:right w:w="15" w:type="dxa"/>
                  </w:tcMar>
                  <w:vAlign w:val="center"/>
                </w:tcPr>
                <w:p w14:paraId="255162ED">
                  <w:pPr>
                    <w:pStyle w:val="135"/>
                    <w:spacing w:beforeLines="0" w:afterLines="0" w:line="24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除尘</w:t>
                  </w:r>
                </w:p>
              </w:tc>
              <w:tc>
                <w:tcPr>
                  <w:tcW w:w="379" w:type="pct"/>
                  <w:tcBorders>
                    <w:tl2br w:val="nil"/>
                    <w:tr2bl w:val="nil"/>
                  </w:tcBorders>
                  <w:tcMar>
                    <w:top w:w="15" w:type="dxa"/>
                    <w:left w:w="15" w:type="dxa"/>
                    <w:right w:w="15" w:type="dxa"/>
                  </w:tcMar>
                  <w:vAlign w:val="center"/>
                </w:tcPr>
                <w:p w14:paraId="01F032F0">
                  <w:pPr>
                    <w:pStyle w:val="135"/>
                    <w:spacing w:beforeLines="0" w:afterLines="0" w:line="24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除尘灰</w:t>
                  </w:r>
                </w:p>
              </w:tc>
              <w:tc>
                <w:tcPr>
                  <w:tcW w:w="728" w:type="pct"/>
                  <w:tcBorders>
                    <w:tl2br w:val="nil"/>
                    <w:tr2bl w:val="nil"/>
                  </w:tcBorders>
                  <w:tcMar>
                    <w:top w:w="15" w:type="dxa"/>
                    <w:left w:w="15" w:type="dxa"/>
                    <w:right w:w="15" w:type="dxa"/>
                  </w:tcMar>
                  <w:vAlign w:val="center"/>
                </w:tcPr>
                <w:p w14:paraId="5E749B3F">
                  <w:pPr>
                    <w:keepNext w:val="0"/>
                    <w:keepLines w:val="0"/>
                    <w:widowControl/>
                    <w:suppressLineNumbers w:val="0"/>
                    <w:ind w:left="0" w:leftChars="0" w:firstLine="0" w:firstLineChars="0"/>
                    <w:jc w:val="left"/>
                    <w:rPr>
                      <w:rFonts w:hint="default" w:ascii="Times New Roman" w:hAnsi="Times New Roman" w:cs="Times New Roman"/>
                      <w:color w:val="auto"/>
                      <w:kern w:val="0"/>
                      <w:sz w:val="21"/>
                      <w:szCs w:val="21"/>
                      <w:highlight w:val="none"/>
                      <w:lang w:val="en-US" w:bidi="ar"/>
                    </w:rPr>
                  </w:pPr>
                  <w:r>
                    <w:rPr>
                      <w:rFonts w:hint="default" w:ascii="Times New Roman" w:hAnsi="Times New Roman" w:eastAsia="宋体" w:cs="Times New Roman"/>
                      <w:color w:val="auto"/>
                      <w:kern w:val="0"/>
                      <w:sz w:val="20"/>
                      <w:szCs w:val="20"/>
                      <w:highlight w:val="none"/>
                      <w:lang w:val="en-US" w:eastAsia="zh-CN" w:bidi="ar"/>
                    </w:rPr>
                    <w:t>一般固体废物</w:t>
                  </w:r>
                  <w:r>
                    <w:rPr>
                      <w:rFonts w:hint="default" w:ascii="Times New Roman" w:hAnsi="Times New Roman" w:cs="Times New Roman"/>
                      <w:color w:val="auto"/>
                      <w:kern w:val="0"/>
                      <w:sz w:val="21"/>
                      <w:szCs w:val="21"/>
                      <w:highlight w:val="none"/>
                      <w:lang w:bidi="ar"/>
                    </w:rPr>
                    <w:t>900-</w:t>
                  </w:r>
                  <w:r>
                    <w:rPr>
                      <w:rFonts w:hint="default" w:ascii="Times New Roman" w:hAnsi="Times New Roman" w:cs="Times New Roman"/>
                      <w:color w:val="auto"/>
                      <w:kern w:val="0"/>
                      <w:sz w:val="21"/>
                      <w:szCs w:val="21"/>
                      <w:highlight w:val="none"/>
                      <w:lang w:val="en-US" w:eastAsia="zh-CN" w:bidi="ar"/>
                    </w:rPr>
                    <w:t>0</w:t>
                  </w:r>
                  <w:r>
                    <w:rPr>
                      <w:rFonts w:hint="default" w:ascii="Times New Roman" w:hAnsi="Times New Roman" w:cs="Times New Roman"/>
                      <w:color w:val="auto"/>
                      <w:kern w:val="0"/>
                      <w:sz w:val="21"/>
                      <w:szCs w:val="21"/>
                      <w:highlight w:val="none"/>
                      <w:lang w:bidi="ar"/>
                    </w:rPr>
                    <w:t>99-</w:t>
                  </w:r>
                  <w:r>
                    <w:rPr>
                      <w:rFonts w:hint="default" w:ascii="Times New Roman" w:hAnsi="Times New Roman" w:cs="Times New Roman"/>
                      <w:color w:val="auto"/>
                      <w:kern w:val="0"/>
                      <w:sz w:val="21"/>
                      <w:szCs w:val="21"/>
                      <w:highlight w:val="none"/>
                      <w:lang w:val="en-US" w:eastAsia="zh-CN" w:bidi="ar"/>
                    </w:rPr>
                    <w:t>S17</w:t>
                  </w:r>
                </w:p>
              </w:tc>
              <w:tc>
                <w:tcPr>
                  <w:tcW w:w="445" w:type="pct"/>
                  <w:tcBorders>
                    <w:tl2br w:val="nil"/>
                    <w:tr2bl w:val="nil"/>
                  </w:tcBorders>
                  <w:tcMar>
                    <w:top w:w="15" w:type="dxa"/>
                    <w:left w:w="15" w:type="dxa"/>
                    <w:right w:w="15" w:type="dxa"/>
                  </w:tcMar>
                  <w:vAlign w:val="center"/>
                </w:tcPr>
                <w:p w14:paraId="4FB836DB">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无</w:t>
                  </w:r>
                </w:p>
              </w:tc>
              <w:tc>
                <w:tcPr>
                  <w:tcW w:w="194" w:type="pct"/>
                  <w:tcBorders>
                    <w:tl2br w:val="nil"/>
                    <w:tr2bl w:val="nil"/>
                  </w:tcBorders>
                  <w:tcMar>
                    <w:top w:w="15" w:type="dxa"/>
                    <w:left w:w="15" w:type="dxa"/>
                    <w:right w:w="15" w:type="dxa"/>
                  </w:tcMar>
                  <w:vAlign w:val="center"/>
                </w:tcPr>
                <w:p w14:paraId="586AD8CC">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固体</w:t>
                  </w:r>
                </w:p>
              </w:tc>
              <w:tc>
                <w:tcPr>
                  <w:tcW w:w="281" w:type="pct"/>
                  <w:tcBorders>
                    <w:tl2br w:val="nil"/>
                    <w:tr2bl w:val="nil"/>
                  </w:tcBorders>
                  <w:tcMar>
                    <w:top w:w="15" w:type="dxa"/>
                    <w:left w:w="15" w:type="dxa"/>
                    <w:right w:w="15" w:type="dxa"/>
                  </w:tcMar>
                  <w:vAlign w:val="center"/>
                </w:tcPr>
                <w:p w14:paraId="48BA4305">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无</w:t>
                  </w:r>
                </w:p>
              </w:tc>
              <w:tc>
                <w:tcPr>
                  <w:tcW w:w="402" w:type="pct"/>
                  <w:tcBorders>
                    <w:tl2br w:val="nil"/>
                    <w:tr2bl w:val="nil"/>
                  </w:tcBorders>
                  <w:tcMar>
                    <w:top w:w="15" w:type="dxa"/>
                    <w:left w:w="15" w:type="dxa"/>
                    <w:right w:w="15" w:type="dxa"/>
                  </w:tcMar>
                  <w:vAlign w:val="center"/>
                </w:tcPr>
                <w:p w14:paraId="2E08BFBC">
                  <w:pPr>
                    <w:widowControl/>
                    <w:spacing w:line="28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70.728</w:t>
                  </w:r>
                </w:p>
              </w:tc>
              <w:tc>
                <w:tcPr>
                  <w:tcW w:w="835" w:type="pct"/>
                  <w:gridSpan w:val="2"/>
                  <w:tcBorders>
                    <w:tl2br w:val="nil"/>
                    <w:tr2bl w:val="nil"/>
                  </w:tcBorders>
                  <w:tcMar>
                    <w:top w:w="15" w:type="dxa"/>
                    <w:left w:w="15" w:type="dxa"/>
                    <w:right w:w="15" w:type="dxa"/>
                  </w:tcMar>
                  <w:vAlign w:val="center"/>
                </w:tcPr>
                <w:p w14:paraId="577B850F">
                  <w:pPr>
                    <w:widowControl/>
                    <w:spacing w:line="28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收集后</w:t>
                  </w:r>
                  <w:r>
                    <w:rPr>
                      <w:rFonts w:hint="default" w:ascii="Times New Roman" w:hAnsi="Times New Roman" w:cs="Times New Roman"/>
                      <w:color w:val="auto"/>
                      <w:kern w:val="0"/>
                      <w:sz w:val="21"/>
                      <w:szCs w:val="21"/>
                      <w:highlight w:val="none"/>
                      <w:lang w:val="en-US" w:eastAsia="zh-CN" w:bidi="ar"/>
                    </w:rPr>
                    <w:t>作为原料回用</w:t>
                  </w:r>
                </w:p>
              </w:tc>
              <w:tc>
                <w:tcPr>
                  <w:tcW w:w="402" w:type="pct"/>
                  <w:tcBorders>
                    <w:tl2br w:val="nil"/>
                    <w:tr2bl w:val="nil"/>
                  </w:tcBorders>
                  <w:tcMar>
                    <w:top w:w="15" w:type="dxa"/>
                    <w:left w:w="15" w:type="dxa"/>
                    <w:right w:w="15" w:type="dxa"/>
                  </w:tcMar>
                  <w:vAlign w:val="center"/>
                </w:tcPr>
                <w:p w14:paraId="108911CF">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val="en-US" w:bidi="ar"/>
                    </w:rPr>
                  </w:pPr>
                  <w:r>
                    <w:rPr>
                      <w:rFonts w:hint="eastAsia" w:cs="Times New Roman"/>
                      <w:color w:val="auto"/>
                      <w:kern w:val="0"/>
                      <w:sz w:val="21"/>
                      <w:szCs w:val="21"/>
                      <w:highlight w:val="none"/>
                      <w:lang w:val="en-US" w:eastAsia="zh-CN" w:bidi="ar"/>
                    </w:rPr>
                    <w:t>70.728</w:t>
                  </w:r>
                </w:p>
              </w:tc>
              <w:tc>
                <w:tcPr>
                  <w:tcW w:w="1086" w:type="pct"/>
                  <w:vMerge w:val="restart"/>
                  <w:tcBorders>
                    <w:tl2br w:val="nil"/>
                    <w:tr2bl w:val="nil"/>
                  </w:tcBorders>
                  <w:tcMar>
                    <w:top w:w="15" w:type="dxa"/>
                    <w:left w:w="15" w:type="dxa"/>
                    <w:right w:w="15" w:type="dxa"/>
                  </w:tcMar>
                  <w:vAlign w:val="center"/>
                </w:tcPr>
                <w:p w14:paraId="699EC5CE">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sz w:val="21"/>
                      <w:szCs w:val="21"/>
                      <w:highlight w:val="none"/>
                    </w:rPr>
                    <w:t>合理处置。一般固体废物暂存于封闭车间内，满足防渗漏、防雨淋、防扬尘等要求。</w:t>
                  </w:r>
                </w:p>
              </w:tc>
            </w:tr>
            <w:tr w14:paraId="245A0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43" w:type="pct"/>
                  <w:vMerge w:val="continue"/>
                  <w:tcBorders>
                    <w:tl2br w:val="nil"/>
                    <w:tr2bl w:val="nil"/>
                  </w:tcBorders>
                  <w:tcMar>
                    <w:top w:w="15" w:type="dxa"/>
                    <w:left w:w="15" w:type="dxa"/>
                    <w:right w:w="15" w:type="dxa"/>
                  </w:tcMar>
                  <w:vAlign w:val="center"/>
                </w:tcPr>
                <w:p w14:paraId="3A979E59">
                  <w:pPr>
                    <w:pStyle w:val="135"/>
                    <w:spacing w:beforeLines="0" w:afterLines="0" w:line="240" w:lineRule="auto"/>
                    <w:ind w:firstLine="0" w:firstLineChars="0"/>
                    <w:rPr>
                      <w:rFonts w:hint="default" w:ascii="Times New Roman" w:hAnsi="Times New Roman" w:cs="Times New Roman"/>
                      <w:color w:val="auto"/>
                      <w:sz w:val="21"/>
                      <w:szCs w:val="21"/>
                      <w:highlight w:val="none"/>
                    </w:rPr>
                  </w:pPr>
                </w:p>
              </w:tc>
              <w:tc>
                <w:tcPr>
                  <w:tcW w:w="379" w:type="pct"/>
                  <w:tcBorders>
                    <w:tl2br w:val="nil"/>
                    <w:tr2bl w:val="nil"/>
                  </w:tcBorders>
                  <w:tcMar>
                    <w:top w:w="15" w:type="dxa"/>
                    <w:left w:w="15" w:type="dxa"/>
                    <w:right w:w="15" w:type="dxa"/>
                  </w:tcMar>
                  <w:vAlign w:val="center"/>
                </w:tcPr>
                <w:p w14:paraId="46A0443B">
                  <w:pPr>
                    <w:pStyle w:val="135"/>
                    <w:spacing w:beforeLines="0" w:afterLines="0" w:line="24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废布袋</w:t>
                  </w:r>
                </w:p>
              </w:tc>
              <w:tc>
                <w:tcPr>
                  <w:tcW w:w="728" w:type="pct"/>
                  <w:tcBorders>
                    <w:tl2br w:val="nil"/>
                    <w:tr2bl w:val="nil"/>
                  </w:tcBorders>
                  <w:tcMar>
                    <w:top w:w="15" w:type="dxa"/>
                    <w:left w:w="15" w:type="dxa"/>
                    <w:right w:w="15" w:type="dxa"/>
                  </w:tcMar>
                  <w:vAlign w:val="center"/>
                </w:tcPr>
                <w:p w14:paraId="05987943">
                  <w:pPr>
                    <w:pStyle w:val="53"/>
                    <w:adjustRightInd/>
                    <w:spacing w:line="280" w:lineRule="exact"/>
                    <w:ind w:firstLine="0" w:firstLineChars="0"/>
                    <w:jc w:val="left"/>
                    <w:rPr>
                      <w:rFonts w:hint="default" w:ascii="Times New Roman" w:hAnsi="Times New Roman" w:cs="Times New Roman"/>
                      <w:color w:val="auto"/>
                      <w:kern w:val="0"/>
                      <w:sz w:val="21"/>
                      <w:szCs w:val="21"/>
                      <w:highlight w:val="none"/>
                      <w:lang w:bidi="ar"/>
                    </w:rPr>
                  </w:pPr>
                  <w:r>
                    <w:rPr>
                      <w:rFonts w:hint="default" w:ascii="Times New Roman" w:hAnsi="Times New Roman" w:eastAsia="宋体" w:cs="Times New Roman"/>
                      <w:color w:val="auto"/>
                      <w:kern w:val="0"/>
                      <w:sz w:val="20"/>
                      <w:szCs w:val="20"/>
                      <w:highlight w:val="none"/>
                      <w:lang w:val="en-US" w:eastAsia="zh-CN" w:bidi="ar"/>
                    </w:rPr>
                    <w:t>一般固体废物</w:t>
                  </w:r>
                  <w:r>
                    <w:rPr>
                      <w:rFonts w:hint="default" w:ascii="Times New Roman" w:hAnsi="Times New Roman" w:cs="Times New Roman"/>
                      <w:color w:val="auto"/>
                      <w:kern w:val="0"/>
                      <w:sz w:val="21"/>
                      <w:szCs w:val="21"/>
                      <w:highlight w:val="none"/>
                      <w:lang w:bidi="ar"/>
                    </w:rPr>
                    <w:t>900-</w:t>
                  </w:r>
                  <w:r>
                    <w:rPr>
                      <w:rFonts w:hint="default" w:ascii="Times New Roman" w:hAnsi="Times New Roman" w:cs="Times New Roman"/>
                      <w:color w:val="auto"/>
                      <w:kern w:val="0"/>
                      <w:sz w:val="21"/>
                      <w:szCs w:val="21"/>
                      <w:highlight w:val="none"/>
                      <w:lang w:val="en-US" w:eastAsia="zh-CN" w:bidi="ar"/>
                    </w:rPr>
                    <w:t>009</w:t>
                  </w:r>
                  <w:r>
                    <w:rPr>
                      <w:rFonts w:hint="default" w:ascii="Times New Roman" w:hAnsi="Times New Roman" w:cs="Times New Roman"/>
                      <w:color w:val="auto"/>
                      <w:kern w:val="0"/>
                      <w:sz w:val="21"/>
                      <w:szCs w:val="21"/>
                      <w:highlight w:val="none"/>
                      <w:lang w:bidi="ar"/>
                    </w:rPr>
                    <w:t>-</w:t>
                  </w:r>
                  <w:r>
                    <w:rPr>
                      <w:rFonts w:hint="default" w:ascii="Times New Roman" w:hAnsi="Times New Roman" w:cs="Times New Roman"/>
                      <w:color w:val="auto"/>
                      <w:kern w:val="0"/>
                      <w:sz w:val="21"/>
                      <w:szCs w:val="21"/>
                      <w:highlight w:val="none"/>
                      <w:lang w:val="en-US" w:eastAsia="zh-CN" w:bidi="ar"/>
                    </w:rPr>
                    <w:t>S59</w:t>
                  </w:r>
                </w:p>
              </w:tc>
              <w:tc>
                <w:tcPr>
                  <w:tcW w:w="445" w:type="pct"/>
                  <w:tcBorders>
                    <w:tl2br w:val="nil"/>
                    <w:tr2bl w:val="nil"/>
                  </w:tcBorders>
                  <w:tcMar>
                    <w:top w:w="15" w:type="dxa"/>
                    <w:left w:w="15" w:type="dxa"/>
                    <w:right w:w="15" w:type="dxa"/>
                  </w:tcMar>
                  <w:vAlign w:val="center"/>
                </w:tcPr>
                <w:p w14:paraId="63FE1B3F">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无</w:t>
                  </w:r>
                </w:p>
              </w:tc>
              <w:tc>
                <w:tcPr>
                  <w:tcW w:w="194" w:type="pct"/>
                  <w:tcBorders>
                    <w:tl2br w:val="nil"/>
                    <w:tr2bl w:val="nil"/>
                  </w:tcBorders>
                  <w:tcMar>
                    <w:top w:w="15" w:type="dxa"/>
                    <w:left w:w="15" w:type="dxa"/>
                    <w:right w:w="15" w:type="dxa"/>
                  </w:tcMar>
                  <w:vAlign w:val="center"/>
                </w:tcPr>
                <w:p w14:paraId="7F84D391">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固体</w:t>
                  </w:r>
                </w:p>
              </w:tc>
              <w:tc>
                <w:tcPr>
                  <w:tcW w:w="281" w:type="pct"/>
                  <w:tcBorders>
                    <w:tl2br w:val="nil"/>
                    <w:tr2bl w:val="nil"/>
                  </w:tcBorders>
                  <w:tcMar>
                    <w:top w:w="15" w:type="dxa"/>
                    <w:left w:w="15" w:type="dxa"/>
                    <w:right w:w="15" w:type="dxa"/>
                  </w:tcMar>
                  <w:vAlign w:val="center"/>
                </w:tcPr>
                <w:p w14:paraId="664A6D08">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无</w:t>
                  </w:r>
                </w:p>
              </w:tc>
              <w:tc>
                <w:tcPr>
                  <w:tcW w:w="402" w:type="pct"/>
                  <w:tcBorders>
                    <w:tl2br w:val="nil"/>
                    <w:tr2bl w:val="nil"/>
                  </w:tcBorders>
                  <w:tcMar>
                    <w:top w:w="15" w:type="dxa"/>
                    <w:left w:w="15" w:type="dxa"/>
                    <w:right w:w="15" w:type="dxa"/>
                  </w:tcMar>
                  <w:vAlign w:val="center"/>
                </w:tcPr>
                <w:p w14:paraId="2AE8B4EE">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0.1</w:t>
                  </w:r>
                </w:p>
              </w:tc>
              <w:tc>
                <w:tcPr>
                  <w:tcW w:w="835" w:type="pct"/>
                  <w:gridSpan w:val="2"/>
                  <w:tcBorders>
                    <w:tl2br w:val="nil"/>
                    <w:tr2bl w:val="nil"/>
                  </w:tcBorders>
                  <w:tcMar>
                    <w:top w:w="15" w:type="dxa"/>
                    <w:left w:w="15" w:type="dxa"/>
                    <w:right w:w="15" w:type="dxa"/>
                  </w:tcMar>
                  <w:vAlign w:val="center"/>
                </w:tcPr>
                <w:p w14:paraId="100FA45B">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eastAsia"/>
                      <w:color w:val="auto"/>
                      <w:sz w:val="21"/>
                      <w:szCs w:val="21"/>
                      <w:highlight w:val="none"/>
                    </w:rPr>
                    <w:t>收集后</w:t>
                  </w:r>
                  <w:r>
                    <w:rPr>
                      <w:rFonts w:hint="eastAsia" w:ascii="Times New Roman"/>
                      <w:color w:val="auto"/>
                      <w:sz w:val="21"/>
                      <w:szCs w:val="21"/>
                      <w:highlight w:val="none"/>
                    </w:rPr>
                    <w:t>由厂家回收利用</w:t>
                  </w:r>
                </w:p>
              </w:tc>
              <w:tc>
                <w:tcPr>
                  <w:tcW w:w="402" w:type="pct"/>
                  <w:tcBorders>
                    <w:tl2br w:val="nil"/>
                    <w:tr2bl w:val="nil"/>
                  </w:tcBorders>
                  <w:tcMar>
                    <w:top w:w="15" w:type="dxa"/>
                    <w:left w:w="15" w:type="dxa"/>
                    <w:right w:w="15" w:type="dxa"/>
                  </w:tcMar>
                  <w:vAlign w:val="center"/>
                </w:tcPr>
                <w:p w14:paraId="4EE5C9EA">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0.1</w:t>
                  </w:r>
                </w:p>
              </w:tc>
              <w:tc>
                <w:tcPr>
                  <w:tcW w:w="1086" w:type="pct"/>
                  <w:vMerge w:val="continue"/>
                  <w:tcBorders>
                    <w:tl2br w:val="nil"/>
                    <w:tr2bl w:val="nil"/>
                  </w:tcBorders>
                  <w:tcMar>
                    <w:top w:w="15" w:type="dxa"/>
                    <w:left w:w="15" w:type="dxa"/>
                    <w:right w:w="15" w:type="dxa"/>
                  </w:tcMar>
                  <w:vAlign w:val="center"/>
                </w:tcPr>
                <w:p w14:paraId="2115B3A8">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p>
              </w:tc>
            </w:tr>
            <w:tr w14:paraId="17644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jc w:val="center"/>
              </w:trPr>
              <w:tc>
                <w:tcPr>
                  <w:tcW w:w="243" w:type="pct"/>
                  <w:vMerge w:val="restart"/>
                  <w:tcBorders>
                    <w:tl2br w:val="nil"/>
                    <w:tr2bl w:val="nil"/>
                  </w:tcBorders>
                  <w:tcMar>
                    <w:top w:w="15" w:type="dxa"/>
                    <w:left w:w="15" w:type="dxa"/>
                    <w:right w:w="15" w:type="dxa"/>
                  </w:tcMar>
                  <w:vAlign w:val="center"/>
                </w:tcPr>
                <w:p w14:paraId="14806A5F">
                  <w:pPr>
                    <w:pStyle w:val="135"/>
                    <w:spacing w:beforeLines="0" w:afterLines="0" w:line="24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生产</w:t>
                  </w:r>
                </w:p>
              </w:tc>
              <w:tc>
                <w:tcPr>
                  <w:tcW w:w="379" w:type="pct"/>
                  <w:tcBorders>
                    <w:tl2br w:val="nil"/>
                    <w:tr2bl w:val="nil"/>
                  </w:tcBorders>
                  <w:tcMar>
                    <w:top w:w="15" w:type="dxa"/>
                    <w:left w:w="15" w:type="dxa"/>
                    <w:right w:w="15" w:type="dxa"/>
                  </w:tcMar>
                  <w:vAlign w:val="center"/>
                </w:tcPr>
                <w:p w14:paraId="3DF5F4DB">
                  <w:pPr>
                    <w:pStyle w:val="135"/>
                    <w:spacing w:beforeLines="0" w:afterLines="0" w:line="24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大粒径物料</w:t>
                  </w:r>
                </w:p>
              </w:tc>
              <w:tc>
                <w:tcPr>
                  <w:tcW w:w="728" w:type="pct"/>
                  <w:tcBorders>
                    <w:tl2br w:val="nil"/>
                    <w:tr2bl w:val="nil"/>
                  </w:tcBorders>
                  <w:tcMar>
                    <w:top w:w="15" w:type="dxa"/>
                    <w:left w:w="15" w:type="dxa"/>
                    <w:right w:w="15" w:type="dxa"/>
                  </w:tcMar>
                  <w:vAlign w:val="center"/>
                </w:tcPr>
                <w:p w14:paraId="56A055FF">
                  <w:pPr>
                    <w:pStyle w:val="53"/>
                    <w:adjustRightInd/>
                    <w:spacing w:line="280" w:lineRule="exact"/>
                    <w:ind w:firstLine="0" w:firstLineChars="0"/>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一般固体废物</w:t>
                  </w:r>
                  <w:r>
                    <w:rPr>
                      <w:rFonts w:hint="default" w:ascii="Times New Roman" w:hAnsi="Times New Roman" w:cs="Times New Roman"/>
                      <w:color w:val="auto"/>
                      <w:kern w:val="0"/>
                      <w:sz w:val="20"/>
                      <w:szCs w:val="20"/>
                      <w:highlight w:val="none"/>
                      <w:lang w:val="en-US" w:eastAsia="zh-CN" w:bidi="ar"/>
                    </w:rPr>
                    <w:t>900-001-S17</w:t>
                  </w:r>
                </w:p>
              </w:tc>
              <w:tc>
                <w:tcPr>
                  <w:tcW w:w="445" w:type="pct"/>
                  <w:tcBorders>
                    <w:tl2br w:val="nil"/>
                    <w:tr2bl w:val="nil"/>
                  </w:tcBorders>
                  <w:tcMar>
                    <w:top w:w="15" w:type="dxa"/>
                    <w:left w:w="15" w:type="dxa"/>
                    <w:right w:w="15" w:type="dxa"/>
                  </w:tcMar>
                  <w:vAlign w:val="center"/>
                </w:tcPr>
                <w:p w14:paraId="3EC4C010">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无</w:t>
                  </w:r>
                </w:p>
              </w:tc>
              <w:tc>
                <w:tcPr>
                  <w:tcW w:w="194" w:type="pct"/>
                  <w:tcBorders>
                    <w:tl2br w:val="nil"/>
                    <w:tr2bl w:val="nil"/>
                  </w:tcBorders>
                  <w:tcMar>
                    <w:top w:w="15" w:type="dxa"/>
                    <w:left w:w="15" w:type="dxa"/>
                    <w:right w:w="15" w:type="dxa"/>
                  </w:tcMar>
                  <w:vAlign w:val="center"/>
                </w:tcPr>
                <w:p w14:paraId="0EBF69A6">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固体</w:t>
                  </w:r>
                </w:p>
              </w:tc>
              <w:tc>
                <w:tcPr>
                  <w:tcW w:w="281" w:type="pct"/>
                  <w:tcBorders>
                    <w:tl2br w:val="nil"/>
                    <w:tr2bl w:val="nil"/>
                  </w:tcBorders>
                  <w:tcMar>
                    <w:top w:w="15" w:type="dxa"/>
                    <w:left w:w="15" w:type="dxa"/>
                    <w:right w:w="15" w:type="dxa"/>
                  </w:tcMar>
                  <w:vAlign w:val="center"/>
                </w:tcPr>
                <w:p w14:paraId="1761CBD7">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无</w:t>
                  </w:r>
                </w:p>
              </w:tc>
              <w:tc>
                <w:tcPr>
                  <w:tcW w:w="402" w:type="pct"/>
                  <w:tcBorders>
                    <w:tl2br w:val="nil"/>
                    <w:tr2bl w:val="nil"/>
                  </w:tcBorders>
                  <w:tcMar>
                    <w:top w:w="15" w:type="dxa"/>
                    <w:left w:w="15" w:type="dxa"/>
                    <w:right w:w="15" w:type="dxa"/>
                  </w:tcMar>
                  <w:vAlign w:val="center"/>
                </w:tcPr>
                <w:p w14:paraId="49D4A601">
                  <w:pPr>
                    <w:widowControl/>
                    <w:spacing w:line="28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1000</w:t>
                  </w:r>
                </w:p>
              </w:tc>
              <w:tc>
                <w:tcPr>
                  <w:tcW w:w="835" w:type="pct"/>
                  <w:gridSpan w:val="2"/>
                  <w:tcBorders>
                    <w:tl2br w:val="nil"/>
                    <w:tr2bl w:val="nil"/>
                  </w:tcBorders>
                  <w:tcMar>
                    <w:top w:w="15" w:type="dxa"/>
                    <w:left w:w="15" w:type="dxa"/>
                    <w:right w:w="15" w:type="dxa"/>
                  </w:tcMar>
                  <w:vAlign w:val="center"/>
                </w:tcPr>
                <w:p w14:paraId="5FDF43AD">
                  <w:pPr>
                    <w:widowControl/>
                    <w:spacing w:line="280" w:lineRule="exact"/>
                    <w:ind w:firstLine="0" w:firstLineChars="0"/>
                    <w:jc w:val="both"/>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val="en-US" w:eastAsia="zh-CN" w:bidi="ar"/>
                    </w:rPr>
                    <w:t>收集后</w:t>
                  </w:r>
                  <w:r>
                    <w:rPr>
                      <w:rFonts w:hint="eastAsia" w:cs="Times New Roman"/>
                      <w:color w:val="auto"/>
                      <w:kern w:val="0"/>
                      <w:sz w:val="21"/>
                      <w:szCs w:val="21"/>
                      <w:highlight w:val="none"/>
                      <w:lang w:val="en-US" w:eastAsia="zh-CN" w:bidi="ar"/>
                    </w:rPr>
                    <w:t>回烧结配料</w:t>
                  </w:r>
                </w:p>
              </w:tc>
              <w:tc>
                <w:tcPr>
                  <w:tcW w:w="402" w:type="pct"/>
                  <w:tcBorders>
                    <w:tl2br w:val="nil"/>
                    <w:tr2bl w:val="nil"/>
                  </w:tcBorders>
                  <w:tcMar>
                    <w:top w:w="15" w:type="dxa"/>
                    <w:left w:w="15" w:type="dxa"/>
                    <w:right w:w="15" w:type="dxa"/>
                  </w:tcMar>
                  <w:vAlign w:val="center"/>
                </w:tcPr>
                <w:p w14:paraId="3DAB3B72">
                  <w:pPr>
                    <w:widowControl/>
                    <w:spacing w:line="28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1000</w:t>
                  </w:r>
                </w:p>
              </w:tc>
              <w:tc>
                <w:tcPr>
                  <w:tcW w:w="1086" w:type="pct"/>
                  <w:vMerge w:val="continue"/>
                  <w:tcBorders>
                    <w:tl2br w:val="nil"/>
                    <w:tr2bl w:val="nil"/>
                  </w:tcBorders>
                  <w:tcMar>
                    <w:top w:w="15" w:type="dxa"/>
                    <w:left w:w="15" w:type="dxa"/>
                    <w:right w:w="15" w:type="dxa"/>
                  </w:tcMar>
                  <w:vAlign w:val="center"/>
                </w:tcPr>
                <w:p w14:paraId="628EC4C9">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p>
              </w:tc>
            </w:tr>
            <w:tr w14:paraId="40F21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jc w:val="center"/>
              </w:trPr>
              <w:tc>
                <w:tcPr>
                  <w:tcW w:w="243" w:type="pct"/>
                  <w:vMerge w:val="continue"/>
                  <w:tcBorders>
                    <w:tl2br w:val="nil"/>
                    <w:tr2bl w:val="nil"/>
                  </w:tcBorders>
                  <w:tcMar>
                    <w:top w:w="15" w:type="dxa"/>
                    <w:left w:w="15" w:type="dxa"/>
                    <w:right w:w="15" w:type="dxa"/>
                  </w:tcMar>
                  <w:vAlign w:val="center"/>
                </w:tcPr>
                <w:p w14:paraId="7EE23C57">
                  <w:pPr>
                    <w:pStyle w:val="135"/>
                    <w:spacing w:beforeLines="0" w:afterLines="0" w:line="240" w:lineRule="auto"/>
                    <w:ind w:firstLine="0" w:firstLineChars="0"/>
                    <w:rPr>
                      <w:rFonts w:hint="default" w:ascii="Times New Roman" w:hAnsi="Times New Roman" w:cs="Times New Roman"/>
                      <w:color w:val="auto"/>
                      <w:sz w:val="21"/>
                      <w:szCs w:val="21"/>
                      <w:highlight w:val="none"/>
                    </w:rPr>
                  </w:pPr>
                </w:p>
              </w:tc>
              <w:tc>
                <w:tcPr>
                  <w:tcW w:w="379" w:type="pct"/>
                  <w:tcBorders>
                    <w:tl2br w:val="nil"/>
                    <w:tr2bl w:val="nil"/>
                  </w:tcBorders>
                  <w:tcMar>
                    <w:top w:w="15" w:type="dxa"/>
                    <w:left w:w="15" w:type="dxa"/>
                    <w:right w:w="15" w:type="dxa"/>
                  </w:tcMar>
                  <w:vAlign w:val="center"/>
                </w:tcPr>
                <w:p w14:paraId="77CFFA89">
                  <w:pPr>
                    <w:pStyle w:val="135"/>
                    <w:spacing w:beforeLines="0" w:afterLines="0" w:line="240" w:lineRule="auto"/>
                    <w:ind w:firstLine="0" w:firstLineChars="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粘合剂废包装袋</w:t>
                  </w:r>
                </w:p>
              </w:tc>
              <w:tc>
                <w:tcPr>
                  <w:tcW w:w="728" w:type="pct"/>
                  <w:tcBorders>
                    <w:tl2br w:val="nil"/>
                    <w:tr2bl w:val="nil"/>
                  </w:tcBorders>
                  <w:tcMar>
                    <w:top w:w="15" w:type="dxa"/>
                    <w:left w:w="15" w:type="dxa"/>
                    <w:right w:w="15" w:type="dxa"/>
                  </w:tcMar>
                  <w:vAlign w:val="center"/>
                </w:tcPr>
                <w:p w14:paraId="555E45E1">
                  <w:pPr>
                    <w:pStyle w:val="53"/>
                    <w:adjustRightInd/>
                    <w:spacing w:line="280" w:lineRule="exact"/>
                    <w:ind w:firstLine="0" w:firstLineChars="0"/>
                    <w:rPr>
                      <w:rFonts w:hint="default" w:ascii="Times New Roman" w:hAnsi="Times New Roman" w:cs="Times New Roman"/>
                      <w:color w:val="auto"/>
                      <w:kern w:val="0"/>
                      <w:sz w:val="21"/>
                      <w:szCs w:val="21"/>
                      <w:highlight w:val="none"/>
                      <w:lang w:bidi="ar"/>
                    </w:rPr>
                  </w:pPr>
                  <w:r>
                    <w:rPr>
                      <w:rFonts w:hint="default" w:ascii="Times New Roman" w:hAnsi="Times New Roman" w:eastAsia="宋体" w:cs="Times New Roman"/>
                      <w:color w:val="auto"/>
                      <w:kern w:val="0"/>
                      <w:sz w:val="20"/>
                      <w:szCs w:val="20"/>
                      <w:highlight w:val="none"/>
                      <w:lang w:val="en-US" w:eastAsia="zh-CN" w:bidi="ar"/>
                    </w:rPr>
                    <w:t>一般固体废物</w:t>
                  </w:r>
                  <w:r>
                    <w:rPr>
                      <w:rFonts w:hint="default" w:ascii="Times New Roman" w:hAnsi="Times New Roman" w:cs="Times New Roman"/>
                      <w:color w:val="auto"/>
                      <w:kern w:val="0"/>
                      <w:sz w:val="21"/>
                      <w:szCs w:val="21"/>
                      <w:highlight w:val="none"/>
                      <w:lang w:bidi="ar"/>
                    </w:rPr>
                    <w:t>900-</w:t>
                  </w:r>
                  <w:r>
                    <w:rPr>
                      <w:rFonts w:hint="default" w:ascii="Times New Roman" w:hAnsi="Times New Roman" w:cs="Times New Roman"/>
                      <w:color w:val="auto"/>
                      <w:kern w:val="0"/>
                      <w:sz w:val="21"/>
                      <w:szCs w:val="21"/>
                      <w:highlight w:val="none"/>
                      <w:lang w:val="en-US" w:eastAsia="zh-CN" w:bidi="ar"/>
                    </w:rPr>
                    <w:t>0</w:t>
                  </w:r>
                  <w:r>
                    <w:rPr>
                      <w:rFonts w:hint="default" w:ascii="Times New Roman" w:hAnsi="Times New Roman" w:cs="Times New Roman"/>
                      <w:color w:val="auto"/>
                      <w:kern w:val="0"/>
                      <w:sz w:val="21"/>
                      <w:szCs w:val="21"/>
                      <w:highlight w:val="none"/>
                      <w:lang w:bidi="ar"/>
                    </w:rPr>
                    <w:t>99-</w:t>
                  </w:r>
                  <w:r>
                    <w:rPr>
                      <w:rFonts w:hint="default" w:ascii="Times New Roman" w:hAnsi="Times New Roman" w:cs="Times New Roman"/>
                      <w:color w:val="auto"/>
                      <w:kern w:val="0"/>
                      <w:sz w:val="21"/>
                      <w:szCs w:val="21"/>
                      <w:highlight w:val="none"/>
                      <w:lang w:val="en-US" w:eastAsia="zh-CN" w:bidi="ar"/>
                    </w:rPr>
                    <w:t>S59</w:t>
                  </w:r>
                </w:p>
              </w:tc>
              <w:tc>
                <w:tcPr>
                  <w:tcW w:w="445" w:type="pct"/>
                  <w:tcBorders>
                    <w:tl2br w:val="nil"/>
                    <w:tr2bl w:val="nil"/>
                  </w:tcBorders>
                  <w:tcMar>
                    <w:top w:w="15" w:type="dxa"/>
                    <w:left w:w="15" w:type="dxa"/>
                    <w:right w:w="15" w:type="dxa"/>
                  </w:tcMar>
                  <w:vAlign w:val="center"/>
                </w:tcPr>
                <w:p w14:paraId="129B7225">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无</w:t>
                  </w:r>
                </w:p>
              </w:tc>
              <w:tc>
                <w:tcPr>
                  <w:tcW w:w="194" w:type="pct"/>
                  <w:tcBorders>
                    <w:tl2br w:val="nil"/>
                    <w:tr2bl w:val="nil"/>
                  </w:tcBorders>
                  <w:tcMar>
                    <w:top w:w="15" w:type="dxa"/>
                    <w:left w:w="15" w:type="dxa"/>
                    <w:right w:w="15" w:type="dxa"/>
                  </w:tcMar>
                  <w:vAlign w:val="center"/>
                </w:tcPr>
                <w:p w14:paraId="132021DD">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固体</w:t>
                  </w:r>
                </w:p>
              </w:tc>
              <w:tc>
                <w:tcPr>
                  <w:tcW w:w="281" w:type="pct"/>
                  <w:tcBorders>
                    <w:tl2br w:val="nil"/>
                    <w:tr2bl w:val="nil"/>
                  </w:tcBorders>
                  <w:tcMar>
                    <w:top w:w="15" w:type="dxa"/>
                    <w:left w:w="15" w:type="dxa"/>
                    <w:right w:w="15" w:type="dxa"/>
                  </w:tcMar>
                  <w:vAlign w:val="center"/>
                </w:tcPr>
                <w:p w14:paraId="40A0ACB4">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无</w:t>
                  </w:r>
                </w:p>
              </w:tc>
              <w:tc>
                <w:tcPr>
                  <w:tcW w:w="402" w:type="pct"/>
                  <w:tcBorders>
                    <w:tl2br w:val="nil"/>
                    <w:tr2bl w:val="nil"/>
                  </w:tcBorders>
                  <w:tcMar>
                    <w:top w:w="15" w:type="dxa"/>
                    <w:left w:w="15" w:type="dxa"/>
                    <w:right w:w="15" w:type="dxa"/>
                  </w:tcMar>
                  <w:vAlign w:val="center"/>
                </w:tcPr>
                <w:p w14:paraId="412C2B4D">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2</w:t>
                  </w:r>
                </w:p>
              </w:tc>
              <w:tc>
                <w:tcPr>
                  <w:tcW w:w="835" w:type="pct"/>
                  <w:gridSpan w:val="2"/>
                  <w:tcBorders>
                    <w:tl2br w:val="nil"/>
                    <w:tr2bl w:val="nil"/>
                  </w:tcBorders>
                  <w:tcMar>
                    <w:top w:w="15" w:type="dxa"/>
                    <w:left w:w="15" w:type="dxa"/>
                    <w:right w:w="15" w:type="dxa"/>
                  </w:tcMar>
                  <w:vAlign w:val="center"/>
                </w:tcPr>
                <w:p w14:paraId="7042E8EA">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eastAsia"/>
                      <w:color w:val="auto"/>
                      <w:sz w:val="21"/>
                      <w:szCs w:val="21"/>
                      <w:highlight w:val="none"/>
                    </w:rPr>
                    <w:t>收集后</w:t>
                  </w:r>
                  <w:r>
                    <w:rPr>
                      <w:rFonts w:hint="eastAsia" w:ascii="Times New Roman"/>
                      <w:color w:val="auto"/>
                      <w:sz w:val="21"/>
                      <w:szCs w:val="21"/>
                      <w:highlight w:val="none"/>
                    </w:rPr>
                    <w:t>由厂家回收利用</w:t>
                  </w:r>
                </w:p>
              </w:tc>
              <w:tc>
                <w:tcPr>
                  <w:tcW w:w="402" w:type="pct"/>
                  <w:tcBorders>
                    <w:tl2br w:val="nil"/>
                    <w:tr2bl w:val="nil"/>
                  </w:tcBorders>
                  <w:tcMar>
                    <w:top w:w="15" w:type="dxa"/>
                    <w:left w:w="15" w:type="dxa"/>
                    <w:right w:w="15" w:type="dxa"/>
                  </w:tcMar>
                  <w:vAlign w:val="center"/>
                </w:tcPr>
                <w:p w14:paraId="76A8F5AC">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2</w:t>
                  </w:r>
                </w:p>
              </w:tc>
              <w:tc>
                <w:tcPr>
                  <w:tcW w:w="1086" w:type="pct"/>
                  <w:vMerge w:val="continue"/>
                  <w:tcBorders>
                    <w:tl2br w:val="nil"/>
                    <w:tr2bl w:val="nil"/>
                  </w:tcBorders>
                  <w:tcMar>
                    <w:top w:w="15" w:type="dxa"/>
                    <w:left w:w="15" w:type="dxa"/>
                    <w:right w:w="15" w:type="dxa"/>
                  </w:tcMar>
                  <w:vAlign w:val="center"/>
                </w:tcPr>
                <w:p w14:paraId="3ED27796">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p>
              </w:tc>
            </w:tr>
            <w:tr w14:paraId="46024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jc w:val="center"/>
              </w:trPr>
              <w:tc>
                <w:tcPr>
                  <w:tcW w:w="243" w:type="pct"/>
                  <w:vMerge w:val="continue"/>
                  <w:tcBorders>
                    <w:tl2br w:val="nil"/>
                    <w:tr2bl w:val="nil"/>
                  </w:tcBorders>
                  <w:tcMar>
                    <w:top w:w="15" w:type="dxa"/>
                    <w:left w:w="15" w:type="dxa"/>
                    <w:right w:w="15" w:type="dxa"/>
                  </w:tcMar>
                  <w:vAlign w:val="center"/>
                </w:tcPr>
                <w:p w14:paraId="4F062D13">
                  <w:pPr>
                    <w:pStyle w:val="135"/>
                    <w:spacing w:beforeLines="0" w:afterLines="0" w:line="240" w:lineRule="auto"/>
                    <w:ind w:firstLine="0" w:firstLineChars="0"/>
                    <w:rPr>
                      <w:rFonts w:hint="default" w:ascii="Times New Roman" w:hAnsi="Times New Roman" w:cs="Times New Roman"/>
                      <w:color w:val="auto"/>
                      <w:sz w:val="21"/>
                      <w:szCs w:val="21"/>
                      <w:highlight w:val="none"/>
                    </w:rPr>
                  </w:pPr>
                </w:p>
              </w:tc>
              <w:tc>
                <w:tcPr>
                  <w:tcW w:w="379" w:type="pct"/>
                  <w:tcBorders>
                    <w:tl2br w:val="nil"/>
                    <w:tr2bl w:val="nil"/>
                  </w:tcBorders>
                  <w:tcMar>
                    <w:top w:w="15" w:type="dxa"/>
                    <w:left w:w="15" w:type="dxa"/>
                    <w:right w:w="15" w:type="dxa"/>
                  </w:tcMar>
                  <w:vAlign w:val="center"/>
                </w:tcPr>
                <w:p w14:paraId="6562AF01">
                  <w:pPr>
                    <w:pStyle w:val="135"/>
                    <w:spacing w:beforeLines="0" w:afterLines="0" w:line="240" w:lineRule="auto"/>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rPr>
                    <w:t>未成形的不合格品</w:t>
                  </w:r>
                </w:p>
              </w:tc>
              <w:tc>
                <w:tcPr>
                  <w:tcW w:w="728" w:type="pct"/>
                  <w:tcBorders>
                    <w:tl2br w:val="nil"/>
                    <w:tr2bl w:val="nil"/>
                  </w:tcBorders>
                  <w:tcMar>
                    <w:top w:w="15" w:type="dxa"/>
                    <w:left w:w="15" w:type="dxa"/>
                    <w:right w:w="15" w:type="dxa"/>
                  </w:tcMar>
                  <w:vAlign w:val="center"/>
                </w:tcPr>
                <w:p w14:paraId="4E3E66D8">
                  <w:pPr>
                    <w:pStyle w:val="53"/>
                    <w:adjustRightInd/>
                    <w:spacing w:line="280" w:lineRule="exact"/>
                    <w:ind w:firstLine="0" w:firstLineChars="0"/>
                    <w:rPr>
                      <w:rFonts w:hint="default" w:ascii="Times New Roman" w:hAnsi="Times New Roman" w:eastAsia="宋体" w:cs="Times New Roman"/>
                      <w:color w:val="auto"/>
                      <w:spacing w:val="10"/>
                      <w:kern w:val="0"/>
                      <w:sz w:val="21"/>
                      <w:szCs w:val="21"/>
                      <w:highlight w:val="none"/>
                      <w:lang w:val="en-US" w:eastAsia="zh-CN" w:bidi="ar"/>
                    </w:rPr>
                  </w:pPr>
                  <w:r>
                    <w:rPr>
                      <w:rFonts w:hint="default" w:ascii="Times New Roman" w:hAnsi="Times New Roman" w:eastAsia="宋体" w:cs="Times New Roman"/>
                      <w:color w:val="auto"/>
                      <w:kern w:val="0"/>
                      <w:sz w:val="20"/>
                      <w:szCs w:val="20"/>
                      <w:highlight w:val="none"/>
                      <w:lang w:val="en-US" w:eastAsia="zh-CN" w:bidi="ar"/>
                    </w:rPr>
                    <w:t>一般固体废物</w:t>
                  </w:r>
                  <w:r>
                    <w:rPr>
                      <w:rFonts w:hint="default" w:ascii="Times New Roman" w:hAnsi="Times New Roman" w:cs="Times New Roman"/>
                      <w:color w:val="auto"/>
                      <w:kern w:val="0"/>
                      <w:sz w:val="21"/>
                      <w:szCs w:val="21"/>
                      <w:highlight w:val="none"/>
                      <w:lang w:bidi="ar"/>
                    </w:rPr>
                    <w:t>900-</w:t>
                  </w:r>
                  <w:r>
                    <w:rPr>
                      <w:rFonts w:hint="default" w:ascii="Times New Roman" w:hAnsi="Times New Roman" w:cs="Times New Roman"/>
                      <w:color w:val="auto"/>
                      <w:kern w:val="0"/>
                      <w:sz w:val="21"/>
                      <w:szCs w:val="21"/>
                      <w:highlight w:val="none"/>
                      <w:lang w:val="en-US" w:eastAsia="zh-CN" w:bidi="ar"/>
                    </w:rPr>
                    <w:t>0</w:t>
                  </w:r>
                  <w:r>
                    <w:rPr>
                      <w:rFonts w:hint="default" w:ascii="Times New Roman" w:hAnsi="Times New Roman" w:cs="Times New Roman"/>
                      <w:color w:val="auto"/>
                      <w:kern w:val="0"/>
                      <w:sz w:val="21"/>
                      <w:szCs w:val="21"/>
                      <w:highlight w:val="none"/>
                      <w:lang w:bidi="ar"/>
                    </w:rPr>
                    <w:t>99-</w:t>
                  </w:r>
                  <w:r>
                    <w:rPr>
                      <w:rFonts w:hint="default" w:ascii="Times New Roman" w:hAnsi="Times New Roman" w:cs="Times New Roman"/>
                      <w:color w:val="auto"/>
                      <w:kern w:val="0"/>
                      <w:sz w:val="21"/>
                      <w:szCs w:val="21"/>
                      <w:highlight w:val="none"/>
                      <w:lang w:val="en-US" w:eastAsia="zh-CN" w:bidi="ar"/>
                    </w:rPr>
                    <w:t>S17</w:t>
                  </w:r>
                </w:p>
              </w:tc>
              <w:tc>
                <w:tcPr>
                  <w:tcW w:w="445" w:type="pct"/>
                  <w:tcBorders>
                    <w:tl2br w:val="nil"/>
                    <w:tr2bl w:val="nil"/>
                  </w:tcBorders>
                  <w:tcMar>
                    <w:top w:w="15" w:type="dxa"/>
                    <w:left w:w="15" w:type="dxa"/>
                    <w:right w:w="15" w:type="dxa"/>
                  </w:tcMar>
                  <w:vAlign w:val="center"/>
                </w:tcPr>
                <w:p w14:paraId="393D4962">
                  <w:pPr>
                    <w:widowControl/>
                    <w:spacing w:line="28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无</w:t>
                  </w:r>
                </w:p>
              </w:tc>
              <w:tc>
                <w:tcPr>
                  <w:tcW w:w="194" w:type="pct"/>
                  <w:tcBorders>
                    <w:tl2br w:val="nil"/>
                    <w:tr2bl w:val="nil"/>
                  </w:tcBorders>
                  <w:tcMar>
                    <w:top w:w="15" w:type="dxa"/>
                    <w:left w:w="15" w:type="dxa"/>
                    <w:right w:w="15" w:type="dxa"/>
                  </w:tcMar>
                  <w:vAlign w:val="center"/>
                </w:tcPr>
                <w:p w14:paraId="4A083D47">
                  <w:pPr>
                    <w:widowControl/>
                    <w:spacing w:line="280" w:lineRule="exact"/>
                    <w:ind w:firstLine="0" w:firstLine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固体</w:t>
                  </w:r>
                </w:p>
              </w:tc>
              <w:tc>
                <w:tcPr>
                  <w:tcW w:w="281" w:type="pct"/>
                  <w:tcBorders>
                    <w:tl2br w:val="nil"/>
                    <w:tr2bl w:val="nil"/>
                  </w:tcBorders>
                  <w:tcMar>
                    <w:top w:w="15" w:type="dxa"/>
                    <w:left w:w="15" w:type="dxa"/>
                    <w:right w:w="15" w:type="dxa"/>
                  </w:tcMar>
                  <w:vAlign w:val="center"/>
                </w:tcPr>
                <w:p w14:paraId="38318E40">
                  <w:pPr>
                    <w:widowControl/>
                    <w:spacing w:line="280" w:lineRule="exact"/>
                    <w:ind w:firstLine="0" w:firstLine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无</w:t>
                  </w:r>
                </w:p>
              </w:tc>
              <w:tc>
                <w:tcPr>
                  <w:tcW w:w="402" w:type="pct"/>
                  <w:tcBorders>
                    <w:tl2br w:val="nil"/>
                    <w:tr2bl w:val="nil"/>
                  </w:tcBorders>
                  <w:tcMar>
                    <w:top w:w="15" w:type="dxa"/>
                    <w:left w:w="15" w:type="dxa"/>
                    <w:right w:w="15" w:type="dxa"/>
                  </w:tcMar>
                  <w:vAlign w:val="center"/>
                </w:tcPr>
                <w:p w14:paraId="223385F2">
                  <w:pPr>
                    <w:widowControl/>
                    <w:spacing w:line="28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10000</w:t>
                  </w:r>
                </w:p>
              </w:tc>
              <w:tc>
                <w:tcPr>
                  <w:tcW w:w="835" w:type="pct"/>
                  <w:gridSpan w:val="2"/>
                  <w:tcBorders>
                    <w:tl2br w:val="nil"/>
                    <w:tr2bl w:val="nil"/>
                  </w:tcBorders>
                  <w:tcMar>
                    <w:top w:w="15" w:type="dxa"/>
                    <w:left w:w="15" w:type="dxa"/>
                    <w:right w:w="15" w:type="dxa"/>
                  </w:tcMar>
                  <w:vAlign w:val="center"/>
                </w:tcPr>
                <w:p w14:paraId="34197E3C">
                  <w:pPr>
                    <w:widowControl/>
                    <w:spacing w:line="28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sz w:val="21"/>
                      <w:szCs w:val="21"/>
                      <w:highlight w:val="none"/>
                    </w:rPr>
                    <w:t>返回</w:t>
                  </w:r>
                  <w:r>
                    <w:rPr>
                      <w:rFonts w:hint="default" w:ascii="Times New Roman" w:hAnsi="Times New Roman" w:cs="Times New Roman"/>
                      <w:color w:val="auto"/>
                      <w:sz w:val="21"/>
                      <w:szCs w:val="21"/>
                      <w:highlight w:val="none"/>
                      <w:lang w:val="en-US" w:eastAsia="zh-CN"/>
                    </w:rPr>
                    <w:t>中转</w:t>
                  </w:r>
                  <w:r>
                    <w:rPr>
                      <w:rFonts w:hint="default" w:ascii="Times New Roman" w:hAnsi="Times New Roman" w:cs="Times New Roman"/>
                      <w:color w:val="auto"/>
                      <w:sz w:val="21"/>
                      <w:szCs w:val="21"/>
                      <w:highlight w:val="none"/>
                    </w:rPr>
                    <w:t>工序回用</w:t>
                  </w:r>
                </w:p>
              </w:tc>
              <w:tc>
                <w:tcPr>
                  <w:tcW w:w="402" w:type="pct"/>
                  <w:tcBorders>
                    <w:tl2br w:val="nil"/>
                    <w:tr2bl w:val="nil"/>
                  </w:tcBorders>
                  <w:tcMar>
                    <w:top w:w="15" w:type="dxa"/>
                    <w:left w:w="15" w:type="dxa"/>
                    <w:right w:w="15" w:type="dxa"/>
                  </w:tcMar>
                  <w:vAlign w:val="center"/>
                </w:tcPr>
                <w:p w14:paraId="268FA4DF">
                  <w:pPr>
                    <w:widowControl/>
                    <w:spacing w:line="28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10000</w:t>
                  </w:r>
                </w:p>
              </w:tc>
              <w:tc>
                <w:tcPr>
                  <w:tcW w:w="1086" w:type="pct"/>
                  <w:vMerge w:val="continue"/>
                  <w:tcBorders>
                    <w:tl2br w:val="nil"/>
                    <w:tr2bl w:val="nil"/>
                  </w:tcBorders>
                  <w:tcMar>
                    <w:top w:w="15" w:type="dxa"/>
                    <w:left w:w="15" w:type="dxa"/>
                    <w:right w:w="15" w:type="dxa"/>
                  </w:tcMar>
                  <w:vAlign w:val="center"/>
                </w:tcPr>
                <w:p w14:paraId="21D17521">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p>
              </w:tc>
            </w:tr>
            <w:tr w14:paraId="7C28C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jc w:val="center"/>
              </w:trPr>
              <w:tc>
                <w:tcPr>
                  <w:tcW w:w="243" w:type="pct"/>
                  <w:vMerge w:val="continue"/>
                  <w:tcBorders>
                    <w:tl2br w:val="nil"/>
                    <w:tr2bl w:val="nil"/>
                  </w:tcBorders>
                  <w:tcMar>
                    <w:top w:w="15" w:type="dxa"/>
                    <w:left w:w="15" w:type="dxa"/>
                    <w:right w:w="15" w:type="dxa"/>
                  </w:tcMar>
                  <w:vAlign w:val="center"/>
                </w:tcPr>
                <w:p w14:paraId="305550B6">
                  <w:pPr>
                    <w:pStyle w:val="135"/>
                    <w:spacing w:beforeLines="0" w:afterLines="0" w:line="240" w:lineRule="auto"/>
                    <w:ind w:firstLine="0" w:firstLineChars="0"/>
                    <w:rPr>
                      <w:rFonts w:hint="default" w:ascii="Times New Roman" w:hAnsi="Times New Roman" w:cs="Times New Roman"/>
                      <w:color w:val="auto"/>
                      <w:sz w:val="21"/>
                      <w:szCs w:val="21"/>
                      <w:highlight w:val="none"/>
                    </w:rPr>
                  </w:pPr>
                </w:p>
              </w:tc>
              <w:tc>
                <w:tcPr>
                  <w:tcW w:w="379" w:type="pct"/>
                  <w:tcBorders>
                    <w:tl2br w:val="nil"/>
                    <w:tr2bl w:val="nil"/>
                  </w:tcBorders>
                  <w:tcMar>
                    <w:top w:w="15" w:type="dxa"/>
                    <w:left w:w="15" w:type="dxa"/>
                    <w:right w:w="15" w:type="dxa"/>
                  </w:tcMar>
                  <w:vAlign w:val="center"/>
                </w:tcPr>
                <w:p w14:paraId="2B14B292">
                  <w:pPr>
                    <w:pStyle w:val="135"/>
                    <w:spacing w:beforeLines="0" w:afterLines="0" w:line="240" w:lineRule="auto"/>
                    <w:ind w:firstLine="0" w:firstLineChars="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半成品筛分筛下物</w:t>
                  </w:r>
                </w:p>
              </w:tc>
              <w:tc>
                <w:tcPr>
                  <w:tcW w:w="728" w:type="pct"/>
                  <w:tcBorders>
                    <w:tl2br w:val="nil"/>
                    <w:tr2bl w:val="nil"/>
                  </w:tcBorders>
                  <w:tcMar>
                    <w:top w:w="15" w:type="dxa"/>
                    <w:left w:w="15" w:type="dxa"/>
                    <w:right w:w="15" w:type="dxa"/>
                  </w:tcMar>
                  <w:vAlign w:val="center"/>
                </w:tcPr>
                <w:p w14:paraId="24D6C2CA">
                  <w:pPr>
                    <w:pStyle w:val="53"/>
                    <w:adjustRightInd/>
                    <w:spacing w:line="280" w:lineRule="exact"/>
                    <w:ind w:firstLine="0" w:firstLineChars="0"/>
                    <w:rPr>
                      <w:rFonts w:hint="default" w:ascii="Times New Roman" w:hAnsi="Times New Roman" w:cs="Times New Roman"/>
                      <w:color w:val="auto"/>
                      <w:kern w:val="0"/>
                      <w:sz w:val="21"/>
                      <w:szCs w:val="21"/>
                      <w:highlight w:val="none"/>
                      <w:lang w:val="en-US" w:bidi="ar"/>
                    </w:rPr>
                  </w:pPr>
                  <w:r>
                    <w:rPr>
                      <w:rFonts w:hint="default" w:ascii="Times New Roman" w:hAnsi="Times New Roman" w:eastAsia="宋体" w:cs="Times New Roman"/>
                      <w:color w:val="auto"/>
                      <w:kern w:val="0"/>
                      <w:sz w:val="20"/>
                      <w:szCs w:val="20"/>
                      <w:highlight w:val="none"/>
                      <w:lang w:val="en-US" w:eastAsia="zh-CN" w:bidi="ar"/>
                    </w:rPr>
                    <w:t>一般固体废物</w:t>
                  </w:r>
                  <w:r>
                    <w:rPr>
                      <w:rFonts w:hint="default" w:ascii="Times New Roman" w:hAnsi="Times New Roman" w:cs="Times New Roman"/>
                      <w:color w:val="auto"/>
                      <w:kern w:val="0"/>
                      <w:sz w:val="21"/>
                      <w:szCs w:val="21"/>
                      <w:highlight w:val="none"/>
                      <w:lang w:bidi="ar"/>
                    </w:rPr>
                    <w:t>900-</w:t>
                  </w:r>
                  <w:r>
                    <w:rPr>
                      <w:rFonts w:hint="default" w:ascii="Times New Roman" w:hAnsi="Times New Roman" w:cs="Times New Roman"/>
                      <w:color w:val="auto"/>
                      <w:kern w:val="0"/>
                      <w:sz w:val="21"/>
                      <w:szCs w:val="21"/>
                      <w:highlight w:val="none"/>
                      <w:lang w:val="en-US" w:eastAsia="zh-CN" w:bidi="ar"/>
                    </w:rPr>
                    <w:t>0</w:t>
                  </w:r>
                  <w:r>
                    <w:rPr>
                      <w:rFonts w:hint="default" w:ascii="Times New Roman" w:hAnsi="Times New Roman" w:cs="Times New Roman"/>
                      <w:color w:val="auto"/>
                      <w:kern w:val="0"/>
                      <w:sz w:val="21"/>
                      <w:szCs w:val="21"/>
                      <w:highlight w:val="none"/>
                      <w:lang w:bidi="ar"/>
                    </w:rPr>
                    <w:t>99-</w:t>
                  </w:r>
                  <w:r>
                    <w:rPr>
                      <w:rFonts w:hint="default" w:ascii="Times New Roman" w:hAnsi="Times New Roman" w:cs="Times New Roman"/>
                      <w:color w:val="auto"/>
                      <w:kern w:val="0"/>
                      <w:sz w:val="21"/>
                      <w:szCs w:val="21"/>
                      <w:highlight w:val="none"/>
                      <w:lang w:val="en-US" w:eastAsia="zh-CN" w:bidi="ar"/>
                    </w:rPr>
                    <w:t>S17</w:t>
                  </w:r>
                </w:p>
              </w:tc>
              <w:tc>
                <w:tcPr>
                  <w:tcW w:w="445" w:type="pct"/>
                  <w:tcBorders>
                    <w:tl2br w:val="nil"/>
                    <w:tr2bl w:val="nil"/>
                  </w:tcBorders>
                  <w:tcMar>
                    <w:top w:w="15" w:type="dxa"/>
                    <w:left w:w="15" w:type="dxa"/>
                    <w:right w:w="15" w:type="dxa"/>
                  </w:tcMar>
                  <w:vAlign w:val="center"/>
                </w:tcPr>
                <w:p w14:paraId="481A9DD9">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无</w:t>
                  </w:r>
                </w:p>
              </w:tc>
              <w:tc>
                <w:tcPr>
                  <w:tcW w:w="194" w:type="pct"/>
                  <w:tcBorders>
                    <w:tl2br w:val="nil"/>
                    <w:tr2bl w:val="nil"/>
                  </w:tcBorders>
                  <w:tcMar>
                    <w:top w:w="15" w:type="dxa"/>
                    <w:left w:w="15" w:type="dxa"/>
                    <w:right w:w="15" w:type="dxa"/>
                  </w:tcMar>
                  <w:vAlign w:val="center"/>
                </w:tcPr>
                <w:p w14:paraId="4AB741F4">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固体</w:t>
                  </w:r>
                </w:p>
              </w:tc>
              <w:tc>
                <w:tcPr>
                  <w:tcW w:w="281" w:type="pct"/>
                  <w:tcBorders>
                    <w:tl2br w:val="nil"/>
                    <w:tr2bl w:val="nil"/>
                  </w:tcBorders>
                  <w:tcMar>
                    <w:top w:w="15" w:type="dxa"/>
                    <w:left w:w="15" w:type="dxa"/>
                    <w:right w:w="15" w:type="dxa"/>
                  </w:tcMar>
                  <w:vAlign w:val="center"/>
                </w:tcPr>
                <w:p w14:paraId="482AA00D">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无</w:t>
                  </w:r>
                </w:p>
              </w:tc>
              <w:tc>
                <w:tcPr>
                  <w:tcW w:w="402" w:type="pct"/>
                  <w:tcBorders>
                    <w:tl2br w:val="nil"/>
                    <w:tr2bl w:val="nil"/>
                  </w:tcBorders>
                  <w:tcMar>
                    <w:top w:w="15" w:type="dxa"/>
                    <w:left w:w="15" w:type="dxa"/>
                    <w:right w:w="15" w:type="dxa"/>
                  </w:tcMar>
                  <w:vAlign w:val="center"/>
                </w:tcPr>
                <w:p w14:paraId="7A3AB39C">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1000</w:t>
                  </w:r>
                </w:p>
              </w:tc>
              <w:tc>
                <w:tcPr>
                  <w:tcW w:w="835" w:type="pct"/>
                  <w:gridSpan w:val="2"/>
                  <w:tcBorders>
                    <w:tl2br w:val="nil"/>
                    <w:tr2bl w:val="nil"/>
                  </w:tcBorders>
                  <w:tcMar>
                    <w:top w:w="15" w:type="dxa"/>
                    <w:left w:w="15" w:type="dxa"/>
                    <w:right w:w="15" w:type="dxa"/>
                  </w:tcMar>
                  <w:vAlign w:val="center"/>
                </w:tcPr>
                <w:p w14:paraId="60E90AE3">
                  <w:pPr>
                    <w:widowControl/>
                    <w:spacing w:line="280" w:lineRule="exact"/>
                    <w:ind w:firstLine="0" w:firstLineChars="0"/>
                    <w:jc w:val="both"/>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返回原料区作为原料使用</w:t>
                  </w:r>
                </w:p>
              </w:tc>
              <w:tc>
                <w:tcPr>
                  <w:tcW w:w="402" w:type="pct"/>
                  <w:tcBorders>
                    <w:tl2br w:val="nil"/>
                    <w:tr2bl w:val="nil"/>
                  </w:tcBorders>
                  <w:tcMar>
                    <w:top w:w="15" w:type="dxa"/>
                    <w:left w:w="15" w:type="dxa"/>
                    <w:right w:w="15" w:type="dxa"/>
                  </w:tcMar>
                  <w:vAlign w:val="center"/>
                </w:tcPr>
                <w:p w14:paraId="612B56F8">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1000</w:t>
                  </w:r>
                </w:p>
              </w:tc>
              <w:tc>
                <w:tcPr>
                  <w:tcW w:w="1086" w:type="pct"/>
                  <w:vMerge w:val="continue"/>
                  <w:tcBorders>
                    <w:tl2br w:val="nil"/>
                    <w:tr2bl w:val="nil"/>
                  </w:tcBorders>
                  <w:tcMar>
                    <w:top w:w="15" w:type="dxa"/>
                    <w:left w:w="15" w:type="dxa"/>
                    <w:right w:w="15" w:type="dxa"/>
                  </w:tcMar>
                  <w:vAlign w:val="center"/>
                </w:tcPr>
                <w:p w14:paraId="06455C13">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p>
              </w:tc>
            </w:tr>
            <w:tr w14:paraId="02904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jc w:val="center"/>
              </w:trPr>
              <w:tc>
                <w:tcPr>
                  <w:tcW w:w="243" w:type="pct"/>
                  <w:tcBorders>
                    <w:tl2br w:val="nil"/>
                    <w:tr2bl w:val="nil"/>
                  </w:tcBorders>
                  <w:tcMar>
                    <w:top w:w="15" w:type="dxa"/>
                    <w:left w:w="15" w:type="dxa"/>
                    <w:right w:w="15" w:type="dxa"/>
                  </w:tcMar>
                  <w:vAlign w:val="center"/>
                </w:tcPr>
                <w:p w14:paraId="4ECDD65B">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洗车</w:t>
                  </w:r>
                </w:p>
              </w:tc>
              <w:tc>
                <w:tcPr>
                  <w:tcW w:w="379" w:type="pct"/>
                  <w:tcBorders>
                    <w:tl2br w:val="nil"/>
                    <w:tr2bl w:val="nil"/>
                  </w:tcBorders>
                  <w:tcMar>
                    <w:top w:w="15" w:type="dxa"/>
                    <w:left w:w="15" w:type="dxa"/>
                    <w:right w:w="15" w:type="dxa"/>
                  </w:tcMar>
                  <w:vAlign w:val="center"/>
                </w:tcPr>
                <w:p w14:paraId="361438B8">
                  <w:pPr>
                    <w:spacing w:line="280" w:lineRule="exact"/>
                    <w:ind w:firstLine="0" w:firstLineChars="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洗车沉泥</w:t>
                  </w:r>
                </w:p>
              </w:tc>
              <w:tc>
                <w:tcPr>
                  <w:tcW w:w="728" w:type="pct"/>
                  <w:tcBorders>
                    <w:tl2br w:val="nil"/>
                    <w:tr2bl w:val="nil"/>
                  </w:tcBorders>
                  <w:tcMar>
                    <w:top w:w="15" w:type="dxa"/>
                    <w:left w:w="15" w:type="dxa"/>
                    <w:right w:w="15" w:type="dxa"/>
                  </w:tcMar>
                  <w:vAlign w:val="center"/>
                </w:tcPr>
                <w:p w14:paraId="68D0949C">
                  <w:pPr>
                    <w:tabs>
                      <w:tab w:val="left" w:pos="1725"/>
                    </w:tabs>
                    <w:spacing w:line="280" w:lineRule="exact"/>
                    <w:ind w:firstLine="0" w:firstLineChars="0"/>
                    <w:jc w:val="center"/>
                    <w:rPr>
                      <w:rFonts w:hint="default" w:ascii="Times New Roman" w:hAnsi="Times New Roman" w:cs="Times New Roman"/>
                      <w:color w:val="auto"/>
                      <w:kern w:val="0"/>
                      <w:sz w:val="21"/>
                      <w:szCs w:val="21"/>
                      <w:highlight w:val="none"/>
                      <w:lang w:val="en-US" w:bidi="ar"/>
                    </w:rPr>
                  </w:pPr>
                  <w:r>
                    <w:rPr>
                      <w:rFonts w:hint="default" w:ascii="Times New Roman" w:hAnsi="Times New Roman" w:eastAsia="宋体" w:cs="Times New Roman"/>
                      <w:color w:val="auto"/>
                      <w:kern w:val="0"/>
                      <w:sz w:val="20"/>
                      <w:szCs w:val="20"/>
                      <w:highlight w:val="none"/>
                      <w:lang w:val="en-US" w:eastAsia="zh-CN" w:bidi="ar"/>
                    </w:rPr>
                    <w:t>一般固体废物</w:t>
                  </w:r>
                  <w:r>
                    <w:rPr>
                      <w:rFonts w:hint="default" w:ascii="Times New Roman" w:hAnsi="Times New Roman" w:cs="Times New Roman"/>
                      <w:color w:val="auto"/>
                      <w:kern w:val="0"/>
                      <w:sz w:val="21"/>
                      <w:szCs w:val="21"/>
                      <w:highlight w:val="none"/>
                      <w:lang w:bidi="ar"/>
                    </w:rPr>
                    <w:t>900-</w:t>
                  </w:r>
                  <w:r>
                    <w:rPr>
                      <w:rFonts w:hint="default" w:ascii="Times New Roman" w:hAnsi="Times New Roman" w:cs="Times New Roman"/>
                      <w:color w:val="auto"/>
                      <w:kern w:val="0"/>
                      <w:sz w:val="21"/>
                      <w:szCs w:val="21"/>
                      <w:highlight w:val="none"/>
                      <w:lang w:val="en-US" w:eastAsia="zh-CN" w:bidi="ar"/>
                    </w:rPr>
                    <w:t>0</w:t>
                  </w:r>
                  <w:r>
                    <w:rPr>
                      <w:rFonts w:hint="default" w:ascii="Times New Roman" w:hAnsi="Times New Roman" w:cs="Times New Roman"/>
                      <w:color w:val="auto"/>
                      <w:kern w:val="0"/>
                      <w:sz w:val="21"/>
                      <w:szCs w:val="21"/>
                      <w:highlight w:val="none"/>
                      <w:lang w:bidi="ar"/>
                    </w:rPr>
                    <w:t>99-</w:t>
                  </w:r>
                  <w:r>
                    <w:rPr>
                      <w:rFonts w:hint="default" w:ascii="Times New Roman" w:hAnsi="Times New Roman" w:cs="Times New Roman"/>
                      <w:color w:val="auto"/>
                      <w:kern w:val="0"/>
                      <w:sz w:val="21"/>
                      <w:szCs w:val="21"/>
                      <w:highlight w:val="none"/>
                      <w:lang w:val="en-US" w:eastAsia="zh-CN" w:bidi="ar"/>
                    </w:rPr>
                    <w:t>S07</w:t>
                  </w:r>
                </w:p>
              </w:tc>
              <w:tc>
                <w:tcPr>
                  <w:tcW w:w="445" w:type="pct"/>
                  <w:tcBorders>
                    <w:tl2br w:val="nil"/>
                    <w:tr2bl w:val="nil"/>
                  </w:tcBorders>
                  <w:tcMar>
                    <w:top w:w="15" w:type="dxa"/>
                    <w:left w:w="15" w:type="dxa"/>
                    <w:right w:w="15" w:type="dxa"/>
                  </w:tcMar>
                  <w:vAlign w:val="center"/>
                </w:tcPr>
                <w:p w14:paraId="4B7AD143">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无</w:t>
                  </w:r>
                </w:p>
              </w:tc>
              <w:tc>
                <w:tcPr>
                  <w:tcW w:w="194" w:type="pct"/>
                  <w:tcBorders>
                    <w:tl2br w:val="nil"/>
                    <w:tr2bl w:val="nil"/>
                  </w:tcBorders>
                  <w:tcMar>
                    <w:top w:w="15" w:type="dxa"/>
                    <w:left w:w="15" w:type="dxa"/>
                    <w:right w:w="15" w:type="dxa"/>
                  </w:tcMar>
                  <w:vAlign w:val="center"/>
                </w:tcPr>
                <w:p w14:paraId="2E0E4FB4">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固体</w:t>
                  </w:r>
                </w:p>
              </w:tc>
              <w:tc>
                <w:tcPr>
                  <w:tcW w:w="281" w:type="pct"/>
                  <w:tcBorders>
                    <w:tl2br w:val="nil"/>
                    <w:tr2bl w:val="nil"/>
                  </w:tcBorders>
                  <w:tcMar>
                    <w:top w:w="15" w:type="dxa"/>
                    <w:left w:w="15" w:type="dxa"/>
                    <w:right w:w="15" w:type="dxa"/>
                  </w:tcMar>
                  <w:vAlign w:val="center"/>
                </w:tcPr>
                <w:p w14:paraId="416C58D9">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无</w:t>
                  </w:r>
                </w:p>
              </w:tc>
              <w:tc>
                <w:tcPr>
                  <w:tcW w:w="402" w:type="pct"/>
                  <w:tcBorders>
                    <w:tl2br w:val="nil"/>
                    <w:tr2bl w:val="nil"/>
                  </w:tcBorders>
                  <w:tcMar>
                    <w:top w:w="15" w:type="dxa"/>
                    <w:left w:w="15" w:type="dxa"/>
                    <w:right w:w="15" w:type="dxa"/>
                  </w:tcMar>
                  <w:vAlign w:val="center"/>
                </w:tcPr>
                <w:p w14:paraId="060BD32D">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2</w:t>
                  </w:r>
                </w:p>
              </w:tc>
              <w:tc>
                <w:tcPr>
                  <w:tcW w:w="835" w:type="pct"/>
                  <w:gridSpan w:val="2"/>
                  <w:tcBorders>
                    <w:tl2br w:val="nil"/>
                    <w:tr2bl w:val="nil"/>
                  </w:tcBorders>
                  <w:tcMar>
                    <w:top w:w="15" w:type="dxa"/>
                    <w:left w:w="15" w:type="dxa"/>
                    <w:right w:w="15" w:type="dxa"/>
                  </w:tcMar>
                  <w:vAlign w:val="center"/>
                </w:tcPr>
                <w:p w14:paraId="31D09F35">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作为原料回用</w:t>
                  </w:r>
                </w:p>
              </w:tc>
              <w:tc>
                <w:tcPr>
                  <w:tcW w:w="402" w:type="pct"/>
                  <w:tcBorders>
                    <w:tl2br w:val="nil"/>
                    <w:tr2bl w:val="nil"/>
                  </w:tcBorders>
                  <w:tcMar>
                    <w:top w:w="15" w:type="dxa"/>
                    <w:left w:w="15" w:type="dxa"/>
                    <w:right w:w="15" w:type="dxa"/>
                  </w:tcMar>
                  <w:vAlign w:val="center"/>
                </w:tcPr>
                <w:p w14:paraId="286B02D9">
                  <w:pPr>
                    <w:spacing w:line="280" w:lineRule="exact"/>
                    <w:ind w:firstLine="0" w:firstLineChars="0"/>
                    <w:jc w:val="center"/>
                    <w:rPr>
                      <w:rFonts w:hint="default" w:ascii="Times New Roman" w:hAnsi="Times New Roman" w:cs="Times New Roman"/>
                      <w:color w:val="auto"/>
                      <w:kern w:val="0"/>
                      <w:sz w:val="21"/>
                      <w:szCs w:val="21"/>
                      <w:highlight w:val="none"/>
                      <w:lang w:val="en-US" w:eastAsia="zh-CN" w:bidi="ar"/>
                    </w:rPr>
                  </w:pPr>
                  <w:r>
                    <w:rPr>
                      <w:rFonts w:hint="default" w:ascii="Times New Roman" w:hAnsi="Times New Roman" w:cs="Times New Roman"/>
                      <w:bCs/>
                      <w:color w:val="auto"/>
                      <w:sz w:val="21"/>
                      <w:szCs w:val="21"/>
                      <w:highlight w:val="none"/>
                      <w:lang w:val="en-US" w:eastAsia="zh-CN"/>
                    </w:rPr>
                    <w:t>2</w:t>
                  </w:r>
                </w:p>
              </w:tc>
              <w:tc>
                <w:tcPr>
                  <w:tcW w:w="1086" w:type="pct"/>
                  <w:vMerge w:val="continue"/>
                  <w:tcBorders>
                    <w:tl2br w:val="nil"/>
                    <w:tr2bl w:val="nil"/>
                  </w:tcBorders>
                  <w:tcMar>
                    <w:top w:w="15" w:type="dxa"/>
                    <w:left w:w="15" w:type="dxa"/>
                    <w:right w:w="15" w:type="dxa"/>
                  </w:tcMar>
                  <w:vAlign w:val="center"/>
                </w:tcPr>
                <w:p w14:paraId="502D4C40">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p>
              </w:tc>
            </w:tr>
            <w:tr w14:paraId="317B9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243" w:type="pct"/>
                  <w:vMerge w:val="restart"/>
                  <w:tcBorders>
                    <w:tl2br w:val="nil"/>
                    <w:tr2bl w:val="nil"/>
                  </w:tcBorders>
                  <w:tcMar>
                    <w:top w:w="15" w:type="dxa"/>
                    <w:left w:w="15" w:type="dxa"/>
                    <w:right w:w="15" w:type="dxa"/>
                  </w:tcMar>
                  <w:vAlign w:val="center"/>
                </w:tcPr>
                <w:p w14:paraId="55794D47">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生产过程</w:t>
                  </w:r>
                </w:p>
              </w:tc>
              <w:tc>
                <w:tcPr>
                  <w:tcW w:w="379" w:type="pct"/>
                  <w:tcBorders>
                    <w:tl2br w:val="nil"/>
                    <w:tr2bl w:val="nil"/>
                  </w:tcBorders>
                  <w:tcMar>
                    <w:top w:w="15" w:type="dxa"/>
                    <w:left w:w="15" w:type="dxa"/>
                    <w:right w:w="15" w:type="dxa"/>
                  </w:tcMar>
                  <w:vAlign w:val="center"/>
                </w:tcPr>
                <w:p w14:paraId="0C5AACE1">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废润滑油</w:t>
                  </w:r>
                </w:p>
              </w:tc>
              <w:tc>
                <w:tcPr>
                  <w:tcW w:w="728" w:type="pct"/>
                  <w:tcBorders>
                    <w:tl2br w:val="nil"/>
                    <w:tr2bl w:val="nil"/>
                  </w:tcBorders>
                  <w:tcMar>
                    <w:top w:w="15" w:type="dxa"/>
                    <w:left w:w="15" w:type="dxa"/>
                    <w:right w:w="15" w:type="dxa"/>
                  </w:tcMar>
                  <w:vAlign w:val="center"/>
                </w:tcPr>
                <w:p w14:paraId="0454CFAD">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bCs/>
                      <w:color w:val="auto"/>
                      <w:sz w:val="21"/>
                      <w:szCs w:val="21"/>
                      <w:highlight w:val="none"/>
                    </w:rPr>
                    <w:t>900-21</w:t>
                  </w:r>
                  <w:r>
                    <w:rPr>
                      <w:rFonts w:hint="default" w:ascii="Times New Roman" w:hAnsi="Times New Roman" w:cs="Times New Roman"/>
                      <w:bCs/>
                      <w:color w:val="auto"/>
                      <w:sz w:val="21"/>
                      <w:szCs w:val="21"/>
                      <w:highlight w:val="none"/>
                      <w:lang w:val="en-US" w:eastAsia="zh-CN"/>
                    </w:rPr>
                    <w:t>7</w:t>
                  </w:r>
                  <w:r>
                    <w:rPr>
                      <w:rFonts w:hint="default" w:ascii="Times New Roman" w:hAnsi="Times New Roman" w:cs="Times New Roman"/>
                      <w:bCs/>
                      <w:color w:val="auto"/>
                      <w:sz w:val="21"/>
                      <w:szCs w:val="21"/>
                      <w:highlight w:val="none"/>
                    </w:rPr>
                    <w:t>-08</w:t>
                  </w:r>
                </w:p>
              </w:tc>
              <w:tc>
                <w:tcPr>
                  <w:tcW w:w="445" w:type="pct"/>
                  <w:tcBorders>
                    <w:tl2br w:val="nil"/>
                    <w:tr2bl w:val="nil"/>
                  </w:tcBorders>
                  <w:tcMar>
                    <w:top w:w="15" w:type="dxa"/>
                    <w:left w:w="15" w:type="dxa"/>
                    <w:right w:w="15" w:type="dxa"/>
                  </w:tcMar>
                  <w:vAlign w:val="center"/>
                </w:tcPr>
                <w:p w14:paraId="21207C2F">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矿物油</w:t>
                  </w:r>
                </w:p>
              </w:tc>
              <w:tc>
                <w:tcPr>
                  <w:tcW w:w="194" w:type="pct"/>
                  <w:tcBorders>
                    <w:tl2br w:val="nil"/>
                    <w:tr2bl w:val="nil"/>
                  </w:tcBorders>
                  <w:tcMar>
                    <w:top w:w="15" w:type="dxa"/>
                    <w:left w:w="15" w:type="dxa"/>
                    <w:right w:w="15" w:type="dxa"/>
                  </w:tcMar>
                  <w:vAlign w:val="center"/>
                </w:tcPr>
                <w:p w14:paraId="126C8603">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液态</w:t>
                  </w:r>
                </w:p>
              </w:tc>
              <w:tc>
                <w:tcPr>
                  <w:tcW w:w="281" w:type="pct"/>
                  <w:tcBorders>
                    <w:tl2br w:val="nil"/>
                    <w:tr2bl w:val="nil"/>
                  </w:tcBorders>
                  <w:tcMar>
                    <w:top w:w="15" w:type="dxa"/>
                    <w:left w:w="15" w:type="dxa"/>
                    <w:right w:w="15" w:type="dxa"/>
                  </w:tcMar>
                  <w:vAlign w:val="center"/>
                </w:tcPr>
                <w:p w14:paraId="73EA8166">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402" w:type="pct"/>
                  <w:tcBorders>
                    <w:tl2br w:val="nil"/>
                    <w:tr2bl w:val="nil"/>
                  </w:tcBorders>
                  <w:tcMar>
                    <w:top w:w="15" w:type="dxa"/>
                    <w:left w:w="15" w:type="dxa"/>
                    <w:right w:w="15" w:type="dxa"/>
                  </w:tcMar>
                  <w:vAlign w:val="center"/>
                </w:tcPr>
                <w:p w14:paraId="05B746F0">
                  <w:pPr>
                    <w:spacing w:line="28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0.05</w:t>
                  </w:r>
                </w:p>
              </w:tc>
              <w:tc>
                <w:tcPr>
                  <w:tcW w:w="345" w:type="pct"/>
                  <w:vMerge w:val="restart"/>
                  <w:tcBorders>
                    <w:tl2br w:val="nil"/>
                    <w:tr2bl w:val="nil"/>
                  </w:tcBorders>
                  <w:tcMar>
                    <w:top w:w="15" w:type="dxa"/>
                    <w:left w:w="15" w:type="dxa"/>
                    <w:right w:w="15" w:type="dxa"/>
                  </w:tcMar>
                  <w:vAlign w:val="center"/>
                </w:tcPr>
                <w:p w14:paraId="222F3466">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桶装加盖，暂存于危废间</w:t>
                  </w:r>
                </w:p>
              </w:tc>
              <w:tc>
                <w:tcPr>
                  <w:tcW w:w="490" w:type="pct"/>
                  <w:vMerge w:val="restart"/>
                  <w:tcBorders>
                    <w:tl2br w:val="nil"/>
                    <w:tr2bl w:val="nil"/>
                  </w:tcBorders>
                  <w:tcMar>
                    <w:top w:w="15" w:type="dxa"/>
                    <w:left w:w="15" w:type="dxa"/>
                    <w:right w:w="15" w:type="dxa"/>
                  </w:tcMar>
                  <w:vAlign w:val="center"/>
                </w:tcPr>
                <w:p w14:paraId="09674031">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委托有资质单位进行处理</w:t>
                  </w:r>
                </w:p>
              </w:tc>
              <w:tc>
                <w:tcPr>
                  <w:tcW w:w="402" w:type="pct"/>
                  <w:tcBorders>
                    <w:tl2br w:val="nil"/>
                    <w:tr2bl w:val="nil"/>
                  </w:tcBorders>
                  <w:tcMar>
                    <w:top w:w="15" w:type="dxa"/>
                    <w:left w:w="15" w:type="dxa"/>
                    <w:right w:w="15" w:type="dxa"/>
                  </w:tcMar>
                  <w:vAlign w:val="center"/>
                </w:tcPr>
                <w:p w14:paraId="07E25932">
                  <w:pPr>
                    <w:spacing w:line="28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rPr>
                    <w:t>0</w:t>
                  </w:r>
                  <w:r>
                    <w:rPr>
                      <w:rFonts w:hint="default" w:ascii="Times New Roman" w:hAnsi="Times New Roman" w:cs="Times New Roman"/>
                      <w:bCs/>
                      <w:color w:val="auto"/>
                      <w:sz w:val="21"/>
                      <w:szCs w:val="21"/>
                      <w:highlight w:val="none"/>
                      <w:lang w:val="en-US" w:eastAsia="zh-CN"/>
                    </w:rPr>
                    <w:t>.05</w:t>
                  </w:r>
                </w:p>
              </w:tc>
              <w:tc>
                <w:tcPr>
                  <w:tcW w:w="1086" w:type="pct"/>
                  <w:vMerge w:val="restart"/>
                  <w:tcBorders>
                    <w:tl2br w:val="nil"/>
                    <w:tr2bl w:val="nil"/>
                  </w:tcBorders>
                  <w:tcMar>
                    <w:top w:w="15" w:type="dxa"/>
                    <w:left w:w="15" w:type="dxa"/>
                    <w:right w:w="15" w:type="dxa"/>
                  </w:tcMar>
                  <w:vAlign w:val="center"/>
                </w:tcPr>
                <w:p w14:paraId="49DA1412">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危险废物的收集及临时存放应严格执行《危险废物贮存污染控制标准》</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GB18597-20</w:t>
                  </w:r>
                  <w:r>
                    <w:rPr>
                      <w:rFonts w:hint="default" w:ascii="Times New Roman" w:hAnsi="Times New Roman" w:cs="Times New Roman"/>
                      <w:color w:val="auto"/>
                      <w:sz w:val="21"/>
                      <w:szCs w:val="21"/>
                      <w:highlight w:val="none"/>
                      <w:lang w:val="en-US" w:eastAsia="zh-CN"/>
                    </w:rPr>
                    <w:t>23</w:t>
                  </w:r>
                  <w:r>
                    <w:rPr>
                      <w:rFonts w:hint="default" w:ascii="Times New Roman" w:hAnsi="Times New Roman" w:cs="Times New Roman"/>
                      <w:color w:val="auto"/>
                      <w:sz w:val="21"/>
                      <w:szCs w:val="21"/>
                      <w:highlight w:val="none"/>
                    </w:rPr>
                    <w:t>)；对国家规定的危险废物分别存放，并应按照《环境保护图形标志》</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GB15562-1995)的要求对危险废物的临时存放场所设置环境保护图形标志牌</w:t>
                  </w:r>
                </w:p>
              </w:tc>
            </w:tr>
            <w:tr w14:paraId="73683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243" w:type="pct"/>
                  <w:vMerge w:val="continue"/>
                  <w:tcBorders>
                    <w:tl2br w:val="nil"/>
                    <w:tr2bl w:val="nil"/>
                  </w:tcBorders>
                  <w:tcMar>
                    <w:top w:w="15" w:type="dxa"/>
                    <w:left w:w="15" w:type="dxa"/>
                    <w:right w:w="15" w:type="dxa"/>
                  </w:tcMar>
                  <w:vAlign w:val="center"/>
                </w:tcPr>
                <w:p w14:paraId="0F565529">
                  <w:pPr>
                    <w:spacing w:line="280" w:lineRule="exact"/>
                    <w:ind w:firstLine="0" w:firstLineChars="0"/>
                    <w:jc w:val="center"/>
                    <w:rPr>
                      <w:rFonts w:hint="default" w:ascii="Times New Roman" w:hAnsi="Times New Roman" w:cs="Times New Roman"/>
                      <w:color w:val="auto"/>
                      <w:sz w:val="21"/>
                      <w:szCs w:val="21"/>
                      <w:highlight w:val="none"/>
                    </w:rPr>
                  </w:pPr>
                </w:p>
              </w:tc>
              <w:tc>
                <w:tcPr>
                  <w:tcW w:w="379" w:type="pct"/>
                  <w:tcBorders>
                    <w:tl2br w:val="nil"/>
                    <w:tr2bl w:val="nil"/>
                  </w:tcBorders>
                  <w:tcMar>
                    <w:top w:w="15" w:type="dxa"/>
                    <w:left w:w="15" w:type="dxa"/>
                    <w:right w:w="15" w:type="dxa"/>
                  </w:tcMar>
                  <w:vAlign w:val="center"/>
                </w:tcPr>
                <w:p w14:paraId="2849569B">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废液压油</w:t>
                  </w:r>
                </w:p>
              </w:tc>
              <w:tc>
                <w:tcPr>
                  <w:tcW w:w="728" w:type="pct"/>
                  <w:tcBorders>
                    <w:tl2br w:val="nil"/>
                    <w:tr2bl w:val="nil"/>
                  </w:tcBorders>
                  <w:tcMar>
                    <w:top w:w="15" w:type="dxa"/>
                    <w:left w:w="15" w:type="dxa"/>
                    <w:right w:w="15" w:type="dxa"/>
                  </w:tcMar>
                  <w:vAlign w:val="center"/>
                </w:tcPr>
                <w:p w14:paraId="5DAAB263">
                  <w:pPr>
                    <w:spacing w:line="280" w:lineRule="exact"/>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900-218-08</w:t>
                  </w:r>
                </w:p>
              </w:tc>
              <w:tc>
                <w:tcPr>
                  <w:tcW w:w="445" w:type="pct"/>
                  <w:tcBorders>
                    <w:tl2br w:val="nil"/>
                    <w:tr2bl w:val="nil"/>
                  </w:tcBorders>
                  <w:tcMar>
                    <w:top w:w="15" w:type="dxa"/>
                    <w:left w:w="15" w:type="dxa"/>
                    <w:right w:w="15" w:type="dxa"/>
                  </w:tcMar>
                  <w:vAlign w:val="center"/>
                </w:tcPr>
                <w:p w14:paraId="600761F5">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矿物油</w:t>
                  </w:r>
                </w:p>
              </w:tc>
              <w:tc>
                <w:tcPr>
                  <w:tcW w:w="194" w:type="pct"/>
                  <w:tcBorders>
                    <w:tl2br w:val="nil"/>
                    <w:tr2bl w:val="nil"/>
                  </w:tcBorders>
                  <w:tcMar>
                    <w:top w:w="15" w:type="dxa"/>
                    <w:left w:w="15" w:type="dxa"/>
                    <w:right w:w="15" w:type="dxa"/>
                  </w:tcMar>
                  <w:vAlign w:val="center"/>
                </w:tcPr>
                <w:p w14:paraId="38AF50B2">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液态</w:t>
                  </w:r>
                </w:p>
              </w:tc>
              <w:tc>
                <w:tcPr>
                  <w:tcW w:w="281" w:type="pct"/>
                  <w:tcBorders>
                    <w:tl2br w:val="nil"/>
                    <w:tr2bl w:val="nil"/>
                  </w:tcBorders>
                  <w:tcMar>
                    <w:top w:w="15" w:type="dxa"/>
                    <w:left w:w="15" w:type="dxa"/>
                    <w:right w:w="15" w:type="dxa"/>
                  </w:tcMar>
                  <w:vAlign w:val="center"/>
                </w:tcPr>
                <w:p w14:paraId="5D42A9C2">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402" w:type="pct"/>
                  <w:tcBorders>
                    <w:tl2br w:val="nil"/>
                    <w:tr2bl w:val="nil"/>
                  </w:tcBorders>
                  <w:tcMar>
                    <w:top w:w="15" w:type="dxa"/>
                    <w:left w:w="15" w:type="dxa"/>
                    <w:right w:w="15" w:type="dxa"/>
                  </w:tcMar>
                  <w:vAlign w:val="center"/>
                </w:tcPr>
                <w:p w14:paraId="2F758D70">
                  <w:pPr>
                    <w:spacing w:line="28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0.1</w:t>
                  </w:r>
                </w:p>
              </w:tc>
              <w:tc>
                <w:tcPr>
                  <w:tcW w:w="345" w:type="pct"/>
                  <w:vMerge w:val="continue"/>
                  <w:tcBorders>
                    <w:tl2br w:val="nil"/>
                    <w:tr2bl w:val="nil"/>
                  </w:tcBorders>
                  <w:tcMar>
                    <w:top w:w="15" w:type="dxa"/>
                    <w:left w:w="15" w:type="dxa"/>
                    <w:right w:w="15" w:type="dxa"/>
                  </w:tcMar>
                  <w:vAlign w:val="center"/>
                </w:tcPr>
                <w:p w14:paraId="51CEE0F6">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p>
              </w:tc>
              <w:tc>
                <w:tcPr>
                  <w:tcW w:w="490" w:type="pct"/>
                  <w:vMerge w:val="continue"/>
                  <w:tcBorders>
                    <w:tl2br w:val="nil"/>
                    <w:tr2bl w:val="nil"/>
                  </w:tcBorders>
                  <w:tcMar>
                    <w:top w:w="15" w:type="dxa"/>
                    <w:left w:w="15" w:type="dxa"/>
                    <w:right w:w="15" w:type="dxa"/>
                  </w:tcMar>
                  <w:vAlign w:val="center"/>
                </w:tcPr>
                <w:p w14:paraId="66A6DA0F">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p>
              </w:tc>
              <w:tc>
                <w:tcPr>
                  <w:tcW w:w="402" w:type="pct"/>
                  <w:tcBorders>
                    <w:tl2br w:val="nil"/>
                    <w:tr2bl w:val="nil"/>
                  </w:tcBorders>
                  <w:tcMar>
                    <w:top w:w="15" w:type="dxa"/>
                    <w:left w:w="15" w:type="dxa"/>
                    <w:right w:w="15" w:type="dxa"/>
                  </w:tcMar>
                  <w:vAlign w:val="center"/>
                </w:tcPr>
                <w:p w14:paraId="61F11B20">
                  <w:pPr>
                    <w:spacing w:line="28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0.1</w:t>
                  </w:r>
                </w:p>
              </w:tc>
              <w:tc>
                <w:tcPr>
                  <w:tcW w:w="1086" w:type="pct"/>
                  <w:vMerge w:val="continue"/>
                  <w:tcBorders>
                    <w:tl2br w:val="nil"/>
                    <w:tr2bl w:val="nil"/>
                  </w:tcBorders>
                  <w:tcMar>
                    <w:top w:w="15" w:type="dxa"/>
                    <w:left w:w="15" w:type="dxa"/>
                    <w:right w:w="15" w:type="dxa"/>
                  </w:tcMar>
                  <w:vAlign w:val="center"/>
                </w:tcPr>
                <w:p w14:paraId="6C725B2D">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p>
              </w:tc>
            </w:tr>
            <w:tr w14:paraId="42968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43" w:type="pct"/>
                  <w:vMerge w:val="continue"/>
                  <w:tcBorders>
                    <w:tl2br w:val="nil"/>
                    <w:tr2bl w:val="nil"/>
                  </w:tcBorders>
                  <w:tcMar>
                    <w:top w:w="15" w:type="dxa"/>
                    <w:left w:w="15" w:type="dxa"/>
                    <w:right w:w="15" w:type="dxa"/>
                  </w:tcMar>
                  <w:vAlign w:val="center"/>
                </w:tcPr>
                <w:p w14:paraId="7BE2C74B">
                  <w:pPr>
                    <w:spacing w:line="280" w:lineRule="exact"/>
                    <w:ind w:firstLine="0" w:firstLineChars="0"/>
                    <w:jc w:val="center"/>
                    <w:rPr>
                      <w:rFonts w:hint="default" w:ascii="Times New Roman" w:hAnsi="Times New Roman" w:cs="Times New Roman"/>
                      <w:color w:val="auto"/>
                      <w:sz w:val="21"/>
                      <w:szCs w:val="21"/>
                      <w:highlight w:val="none"/>
                    </w:rPr>
                  </w:pPr>
                </w:p>
              </w:tc>
              <w:tc>
                <w:tcPr>
                  <w:tcW w:w="379" w:type="pct"/>
                  <w:tcBorders>
                    <w:tl2br w:val="nil"/>
                    <w:tr2bl w:val="nil"/>
                  </w:tcBorders>
                  <w:tcMar>
                    <w:top w:w="15" w:type="dxa"/>
                    <w:left w:w="15" w:type="dxa"/>
                    <w:right w:w="15" w:type="dxa"/>
                  </w:tcMar>
                  <w:vAlign w:val="center"/>
                </w:tcPr>
                <w:p w14:paraId="4169E1C6">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废油桶</w:t>
                  </w:r>
                </w:p>
              </w:tc>
              <w:tc>
                <w:tcPr>
                  <w:tcW w:w="728" w:type="pct"/>
                  <w:tcBorders>
                    <w:tl2br w:val="nil"/>
                    <w:tr2bl w:val="nil"/>
                  </w:tcBorders>
                  <w:tcMar>
                    <w:top w:w="15" w:type="dxa"/>
                    <w:left w:w="15" w:type="dxa"/>
                    <w:right w:w="15" w:type="dxa"/>
                  </w:tcMar>
                  <w:vAlign w:val="center"/>
                </w:tcPr>
                <w:p w14:paraId="00E1A488">
                  <w:pPr>
                    <w:tabs>
                      <w:tab w:val="left" w:pos="1725"/>
                    </w:tabs>
                    <w:spacing w:line="280" w:lineRule="exact"/>
                    <w:ind w:firstLine="0" w:firstLineChars="0"/>
                    <w:jc w:val="center"/>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900-249-08</w:t>
                  </w:r>
                </w:p>
              </w:tc>
              <w:tc>
                <w:tcPr>
                  <w:tcW w:w="445" w:type="pct"/>
                  <w:tcBorders>
                    <w:tl2br w:val="nil"/>
                    <w:tr2bl w:val="nil"/>
                  </w:tcBorders>
                  <w:tcMar>
                    <w:top w:w="15" w:type="dxa"/>
                    <w:left w:w="15" w:type="dxa"/>
                    <w:right w:w="15" w:type="dxa"/>
                  </w:tcMar>
                  <w:vAlign w:val="center"/>
                </w:tcPr>
                <w:p w14:paraId="25B4125F">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矿物油</w:t>
                  </w:r>
                </w:p>
              </w:tc>
              <w:tc>
                <w:tcPr>
                  <w:tcW w:w="194" w:type="pct"/>
                  <w:tcBorders>
                    <w:tl2br w:val="nil"/>
                    <w:tr2bl w:val="nil"/>
                  </w:tcBorders>
                  <w:tcMar>
                    <w:top w:w="15" w:type="dxa"/>
                    <w:left w:w="15" w:type="dxa"/>
                    <w:right w:w="15" w:type="dxa"/>
                  </w:tcMar>
                  <w:vAlign w:val="center"/>
                </w:tcPr>
                <w:p w14:paraId="179EFDD2">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液态</w:t>
                  </w:r>
                </w:p>
              </w:tc>
              <w:tc>
                <w:tcPr>
                  <w:tcW w:w="281" w:type="pct"/>
                  <w:tcBorders>
                    <w:tl2br w:val="nil"/>
                    <w:tr2bl w:val="nil"/>
                  </w:tcBorders>
                  <w:tcMar>
                    <w:top w:w="15" w:type="dxa"/>
                    <w:left w:w="15" w:type="dxa"/>
                    <w:right w:w="15" w:type="dxa"/>
                  </w:tcMar>
                  <w:vAlign w:val="center"/>
                </w:tcPr>
                <w:p w14:paraId="6ECEE2A0">
                  <w:pPr>
                    <w:widowControl/>
                    <w:spacing w:line="280" w:lineRule="exact"/>
                    <w:ind w:firstLine="0" w:firstLineChars="0"/>
                    <w:jc w:val="center"/>
                    <w:textAlignment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402" w:type="pct"/>
                  <w:tcBorders>
                    <w:tl2br w:val="nil"/>
                    <w:tr2bl w:val="nil"/>
                  </w:tcBorders>
                  <w:tcMar>
                    <w:top w:w="15" w:type="dxa"/>
                    <w:left w:w="15" w:type="dxa"/>
                    <w:right w:w="15" w:type="dxa"/>
                  </w:tcMar>
                  <w:vAlign w:val="center"/>
                </w:tcPr>
                <w:p w14:paraId="30ADBBDF">
                  <w:pPr>
                    <w:spacing w:line="280" w:lineRule="exact"/>
                    <w:ind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cs="Times New Roman"/>
                      <w:bCs/>
                      <w:color w:val="auto"/>
                      <w:sz w:val="21"/>
                      <w:szCs w:val="21"/>
                      <w:highlight w:val="none"/>
                    </w:rPr>
                    <w:t>0.0</w:t>
                  </w:r>
                  <w:r>
                    <w:rPr>
                      <w:rFonts w:hint="default" w:ascii="Times New Roman" w:hAnsi="Times New Roman" w:cs="Times New Roman"/>
                      <w:bCs/>
                      <w:color w:val="auto"/>
                      <w:sz w:val="21"/>
                      <w:szCs w:val="21"/>
                      <w:highlight w:val="none"/>
                      <w:lang w:val="en-US" w:eastAsia="zh-CN"/>
                    </w:rPr>
                    <w:t>3</w:t>
                  </w:r>
                </w:p>
              </w:tc>
              <w:tc>
                <w:tcPr>
                  <w:tcW w:w="345" w:type="pct"/>
                  <w:tcBorders>
                    <w:tl2br w:val="nil"/>
                    <w:tr2bl w:val="nil"/>
                  </w:tcBorders>
                  <w:tcMar>
                    <w:top w:w="15" w:type="dxa"/>
                    <w:left w:w="15" w:type="dxa"/>
                    <w:right w:w="15" w:type="dxa"/>
                  </w:tcMar>
                  <w:vAlign w:val="center"/>
                </w:tcPr>
                <w:p w14:paraId="5630EA66">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暂存于危废间</w:t>
                  </w:r>
                </w:p>
              </w:tc>
              <w:tc>
                <w:tcPr>
                  <w:tcW w:w="490" w:type="pct"/>
                  <w:vMerge w:val="continue"/>
                  <w:tcBorders>
                    <w:tl2br w:val="nil"/>
                    <w:tr2bl w:val="nil"/>
                  </w:tcBorders>
                  <w:tcMar>
                    <w:top w:w="15" w:type="dxa"/>
                    <w:left w:w="15" w:type="dxa"/>
                    <w:right w:w="15" w:type="dxa"/>
                  </w:tcMar>
                  <w:vAlign w:val="center"/>
                </w:tcPr>
                <w:p w14:paraId="4FF260FE">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p>
              </w:tc>
              <w:tc>
                <w:tcPr>
                  <w:tcW w:w="402" w:type="pct"/>
                  <w:tcBorders>
                    <w:tl2br w:val="nil"/>
                    <w:tr2bl w:val="nil"/>
                  </w:tcBorders>
                  <w:tcMar>
                    <w:top w:w="15" w:type="dxa"/>
                    <w:left w:w="15" w:type="dxa"/>
                    <w:right w:w="15" w:type="dxa"/>
                  </w:tcMar>
                  <w:vAlign w:val="center"/>
                </w:tcPr>
                <w:p w14:paraId="37A8AA7E">
                  <w:pPr>
                    <w:spacing w:line="280" w:lineRule="exact"/>
                    <w:ind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cs="Times New Roman"/>
                      <w:bCs/>
                      <w:color w:val="auto"/>
                      <w:sz w:val="21"/>
                      <w:szCs w:val="21"/>
                      <w:highlight w:val="none"/>
                    </w:rPr>
                    <w:t>0.0</w:t>
                  </w:r>
                  <w:r>
                    <w:rPr>
                      <w:rFonts w:hint="default" w:ascii="Times New Roman" w:hAnsi="Times New Roman" w:cs="Times New Roman"/>
                      <w:bCs/>
                      <w:color w:val="auto"/>
                      <w:sz w:val="21"/>
                      <w:szCs w:val="21"/>
                      <w:highlight w:val="none"/>
                      <w:lang w:val="en-US" w:eastAsia="zh-CN"/>
                    </w:rPr>
                    <w:t>3</w:t>
                  </w:r>
                </w:p>
              </w:tc>
              <w:tc>
                <w:tcPr>
                  <w:tcW w:w="1086" w:type="pct"/>
                  <w:vMerge w:val="continue"/>
                  <w:tcBorders>
                    <w:tl2br w:val="nil"/>
                    <w:tr2bl w:val="nil"/>
                  </w:tcBorders>
                  <w:tcMar>
                    <w:top w:w="15" w:type="dxa"/>
                    <w:left w:w="15" w:type="dxa"/>
                    <w:right w:w="15" w:type="dxa"/>
                  </w:tcMar>
                  <w:vAlign w:val="center"/>
                </w:tcPr>
                <w:p w14:paraId="62A56584">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p>
              </w:tc>
            </w:tr>
            <w:tr w14:paraId="1F0BB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43" w:type="pct"/>
                  <w:vMerge w:val="continue"/>
                  <w:tcBorders>
                    <w:tl2br w:val="nil"/>
                    <w:tr2bl w:val="nil"/>
                  </w:tcBorders>
                  <w:tcMar>
                    <w:top w:w="15" w:type="dxa"/>
                    <w:left w:w="15" w:type="dxa"/>
                    <w:right w:w="15" w:type="dxa"/>
                  </w:tcMar>
                  <w:vAlign w:val="center"/>
                </w:tcPr>
                <w:p w14:paraId="7D941CCA">
                  <w:pPr>
                    <w:spacing w:line="280" w:lineRule="exact"/>
                    <w:ind w:firstLine="0" w:firstLineChars="0"/>
                    <w:jc w:val="center"/>
                    <w:rPr>
                      <w:rFonts w:hint="default" w:ascii="Times New Roman" w:hAnsi="Times New Roman" w:cs="Times New Roman"/>
                      <w:color w:val="auto"/>
                      <w:sz w:val="21"/>
                      <w:szCs w:val="21"/>
                      <w:highlight w:val="none"/>
                    </w:rPr>
                  </w:pPr>
                </w:p>
              </w:tc>
              <w:tc>
                <w:tcPr>
                  <w:tcW w:w="379" w:type="pct"/>
                  <w:tcBorders>
                    <w:tl2br w:val="nil"/>
                    <w:tr2bl w:val="nil"/>
                  </w:tcBorders>
                  <w:tcMar>
                    <w:top w:w="15" w:type="dxa"/>
                    <w:left w:w="15" w:type="dxa"/>
                    <w:right w:w="15" w:type="dxa"/>
                  </w:tcMar>
                  <w:vAlign w:val="center"/>
                </w:tcPr>
                <w:p w14:paraId="16850039">
                  <w:pPr>
                    <w:spacing w:line="280" w:lineRule="exact"/>
                    <w:ind w:firstLine="0" w:firstLineChars="0"/>
                    <w:jc w:val="center"/>
                    <w:rPr>
                      <w:rFonts w:hint="default" w:ascii="Times New Roman" w:hAnsi="Times New Roman" w:eastAsia="宋体" w:cs="Times New Roman"/>
                      <w:color w:val="auto"/>
                      <w:sz w:val="21"/>
                      <w:szCs w:val="21"/>
                      <w:highlight w:val="red"/>
                      <w:lang w:val="en-US" w:eastAsia="zh-CN"/>
                    </w:rPr>
                  </w:pPr>
                  <w:r>
                    <w:rPr>
                      <w:rFonts w:hint="eastAsia" w:cs="Times New Roman"/>
                      <w:color w:val="auto"/>
                      <w:sz w:val="21"/>
                      <w:szCs w:val="21"/>
                      <w:highlight w:val="red"/>
                      <w:lang w:val="en-US" w:eastAsia="zh-CN"/>
                    </w:rPr>
                    <w:t>废电瓶</w:t>
                  </w:r>
                </w:p>
              </w:tc>
              <w:tc>
                <w:tcPr>
                  <w:tcW w:w="728" w:type="pct"/>
                  <w:tcBorders>
                    <w:tl2br w:val="nil"/>
                    <w:tr2bl w:val="nil"/>
                  </w:tcBorders>
                  <w:tcMar>
                    <w:top w:w="15" w:type="dxa"/>
                    <w:left w:w="15" w:type="dxa"/>
                    <w:right w:w="15" w:type="dxa"/>
                  </w:tcMar>
                  <w:vAlign w:val="center"/>
                </w:tcPr>
                <w:p w14:paraId="1137489E">
                  <w:pPr>
                    <w:tabs>
                      <w:tab w:val="left" w:pos="1725"/>
                    </w:tabs>
                    <w:spacing w:line="280" w:lineRule="exact"/>
                    <w:ind w:firstLine="0" w:firstLineChars="0"/>
                    <w:jc w:val="center"/>
                    <w:rPr>
                      <w:rFonts w:hint="default" w:ascii="Times New Roman" w:hAnsi="Times New Roman" w:cs="Times New Roman"/>
                      <w:bCs/>
                      <w:color w:val="auto"/>
                      <w:sz w:val="21"/>
                      <w:szCs w:val="21"/>
                      <w:highlight w:val="red"/>
                    </w:rPr>
                  </w:pPr>
                  <w:r>
                    <w:rPr>
                      <w:rFonts w:hint="eastAsia"/>
                      <w:color w:val="auto"/>
                      <w:sz w:val="21"/>
                      <w:szCs w:val="21"/>
                      <w:highlight w:val="red"/>
                      <w:lang w:val="en-US" w:eastAsia="zh-CN"/>
                    </w:rPr>
                    <w:t>900-052-31</w:t>
                  </w:r>
                </w:p>
              </w:tc>
              <w:tc>
                <w:tcPr>
                  <w:tcW w:w="445" w:type="pct"/>
                  <w:tcBorders>
                    <w:tl2br w:val="nil"/>
                    <w:tr2bl w:val="nil"/>
                  </w:tcBorders>
                  <w:tcMar>
                    <w:top w:w="15" w:type="dxa"/>
                    <w:left w:w="15" w:type="dxa"/>
                    <w:right w:w="15" w:type="dxa"/>
                  </w:tcMar>
                  <w:vAlign w:val="center"/>
                </w:tcPr>
                <w:p w14:paraId="73647AE9">
                  <w:pPr>
                    <w:widowControl/>
                    <w:spacing w:line="280" w:lineRule="exact"/>
                    <w:ind w:firstLine="0" w:firstLineChars="0"/>
                    <w:jc w:val="center"/>
                    <w:textAlignment w:val="center"/>
                    <w:rPr>
                      <w:rFonts w:hint="default" w:ascii="Times New Roman" w:hAnsi="Times New Roman" w:cs="Times New Roman"/>
                      <w:color w:val="auto"/>
                      <w:sz w:val="21"/>
                      <w:szCs w:val="21"/>
                      <w:highlight w:val="red"/>
                      <w:lang w:val="en-US" w:eastAsia="zh-CN"/>
                    </w:rPr>
                  </w:pPr>
                  <w:r>
                    <w:rPr>
                      <w:rFonts w:hint="eastAsia" w:ascii="Times New Roman" w:hAnsi="Times New Roman" w:cs="Times New Roman"/>
                      <w:color w:val="auto"/>
                      <w:sz w:val="21"/>
                      <w:szCs w:val="21"/>
                      <w:highlight w:val="red"/>
                      <w:lang w:val="en-US" w:eastAsia="zh-CN"/>
                    </w:rPr>
                    <w:t>含铅废物</w:t>
                  </w:r>
                </w:p>
              </w:tc>
              <w:tc>
                <w:tcPr>
                  <w:tcW w:w="194" w:type="pct"/>
                  <w:tcBorders>
                    <w:tl2br w:val="nil"/>
                    <w:tr2bl w:val="nil"/>
                  </w:tcBorders>
                  <w:tcMar>
                    <w:top w:w="15" w:type="dxa"/>
                    <w:left w:w="15" w:type="dxa"/>
                    <w:right w:w="15" w:type="dxa"/>
                  </w:tcMar>
                  <w:vAlign w:val="center"/>
                </w:tcPr>
                <w:p w14:paraId="4FE481B6">
                  <w:pPr>
                    <w:widowControl/>
                    <w:spacing w:line="280" w:lineRule="exact"/>
                    <w:ind w:firstLine="0" w:firstLineChars="0"/>
                    <w:jc w:val="center"/>
                    <w:textAlignment w:val="center"/>
                    <w:rPr>
                      <w:rFonts w:hint="default" w:ascii="Times New Roman" w:hAnsi="Times New Roman" w:cs="Times New Roman"/>
                      <w:color w:val="auto"/>
                      <w:sz w:val="21"/>
                      <w:szCs w:val="21"/>
                      <w:highlight w:val="red"/>
                      <w:lang w:val="en-US" w:eastAsia="zh-CN"/>
                    </w:rPr>
                  </w:pPr>
                  <w:r>
                    <w:rPr>
                      <w:rFonts w:hint="eastAsia" w:ascii="Times New Roman" w:hAnsi="Times New Roman" w:cs="Times New Roman"/>
                      <w:color w:val="auto"/>
                      <w:sz w:val="21"/>
                      <w:szCs w:val="21"/>
                      <w:highlight w:val="red"/>
                      <w:lang w:val="en-US" w:eastAsia="zh-CN"/>
                    </w:rPr>
                    <w:t>固态</w:t>
                  </w:r>
                </w:p>
              </w:tc>
              <w:tc>
                <w:tcPr>
                  <w:tcW w:w="281" w:type="pct"/>
                  <w:tcBorders>
                    <w:tl2br w:val="nil"/>
                    <w:tr2bl w:val="nil"/>
                  </w:tcBorders>
                  <w:tcMar>
                    <w:top w:w="15" w:type="dxa"/>
                    <w:left w:w="15" w:type="dxa"/>
                    <w:right w:w="15" w:type="dxa"/>
                  </w:tcMar>
                  <w:vAlign w:val="center"/>
                </w:tcPr>
                <w:p w14:paraId="3FC51D2F">
                  <w:pPr>
                    <w:widowControl/>
                    <w:spacing w:line="280" w:lineRule="exact"/>
                    <w:ind w:firstLine="0" w:firstLineChars="0"/>
                    <w:jc w:val="center"/>
                    <w:textAlignment w:val="center"/>
                    <w:rPr>
                      <w:rFonts w:hint="default" w:ascii="Times New Roman" w:hAnsi="Times New Roman" w:cs="Times New Roman"/>
                      <w:color w:val="auto"/>
                      <w:sz w:val="21"/>
                      <w:szCs w:val="21"/>
                      <w:highlight w:val="red"/>
                    </w:rPr>
                  </w:pPr>
                  <w:r>
                    <w:rPr>
                      <w:rFonts w:hint="eastAsia" w:ascii="Times New Roman" w:hAnsi="Times New Roman" w:cs="Times New Roman"/>
                      <w:color w:val="auto"/>
                      <w:sz w:val="21"/>
                      <w:szCs w:val="21"/>
                      <w:highlight w:val="red"/>
                    </w:rPr>
                    <w:t>T，C</w:t>
                  </w:r>
                </w:p>
              </w:tc>
              <w:tc>
                <w:tcPr>
                  <w:tcW w:w="402" w:type="pct"/>
                  <w:tcBorders>
                    <w:tl2br w:val="nil"/>
                    <w:tr2bl w:val="nil"/>
                  </w:tcBorders>
                  <w:tcMar>
                    <w:top w:w="15" w:type="dxa"/>
                    <w:left w:w="15" w:type="dxa"/>
                    <w:right w:w="15" w:type="dxa"/>
                  </w:tcMar>
                  <w:vAlign w:val="center"/>
                </w:tcPr>
                <w:p w14:paraId="202EE329">
                  <w:pPr>
                    <w:widowControl/>
                    <w:spacing w:line="280" w:lineRule="exact"/>
                    <w:ind w:firstLine="0" w:firstLineChars="0"/>
                    <w:jc w:val="center"/>
                    <w:textAlignment w:val="center"/>
                    <w:rPr>
                      <w:rFonts w:hint="default" w:ascii="Times New Roman" w:hAnsi="Times New Roman" w:cs="Times New Roman"/>
                      <w:color w:val="auto"/>
                      <w:sz w:val="21"/>
                      <w:szCs w:val="21"/>
                      <w:highlight w:val="red"/>
                      <w:lang w:val="en-US" w:eastAsia="zh-CN"/>
                    </w:rPr>
                  </w:pPr>
                  <w:r>
                    <w:rPr>
                      <w:rFonts w:hint="eastAsia" w:ascii="Times New Roman" w:hAnsi="Times New Roman" w:cs="Times New Roman"/>
                      <w:color w:val="auto"/>
                      <w:sz w:val="21"/>
                      <w:szCs w:val="21"/>
                      <w:highlight w:val="red"/>
                      <w:lang w:val="en-US" w:eastAsia="zh-CN"/>
                    </w:rPr>
                    <w:t>0.05</w:t>
                  </w:r>
                </w:p>
              </w:tc>
              <w:tc>
                <w:tcPr>
                  <w:tcW w:w="345" w:type="pct"/>
                  <w:tcBorders>
                    <w:tl2br w:val="nil"/>
                    <w:tr2bl w:val="nil"/>
                  </w:tcBorders>
                  <w:tcMar>
                    <w:top w:w="15" w:type="dxa"/>
                    <w:left w:w="15" w:type="dxa"/>
                    <w:right w:w="15" w:type="dxa"/>
                  </w:tcMar>
                  <w:vAlign w:val="center"/>
                </w:tcPr>
                <w:p w14:paraId="1B03C392">
                  <w:pPr>
                    <w:widowControl/>
                    <w:spacing w:line="280" w:lineRule="exact"/>
                    <w:ind w:firstLine="0" w:firstLineChars="0"/>
                    <w:jc w:val="center"/>
                    <w:textAlignment w:val="center"/>
                    <w:rPr>
                      <w:rFonts w:hint="default" w:ascii="Times New Roman" w:hAnsi="Times New Roman" w:cs="Times New Roman"/>
                      <w:color w:val="auto"/>
                      <w:sz w:val="21"/>
                      <w:szCs w:val="21"/>
                      <w:highlight w:val="red"/>
                    </w:rPr>
                  </w:pPr>
                  <w:r>
                    <w:rPr>
                      <w:rFonts w:hint="default" w:ascii="Times New Roman" w:hAnsi="Times New Roman" w:cs="Times New Roman"/>
                      <w:color w:val="auto"/>
                      <w:sz w:val="21"/>
                      <w:szCs w:val="21"/>
                      <w:highlight w:val="red"/>
                    </w:rPr>
                    <w:t>暂存于危废间</w:t>
                  </w:r>
                </w:p>
              </w:tc>
              <w:tc>
                <w:tcPr>
                  <w:tcW w:w="490" w:type="pct"/>
                  <w:vMerge w:val="continue"/>
                  <w:tcBorders>
                    <w:tl2br w:val="nil"/>
                    <w:tr2bl w:val="nil"/>
                  </w:tcBorders>
                  <w:tcMar>
                    <w:top w:w="15" w:type="dxa"/>
                    <w:left w:w="15" w:type="dxa"/>
                    <w:right w:w="15" w:type="dxa"/>
                  </w:tcMar>
                  <w:vAlign w:val="center"/>
                </w:tcPr>
                <w:p w14:paraId="56DA65F7">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p>
              </w:tc>
              <w:tc>
                <w:tcPr>
                  <w:tcW w:w="402" w:type="pct"/>
                  <w:tcBorders>
                    <w:tl2br w:val="nil"/>
                    <w:tr2bl w:val="nil"/>
                  </w:tcBorders>
                  <w:tcMar>
                    <w:top w:w="15" w:type="dxa"/>
                    <w:left w:w="15" w:type="dxa"/>
                    <w:right w:w="15" w:type="dxa"/>
                  </w:tcMar>
                  <w:vAlign w:val="center"/>
                </w:tcPr>
                <w:p w14:paraId="11746E53">
                  <w:pPr>
                    <w:spacing w:line="28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0.05</w:t>
                  </w:r>
                </w:p>
              </w:tc>
              <w:tc>
                <w:tcPr>
                  <w:tcW w:w="1086" w:type="pct"/>
                  <w:vMerge w:val="continue"/>
                  <w:tcBorders>
                    <w:tl2br w:val="nil"/>
                    <w:tr2bl w:val="nil"/>
                  </w:tcBorders>
                  <w:tcMar>
                    <w:top w:w="15" w:type="dxa"/>
                    <w:left w:w="15" w:type="dxa"/>
                    <w:right w:w="15" w:type="dxa"/>
                  </w:tcMar>
                  <w:vAlign w:val="center"/>
                </w:tcPr>
                <w:p w14:paraId="0F7332AF">
                  <w:pPr>
                    <w:widowControl/>
                    <w:spacing w:line="280" w:lineRule="exact"/>
                    <w:ind w:firstLine="0" w:firstLineChars="0"/>
                    <w:jc w:val="center"/>
                    <w:textAlignment w:val="center"/>
                    <w:rPr>
                      <w:rFonts w:hint="default" w:ascii="Times New Roman" w:hAnsi="Times New Roman" w:cs="Times New Roman"/>
                      <w:color w:val="auto"/>
                      <w:kern w:val="0"/>
                      <w:sz w:val="21"/>
                      <w:szCs w:val="21"/>
                      <w:highlight w:val="none"/>
                      <w:lang w:bidi="ar"/>
                    </w:rPr>
                  </w:pPr>
                </w:p>
              </w:tc>
            </w:tr>
          </w:tbl>
          <w:p w14:paraId="06EBBD52">
            <w:pPr>
              <w:ind w:firstLine="480"/>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4.3</w:t>
            </w:r>
            <w:r>
              <w:rPr>
                <w:rFonts w:hint="default" w:ascii="Times New Roman" w:hAnsi="Times New Roman" w:cs="Times New Roman"/>
                <w:color w:val="auto"/>
                <w:sz w:val="21"/>
                <w:szCs w:val="21"/>
                <w:highlight w:val="none"/>
              </w:rPr>
              <w:t>固体废物管理措施</w:t>
            </w:r>
          </w:p>
          <w:p w14:paraId="7A846387">
            <w:pPr>
              <w:ind w:firstLine="480"/>
              <w:rPr>
                <w:color w:val="auto"/>
                <w:sz w:val="21"/>
                <w:szCs w:val="21"/>
                <w:highlight w:val="none"/>
              </w:rPr>
            </w:pPr>
            <w:r>
              <w:rPr>
                <w:rFonts w:hint="eastAsia"/>
                <w:color w:val="auto"/>
                <w:sz w:val="21"/>
                <w:szCs w:val="21"/>
                <w:highlight w:val="none"/>
                <w:lang w:val="en-US" w:eastAsia="zh-CN"/>
              </w:rPr>
              <w:t>(1)</w:t>
            </w:r>
            <w:r>
              <w:rPr>
                <w:color w:val="auto"/>
                <w:sz w:val="21"/>
                <w:szCs w:val="21"/>
                <w:highlight w:val="none"/>
              </w:rPr>
              <w:t>一般固体废物管理措施</w:t>
            </w:r>
          </w:p>
          <w:p w14:paraId="6FD9D3E2">
            <w:pPr>
              <w:ind w:firstLine="480"/>
              <w:rPr>
                <w:color w:val="auto"/>
                <w:sz w:val="21"/>
                <w:szCs w:val="21"/>
                <w:highlight w:val="none"/>
              </w:rPr>
            </w:pPr>
            <w:r>
              <w:rPr>
                <w:rFonts w:hint="eastAsia"/>
                <w:color w:val="auto"/>
                <w:sz w:val="21"/>
                <w:szCs w:val="21"/>
                <w:highlight w:val="none"/>
                <w:lang w:val="en-US" w:eastAsia="zh-CN"/>
              </w:rPr>
              <w:t>①</w:t>
            </w:r>
            <w:r>
              <w:rPr>
                <w:color w:val="auto"/>
                <w:sz w:val="21"/>
                <w:szCs w:val="21"/>
                <w:highlight w:val="none"/>
              </w:rPr>
              <w:t>贮存、处置场的建设类型，必须与将要堆放的一般工业固体废物的类别相一致。</w:t>
            </w:r>
          </w:p>
          <w:p w14:paraId="0F169BFA">
            <w:pPr>
              <w:ind w:firstLine="480"/>
              <w:rPr>
                <w:color w:val="auto"/>
                <w:sz w:val="21"/>
                <w:szCs w:val="21"/>
                <w:highlight w:val="none"/>
              </w:rPr>
            </w:pPr>
            <w:r>
              <w:rPr>
                <w:rFonts w:hint="eastAsia"/>
                <w:color w:val="auto"/>
                <w:sz w:val="21"/>
                <w:szCs w:val="21"/>
                <w:highlight w:val="none"/>
                <w:lang w:val="en-US" w:eastAsia="zh-CN"/>
              </w:rPr>
              <w:t>②</w:t>
            </w:r>
            <w:r>
              <w:rPr>
                <w:color w:val="auto"/>
                <w:sz w:val="21"/>
                <w:szCs w:val="21"/>
                <w:highlight w:val="none"/>
              </w:rPr>
              <w:t>贮存、处置场应采取防止粉尘污染的措施。</w:t>
            </w:r>
          </w:p>
          <w:p w14:paraId="45D96A4A">
            <w:pPr>
              <w:ind w:firstLine="480"/>
              <w:rPr>
                <w:color w:val="auto"/>
                <w:sz w:val="21"/>
                <w:szCs w:val="21"/>
                <w:highlight w:val="none"/>
              </w:rPr>
            </w:pPr>
            <w:r>
              <w:rPr>
                <w:rFonts w:hint="eastAsia"/>
                <w:color w:val="auto"/>
                <w:sz w:val="21"/>
                <w:szCs w:val="21"/>
                <w:highlight w:val="none"/>
                <w:lang w:val="en-US" w:eastAsia="zh-CN"/>
              </w:rPr>
              <w:t>③</w:t>
            </w:r>
            <w:r>
              <w:rPr>
                <w:color w:val="auto"/>
                <w:sz w:val="21"/>
                <w:szCs w:val="21"/>
                <w:highlight w:val="none"/>
              </w:rPr>
              <w:t>为加强监督管理，贮存、处置场应设置环境保护图形标志。</w:t>
            </w:r>
          </w:p>
          <w:p w14:paraId="6F475F3C">
            <w:pPr>
              <w:ind w:firstLine="480"/>
              <w:rPr>
                <w:color w:val="auto"/>
                <w:sz w:val="21"/>
                <w:szCs w:val="21"/>
                <w:highlight w:val="none"/>
              </w:rPr>
            </w:pPr>
            <w:r>
              <w:rPr>
                <w:rFonts w:hint="eastAsia"/>
                <w:color w:val="auto"/>
                <w:sz w:val="21"/>
                <w:szCs w:val="21"/>
                <w:highlight w:val="none"/>
                <w:lang w:val="en-US" w:eastAsia="zh-CN"/>
              </w:rPr>
              <w:t>④</w:t>
            </w:r>
            <w:r>
              <w:rPr>
                <w:rFonts w:hint="eastAsia"/>
                <w:color w:val="auto"/>
                <w:sz w:val="21"/>
                <w:szCs w:val="21"/>
                <w:highlight w:val="none"/>
              </w:rPr>
              <w:t>一般固废贮存过程满足防渗漏、防雨淋、防扬尘等要求。</w:t>
            </w:r>
          </w:p>
          <w:p w14:paraId="595B0F07">
            <w:pPr>
              <w:ind w:firstLine="480"/>
              <w:rPr>
                <w:color w:val="auto"/>
                <w:sz w:val="21"/>
                <w:szCs w:val="21"/>
                <w:highlight w:val="none"/>
              </w:rPr>
            </w:pPr>
            <w:r>
              <w:rPr>
                <w:rFonts w:hint="eastAsia"/>
                <w:color w:val="auto"/>
                <w:sz w:val="21"/>
                <w:szCs w:val="21"/>
                <w:highlight w:val="none"/>
                <w:lang w:val="en-US" w:eastAsia="zh-CN"/>
              </w:rPr>
              <w:t>(2)</w:t>
            </w:r>
            <w:r>
              <w:rPr>
                <w:color w:val="auto"/>
                <w:sz w:val="21"/>
                <w:szCs w:val="21"/>
                <w:highlight w:val="none"/>
              </w:rPr>
              <w:t>危险废物管理措施</w:t>
            </w:r>
          </w:p>
          <w:p w14:paraId="7C6D485D">
            <w:pPr>
              <w:pStyle w:val="750"/>
              <w:tabs>
                <w:tab w:val="left" w:pos="926"/>
              </w:tabs>
              <w:adjustRightInd/>
              <w:snapToGrid/>
              <w:spacing w:line="360" w:lineRule="auto"/>
              <w:ind w:firstLine="480"/>
              <w:rPr>
                <w:rFonts w:ascii="Times New Roman" w:hAnsi="Times New Roman" w:eastAsia="宋体" w:cs="Times New Roman"/>
                <w:color w:val="auto"/>
                <w:kern w:val="24"/>
                <w:sz w:val="21"/>
                <w:szCs w:val="21"/>
                <w:highlight w:val="none"/>
              </w:rPr>
            </w:pPr>
            <w:r>
              <w:rPr>
                <w:rFonts w:hint="eastAsia"/>
                <w:color w:val="auto"/>
                <w:sz w:val="21"/>
                <w:szCs w:val="21"/>
                <w:highlight w:val="none"/>
                <w:lang w:val="en-US" w:eastAsia="zh-CN"/>
              </w:rPr>
              <w:t>①</w:t>
            </w:r>
            <w:r>
              <w:rPr>
                <w:rFonts w:ascii="Times New Roman" w:hAnsi="Times New Roman" w:eastAsia="宋体" w:cs="Times New Roman"/>
                <w:color w:val="auto"/>
                <w:kern w:val="24"/>
                <w:sz w:val="21"/>
                <w:szCs w:val="21"/>
                <w:highlight w:val="none"/>
              </w:rPr>
              <w:t>危险废物收集</w:t>
            </w:r>
          </w:p>
          <w:p w14:paraId="647D4F7A">
            <w:pPr>
              <w:pStyle w:val="750"/>
              <w:adjustRightInd/>
              <w:snapToGrid/>
              <w:spacing w:line="360" w:lineRule="auto"/>
              <w:ind w:firstLine="480"/>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废润滑油</w:t>
            </w:r>
            <w:r>
              <w:rPr>
                <w:rFonts w:hint="eastAsia" w:ascii="Times New Roman" w:hAnsi="Times New Roman" w:eastAsia="宋体" w:cs="Times New Roman"/>
                <w:color w:val="auto"/>
                <w:sz w:val="21"/>
                <w:szCs w:val="21"/>
                <w:highlight w:val="none"/>
              </w:rPr>
              <w:t>、废液压油</w:t>
            </w:r>
            <w:r>
              <w:rPr>
                <w:rFonts w:ascii="Times New Roman" w:hAnsi="Times New Roman" w:eastAsia="宋体" w:cs="Times New Roman"/>
                <w:color w:val="auto"/>
                <w:sz w:val="21"/>
                <w:szCs w:val="21"/>
                <w:highlight w:val="none"/>
              </w:rPr>
              <w:t>采用桶装密闭收集，容器应达到防渗、防漏的要求；为防止油类物质在使用过程的跑冒滴漏，在生产设备下设托盘，以消除在使用过程中跑、冒、滴、漏、遗撒现象的产生。</w:t>
            </w:r>
          </w:p>
          <w:p w14:paraId="2B80FC91">
            <w:pPr>
              <w:ind w:firstLine="480"/>
              <w:rPr>
                <w:color w:val="auto"/>
                <w:kern w:val="24"/>
                <w:sz w:val="21"/>
                <w:szCs w:val="21"/>
                <w:highlight w:val="none"/>
              </w:rPr>
            </w:pPr>
            <w:r>
              <w:rPr>
                <w:rFonts w:hint="eastAsia"/>
                <w:color w:val="auto"/>
                <w:sz w:val="21"/>
                <w:szCs w:val="21"/>
                <w:highlight w:val="none"/>
                <w:lang w:val="en-US" w:eastAsia="zh-CN"/>
              </w:rPr>
              <w:t>②</w:t>
            </w:r>
            <w:r>
              <w:rPr>
                <w:color w:val="auto"/>
                <w:kern w:val="24"/>
                <w:sz w:val="21"/>
                <w:szCs w:val="21"/>
                <w:highlight w:val="none"/>
              </w:rPr>
              <w:t>危险废物贮存</w:t>
            </w:r>
          </w:p>
          <w:p w14:paraId="0F953EED">
            <w:pPr>
              <w:pStyle w:val="35"/>
              <w:keepNext w:val="0"/>
              <w:keepLines w:val="0"/>
              <w:pageBreakBefore w:val="0"/>
              <w:widowControl/>
              <w:kinsoku/>
              <w:wordWrap/>
              <w:overflowPunct/>
              <w:topLinePunct w:val="0"/>
              <w:autoSpaceDE w:val="0"/>
              <w:autoSpaceDN w:val="0"/>
              <w:bidi w:val="0"/>
              <w:adjustRightInd w:val="0"/>
              <w:snapToGrid w:val="0"/>
              <w:spacing w:line="360" w:lineRule="auto"/>
              <w:ind w:left="0" w:leftChars="0" w:right="0" w:firstLine="480"/>
              <w:jc w:val="both"/>
              <w:textAlignment w:val="auto"/>
              <w:rPr>
                <w:rFonts w:ascii="Times New Roman" w:hAnsi="Times New Roman"/>
                <w:color w:val="auto"/>
                <w:sz w:val="21"/>
                <w:szCs w:val="21"/>
                <w:highlight w:val="none"/>
              </w:rPr>
            </w:pPr>
            <w:r>
              <w:rPr>
                <w:rFonts w:hint="eastAsia" w:ascii="Times New Roman" w:hAnsi="Times New Roman"/>
                <w:color w:val="auto"/>
                <w:sz w:val="21"/>
                <w:szCs w:val="21"/>
                <w:highlight w:val="none"/>
              </w:rPr>
              <w:t>本项目依托厂区</w:t>
            </w:r>
            <w:r>
              <w:rPr>
                <w:rFonts w:hint="eastAsia" w:ascii="Times New Roman" w:hAnsi="Times New Roman"/>
                <w:color w:val="auto"/>
                <w:sz w:val="21"/>
                <w:szCs w:val="21"/>
                <w:highlight w:val="none"/>
                <w:lang w:val="en-US" w:eastAsia="zh-CN"/>
              </w:rPr>
              <w:t>现</w:t>
            </w:r>
            <w:r>
              <w:rPr>
                <w:rFonts w:hint="eastAsia" w:ascii="Times New Roman" w:hAnsi="Times New Roman"/>
                <w:color w:val="auto"/>
                <w:sz w:val="21"/>
                <w:szCs w:val="21"/>
                <w:highlight w:val="none"/>
              </w:rPr>
              <w:t>有危废间2座，位于厂区东南区域，面积分别为约1</w:t>
            </w:r>
            <w:r>
              <w:rPr>
                <w:rFonts w:hint="eastAsia" w:ascii="Times New Roman" w:hAnsi="Times New Roman"/>
                <w:color w:val="auto"/>
                <w:sz w:val="21"/>
                <w:szCs w:val="21"/>
                <w:highlight w:val="none"/>
                <w:lang w:val="en-US" w:eastAsia="zh-CN"/>
              </w:rPr>
              <w:t>4</w:t>
            </w:r>
            <w:r>
              <w:rPr>
                <w:rFonts w:hint="eastAsia" w:ascii="Times New Roman" w:hAnsi="Times New Roman"/>
                <w:color w:val="auto"/>
                <w:sz w:val="21"/>
                <w:szCs w:val="21"/>
                <w:highlight w:val="none"/>
              </w:rPr>
              <w:t>4</w:t>
            </w:r>
            <w:r>
              <w:rPr>
                <w:rFonts w:hint="eastAsia" w:ascii="Times New Roman" w:hAnsi="Times New Roman"/>
                <w:color w:val="auto"/>
                <w:sz w:val="21"/>
                <w:szCs w:val="21"/>
                <w:highlight w:val="none"/>
                <w:lang w:val="en-US" w:eastAsia="zh-CN"/>
              </w:rPr>
              <w:t>m</w:t>
            </w:r>
            <w:r>
              <w:rPr>
                <w:rFonts w:hint="eastAsia" w:ascii="Times New Roman" w:hAnsi="Times New Roman"/>
                <w:color w:val="auto"/>
                <w:sz w:val="21"/>
                <w:szCs w:val="21"/>
                <w:highlight w:val="none"/>
                <w:vertAlign w:val="superscript"/>
                <w:lang w:val="en-US" w:eastAsia="zh-CN"/>
              </w:rPr>
              <w:t>2</w:t>
            </w:r>
            <w:r>
              <w:rPr>
                <w:rFonts w:hint="eastAsia" w:ascii="Times New Roman" w:hAnsi="Times New Roman"/>
                <w:color w:val="auto"/>
                <w:sz w:val="21"/>
                <w:szCs w:val="21"/>
                <w:highlight w:val="none"/>
              </w:rPr>
              <w:t>和40</w:t>
            </w:r>
            <w:r>
              <w:rPr>
                <w:rFonts w:hint="eastAsia" w:ascii="Times New Roman" w:hAnsi="Times New Roman"/>
                <w:color w:val="auto"/>
                <w:sz w:val="21"/>
                <w:szCs w:val="21"/>
                <w:highlight w:val="none"/>
                <w:lang w:val="en-US" w:eastAsia="zh-CN"/>
              </w:rPr>
              <w:t>m</w:t>
            </w:r>
            <w:r>
              <w:rPr>
                <w:rFonts w:hint="eastAsia" w:ascii="Times New Roman" w:hAnsi="Times New Roman"/>
                <w:color w:val="auto"/>
                <w:sz w:val="21"/>
                <w:szCs w:val="21"/>
                <w:highlight w:val="none"/>
                <w:vertAlign w:val="superscript"/>
                <w:lang w:val="en-US" w:eastAsia="zh-CN"/>
              </w:rPr>
              <w:t>2</w:t>
            </w:r>
            <w:r>
              <w:rPr>
                <w:rFonts w:hint="eastAsia" w:ascii="Times New Roman" w:hAnsi="Times New Roman"/>
                <w:color w:val="auto"/>
                <w:sz w:val="21"/>
                <w:szCs w:val="21"/>
                <w:highlight w:val="none"/>
              </w:rPr>
              <w:t>，储存能力为260吨，目前已容纳约20吨，能够容纳本项目产生的危险废物。危废暂存间采用C30级抗渗混凝土，防渗等级为P8，结构厚度为不小于20cm，上层敷设5层布玻璃钢(两布三油)，渗透系数小于10</w:t>
            </w:r>
            <w:r>
              <w:rPr>
                <w:rFonts w:hint="eastAsia" w:ascii="Times New Roman" w:hAnsi="Times New Roman"/>
                <w:color w:val="auto"/>
                <w:sz w:val="21"/>
                <w:szCs w:val="21"/>
                <w:highlight w:val="none"/>
                <w:vertAlign w:val="superscript"/>
              </w:rPr>
              <w:t>-10</w:t>
            </w:r>
            <w:r>
              <w:rPr>
                <w:rFonts w:hint="eastAsia" w:ascii="Times New Roman" w:hAnsi="Times New Roman"/>
                <w:color w:val="auto"/>
                <w:sz w:val="21"/>
                <w:szCs w:val="21"/>
                <w:highlight w:val="none"/>
              </w:rPr>
              <w:t>cm/s。不同种类的危险废物在危废间内分区存放。</w:t>
            </w:r>
          </w:p>
          <w:p w14:paraId="0B3A3BD6">
            <w:pPr>
              <w:pStyle w:val="25"/>
              <w:ind w:firstLine="480"/>
              <w:jc w:val="both"/>
              <w:rPr>
                <w:color w:val="auto"/>
                <w:sz w:val="21"/>
                <w:szCs w:val="21"/>
                <w:highlight w:val="none"/>
              </w:rPr>
            </w:pPr>
            <w:r>
              <w:rPr>
                <w:color w:val="auto"/>
                <w:sz w:val="21"/>
                <w:szCs w:val="21"/>
                <w:highlight w:val="none"/>
              </w:rPr>
              <w:t>盛装危废的容器要符合标准要求，容器应根据危险废物的不同特性而设计，容器应不易破损、变形、老化，并能有效地防止渗透、扩散。装有危险废物的容器必须贴有符合《危险废物贮存污染控制标准》</w:t>
            </w:r>
            <w:r>
              <w:rPr>
                <w:rFonts w:hint="eastAsia"/>
                <w:color w:val="auto"/>
                <w:sz w:val="21"/>
                <w:szCs w:val="21"/>
                <w:highlight w:val="none"/>
                <w:lang w:eastAsia="zh-CN"/>
              </w:rPr>
              <w:t>(</w:t>
            </w:r>
            <w:r>
              <w:rPr>
                <w:color w:val="auto"/>
                <w:sz w:val="21"/>
                <w:szCs w:val="21"/>
                <w:highlight w:val="none"/>
              </w:rPr>
              <w:t>GB18597-20</w:t>
            </w:r>
            <w:r>
              <w:rPr>
                <w:rFonts w:hint="eastAsia"/>
                <w:color w:val="auto"/>
                <w:sz w:val="21"/>
                <w:szCs w:val="21"/>
                <w:highlight w:val="none"/>
                <w:lang w:val="en-US" w:eastAsia="zh-CN"/>
              </w:rPr>
              <w:t>23</w:t>
            </w:r>
            <w:r>
              <w:rPr>
                <w:rFonts w:hint="eastAsia"/>
                <w:color w:val="auto"/>
                <w:sz w:val="21"/>
                <w:szCs w:val="21"/>
                <w:highlight w:val="none"/>
              </w:rPr>
              <w:t>)</w:t>
            </w:r>
            <w:r>
              <w:rPr>
                <w:rFonts w:hint="eastAsia"/>
                <w:color w:val="auto"/>
                <w:sz w:val="21"/>
                <w:szCs w:val="21"/>
                <w:highlight w:val="none"/>
                <w:lang w:val="en-US" w:eastAsia="zh-CN"/>
              </w:rPr>
              <w:t>中</w:t>
            </w:r>
            <w:r>
              <w:rPr>
                <w:color w:val="auto"/>
                <w:sz w:val="21"/>
                <w:szCs w:val="21"/>
                <w:highlight w:val="none"/>
              </w:rPr>
              <w:t>所示的标签。</w:t>
            </w:r>
          </w:p>
          <w:p w14:paraId="64456580">
            <w:pPr>
              <w:pStyle w:val="25"/>
              <w:ind w:firstLine="480"/>
              <w:jc w:val="both"/>
              <w:rPr>
                <w:color w:val="auto"/>
                <w:sz w:val="21"/>
                <w:szCs w:val="21"/>
                <w:highlight w:val="none"/>
              </w:rPr>
            </w:pPr>
            <w:r>
              <w:rPr>
                <w:color w:val="auto"/>
                <w:sz w:val="21"/>
                <w:szCs w:val="21"/>
                <w:highlight w:val="none"/>
              </w:rPr>
              <w:t>装载液体、半固体危险废物的容器内须留足够空间，容器顶部与液体表面之间保留100mm以上的空间。</w:t>
            </w:r>
          </w:p>
          <w:p w14:paraId="14460391">
            <w:pPr>
              <w:pStyle w:val="25"/>
              <w:ind w:firstLine="480"/>
              <w:jc w:val="both"/>
              <w:rPr>
                <w:color w:val="auto"/>
                <w:sz w:val="21"/>
                <w:szCs w:val="21"/>
                <w:highlight w:val="none"/>
              </w:rPr>
            </w:pPr>
            <w:r>
              <w:rPr>
                <w:color w:val="auto"/>
                <w:sz w:val="21"/>
                <w:szCs w:val="21"/>
                <w:highlight w:val="none"/>
              </w:rPr>
              <w:t>盛装危险废物的容器要带盖，容器底部设置托盘，门口设围堰，防止泄漏物落地或漫流。</w:t>
            </w:r>
          </w:p>
          <w:p w14:paraId="23841864">
            <w:pPr>
              <w:pStyle w:val="25"/>
              <w:ind w:firstLine="480"/>
              <w:jc w:val="both"/>
              <w:rPr>
                <w:color w:val="auto"/>
                <w:sz w:val="21"/>
                <w:szCs w:val="21"/>
                <w:highlight w:val="none"/>
              </w:rPr>
            </w:pPr>
            <w:r>
              <w:rPr>
                <w:color w:val="auto"/>
                <w:sz w:val="21"/>
                <w:szCs w:val="21"/>
                <w:highlight w:val="none"/>
              </w:rPr>
              <w:t>危废储存间要防风、防雨、防晒、防渗漏和防流失。</w:t>
            </w:r>
          </w:p>
          <w:p w14:paraId="491F0559">
            <w:pPr>
              <w:pStyle w:val="25"/>
              <w:ind w:firstLine="480"/>
              <w:jc w:val="both"/>
              <w:rPr>
                <w:color w:val="auto"/>
                <w:sz w:val="21"/>
                <w:szCs w:val="21"/>
                <w:highlight w:val="none"/>
              </w:rPr>
            </w:pPr>
            <w:r>
              <w:rPr>
                <w:color w:val="auto"/>
                <w:sz w:val="21"/>
                <w:szCs w:val="21"/>
                <w:highlight w:val="none"/>
              </w:rPr>
              <w:t>危废储存间必须按照《环境保护图形标志固体废物贮存</w:t>
            </w:r>
            <w:r>
              <w:rPr>
                <w:rFonts w:hint="eastAsia"/>
                <w:color w:val="auto"/>
                <w:sz w:val="21"/>
                <w:szCs w:val="21"/>
                <w:highlight w:val="none"/>
                <w:lang w:eastAsia="zh-CN"/>
              </w:rPr>
              <w:t>(</w:t>
            </w:r>
            <w:r>
              <w:rPr>
                <w:color w:val="auto"/>
                <w:sz w:val="21"/>
                <w:szCs w:val="21"/>
                <w:highlight w:val="none"/>
              </w:rPr>
              <w:t>处置</w:t>
            </w:r>
            <w:r>
              <w:rPr>
                <w:rFonts w:hint="eastAsia"/>
                <w:color w:val="auto"/>
                <w:sz w:val="21"/>
                <w:szCs w:val="21"/>
                <w:highlight w:val="none"/>
              </w:rPr>
              <w:t>)</w:t>
            </w:r>
            <w:r>
              <w:rPr>
                <w:color w:val="auto"/>
                <w:sz w:val="21"/>
                <w:szCs w:val="21"/>
                <w:highlight w:val="none"/>
              </w:rPr>
              <w:t>场》</w:t>
            </w:r>
            <w:r>
              <w:rPr>
                <w:rFonts w:hint="eastAsia"/>
                <w:color w:val="auto"/>
                <w:sz w:val="21"/>
                <w:szCs w:val="21"/>
                <w:highlight w:val="none"/>
                <w:lang w:eastAsia="zh-CN"/>
              </w:rPr>
              <w:t>(</w:t>
            </w:r>
            <w:r>
              <w:rPr>
                <w:color w:val="auto"/>
                <w:sz w:val="21"/>
                <w:szCs w:val="21"/>
                <w:highlight w:val="none"/>
              </w:rPr>
              <w:t>GB15562.2-1995</w:t>
            </w:r>
            <w:r>
              <w:rPr>
                <w:rFonts w:hint="eastAsia"/>
                <w:color w:val="auto"/>
                <w:sz w:val="21"/>
                <w:szCs w:val="21"/>
                <w:highlight w:val="none"/>
              </w:rPr>
              <w:t>)</w:t>
            </w:r>
            <w:r>
              <w:rPr>
                <w:color w:val="auto"/>
                <w:sz w:val="21"/>
                <w:szCs w:val="21"/>
                <w:highlight w:val="none"/>
              </w:rPr>
              <w:t>中的规定设立危险废物警示标志。</w:t>
            </w:r>
          </w:p>
          <w:p w14:paraId="2BD51B8C">
            <w:pPr>
              <w:pStyle w:val="25"/>
              <w:ind w:firstLine="480"/>
              <w:jc w:val="both"/>
              <w:rPr>
                <w:color w:val="auto"/>
                <w:sz w:val="21"/>
                <w:szCs w:val="21"/>
                <w:highlight w:val="none"/>
              </w:rPr>
            </w:pPr>
            <w:r>
              <w:rPr>
                <w:rFonts w:hint="eastAsia" w:ascii="宋体" w:hAnsi="宋体" w:eastAsia="宋体" w:cs="宋体"/>
                <w:color w:val="auto"/>
                <w:highlight w:val="none"/>
              </w:rPr>
              <w:t>贮存间由专人进行管理并按照要求进行台账记录。</w:t>
            </w:r>
          </w:p>
          <w:p w14:paraId="6ED614C4">
            <w:pPr>
              <w:pStyle w:val="750"/>
              <w:adjustRightInd/>
              <w:snapToGrid/>
              <w:spacing w:line="360" w:lineRule="auto"/>
              <w:ind w:firstLine="480"/>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③</w:t>
            </w:r>
            <w:r>
              <w:rPr>
                <w:rFonts w:ascii="Times New Roman" w:hAnsi="Times New Roman" w:eastAsia="宋体" w:cs="Times New Roman"/>
                <w:color w:val="auto"/>
                <w:sz w:val="21"/>
                <w:szCs w:val="21"/>
                <w:highlight w:val="none"/>
              </w:rPr>
              <w:t>危险废物运输</w:t>
            </w:r>
          </w:p>
          <w:p w14:paraId="7782F073">
            <w:pPr>
              <w:pStyle w:val="750"/>
              <w:adjustRightInd/>
              <w:snapToGrid/>
              <w:spacing w:line="360" w:lineRule="auto"/>
              <w:ind w:firstLine="480"/>
              <w:jc w:val="both"/>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本项目产生的危险废物按照《危险废物收集、贮存、运输技术规范》</w:t>
            </w:r>
            <w:r>
              <w:rPr>
                <w:rFonts w:hint="eastAsia" w:ascii="Times New Roman" w:hAnsi="Times New Roman" w:eastAsia="宋体" w:cs="Times New Roman"/>
                <w:color w:val="auto"/>
                <w:sz w:val="21"/>
                <w:szCs w:val="21"/>
                <w:highlight w:val="none"/>
                <w:lang w:eastAsia="zh-CN"/>
              </w:rPr>
              <w:t>(</w:t>
            </w:r>
            <w:r>
              <w:rPr>
                <w:rFonts w:ascii="Times New Roman" w:hAnsi="Times New Roman" w:eastAsia="宋体" w:cs="Times New Roman"/>
                <w:color w:val="auto"/>
                <w:sz w:val="21"/>
                <w:szCs w:val="21"/>
                <w:highlight w:val="none"/>
              </w:rPr>
              <w:t>HJ2025-2012</w:t>
            </w:r>
            <w:r>
              <w:rPr>
                <w:rFonts w:hint="eastAsia" w:ascii="Times New Roman" w:hAnsi="Times New Roman" w:eastAsia="宋体" w:cs="Times New Roman"/>
                <w:color w:val="auto"/>
                <w:sz w:val="21"/>
                <w:szCs w:val="21"/>
                <w:highlight w:val="none"/>
              </w:rPr>
              <w:t>)</w:t>
            </w:r>
            <w:r>
              <w:rPr>
                <w:rFonts w:ascii="Times New Roman" w:hAnsi="Times New Roman" w:eastAsia="宋体" w:cs="Times New Roman"/>
                <w:color w:val="auto"/>
                <w:sz w:val="21"/>
                <w:szCs w:val="21"/>
                <w:highlight w:val="none"/>
              </w:rPr>
              <w:t>相关要求进行运输，并按要求填写危险废物的收集记录、厂内转运记录表，并将记录表作为危险废物管理的重要档案妥善保存。</w:t>
            </w:r>
          </w:p>
          <w:p w14:paraId="2CE85A99">
            <w:pPr>
              <w:pStyle w:val="750"/>
              <w:adjustRightInd/>
              <w:snapToGrid/>
              <w:spacing w:line="360" w:lineRule="auto"/>
              <w:ind w:firstLine="480"/>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所有运输车辆按规定的路线运输。</w:t>
            </w:r>
          </w:p>
          <w:p w14:paraId="1BF07F2F">
            <w:pPr>
              <w:pStyle w:val="750"/>
              <w:adjustRightInd/>
              <w:snapToGrid/>
              <w:spacing w:line="360" w:lineRule="auto"/>
              <w:ind w:firstLine="480"/>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运输过程中危险废物应放置在密闭容器中，且运输设施应为封闭结构，具有防臭防遗撒功能，安装行驶及装卸记录仪。</w:t>
            </w:r>
          </w:p>
          <w:p w14:paraId="7DB39010">
            <w:pPr>
              <w:pStyle w:val="750"/>
              <w:adjustRightInd/>
              <w:snapToGrid/>
              <w:spacing w:line="360" w:lineRule="auto"/>
              <w:ind w:firstLine="480"/>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危险废物内部转运作业应采用专用的工具，危险废物内部转运应按照标准要求填写《危险废物厂内转运记录表》。</w:t>
            </w:r>
          </w:p>
          <w:p w14:paraId="1B4CD38D">
            <w:pPr>
              <w:pStyle w:val="750"/>
              <w:adjustRightInd/>
              <w:snapToGrid/>
              <w:spacing w:line="360" w:lineRule="auto"/>
              <w:ind w:firstLine="480"/>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危险废物内部转运结束后，应对转运路线进行检查和清理，无危险废物遗失在转运路线上。</w:t>
            </w:r>
          </w:p>
          <w:p w14:paraId="6EF4753B">
            <w:pPr>
              <w:pStyle w:val="750"/>
              <w:adjustRightInd/>
              <w:snapToGrid/>
              <w:spacing w:line="360" w:lineRule="auto"/>
              <w:ind w:firstLine="480"/>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④</w:t>
            </w:r>
            <w:r>
              <w:rPr>
                <w:rFonts w:ascii="Times New Roman" w:hAnsi="Times New Roman" w:eastAsia="宋体" w:cs="Times New Roman"/>
                <w:color w:val="auto"/>
                <w:sz w:val="21"/>
                <w:szCs w:val="21"/>
                <w:highlight w:val="none"/>
              </w:rPr>
              <w:t>危险废物处置</w:t>
            </w:r>
          </w:p>
          <w:p w14:paraId="6194245E">
            <w:pPr>
              <w:ind w:firstLine="480"/>
              <w:rPr>
                <w:color w:val="auto"/>
                <w:kern w:val="24"/>
                <w:sz w:val="21"/>
                <w:szCs w:val="21"/>
                <w:highlight w:val="none"/>
              </w:rPr>
            </w:pPr>
            <w:r>
              <w:rPr>
                <w:color w:val="auto"/>
                <w:sz w:val="21"/>
                <w:szCs w:val="21"/>
                <w:highlight w:val="none"/>
              </w:rPr>
              <w:t>本项目危险废物存放于危险废物暂存间，储存周期为半年，根据危险废物种类及数量，委托有资质的危险废物处置单位进行处理。</w:t>
            </w:r>
          </w:p>
          <w:p w14:paraId="78BBEEB9">
            <w:pPr>
              <w:pStyle w:val="750"/>
              <w:adjustRightInd/>
              <w:snapToGrid/>
              <w:spacing w:line="360" w:lineRule="auto"/>
              <w:ind w:firstLine="480"/>
              <w:jc w:val="both"/>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4.4</w:t>
            </w:r>
            <w:r>
              <w:rPr>
                <w:rFonts w:hint="default" w:ascii="Times New Roman" w:hAnsi="Times New Roman" w:eastAsia="宋体" w:cs="Times New Roman"/>
                <w:color w:val="auto"/>
                <w:sz w:val="21"/>
                <w:szCs w:val="21"/>
                <w:highlight w:val="none"/>
              </w:rPr>
              <w:t>固体废物影响评价结论</w:t>
            </w:r>
          </w:p>
          <w:p w14:paraId="706B56F4">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采取本项目提出的固体废物处置措施，各固体废物均得到合理处理处置，不会对环境造成二次污染。</w:t>
            </w:r>
          </w:p>
          <w:p w14:paraId="57D180A3">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5、地下水及土壤影响分析</w:t>
            </w:r>
          </w:p>
          <w:p w14:paraId="5E543E04">
            <w:pPr>
              <w:adjustRightInd w:val="0"/>
              <w:snapToGrid w:val="0"/>
              <w:ind w:firstLine="480"/>
              <w:rPr>
                <w:rFonts w:ascii="宋体" w:hAnsi="宋体" w:cs="宋体"/>
                <w:color w:val="auto"/>
                <w:sz w:val="21"/>
                <w:szCs w:val="21"/>
                <w:highlight w:val="none"/>
              </w:rPr>
            </w:pPr>
            <w:r>
              <w:rPr>
                <w:rFonts w:hint="eastAsia" w:ascii="宋体" w:hAnsi="宋体" w:cs="宋体"/>
                <w:color w:val="auto"/>
                <w:sz w:val="21"/>
                <w:szCs w:val="21"/>
                <w:highlight w:val="none"/>
              </w:rPr>
              <w:t>本项目生产过程产生的废气主要为颗粒物，排放量较少，因此，不会通过大气沉降对土壤环境及地下水环境产生明显不利影响。</w:t>
            </w:r>
          </w:p>
          <w:p w14:paraId="08519AD5">
            <w:pPr>
              <w:adjustRightInd w:val="0"/>
              <w:snapToGrid w:val="0"/>
              <w:ind w:firstLine="480"/>
              <w:rPr>
                <w:rFonts w:ascii="宋体" w:hAnsi="宋体" w:cs="宋体"/>
                <w:color w:val="auto"/>
                <w:sz w:val="21"/>
                <w:szCs w:val="21"/>
                <w:highlight w:val="none"/>
              </w:rPr>
            </w:pPr>
            <w:r>
              <w:rPr>
                <w:rFonts w:hint="eastAsia"/>
                <w:color w:val="auto"/>
                <w:sz w:val="21"/>
                <w:szCs w:val="21"/>
                <w:highlight w:val="none"/>
              </w:rPr>
              <w:t>项目洗车废水</w:t>
            </w:r>
            <w:r>
              <w:rPr>
                <w:color w:val="auto"/>
                <w:sz w:val="21"/>
                <w:szCs w:val="21"/>
                <w:highlight w:val="none"/>
              </w:rPr>
              <w:t>经沉淀后循环利用，不外排</w:t>
            </w:r>
            <w:r>
              <w:rPr>
                <w:rFonts w:hint="eastAsia"/>
                <w:color w:val="auto"/>
                <w:sz w:val="21"/>
                <w:szCs w:val="21"/>
                <w:highlight w:val="none"/>
              </w:rPr>
              <w:t>，</w:t>
            </w:r>
            <w:r>
              <w:rPr>
                <w:rFonts w:hint="default" w:ascii="Times New Roman" w:hAnsi="Times New Roman" w:cs="Times New Roman"/>
                <w:color w:val="auto"/>
                <w:sz w:val="21"/>
                <w:szCs w:val="21"/>
                <w:highlight w:val="none"/>
              </w:rPr>
              <w:t>本项目无新增生活污水</w:t>
            </w:r>
            <w:r>
              <w:rPr>
                <w:rFonts w:hint="eastAsia"/>
                <w:color w:val="auto"/>
                <w:sz w:val="21"/>
                <w:szCs w:val="21"/>
                <w:highlight w:val="none"/>
              </w:rPr>
              <w:t>。</w:t>
            </w:r>
            <w:r>
              <w:rPr>
                <w:rFonts w:hint="eastAsia" w:ascii="宋体" w:hAnsi="宋体" w:cs="宋体"/>
                <w:color w:val="auto"/>
                <w:sz w:val="21"/>
                <w:szCs w:val="21"/>
                <w:highlight w:val="none"/>
              </w:rPr>
              <w:t>因此，不会通过地表漫流对土壤及地下水环境产生明显不利影响。</w:t>
            </w:r>
          </w:p>
          <w:p w14:paraId="2BC0751B">
            <w:pPr>
              <w:adjustRightInd w:val="0"/>
              <w:snapToGrid w:val="0"/>
              <w:ind w:firstLine="480"/>
              <w:rPr>
                <w:rFonts w:ascii="宋体" w:hAnsi="宋体" w:cs="宋体"/>
                <w:color w:val="auto"/>
                <w:sz w:val="21"/>
                <w:szCs w:val="21"/>
                <w:highlight w:val="none"/>
              </w:rPr>
            </w:pPr>
            <w:r>
              <w:rPr>
                <w:rFonts w:hint="eastAsia" w:ascii="宋体" w:hAnsi="宋体" w:cs="宋体"/>
                <w:color w:val="auto"/>
                <w:sz w:val="21"/>
                <w:szCs w:val="21"/>
                <w:highlight w:val="none"/>
              </w:rPr>
              <w:t>本项目建成后对地下水、土壤的污染源主要为</w:t>
            </w:r>
            <w:r>
              <w:rPr>
                <w:rFonts w:hint="eastAsia" w:ascii="宋体" w:hAnsi="宋体" w:cs="宋体"/>
                <w:color w:val="auto"/>
                <w:sz w:val="21"/>
                <w:szCs w:val="21"/>
                <w:highlight w:val="none"/>
                <w:lang w:val="en-US" w:eastAsia="zh-CN"/>
              </w:rPr>
              <w:t>压球机</w:t>
            </w:r>
            <w:r>
              <w:rPr>
                <w:rFonts w:hint="eastAsia" w:ascii="宋体" w:hAnsi="宋体" w:cs="宋体"/>
                <w:color w:val="auto"/>
                <w:sz w:val="21"/>
                <w:szCs w:val="21"/>
                <w:highlight w:val="none"/>
              </w:rPr>
              <w:t>使用的液压油，生产设备使用的润滑油以及危废间储存的废润滑油、废液压油</w:t>
            </w:r>
            <w:r>
              <w:rPr>
                <w:rFonts w:hint="eastAsia" w:ascii="宋体" w:hAnsi="宋体" w:cs="宋体"/>
                <w:color w:val="auto"/>
                <w:sz w:val="21"/>
                <w:szCs w:val="21"/>
                <w:highlight w:val="none"/>
                <w:lang w:eastAsia="zh-CN"/>
              </w:rPr>
              <w:t>、</w:t>
            </w:r>
            <w:r>
              <w:rPr>
                <w:rFonts w:hint="eastAsia" w:ascii="宋体" w:hAnsi="宋体" w:cs="宋体"/>
                <w:color w:val="auto"/>
                <w:sz w:val="21"/>
                <w:szCs w:val="21"/>
                <w:highlight w:val="none"/>
                <w:lang w:val="en-US" w:eastAsia="zh-CN"/>
              </w:rPr>
              <w:t>废电瓶</w:t>
            </w:r>
            <w:r>
              <w:rPr>
                <w:rFonts w:hint="eastAsia" w:ascii="宋体" w:hAnsi="宋体" w:cs="宋体"/>
                <w:color w:val="auto"/>
                <w:sz w:val="21"/>
                <w:szCs w:val="21"/>
                <w:highlight w:val="none"/>
              </w:rPr>
              <w:t>可能因泄漏导致垂直入渗污染地下水、土壤，本项目按照“源头控制、分区防治、污染监控、应急响应”相结合的原则，采用源头控制措施、分区防治措施。尽可能从源头上减少污染物的产生，防止环境污染，严格按照国家相关规范要求，对工艺、管道、设备、构建物采取相应措施，以防止和降低污染物的跑、冒、滴、漏，做好防渗措施，避免由于泄漏造成物料下渗污染地下水。本项目危废暂存间为重点防渗区，生产车间、洗车平台沉淀池为一般防渗区。</w:t>
            </w:r>
          </w:p>
          <w:p w14:paraId="2930A289">
            <w:pPr>
              <w:adjustRightInd w:val="0"/>
              <w:snapToGrid w:val="0"/>
              <w:ind w:firstLine="48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重点防渗区：</w:t>
            </w:r>
            <w:bookmarkStart w:id="33" w:name="_Hlk84229324"/>
            <w:r>
              <w:rPr>
                <w:rFonts w:hint="default" w:ascii="Times New Roman" w:hAnsi="Times New Roman" w:cs="Times New Roman"/>
                <w:color w:val="auto"/>
                <w:sz w:val="21"/>
                <w:szCs w:val="21"/>
                <w:highlight w:val="none"/>
                <w:lang w:val="en-US" w:eastAsia="zh-CN"/>
              </w:rPr>
              <w:t>危废暂存间已采用C30级抗渗混凝土地面，防渗等级为P8，结构厚度为不小于20cm，上层敷设5层布玻璃钢(两布三油)，渗透系数小于10</w:t>
            </w:r>
            <w:r>
              <w:rPr>
                <w:rFonts w:hint="default" w:ascii="Times New Roman" w:hAnsi="Times New Roman" w:cs="Times New Roman"/>
                <w:color w:val="auto"/>
                <w:sz w:val="21"/>
                <w:szCs w:val="21"/>
                <w:highlight w:val="none"/>
                <w:vertAlign w:val="superscript"/>
                <w:lang w:val="en-US" w:eastAsia="zh-CN"/>
              </w:rPr>
              <w:t>-10</w:t>
            </w:r>
            <w:r>
              <w:rPr>
                <w:rFonts w:hint="default" w:ascii="Times New Roman" w:hAnsi="Times New Roman" w:cs="Times New Roman"/>
                <w:color w:val="auto"/>
                <w:sz w:val="21"/>
                <w:szCs w:val="21"/>
                <w:highlight w:val="none"/>
                <w:lang w:val="en-US" w:eastAsia="zh-CN"/>
              </w:rPr>
              <w:t>cm/s</w:t>
            </w:r>
            <w:bookmarkEnd w:id="33"/>
            <w:r>
              <w:rPr>
                <w:rFonts w:hint="default" w:ascii="Times New Roman" w:hAnsi="Times New Roman" w:cs="Times New Roman"/>
                <w:color w:val="auto"/>
                <w:sz w:val="21"/>
                <w:szCs w:val="21"/>
                <w:highlight w:val="none"/>
              </w:rPr>
              <w:t>。</w:t>
            </w:r>
          </w:p>
          <w:p w14:paraId="05E61B8B">
            <w:pPr>
              <w:keepNext w:val="0"/>
              <w:keepLines w:val="0"/>
              <w:pageBreakBefore w:val="0"/>
              <w:widowControl/>
              <w:kinsoku/>
              <w:wordWrap/>
              <w:overflowPunct/>
              <w:topLinePunct w:val="0"/>
              <w:autoSpaceDE w:val="0"/>
              <w:autoSpaceDN w:val="0"/>
              <w:bidi w:val="0"/>
              <w:adjustRightInd w:val="0"/>
              <w:snapToGrid w:val="0"/>
              <w:ind w:firstLine="48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一般防渗区：生产车间</w:t>
            </w:r>
            <w:r>
              <w:rPr>
                <w:rFonts w:hint="default" w:ascii="Times New Roman" w:hAnsi="Times New Roman" w:cs="Times New Roman"/>
                <w:color w:val="auto"/>
                <w:sz w:val="21"/>
                <w:szCs w:val="21"/>
                <w:highlight w:val="none"/>
                <w:lang w:val="en-US" w:eastAsia="zh-CN"/>
              </w:rPr>
              <w:t>地面</w:t>
            </w:r>
            <w:r>
              <w:rPr>
                <w:rFonts w:hint="default" w:ascii="Times New Roman" w:hAnsi="Times New Roman" w:cs="Times New Roman"/>
                <w:color w:val="auto"/>
                <w:sz w:val="21"/>
                <w:szCs w:val="21"/>
                <w:highlight w:val="none"/>
              </w:rPr>
              <w:t>、洗车平台沉淀池底及池壁均为抗渗混凝土结构，</w:t>
            </w:r>
            <w:r>
              <w:rPr>
                <w:rFonts w:hint="default" w:ascii="Times New Roman" w:hAnsi="Times New Roman" w:cs="Times New Roman"/>
                <w:color w:val="auto"/>
                <w:sz w:val="21"/>
                <w:szCs w:val="21"/>
                <w:highlight w:val="none"/>
                <w:lang w:val="en-US" w:eastAsia="zh-CN"/>
              </w:rPr>
              <w:t>保证</w:t>
            </w:r>
            <w:r>
              <w:rPr>
                <w:rFonts w:hint="default" w:ascii="Times New Roman" w:hAnsi="Times New Roman" w:cs="Times New Roman"/>
                <w:color w:val="auto"/>
                <w:sz w:val="21"/>
                <w:szCs w:val="21"/>
                <w:highlight w:val="none"/>
              </w:rPr>
              <w:t>渗透系数≤10</w:t>
            </w:r>
            <w:r>
              <w:rPr>
                <w:rFonts w:hint="default" w:ascii="Times New Roman" w:hAnsi="Times New Roman" w:cs="Times New Roman"/>
                <w:color w:val="auto"/>
                <w:sz w:val="21"/>
                <w:szCs w:val="21"/>
                <w:highlight w:val="none"/>
                <w:vertAlign w:val="superscript"/>
              </w:rPr>
              <w:t>-7</w:t>
            </w:r>
            <w:r>
              <w:rPr>
                <w:rFonts w:hint="default" w:ascii="Times New Roman" w:hAnsi="Times New Roman" w:cs="Times New Roman"/>
                <w:color w:val="auto"/>
                <w:sz w:val="21"/>
                <w:szCs w:val="21"/>
                <w:highlight w:val="none"/>
              </w:rPr>
              <w:t>cm/s。</w:t>
            </w:r>
          </w:p>
          <w:p w14:paraId="05A62702">
            <w:pPr>
              <w:adjustRightInd w:val="0"/>
              <w:snapToGrid w:val="0"/>
              <w:ind w:firstLine="48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综上，本项目采取上述防控措施后，阻断了地下水环境污染途径，对区域地下水、土壤环境影响较小。</w:t>
            </w:r>
          </w:p>
          <w:p w14:paraId="6776789C">
            <w:pPr>
              <w:ind w:firstLine="0" w:firstLineChars="0"/>
              <w:jc w:val="center"/>
              <w:rPr>
                <w:b/>
                <w:bCs/>
                <w:color w:val="auto"/>
                <w:sz w:val="21"/>
                <w:szCs w:val="21"/>
                <w:highlight w:val="none"/>
              </w:rPr>
            </w:pPr>
            <w:r>
              <w:rPr>
                <w:b/>
                <w:bCs/>
                <w:color w:val="auto"/>
                <w:sz w:val="21"/>
                <w:szCs w:val="21"/>
                <w:highlight w:val="none"/>
              </w:rPr>
              <w:t>表</w:t>
            </w:r>
            <w:r>
              <w:rPr>
                <w:rFonts w:hint="eastAsia"/>
                <w:b/>
                <w:bCs/>
                <w:color w:val="auto"/>
                <w:sz w:val="21"/>
                <w:szCs w:val="21"/>
                <w:highlight w:val="none"/>
                <w:lang w:val="en-US" w:eastAsia="zh-CN"/>
              </w:rPr>
              <w:t xml:space="preserve">4-20 </w:t>
            </w:r>
            <w:r>
              <w:rPr>
                <w:b/>
                <w:bCs/>
                <w:color w:val="auto"/>
                <w:sz w:val="21"/>
                <w:szCs w:val="21"/>
                <w:highlight w:val="none"/>
              </w:rPr>
              <w:t xml:space="preserve">   项目防渗措施一览表</w:t>
            </w:r>
          </w:p>
          <w:tbl>
            <w:tblPr>
              <w:tblStyle w:val="84"/>
              <w:tblW w:w="4997"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79"/>
              <w:gridCol w:w="1856"/>
              <w:gridCol w:w="3714"/>
              <w:gridCol w:w="1305"/>
            </w:tblGrid>
            <w:tr w14:paraId="4461B7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atLeast"/>
                <w:jc w:val="center"/>
              </w:trPr>
              <w:tc>
                <w:tcPr>
                  <w:tcW w:w="835" w:type="pct"/>
                  <w:tcBorders>
                    <w:top w:val="single" w:color="000000" w:sz="4" w:space="0"/>
                    <w:left w:val="single" w:color="000000" w:sz="4" w:space="0"/>
                    <w:bottom w:val="single" w:color="000000" w:sz="4" w:space="0"/>
                    <w:right w:val="single" w:color="000000" w:sz="4" w:space="0"/>
                  </w:tcBorders>
                  <w:vAlign w:val="center"/>
                </w:tcPr>
                <w:p w14:paraId="2DD16694">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防渗级别</w:t>
                  </w:r>
                </w:p>
              </w:tc>
              <w:tc>
                <w:tcPr>
                  <w:tcW w:w="1124" w:type="pct"/>
                  <w:tcBorders>
                    <w:top w:val="single" w:color="000000" w:sz="4" w:space="0"/>
                    <w:left w:val="single" w:color="000000" w:sz="4" w:space="0"/>
                    <w:bottom w:val="single" w:color="000000" w:sz="4" w:space="0"/>
                    <w:right w:val="single" w:color="000000" w:sz="4" w:space="0"/>
                  </w:tcBorders>
                  <w:vAlign w:val="center"/>
                </w:tcPr>
                <w:p w14:paraId="6DD4154E">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防渗区域</w:t>
                  </w:r>
                </w:p>
              </w:tc>
              <w:tc>
                <w:tcPr>
                  <w:tcW w:w="2249" w:type="pct"/>
                  <w:tcBorders>
                    <w:top w:val="single" w:color="000000" w:sz="4" w:space="0"/>
                    <w:left w:val="single" w:color="000000" w:sz="4" w:space="0"/>
                    <w:bottom w:val="single" w:color="000000" w:sz="4" w:space="0"/>
                    <w:right w:val="single" w:color="000000" w:sz="4" w:space="0"/>
                  </w:tcBorders>
                  <w:vAlign w:val="center"/>
                </w:tcPr>
                <w:p w14:paraId="3BCEA5F3">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防渗技术要求</w:t>
                  </w:r>
                </w:p>
              </w:tc>
              <w:tc>
                <w:tcPr>
                  <w:tcW w:w="790" w:type="pct"/>
                  <w:tcBorders>
                    <w:top w:val="single" w:color="000000" w:sz="4" w:space="0"/>
                    <w:left w:val="single" w:color="000000" w:sz="4" w:space="0"/>
                    <w:bottom w:val="single" w:color="000000" w:sz="4" w:space="0"/>
                    <w:right w:val="single" w:color="000000" w:sz="4" w:space="0"/>
                  </w:tcBorders>
                  <w:vAlign w:val="center"/>
                </w:tcPr>
                <w:p w14:paraId="52DFACFE">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防渗效果</w:t>
                  </w:r>
                </w:p>
              </w:tc>
            </w:tr>
            <w:tr w14:paraId="21A30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atLeast"/>
                <w:jc w:val="center"/>
              </w:trPr>
              <w:tc>
                <w:tcPr>
                  <w:tcW w:w="835" w:type="pct"/>
                  <w:tcBorders>
                    <w:top w:val="single" w:color="000000" w:sz="4" w:space="0"/>
                    <w:left w:val="single" w:color="000000" w:sz="4" w:space="0"/>
                    <w:bottom w:val="single" w:color="000000" w:sz="4" w:space="0"/>
                    <w:right w:val="single" w:color="000000" w:sz="4" w:space="0"/>
                  </w:tcBorders>
                  <w:vAlign w:val="center"/>
                </w:tcPr>
                <w:p w14:paraId="3C8FDAA2">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重点防渗区</w:t>
                  </w:r>
                </w:p>
              </w:tc>
              <w:tc>
                <w:tcPr>
                  <w:tcW w:w="1124" w:type="pct"/>
                  <w:tcBorders>
                    <w:top w:val="single" w:color="000000" w:sz="4" w:space="0"/>
                    <w:left w:val="single" w:color="000000" w:sz="4" w:space="0"/>
                    <w:bottom w:val="single" w:color="000000" w:sz="4" w:space="0"/>
                    <w:right w:val="single" w:color="000000" w:sz="4" w:space="0"/>
                  </w:tcBorders>
                  <w:vAlign w:val="center"/>
                </w:tcPr>
                <w:p w14:paraId="36AE6874">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危废间</w:t>
                  </w:r>
                </w:p>
              </w:tc>
              <w:tc>
                <w:tcPr>
                  <w:tcW w:w="2249" w:type="pct"/>
                  <w:tcBorders>
                    <w:top w:val="single" w:color="000000" w:sz="4" w:space="0"/>
                    <w:left w:val="single" w:color="000000" w:sz="4" w:space="0"/>
                    <w:bottom w:val="single" w:color="000000" w:sz="4" w:space="0"/>
                    <w:right w:val="single" w:color="000000" w:sz="4" w:space="0"/>
                  </w:tcBorders>
                  <w:vAlign w:val="center"/>
                </w:tcPr>
                <w:p w14:paraId="57868C2F">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C30级抗渗混凝土地面，防渗等级为P8，结构厚度为不小于20cm，上层敷设5层布玻璃钢(两布三油)</w:t>
                  </w:r>
                </w:p>
              </w:tc>
              <w:tc>
                <w:tcPr>
                  <w:tcW w:w="790" w:type="pct"/>
                  <w:tcBorders>
                    <w:top w:val="single" w:color="000000" w:sz="4" w:space="0"/>
                    <w:left w:val="single" w:color="000000" w:sz="4" w:space="0"/>
                    <w:bottom w:val="single" w:color="000000" w:sz="4" w:space="0"/>
                    <w:right w:val="single" w:color="000000" w:sz="4" w:space="0"/>
                  </w:tcBorders>
                  <w:vAlign w:val="center"/>
                </w:tcPr>
                <w:p w14:paraId="4F480F6C">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K≤10</w:t>
                  </w:r>
                  <w:r>
                    <w:rPr>
                      <w:rFonts w:hint="default" w:ascii="Times New Roman" w:hAnsi="Times New Roman" w:cs="Times New Roman"/>
                      <w:color w:val="auto"/>
                      <w:sz w:val="21"/>
                      <w:szCs w:val="21"/>
                      <w:highlight w:val="none"/>
                      <w:vertAlign w:val="superscript"/>
                    </w:rPr>
                    <w:t>-10</w:t>
                  </w:r>
                  <w:r>
                    <w:rPr>
                      <w:rFonts w:hint="default" w:ascii="Times New Roman" w:hAnsi="Times New Roman" w:cs="Times New Roman"/>
                      <w:color w:val="auto"/>
                      <w:sz w:val="21"/>
                      <w:szCs w:val="21"/>
                      <w:highlight w:val="none"/>
                    </w:rPr>
                    <w:t>cm/s</w:t>
                  </w:r>
                </w:p>
              </w:tc>
            </w:tr>
            <w:tr w14:paraId="54E614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atLeast"/>
                <w:jc w:val="center"/>
              </w:trPr>
              <w:tc>
                <w:tcPr>
                  <w:tcW w:w="835" w:type="pct"/>
                  <w:tcBorders>
                    <w:top w:val="single" w:color="000000" w:sz="4" w:space="0"/>
                    <w:left w:val="single" w:color="000000" w:sz="4" w:space="0"/>
                    <w:bottom w:val="single" w:color="000000" w:sz="4" w:space="0"/>
                    <w:right w:val="single" w:color="000000" w:sz="4" w:space="0"/>
                  </w:tcBorders>
                  <w:vAlign w:val="center"/>
                </w:tcPr>
                <w:p w14:paraId="422EF584">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一般防渗区</w:t>
                  </w:r>
                </w:p>
              </w:tc>
              <w:tc>
                <w:tcPr>
                  <w:tcW w:w="1124" w:type="pct"/>
                  <w:tcBorders>
                    <w:top w:val="single" w:color="000000" w:sz="4" w:space="0"/>
                    <w:left w:val="single" w:color="000000" w:sz="4" w:space="0"/>
                    <w:bottom w:val="single" w:color="000000" w:sz="4" w:space="0"/>
                    <w:right w:val="single" w:color="000000" w:sz="4" w:space="0"/>
                  </w:tcBorders>
                  <w:vAlign w:val="center"/>
                </w:tcPr>
                <w:p w14:paraId="7F057078">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生产车间</w:t>
                  </w:r>
                  <w:r>
                    <w:rPr>
                      <w:rFonts w:hint="default" w:ascii="Times New Roman" w:hAnsi="Times New Roman" w:cs="Times New Roman"/>
                      <w:color w:val="auto"/>
                      <w:sz w:val="21"/>
                      <w:szCs w:val="21"/>
                      <w:highlight w:val="none"/>
                      <w:lang w:val="en-US" w:eastAsia="zh-CN"/>
                    </w:rPr>
                    <w:t>地面</w:t>
                  </w:r>
                  <w:r>
                    <w:rPr>
                      <w:rFonts w:hint="default" w:ascii="Times New Roman" w:hAnsi="Times New Roman" w:cs="Times New Roman"/>
                      <w:color w:val="auto"/>
                      <w:sz w:val="21"/>
                      <w:szCs w:val="21"/>
                      <w:highlight w:val="none"/>
                    </w:rPr>
                    <w:t>、洗车平台沉淀池</w:t>
                  </w:r>
                </w:p>
              </w:tc>
              <w:tc>
                <w:tcPr>
                  <w:tcW w:w="2249" w:type="pct"/>
                  <w:tcBorders>
                    <w:top w:val="single" w:color="000000" w:sz="4" w:space="0"/>
                    <w:left w:val="single" w:color="000000" w:sz="4" w:space="0"/>
                    <w:bottom w:val="single" w:color="000000" w:sz="4" w:space="0"/>
                    <w:right w:val="single" w:color="000000" w:sz="4" w:space="0"/>
                  </w:tcBorders>
                  <w:vAlign w:val="center"/>
                </w:tcPr>
                <w:p w14:paraId="08A96072">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rPr>
                    <w:t>地面及池体采用</w:t>
                  </w:r>
                  <w:r>
                    <w:rPr>
                      <w:rFonts w:hint="default" w:ascii="Times New Roman" w:hAnsi="Times New Roman" w:cs="Times New Roman"/>
                      <w:color w:val="auto"/>
                      <w:sz w:val="21"/>
                      <w:szCs w:val="21"/>
                      <w:highlight w:val="none"/>
                    </w:rPr>
                    <w:t>抗渗混凝土</w:t>
                  </w:r>
                </w:p>
              </w:tc>
              <w:tc>
                <w:tcPr>
                  <w:tcW w:w="790" w:type="pct"/>
                  <w:tcBorders>
                    <w:top w:val="single" w:color="000000" w:sz="4" w:space="0"/>
                    <w:left w:val="single" w:color="000000" w:sz="4" w:space="0"/>
                    <w:bottom w:val="single" w:color="000000" w:sz="4" w:space="0"/>
                    <w:right w:val="single" w:color="000000" w:sz="4" w:space="0"/>
                  </w:tcBorders>
                  <w:vAlign w:val="center"/>
                </w:tcPr>
                <w:p w14:paraId="2A6982FA">
                  <w:pPr>
                    <w:autoSpaceDE w:val="0"/>
                    <w:snapToGrid w:val="0"/>
                    <w:spacing w:line="36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K≤10</w:t>
                  </w:r>
                  <w:r>
                    <w:rPr>
                      <w:rFonts w:hint="default" w:ascii="Times New Roman" w:hAnsi="Times New Roman" w:cs="Times New Roman"/>
                      <w:color w:val="auto"/>
                      <w:sz w:val="21"/>
                      <w:szCs w:val="21"/>
                      <w:highlight w:val="none"/>
                      <w:vertAlign w:val="superscript"/>
                    </w:rPr>
                    <w:t>-7</w:t>
                  </w:r>
                  <w:r>
                    <w:rPr>
                      <w:rFonts w:hint="default" w:ascii="Times New Roman" w:hAnsi="Times New Roman" w:cs="Times New Roman"/>
                      <w:color w:val="auto"/>
                      <w:sz w:val="21"/>
                      <w:szCs w:val="21"/>
                      <w:highlight w:val="none"/>
                    </w:rPr>
                    <w:t>cm/s</w:t>
                  </w:r>
                </w:p>
              </w:tc>
            </w:tr>
          </w:tbl>
          <w:p w14:paraId="29DA5E44">
            <w:pPr>
              <w:ind w:firstLine="480"/>
              <w:rPr>
                <w:b/>
                <w:bCs/>
                <w:color w:val="auto"/>
                <w:sz w:val="21"/>
                <w:szCs w:val="21"/>
                <w:highlight w:val="none"/>
              </w:rPr>
            </w:pPr>
            <w:r>
              <w:rPr>
                <w:color w:val="auto"/>
                <w:sz w:val="21"/>
                <w:szCs w:val="21"/>
                <w:highlight w:val="none"/>
              </w:rPr>
              <w:t>项目采取以上防渗措施处理后，可有效阻止污染物下渗，综上所述，本项目建设对周围水环境影响较小，且项目厂界外500m范围内无地下水集中式饮用水水源和热水、矿泉水、温泉等特殊地下水资源，可不开展地下水跟踪监测。</w:t>
            </w:r>
          </w:p>
          <w:p w14:paraId="6A729284">
            <w:pPr>
              <w:keepNext w:val="0"/>
              <w:keepLines w:val="0"/>
              <w:pageBreakBefore w:val="0"/>
              <w:widowControl/>
              <w:kinsoku/>
              <w:wordWrap/>
              <w:overflowPunct/>
              <w:topLinePunct w:val="0"/>
              <w:autoSpaceDE w:val="0"/>
              <w:autoSpaceDN w:val="0"/>
              <w:bidi w:val="0"/>
              <w:adjustRightInd w:val="0"/>
              <w:snapToGrid w:val="0"/>
              <w:ind w:firstLine="382"/>
              <w:textAlignment w:val="auto"/>
              <w:rPr>
                <w:rFonts w:hint="default" w:ascii="Times New Roman" w:hAnsi="Times New Roman" w:cs="Times New Roman"/>
                <w:b/>
                <w:color w:val="auto"/>
                <w:spacing w:val="-10"/>
                <w:sz w:val="21"/>
                <w:szCs w:val="21"/>
                <w:highlight w:val="none"/>
              </w:rPr>
            </w:pPr>
            <w:r>
              <w:rPr>
                <w:rFonts w:hint="default" w:ascii="Times New Roman" w:hAnsi="Times New Roman" w:cs="Times New Roman"/>
                <w:b/>
                <w:color w:val="auto"/>
                <w:spacing w:val="-10"/>
                <w:sz w:val="21"/>
                <w:szCs w:val="21"/>
                <w:highlight w:val="none"/>
              </w:rPr>
              <w:t>6、生态影响分析</w:t>
            </w:r>
          </w:p>
          <w:p w14:paraId="59273555">
            <w:pPr>
              <w:keepNext w:val="0"/>
              <w:keepLines w:val="0"/>
              <w:pageBreakBefore w:val="0"/>
              <w:widowControl/>
              <w:kinsoku/>
              <w:wordWrap/>
              <w:overflowPunct/>
              <w:topLinePunct w:val="0"/>
              <w:autoSpaceDE w:val="0"/>
              <w:autoSpaceDN w:val="0"/>
              <w:bidi w:val="0"/>
              <w:adjustRightInd w:val="0"/>
              <w:snapToGrid w:val="0"/>
              <w:textAlignment w:val="auto"/>
              <w:rPr>
                <w:rFonts w:hint="default" w:ascii="Times New Roman" w:hAnsi="Times New Roman" w:cs="Times New Roman"/>
                <w:b/>
                <w:color w:val="auto"/>
                <w:spacing w:val="-10"/>
                <w:sz w:val="21"/>
                <w:szCs w:val="21"/>
                <w:highlight w:val="none"/>
              </w:rPr>
            </w:pPr>
            <w:r>
              <w:rPr>
                <w:rFonts w:hint="default" w:ascii="Times New Roman" w:hAnsi="Times New Roman" w:cs="Times New Roman"/>
                <w:color w:val="auto"/>
                <w:sz w:val="21"/>
                <w:szCs w:val="21"/>
                <w:highlight w:val="none"/>
              </w:rPr>
              <w:t>本项目位于</w:t>
            </w:r>
            <w:r>
              <w:rPr>
                <w:rFonts w:hint="default" w:ascii="Times New Roman" w:hAnsi="Times New Roman" w:cs="Times New Roman" w:eastAsiaTheme="minorEastAsia"/>
                <w:color w:val="auto"/>
                <w:kern w:val="0"/>
                <w:szCs w:val="21"/>
                <w:highlight w:val="none"/>
                <w:lang w:val="en-US" w:eastAsia="zh-CN"/>
              </w:rPr>
              <w:t>河北迁安经济开发区，公司现有厂区内</w:t>
            </w:r>
            <w:r>
              <w:rPr>
                <w:rFonts w:hint="default" w:ascii="Times New Roman" w:hAnsi="Times New Roman" w:cs="Times New Roman" w:eastAsiaTheme="minorEastAsia"/>
                <w:color w:val="auto"/>
                <w:kern w:val="0"/>
                <w:sz w:val="21"/>
                <w:szCs w:val="21"/>
                <w:highlight w:val="none"/>
              </w:rPr>
              <w:t>，</w:t>
            </w:r>
            <w:r>
              <w:rPr>
                <w:rFonts w:hint="default" w:ascii="Times New Roman" w:hAnsi="Times New Roman" w:cs="Times New Roman"/>
                <w:color w:val="auto"/>
                <w:sz w:val="21"/>
                <w:szCs w:val="21"/>
                <w:highlight w:val="none"/>
              </w:rPr>
              <w:t>附近无敏感生态保护目标，对周围生态环境影响很小。</w:t>
            </w:r>
          </w:p>
          <w:p w14:paraId="45C0E233">
            <w:pPr>
              <w:ind w:firstLine="382"/>
              <w:rPr>
                <w:rFonts w:hint="default" w:ascii="Times New Roman" w:hAnsi="Times New Roman" w:cs="Times New Roman"/>
                <w:b/>
                <w:color w:val="auto"/>
                <w:spacing w:val="-10"/>
                <w:sz w:val="21"/>
                <w:szCs w:val="21"/>
                <w:highlight w:val="none"/>
              </w:rPr>
            </w:pPr>
            <w:r>
              <w:rPr>
                <w:rFonts w:hint="default" w:ascii="Times New Roman" w:hAnsi="Times New Roman" w:cs="Times New Roman"/>
                <w:b/>
                <w:color w:val="auto"/>
                <w:spacing w:val="-10"/>
                <w:sz w:val="21"/>
                <w:szCs w:val="21"/>
                <w:highlight w:val="none"/>
              </w:rPr>
              <w:t>7、环境风险</w:t>
            </w:r>
          </w:p>
          <w:p w14:paraId="45297E2B">
            <w:pPr>
              <w:adjustRightInd w:val="0"/>
              <w:snapToGrid w:val="0"/>
              <w:ind w:firstLine="48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按照《建设项目环境风险评价技术导则》</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HJ169-2018)的要求，环境风险评价的目的是分析和预测建设项目存在的潜在危险、有害因素，建设项目建设和运行期间可能发生的突发性事件或事故</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一般不包括人为破坏及自然灾害)，引起有毒有害和易燃易爆等物质泄漏，所造成的人身安全与环境影响和损害程度，提出合理可行的防范、应急与减缓措施，使建设项目事故率、损失和环境影响达到可接受水平。环境风险评价应把事故引起厂</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场)界外人群的伤害、环境质量的恶化及对生态系统影响的预测和防护作为评价工作重点。</w:t>
            </w:r>
          </w:p>
          <w:p w14:paraId="43B25757">
            <w:pPr>
              <w:adjustRightInd w:val="0"/>
              <w:snapToGrid w:val="0"/>
              <w:ind w:firstLine="48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按照《建设项目环境风险评价技术导则》</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HJ169-2018)附录B.2，确定项目风险物质Q值。具体见下表。</w:t>
            </w:r>
          </w:p>
          <w:p w14:paraId="73419416">
            <w:pPr>
              <w:topLinePunct/>
              <w:adjustRightInd w:val="0"/>
              <w:snapToGrid w:val="0"/>
              <w:ind w:firstLine="480"/>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比值Q计算参数详见</w:t>
            </w:r>
            <w:r>
              <w:rPr>
                <w:rFonts w:hint="default" w:ascii="Times New Roman" w:hAnsi="Times New Roman" w:cs="Times New Roman"/>
                <w:color w:val="auto"/>
                <w:sz w:val="21"/>
                <w:szCs w:val="21"/>
                <w:highlight w:val="none"/>
              </w:rPr>
              <w:fldChar w:fldCharType="begin"/>
            </w:r>
            <w:r>
              <w:rPr>
                <w:color w:val="auto"/>
              </w:rPr>
              <w:instrText xml:space="preserve"> REF _Ref8751 \h  \* MERGEFORMAT</w:instrText>
            </w:r>
            <w:r>
              <w:rPr>
                <w:rFonts w:hint="default" w:ascii="Times New Roman" w:hAnsi="Times New Roman" w:cs="Times New Roman"/>
                <w:color w:val="auto"/>
                <w:sz w:val="21"/>
                <w:szCs w:val="21"/>
                <w:highlight w:val="none"/>
              </w:rPr>
              <w:fldChar w:fldCharType="separate"/>
            </w:r>
            <w:r>
              <w:rPr>
                <w:rFonts w:hint="default" w:ascii="Times New Roman" w:hAnsi="Times New Roman"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fldChar w:fldCharType="end"/>
            </w:r>
            <w:r>
              <w:rPr>
                <w:rFonts w:hint="eastAsia" w:ascii="Times New Roman" w:hAnsi="Times New Roman" w:cs="Times New Roman"/>
                <w:color w:val="auto"/>
                <w:sz w:val="21"/>
                <w:szCs w:val="21"/>
                <w:highlight w:val="none"/>
                <w:lang w:val="en-US" w:eastAsia="zh-CN"/>
              </w:rPr>
              <w:t>-</w:t>
            </w:r>
            <w:r>
              <w:rPr>
                <w:rFonts w:hint="eastAsia" w:cs="Times New Roman"/>
                <w:color w:val="auto"/>
                <w:sz w:val="21"/>
                <w:szCs w:val="21"/>
                <w:highlight w:val="none"/>
                <w:lang w:val="en-US" w:eastAsia="zh-CN"/>
              </w:rPr>
              <w:t>21</w:t>
            </w:r>
            <w:r>
              <w:rPr>
                <w:rFonts w:hint="default" w:ascii="Times New Roman" w:hAnsi="Times New Roman" w:cs="Times New Roman"/>
                <w:color w:val="auto"/>
                <w:sz w:val="21"/>
                <w:szCs w:val="21"/>
                <w:highlight w:val="none"/>
              </w:rPr>
              <w:t>。</w:t>
            </w:r>
          </w:p>
          <w:p w14:paraId="281AB0B7">
            <w:pPr>
              <w:pStyle w:val="21"/>
              <w:rPr>
                <w:rFonts w:hint="default" w:ascii="Times New Roman" w:hAnsi="Times New Roman" w:eastAsia="宋体" w:cs="Times New Roman"/>
                <w:color w:val="auto"/>
                <w:sz w:val="21"/>
                <w:szCs w:val="21"/>
                <w:highlight w:val="none"/>
                <w:lang w:eastAsia="zh-CN"/>
              </w:rPr>
            </w:pPr>
            <w:bookmarkStart w:id="34" w:name="_Ref8751"/>
            <w:r>
              <w:rPr>
                <w:rFonts w:hint="default" w:ascii="Times New Roman" w:hAnsi="Times New Roman" w:cs="Times New Roman"/>
                <w:color w:val="auto"/>
                <w:sz w:val="21"/>
                <w:szCs w:val="21"/>
                <w:highlight w:val="none"/>
              </w:rPr>
              <w:t>表</w:t>
            </w:r>
            <w:bookmarkEnd w:id="34"/>
            <w:r>
              <w:rPr>
                <w:rFonts w:hint="eastAsia"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21</w:t>
            </w:r>
            <w:r>
              <w:rPr>
                <w:rFonts w:hint="default" w:ascii="Times New Roman" w:hAnsi="Times New Roman" w:cs="Times New Roman"/>
                <w:color w:val="auto"/>
                <w:sz w:val="21"/>
                <w:szCs w:val="21"/>
                <w:highlight w:val="none"/>
                <w:lang w:eastAsia="zh-CN"/>
              </w:rPr>
              <w:t xml:space="preserve">    比值Q计算参数一览表</w:t>
            </w:r>
          </w:p>
          <w:tbl>
            <w:tblPr>
              <w:tblStyle w:val="84"/>
              <w:tblW w:w="499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72"/>
              <w:gridCol w:w="954"/>
              <w:gridCol w:w="1759"/>
              <w:gridCol w:w="1538"/>
              <w:gridCol w:w="1505"/>
              <w:gridCol w:w="1913"/>
            </w:tblGrid>
            <w:tr w14:paraId="22AF6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jc w:val="center"/>
              </w:trPr>
              <w:tc>
                <w:tcPr>
                  <w:tcW w:w="347" w:type="pct"/>
                  <w:vAlign w:val="center"/>
                </w:tcPr>
                <w:p w14:paraId="4B09AB77">
                  <w:pPr>
                    <w:pStyle w:val="135"/>
                    <w:tabs>
                      <w:tab w:val="center" w:pos="4153"/>
                      <w:tab w:val="right" w:pos="8306"/>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579" w:type="pct"/>
                  <w:vAlign w:val="center"/>
                </w:tcPr>
                <w:p w14:paraId="532B6DB3">
                  <w:pPr>
                    <w:pStyle w:val="135"/>
                    <w:tabs>
                      <w:tab w:val="center" w:pos="4153"/>
                      <w:tab w:val="right" w:pos="8306"/>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装置单元</w:t>
                  </w:r>
                </w:p>
              </w:tc>
              <w:tc>
                <w:tcPr>
                  <w:tcW w:w="1067" w:type="pct"/>
                  <w:vAlign w:val="center"/>
                </w:tcPr>
                <w:p w14:paraId="54EBD60E">
                  <w:pPr>
                    <w:pStyle w:val="135"/>
                    <w:tabs>
                      <w:tab w:val="center" w:pos="4153"/>
                      <w:tab w:val="right" w:pos="8306"/>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环境风险物质</w:t>
                  </w:r>
                </w:p>
              </w:tc>
              <w:tc>
                <w:tcPr>
                  <w:tcW w:w="933" w:type="pct"/>
                  <w:vAlign w:val="center"/>
                </w:tcPr>
                <w:p w14:paraId="662C35CE">
                  <w:pPr>
                    <w:pStyle w:val="135"/>
                    <w:tabs>
                      <w:tab w:val="center" w:pos="4153"/>
                      <w:tab w:val="right" w:pos="8306"/>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Q环境风险物质最大存储量</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t)</w:t>
                  </w:r>
                </w:p>
              </w:tc>
              <w:tc>
                <w:tcPr>
                  <w:tcW w:w="912" w:type="pct"/>
                  <w:vAlign w:val="center"/>
                </w:tcPr>
                <w:p w14:paraId="77B3983C">
                  <w:pPr>
                    <w:pStyle w:val="135"/>
                    <w:tabs>
                      <w:tab w:val="center" w:pos="4153"/>
                      <w:tab w:val="right" w:pos="8306"/>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Q临界量</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t)</w:t>
                  </w:r>
                </w:p>
              </w:tc>
              <w:tc>
                <w:tcPr>
                  <w:tcW w:w="1160" w:type="pct"/>
                  <w:vAlign w:val="center"/>
                </w:tcPr>
                <w:p w14:paraId="31504527">
                  <w:pPr>
                    <w:pStyle w:val="135"/>
                    <w:tabs>
                      <w:tab w:val="center" w:pos="4153"/>
                      <w:tab w:val="right" w:pos="8306"/>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q/Q值</w:t>
                  </w:r>
                </w:p>
              </w:tc>
            </w:tr>
            <w:tr w14:paraId="33E51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 w:hRule="atLeast"/>
                <w:jc w:val="center"/>
              </w:trPr>
              <w:tc>
                <w:tcPr>
                  <w:tcW w:w="347" w:type="pct"/>
                  <w:vAlign w:val="center"/>
                </w:tcPr>
                <w:p w14:paraId="2851EAA3">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ascii="Times New Roman"/>
                      <w:color w:val="auto"/>
                      <w:sz w:val="21"/>
                      <w:szCs w:val="21"/>
                      <w:highlight w:val="none"/>
                    </w:rPr>
                    <w:t>1</w:t>
                  </w:r>
                </w:p>
              </w:tc>
              <w:tc>
                <w:tcPr>
                  <w:tcW w:w="579" w:type="pct"/>
                  <w:vAlign w:val="center"/>
                </w:tcPr>
                <w:p w14:paraId="4FAB2C6B">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ascii="Times New Roman"/>
                      <w:color w:val="auto"/>
                      <w:sz w:val="21"/>
                      <w:szCs w:val="21"/>
                      <w:highlight w:val="none"/>
                    </w:rPr>
                    <w:t>危废间</w:t>
                  </w:r>
                </w:p>
              </w:tc>
              <w:tc>
                <w:tcPr>
                  <w:tcW w:w="1067" w:type="pct"/>
                  <w:vAlign w:val="center"/>
                </w:tcPr>
                <w:p w14:paraId="604E7426">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ascii="Times New Roman"/>
                      <w:color w:val="auto"/>
                      <w:sz w:val="21"/>
                      <w:szCs w:val="21"/>
                      <w:highlight w:val="none"/>
                    </w:rPr>
                    <w:t>废润滑油</w:t>
                  </w:r>
                </w:p>
              </w:tc>
              <w:tc>
                <w:tcPr>
                  <w:tcW w:w="933" w:type="pct"/>
                  <w:vAlign w:val="center"/>
                </w:tcPr>
                <w:p w14:paraId="75BD9DA2">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color w:val="auto"/>
                      <w:sz w:val="21"/>
                      <w:szCs w:val="21"/>
                      <w:highlight w:val="none"/>
                      <w:lang w:val="en-US" w:eastAsia="zh-CN"/>
                    </w:rPr>
                    <w:t>0.05</w:t>
                  </w:r>
                </w:p>
              </w:tc>
              <w:tc>
                <w:tcPr>
                  <w:tcW w:w="912" w:type="pct"/>
                  <w:vAlign w:val="center"/>
                </w:tcPr>
                <w:p w14:paraId="53C86D3B">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color w:val="auto"/>
                      <w:sz w:val="21"/>
                      <w:szCs w:val="21"/>
                      <w:highlight w:val="none"/>
                    </w:rPr>
                    <w:t>100</w:t>
                  </w:r>
                </w:p>
              </w:tc>
              <w:tc>
                <w:tcPr>
                  <w:tcW w:w="1160" w:type="pct"/>
                  <w:vAlign w:val="center"/>
                </w:tcPr>
                <w:p w14:paraId="7EE57C56">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color w:val="auto"/>
                      <w:sz w:val="21"/>
                      <w:szCs w:val="21"/>
                      <w:highlight w:val="none"/>
                    </w:rPr>
                    <w:t>0.00</w:t>
                  </w:r>
                  <w:r>
                    <w:rPr>
                      <w:rFonts w:hint="eastAsia" w:ascii="Times New Roman"/>
                      <w:color w:val="auto"/>
                      <w:sz w:val="21"/>
                      <w:szCs w:val="21"/>
                      <w:highlight w:val="none"/>
                      <w:lang w:val="en-US" w:eastAsia="zh-CN"/>
                    </w:rPr>
                    <w:t>05</w:t>
                  </w:r>
                </w:p>
              </w:tc>
            </w:tr>
            <w:tr w14:paraId="335F0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 w:hRule="atLeast"/>
                <w:jc w:val="center"/>
              </w:trPr>
              <w:tc>
                <w:tcPr>
                  <w:tcW w:w="347" w:type="pct"/>
                  <w:vAlign w:val="center"/>
                </w:tcPr>
                <w:p w14:paraId="5DBBD58A">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hint="eastAsia" w:ascii="Times New Roman"/>
                      <w:color w:val="auto"/>
                      <w:sz w:val="21"/>
                      <w:szCs w:val="21"/>
                      <w:highlight w:val="none"/>
                    </w:rPr>
                    <w:t>2</w:t>
                  </w:r>
                </w:p>
              </w:tc>
              <w:tc>
                <w:tcPr>
                  <w:tcW w:w="579" w:type="pct"/>
                  <w:vAlign w:val="center"/>
                </w:tcPr>
                <w:p w14:paraId="1D537F30">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rPr>
                    <w:t>危废间</w:t>
                  </w:r>
                </w:p>
              </w:tc>
              <w:tc>
                <w:tcPr>
                  <w:tcW w:w="1067" w:type="pct"/>
                  <w:vAlign w:val="center"/>
                </w:tcPr>
                <w:p w14:paraId="6B08BDC5">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rPr>
                    <w:t>废液压油</w:t>
                  </w:r>
                </w:p>
              </w:tc>
              <w:tc>
                <w:tcPr>
                  <w:tcW w:w="933" w:type="pct"/>
                  <w:vAlign w:val="center"/>
                </w:tcPr>
                <w:p w14:paraId="70E391C9">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lang w:val="en-US" w:eastAsia="zh-CN"/>
                    </w:rPr>
                    <w:t>0.1</w:t>
                  </w:r>
                </w:p>
              </w:tc>
              <w:tc>
                <w:tcPr>
                  <w:tcW w:w="912" w:type="pct"/>
                  <w:vAlign w:val="center"/>
                </w:tcPr>
                <w:p w14:paraId="42C8792A">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rPr>
                    <w:t>100</w:t>
                  </w:r>
                </w:p>
              </w:tc>
              <w:tc>
                <w:tcPr>
                  <w:tcW w:w="1160" w:type="pct"/>
                  <w:vAlign w:val="center"/>
                </w:tcPr>
                <w:p w14:paraId="500A8AD1">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rPr>
                    <w:t>0.0</w:t>
                  </w:r>
                  <w:r>
                    <w:rPr>
                      <w:rFonts w:hint="eastAsia" w:ascii="Times New Roman"/>
                      <w:color w:val="auto"/>
                      <w:sz w:val="21"/>
                      <w:szCs w:val="21"/>
                      <w:highlight w:val="none"/>
                      <w:lang w:val="en-US" w:eastAsia="zh-CN"/>
                    </w:rPr>
                    <w:t>01</w:t>
                  </w:r>
                </w:p>
              </w:tc>
            </w:tr>
            <w:tr w14:paraId="11B36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1" w:hRule="atLeast"/>
                <w:jc w:val="center"/>
              </w:trPr>
              <w:tc>
                <w:tcPr>
                  <w:tcW w:w="347" w:type="pct"/>
                  <w:vAlign w:val="center"/>
                </w:tcPr>
                <w:p w14:paraId="77F44537">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eastAsia="zh-CN"/>
                    </w:rPr>
                  </w:pPr>
                  <w:r>
                    <w:rPr>
                      <w:rFonts w:hint="eastAsia" w:ascii="Times New Roman"/>
                      <w:color w:val="auto"/>
                      <w:sz w:val="21"/>
                      <w:szCs w:val="21"/>
                      <w:highlight w:val="none"/>
                    </w:rPr>
                    <w:t>3</w:t>
                  </w:r>
                </w:p>
              </w:tc>
              <w:tc>
                <w:tcPr>
                  <w:tcW w:w="579" w:type="pct"/>
                  <w:vAlign w:val="center"/>
                </w:tcPr>
                <w:p w14:paraId="3372186B">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color w:val="auto"/>
                      <w:sz w:val="21"/>
                      <w:szCs w:val="21"/>
                      <w:highlight w:val="none"/>
                      <w:lang w:val="en-US" w:eastAsia="zh-CN"/>
                    </w:rPr>
                    <w:t>压球机</w:t>
                  </w:r>
                </w:p>
              </w:tc>
              <w:tc>
                <w:tcPr>
                  <w:tcW w:w="1067" w:type="pct"/>
                  <w:vAlign w:val="center"/>
                </w:tcPr>
                <w:p w14:paraId="38EF8C56">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ascii="Times New Roman"/>
                      <w:color w:val="auto"/>
                      <w:sz w:val="21"/>
                      <w:szCs w:val="21"/>
                      <w:highlight w:val="none"/>
                    </w:rPr>
                    <w:t>液压油</w:t>
                  </w:r>
                </w:p>
              </w:tc>
              <w:tc>
                <w:tcPr>
                  <w:tcW w:w="933" w:type="pct"/>
                  <w:vAlign w:val="center"/>
                </w:tcPr>
                <w:p w14:paraId="3B80E91D">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color w:val="auto"/>
                      <w:sz w:val="21"/>
                      <w:szCs w:val="21"/>
                      <w:highlight w:val="none"/>
                      <w:lang w:val="en-US" w:eastAsia="zh-CN"/>
                    </w:rPr>
                    <w:t>0.1</w:t>
                  </w:r>
                </w:p>
              </w:tc>
              <w:tc>
                <w:tcPr>
                  <w:tcW w:w="912" w:type="pct"/>
                  <w:vAlign w:val="center"/>
                </w:tcPr>
                <w:p w14:paraId="4D4F68D5">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hint="eastAsia" w:ascii="Times New Roman"/>
                      <w:color w:val="auto"/>
                      <w:sz w:val="21"/>
                      <w:szCs w:val="21"/>
                      <w:highlight w:val="none"/>
                    </w:rPr>
                    <w:t>2500</w:t>
                  </w:r>
                </w:p>
              </w:tc>
              <w:tc>
                <w:tcPr>
                  <w:tcW w:w="1160" w:type="pct"/>
                  <w:vAlign w:val="center"/>
                </w:tcPr>
                <w:p w14:paraId="7D7D43E8">
                  <w:pPr>
                    <w:pStyle w:val="135"/>
                    <w:tabs>
                      <w:tab w:val="center" w:pos="4153"/>
                      <w:tab w:val="right" w:pos="8306"/>
                      <w:tab w:val="clear" w:pos="0"/>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color w:val="auto"/>
                      <w:sz w:val="21"/>
                      <w:szCs w:val="21"/>
                      <w:highlight w:val="none"/>
                      <w:lang w:val="en-US" w:eastAsia="zh-CN"/>
                    </w:rPr>
                    <w:t>0.00004</w:t>
                  </w:r>
                </w:p>
              </w:tc>
            </w:tr>
            <w:tr w14:paraId="619BA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1" w:hRule="atLeast"/>
                <w:jc w:val="center"/>
              </w:trPr>
              <w:tc>
                <w:tcPr>
                  <w:tcW w:w="347" w:type="pct"/>
                  <w:vAlign w:val="center"/>
                </w:tcPr>
                <w:p w14:paraId="1C7034BD">
                  <w:pPr>
                    <w:pStyle w:val="135"/>
                    <w:tabs>
                      <w:tab w:val="center" w:pos="4153"/>
                      <w:tab w:val="right" w:pos="8306"/>
                      <w:tab w:val="clear" w:pos="0"/>
                    </w:tabs>
                    <w:spacing w:beforeLines="0" w:afterLines="0" w:line="240" w:lineRule="auto"/>
                    <w:ind w:firstLine="0" w:firstLineChars="0"/>
                    <w:textAlignment w:val="baseline"/>
                    <w:rPr>
                      <w:rFonts w:hint="eastAsia" w:ascii="Times New Roman" w:eastAsia="宋体"/>
                      <w:color w:val="auto"/>
                      <w:sz w:val="21"/>
                      <w:szCs w:val="21"/>
                      <w:highlight w:val="none"/>
                      <w:lang w:val="en-US" w:eastAsia="zh-CN"/>
                    </w:rPr>
                  </w:pPr>
                  <w:r>
                    <w:rPr>
                      <w:rFonts w:hint="eastAsia" w:ascii="Times New Roman"/>
                      <w:color w:val="auto"/>
                      <w:sz w:val="21"/>
                      <w:szCs w:val="21"/>
                      <w:highlight w:val="none"/>
                      <w:lang w:val="en-US" w:eastAsia="zh-CN"/>
                    </w:rPr>
                    <w:t>4</w:t>
                  </w:r>
                </w:p>
              </w:tc>
              <w:tc>
                <w:tcPr>
                  <w:tcW w:w="579" w:type="pct"/>
                  <w:vAlign w:val="center"/>
                </w:tcPr>
                <w:p w14:paraId="444E68C9">
                  <w:pPr>
                    <w:pStyle w:val="135"/>
                    <w:tabs>
                      <w:tab w:val="center" w:pos="4153"/>
                      <w:tab w:val="right" w:pos="8306"/>
                      <w:tab w:val="clear" w:pos="0"/>
                    </w:tabs>
                    <w:spacing w:beforeLines="0" w:afterLines="0" w:line="240" w:lineRule="auto"/>
                    <w:ind w:firstLine="0" w:firstLineChars="0"/>
                    <w:textAlignment w:val="baseline"/>
                    <w:rPr>
                      <w:rFonts w:hint="default" w:ascii="Times New Roman"/>
                      <w:color w:val="auto"/>
                      <w:sz w:val="21"/>
                      <w:szCs w:val="21"/>
                      <w:highlight w:val="none"/>
                      <w:lang w:val="en-US" w:eastAsia="zh-CN"/>
                    </w:rPr>
                  </w:pPr>
                  <w:r>
                    <w:rPr>
                      <w:rFonts w:hint="eastAsia" w:ascii="Times New Roman"/>
                      <w:color w:val="auto"/>
                      <w:sz w:val="21"/>
                      <w:szCs w:val="21"/>
                      <w:highlight w:val="none"/>
                      <w:lang w:val="en-US" w:eastAsia="zh-CN"/>
                    </w:rPr>
                    <w:t>生产设备</w:t>
                  </w:r>
                </w:p>
              </w:tc>
              <w:tc>
                <w:tcPr>
                  <w:tcW w:w="1067" w:type="pct"/>
                  <w:vAlign w:val="center"/>
                </w:tcPr>
                <w:p w14:paraId="3327CDA4">
                  <w:pPr>
                    <w:pStyle w:val="135"/>
                    <w:tabs>
                      <w:tab w:val="center" w:pos="4153"/>
                      <w:tab w:val="right" w:pos="8306"/>
                      <w:tab w:val="clear" w:pos="0"/>
                    </w:tabs>
                    <w:spacing w:beforeLines="0" w:afterLines="0" w:line="240" w:lineRule="auto"/>
                    <w:ind w:firstLine="0" w:firstLineChars="0"/>
                    <w:textAlignment w:val="baseline"/>
                    <w:rPr>
                      <w:rFonts w:ascii="Times New Roman"/>
                      <w:color w:val="auto"/>
                      <w:sz w:val="21"/>
                      <w:szCs w:val="21"/>
                      <w:highlight w:val="none"/>
                    </w:rPr>
                  </w:pPr>
                  <w:r>
                    <w:rPr>
                      <w:rFonts w:ascii="Times New Roman"/>
                      <w:color w:val="auto"/>
                      <w:sz w:val="21"/>
                      <w:szCs w:val="21"/>
                      <w:highlight w:val="none"/>
                    </w:rPr>
                    <w:t>润滑油</w:t>
                  </w:r>
                </w:p>
              </w:tc>
              <w:tc>
                <w:tcPr>
                  <w:tcW w:w="933" w:type="pct"/>
                  <w:vAlign w:val="center"/>
                </w:tcPr>
                <w:p w14:paraId="0F56843A">
                  <w:pPr>
                    <w:pStyle w:val="135"/>
                    <w:tabs>
                      <w:tab w:val="center" w:pos="4153"/>
                      <w:tab w:val="right" w:pos="8306"/>
                      <w:tab w:val="clear" w:pos="0"/>
                    </w:tabs>
                    <w:spacing w:beforeLines="0" w:afterLines="0" w:line="240" w:lineRule="auto"/>
                    <w:ind w:firstLine="0" w:firstLineChars="0"/>
                    <w:textAlignment w:val="baseline"/>
                    <w:rPr>
                      <w:rFonts w:hint="default" w:ascii="Times New Roman"/>
                      <w:color w:val="auto"/>
                      <w:sz w:val="21"/>
                      <w:szCs w:val="21"/>
                      <w:highlight w:val="none"/>
                      <w:lang w:val="en-US" w:eastAsia="zh-CN"/>
                    </w:rPr>
                  </w:pPr>
                  <w:r>
                    <w:rPr>
                      <w:rFonts w:hint="eastAsia" w:ascii="Times New Roman"/>
                      <w:color w:val="auto"/>
                      <w:sz w:val="21"/>
                      <w:szCs w:val="21"/>
                      <w:highlight w:val="none"/>
                      <w:lang w:val="en-US" w:eastAsia="zh-CN"/>
                    </w:rPr>
                    <w:t>0.05</w:t>
                  </w:r>
                </w:p>
              </w:tc>
              <w:tc>
                <w:tcPr>
                  <w:tcW w:w="912" w:type="pct"/>
                  <w:vAlign w:val="center"/>
                </w:tcPr>
                <w:p w14:paraId="50B5224C">
                  <w:pPr>
                    <w:pStyle w:val="135"/>
                    <w:tabs>
                      <w:tab w:val="center" w:pos="4153"/>
                      <w:tab w:val="right" w:pos="8306"/>
                      <w:tab w:val="clear" w:pos="0"/>
                    </w:tabs>
                    <w:spacing w:beforeLines="0" w:afterLines="0" w:line="240" w:lineRule="auto"/>
                    <w:ind w:firstLine="0" w:firstLineChars="0"/>
                    <w:textAlignment w:val="baseline"/>
                    <w:rPr>
                      <w:rFonts w:hint="eastAsia" w:ascii="Times New Roman"/>
                      <w:color w:val="auto"/>
                      <w:sz w:val="21"/>
                      <w:szCs w:val="21"/>
                      <w:highlight w:val="none"/>
                    </w:rPr>
                  </w:pPr>
                  <w:r>
                    <w:rPr>
                      <w:rFonts w:hint="eastAsia" w:ascii="Times New Roman"/>
                      <w:color w:val="auto"/>
                      <w:sz w:val="21"/>
                      <w:szCs w:val="21"/>
                      <w:highlight w:val="none"/>
                    </w:rPr>
                    <w:t>2500</w:t>
                  </w:r>
                </w:p>
              </w:tc>
              <w:tc>
                <w:tcPr>
                  <w:tcW w:w="1160" w:type="pct"/>
                  <w:vAlign w:val="center"/>
                </w:tcPr>
                <w:p w14:paraId="146091E2">
                  <w:pPr>
                    <w:pStyle w:val="135"/>
                    <w:tabs>
                      <w:tab w:val="center" w:pos="4153"/>
                      <w:tab w:val="right" w:pos="8306"/>
                      <w:tab w:val="clear" w:pos="0"/>
                    </w:tabs>
                    <w:spacing w:beforeLines="0" w:afterLines="0" w:line="240" w:lineRule="auto"/>
                    <w:ind w:firstLine="0" w:firstLineChars="0"/>
                    <w:textAlignment w:val="baseline"/>
                    <w:rPr>
                      <w:rFonts w:hint="default" w:ascii="Times New Roman"/>
                      <w:color w:val="auto"/>
                      <w:sz w:val="21"/>
                      <w:szCs w:val="21"/>
                      <w:highlight w:val="none"/>
                      <w:lang w:val="en-US" w:eastAsia="zh-CN"/>
                    </w:rPr>
                  </w:pPr>
                  <w:r>
                    <w:rPr>
                      <w:rFonts w:hint="eastAsia" w:ascii="Times New Roman"/>
                      <w:color w:val="auto"/>
                      <w:sz w:val="21"/>
                      <w:szCs w:val="21"/>
                      <w:highlight w:val="none"/>
                      <w:lang w:val="en-US" w:eastAsia="zh-CN"/>
                    </w:rPr>
                    <w:t>0.00002</w:t>
                  </w:r>
                </w:p>
              </w:tc>
            </w:tr>
            <w:tr w14:paraId="37C2A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 w:hRule="atLeast"/>
                <w:jc w:val="center"/>
              </w:trPr>
              <w:tc>
                <w:tcPr>
                  <w:tcW w:w="3839" w:type="pct"/>
                  <w:gridSpan w:val="5"/>
                  <w:vAlign w:val="center"/>
                </w:tcPr>
                <w:p w14:paraId="372F911E">
                  <w:pPr>
                    <w:pStyle w:val="135"/>
                    <w:tabs>
                      <w:tab w:val="center" w:pos="4153"/>
                      <w:tab w:val="right" w:pos="8306"/>
                    </w:tabs>
                    <w:spacing w:beforeLines="0" w:afterLines="0" w:line="240" w:lineRule="auto"/>
                    <w:ind w:firstLine="0" w:firstLineChars="0"/>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合计</w:t>
                  </w:r>
                </w:p>
              </w:tc>
              <w:tc>
                <w:tcPr>
                  <w:tcW w:w="1160" w:type="pct"/>
                  <w:vAlign w:val="center"/>
                </w:tcPr>
                <w:p w14:paraId="23695727">
                  <w:pPr>
                    <w:pStyle w:val="135"/>
                    <w:tabs>
                      <w:tab w:val="center" w:pos="4153"/>
                      <w:tab w:val="right" w:pos="8306"/>
                    </w:tabs>
                    <w:spacing w:beforeLines="0" w:afterLines="0" w:line="240" w:lineRule="auto"/>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color w:val="auto"/>
                      <w:sz w:val="21"/>
                      <w:szCs w:val="21"/>
                      <w:highlight w:val="none"/>
                    </w:rPr>
                    <w:t>0.</w:t>
                  </w:r>
                  <w:r>
                    <w:rPr>
                      <w:rFonts w:hint="eastAsia" w:ascii="Times New Roman"/>
                      <w:color w:val="auto"/>
                      <w:sz w:val="21"/>
                      <w:szCs w:val="21"/>
                      <w:highlight w:val="none"/>
                      <w:lang w:val="en-US" w:eastAsia="zh-CN"/>
                    </w:rPr>
                    <w:t>00156</w:t>
                  </w:r>
                </w:p>
              </w:tc>
            </w:tr>
          </w:tbl>
          <w:p w14:paraId="6B2C7D0C">
            <w:pPr>
              <w:keepNext w:val="0"/>
              <w:keepLines w:val="0"/>
              <w:pageBreakBefore w:val="0"/>
              <w:widowControl/>
              <w:kinsoku/>
              <w:wordWrap/>
              <w:overflowPunct/>
              <w:topLinePunct w:val="0"/>
              <w:autoSpaceDE w:val="0"/>
              <w:autoSpaceDN w:val="0"/>
              <w:bidi w:val="0"/>
              <w:adjustRightInd w:val="0"/>
              <w:snapToGrid w:val="0"/>
              <w:ind w:firstLine="48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根据上表计算参数，计算</w:t>
            </w:r>
            <w:r>
              <w:rPr>
                <w:rFonts w:hint="eastAsia" w:cs="Times New Roman"/>
                <w:color w:val="auto"/>
                <w:sz w:val="21"/>
                <w:szCs w:val="21"/>
                <w:highlight w:val="none"/>
                <w:lang w:val="en-US" w:eastAsia="zh-CN"/>
              </w:rPr>
              <w:t>项目</w:t>
            </w:r>
            <w:r>
              <w:rPr>
                <w:rFonts w:hint="default" w:ascii="Times New Roman" w:hAnsi="Times New Roman" w:cs="Times New Roman"/>
                <w:color w:val="auto"/>
                <w:sz w:val="21"/>
                <w:szCs w:val="21"/>
                <w:highlight w:val="none"/>
              </w:rPr>
              <w:t>突发环境事件风险物质的最大存在量与临界量比值Q为</w:t>
            </w:r>
            <w:r>
              <w:rPr>
                <w:rFonts w:hint="eastAsia" w:ascii="Times New Roman"/>
                <w:color w:val="auto"/>
                <w:sz w:val="21"/>
                <w:szCs w:val="21"/>
                <w:highlight w:val="none"/>
              </w:rPr>
              <w:t>0.</w:t>
            </w:r>
            <w:r>
              <w:rPr>
                <w:rFonts w:hint="eastAsia" w:ascii="Times New Roman"/>
                <w:color w:val="auto"/>
                <w:sz w:val="21"/>
                <w:szCs w:val="21"/>
                <w:highlight w:val="none"/>
                <w:lang w:val="en-US" w:eastAsia="zh-CN"/>
              </w:rPr>
              <w:t>0015</w:t>
            </w:r>
            <w:r>
              <w:rPr>
                <w:rFonts w:hint="eastAsia"/>
                <w:color w:val="auto"/>
                <w:sz w:val="21"/>
                <w:szCs w:val="21"/>
                <w:highlight w:val="none"/>
                <w:lang w:val="en-US" w:eastAsia="zh-CN"/>
              </w:rPr>
              <w:t>6</w:t>
            </w:r>
            <w:r>
              <w:rPr>
                <w:rFonts w:hint="default" w:ascii="Times New Roman" w:hAnsi="Times New Roman" w:cs="Times New Roman"/>
                <w:color w:val="auto"/>
                <w:sz w:val="21"/>
                <w:szCs w:val="21"/>
                <w:highlight w:val="none"/>
              </w:rPr>
              <w:t>，小于1，判断风险潜势为</w:t>
            </w:r>
            <w:r>
              <w:rPr>
                <w:rFonts w:hint="default" w:ascii="Times New Roman" w:hAnsi="Times New Roman" w:cs="Times New Roman"/>
                <w:color w:val="auto"/>
                <w:sz w:val="21"/>
                <w:szCs w:val="21"/>
                <w:highlight w:val="none"/>
              </w:rPr>
              <w:fldChar w:fldCharType="begin"/>
            </w:r>
            <w:r>
              <w:rPr>
                <w:rFonts w:hint="default" w:ascii="Times New Roman" w:hAnsi="Times New Roman" w:cs="Times New Roman"/>
                <w:color w:val="auto"/>
                <w:sz w:val="21"/>
                <w:szCs w:val="21"/>
                <w:highlight w:val="none"/>
              </w:rPr>
              <w:instrText xml:space="preserve"> = 1 \* ROMAN \* MERGEFORMAT </w:instrText>
            </w:r>
            <w:r>
              <w:rPr>
                <w:rFonts w:hint="default" w:ascii="Times New Roman" w:hAnsi="Times New Roman" w:cs="Times New Roman"/>
                <w:color w:val="auto"/>
                <w:sz w:val="21"/>
                <w:szCs w:val="21"/>
                <w:highlight w:val="none"/>
              </w:rPr>
              <w:fldChar w:fldCharType="separate"/>
            </w:r>
            <w:r>
              <w:rPr>
                <w:rFonts w:hint="default" w:ascii="Times New Roman" w:hAnsi="Times New Roman" w:cs="Times New Roman"/>
                <w:color w:val="auto"/>
                <w:sz w:val="21"/>
                <w:szCs w:val="21"/>
                <w:highlight w:val="none"/>
              </w:rPr>
              <w:t>I</w:t>
            </w:r>
            <w:r>
              <w:rPr>
                <w:rFonts w:hint="default" w:ascii="Times New Roman" w:hAnsi="Times New Roman" w:cs="Times New Roman"/>
                <w:color w:val="auto"/>
                <w:sz w:val="21"/>
                <w:szCs w:val="21"/>
                <w:highlight w:val="none"/>
              </w:rPr>
              <w:fldChar w:fldCharType="end"/>
            </w:r>
            <w:r>
              <w:rPr>
                <w:rFonts w:hint="default" w:ascii="Times New Roman" w:hAnsi="Times New Roman" w:cs="Times New Roman"/>
                <w:color w:val="auto"/>
                <w:sz w:val="21"/>
                <w:szCs w:val="21"/>
                <w:highlight w:val="none"/>
              </w:rPr>
              <w:t>级，不设风险专章。</w:t>
            </w:r>
          </w:p>
          <w:p w14:paraId="2F97EEC6">
            <w:pPr>
              <w:adjustRightInd w:val="0"/>
              <w:snapToGrid w:val="0"/>
              <w:ind w:firstLine="480"/>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7.1</w:t>
            </w:r>
            <w:r>
              <w:rPr>
                <w:rFonts w:hint="default" w:ascii="Times New Roman" w:hAnsi="Times New Roman" w:cs="Times New Roman"/>
                <w:color w:val="auto"/>
                <w:sz w:val="21"/>
                <w:szCs w:val="21"/>
                <w:highlight w:val="none"/>
              </w:rPr>
              <w:t>环境风险分析</w:t>
            </w:r>
          </w:p>
          <w:p w14:paraId="4CCB4021">
            <w:pPr>
              <w:ind w:firstLine="480"/>
              <w:rPr>
                <w:rFonts w:hint="default" w:ascii="Times New Roman" w:hAnsi="Times New Roman" w:cs="Times New Roman"/>
                <w:color w:val="auto"/>
                <w:sz w:val="21"/>
                <w:szCs w:val="21"/>
                <w:highlight w:val="none"/>
              </w:rPr>
            </w:pPr>
            <w:r>
              <w:rPr>
                <w:color w:val="auto"/>
                <w:sz w:val="21"/>
                <w:szCs w:val="21"/>
                <w:highlight w:val="none"/>
              </w:rPr>
              <w:t>根据《建设项目环境风险评价技术导则》</w:t>
            </w:r>
            <w:r>
              <w:rPr>
                <w:rFonts w:hint="eastAsia"/>
                <w:color w:val="auto"/>
                <w:sz w:val="21"/>
                <w:szCs w:val="21"/>
                <w:highlight w:val="none"/>
                <w:lang w:eastAsia="zh-CN"/>
              </w:rPr>
              <w:t>(</w:t>
            </w:r>
            <w:r>
              <w:rPr>
                <w:color w:val="auto"/>
                <w:sz w:val="21"/>
                <w:szCs w:val="21"/>
                <w:highlight w:val="none"/>
              </w:rPr>
              <w:t>HJ 169-2018)，风险类型包括危险物质泄漏以及火灾、爆炸等引发的伴生/次生污染物排放。</w:t>
            </w:r>
            <w:r>
              <w:rPr>
                <w:rFonts w:hint="eastAsia"/>
                <w:color w:val="auto"/>
                <w:sz w:val="21"/>
                <w:szCs w:val="21"/>
                <w:highlight w:val="none"/>
                <w:lang w:val="en-US" w:eastAsia="zh-CN"/>
              </w:rPr>
              <w:t>项目</w:t>
            </w:r>
            <w:r>
              <w:rPr>
                <w:color w:val="auto"/>
                <w:sz w:val="21"/>
                <w:szCs w:val="21"/>
                <w:highlight w:val="none"/>
              </w:rPr>
              <w:t>产生的危险废物废润滑油</w:t>
            </w:r>
            <w:r>
              <w:rPr>
                <w:rFonts w:hint="eastAsia"/>
                <w:color w:val="auto"/>
                <w:sz w:val="21"/>
                <w:szCs w:val="21"/>
                <w:highlight w:val="none"/>
              </w:rPr>
              <w:t>、废液压油</w:t>
            </w:r>
            <w:r>
              <w:rPr>
                <w:color w:val="auto"/>
                <w:sz w:val="21"/>
                <w:szCs w:val="21"/>
                <w:highlight w:val="none"/>
              </w:rPr>
              <w:t>暂存于危废间，危废间</w:t>
            </w:r>
            <w:r>
              <w:rPr>
                <w:rFonts w:hint="eastAsia"/>
                <w:color w:val="auto"/>
                <w:sz w:val="21"/>
                <w:szCs w:val="21"/>
                <w:highlight w:val="none"/>
              </w:rPr>
              <w:t>应</w:t>
            </w:r>
            <w:r>
              <w:rPr>
                <w:color w:val="auto"/>
                <w:sz w:val="21"/>
                <w:szCs w:val="21"/>
                <w:highlight w:val="none"/>
              </w:rPr>
              <w:t>采取防风、防雨、防渗、防流失等措施</w:t>
            </w:r>
            <w:r>
              <w:rPr>
                <w:rFonts w:hint="eastAsia"/>
                <w:color w:val="auto"/>
                <w:sz w:val="21"/>
                <w:szCs w:val="21"/>
                <w:highlight w:val="none"/>
              </w:rPr>
              <w:t>。</w:t>
            </w:r>
            <w:r>
              <w:rPr>
                <w:color w:val="auto"/>
                <w:sz w:val="21"/>
                <w:szCs w:val="21"/>
                <w:highlight w:val="none"/>
              </w:rPr>
              <w:t>危险物质可能向环境转移的途径，可能影响的环境敏感目标情况详见表</w:t>
            </w:r>
            <w:r>
              <w:rPr>
                <w:rFonts w:hint="eastAsia"/>
                <w:color w:val="auto"/>
                <w:sz w:val="21"/>
                <w:szCs w:val="21"/>
                <w:highlight w:val="none"/>
                <w:lang w:val="en-US" w:eastAsia="zh-CN"/>
              </w:rPr>
              <w:t>4-22</w:t>
            </w:r>
            <w:r>
              <w:rPr>
                <w:color w:val="auto"/>
                <w:sz w:val="21"/>
                <w:szCs w:val="21"/>
                <w:highlight w:val="none"/>
              </w:rPr>
              <w:t>。</w:t>
            </w:r>
          </w:p>
          <w:p w14:paraId="59B2DB23">
            <w:pPr>
              <w:pStyle w:val="21"/>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表</w:t>
            </w:r>
            <w:r>
              <w:rPr>
                <w:rFonts w:hint="eastAsia"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22</w:t>
            </w:r>
            <w:r>
              <w:rPr>
                <w:rFonts w:hint="default" w:ascii="Times New Roman" w:hAnsi="Times New Roman" w:cs="Times New Roman"/>
                <w:color w:val="auto"/>
                <w:sz w:val="21"/>
                <w:szCs w:val="21"/>
                <w:highlight w:val="none"/>
                <w:lang w:eastAsia="zh-CN"/>
              </w:rPr>
              <w:t xml:space="preserve">    危险物质可能向环境转移的途径识别一览表</w:t>
            </w:r>
          </w:p>
          <w:tbl>
            <w:tblPr>
              <w:tblStyle w:val="8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4"/>
              <w:gridCol w:w="2491"/>
              <w:gridCol w:w="2315"/>
              <w:gridCol w:w="2366"/>
            </w:tblGrid>
            <w:tr w14:paraId="6BBDA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6" w:type="pct"/>
                  <w:vAlign w:val="center"/>
                </w:tcPr>
                <w:p w14:paraId="6B6E0AA4">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1508" w:type="pct"/>
                  <w:vAlign w:val="center"/>
                </w:tcPr>
                <w:p w14:paraId="5731BD3A">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危险物质</w:t>
                  </w:r>
                </w:p>
              </w:tc>
              <w:tc>
                <w:tcPr>
                  <w:tcW w:w="1402" w:type="pct"/>
                  <w:vAlign w:val="center"/>
                </w:tcPr>
                <w:p w14:paraId="5AD841BA">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环境风险类型</w:t>
                  </w:r>
                </w:p>
              </w:tc>
              <w:tc>
                <w:tcPr>
                  <w:tcW w:w="1432" w:type="pct"/>
                  <w:vAlign w:val="center"/>
                </w:tcPr>
                <w:p w14:paraId="5EA48092">
                  <w:pPr>
                    <w:spacing w:line="28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影响环境的途径</w:t>
                  </w:r>
                </w:p>
              </w:tc>
            </w:tr>
            <w:tr w14:paraId="761F1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6" w:type="pct"/>
                  <w:vAlign w:val="center"/>
                </w:tcPr>
                <w:p w14:paraId="684DE78F">
                  <w:pPr>
                    <w:spacing w:line="280" w:lineRule="exact"/>
                    <w:ind w:firstLine="0" w:firstLineChars="0"/>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1508" w:type="pct"/>
                  <w:vAlign w:val="center"/>
                </w:tcPr>
                <w:p w14:paraId="581DDF32">
                  <w:pPr>
                    <w:spacing w:line="280" w:lineRule="exact"/>
                    <w:ind w:firstLine="0" w:firstLineChars="0"/>
                    <w:jc w:val="center"/>
                    <w:rPr>
                      <w:rFonts w:hint="default" w:ascii="Times New Roman" w:hAnsi="Times New Roman" w:cs="Times New Roman"/>
                      <w:color w:val="auto"/>
                      <w:sz w:val="21"/>
                      <w:szCs w:val="21"/>
                      <w:highlight w:val="none"/>
                    </w:rPr>
                  </w:pPr>
                  <w:r>
                    <w:rPr>
                      <w:color w:val="auto"/>
                      <w:sz w:val="21"/>
                      <w:szCs w:val="21"/>
                      <w:highlight w:val="none"/>
                    </w:rPr>
                    <w:t>润滑油</w:t>
                  </w:r>
                </w:p>
              </w:tc>
              <w:tc>
                <w:tcPr>
                  <w:tcW w:w="1402" w:type="pct"/>
                  <w:vAlign w:val="center"/>
                </w:tcPr>
                <w:p w14:paraId="53655D0F">
                  <w:pPr>
                    <w:spacing w:line="280" w:lineRule="exact"/>
                    <w:ind w:firstLine="0" w:firstLineChars="0"/>
                    <w:jc w:val="center"/>
                    <w:rPr>
                      <w:rFonts w:hint="default" w:ascii="Times New Roman" w:hAnsi="Times New Roman" w:cs="Times New Roman"/>
                      <w:color w:val="auto"/>
                      <w:sz w:val="21"/>
                      <w:szCs w:val="21"/>
                      <w:highlight w:val="none"/>
                    </w:rPr>
                  </w:pPr>
                  <w:r>
                    <w:rPr>
                      <w:color w:val="auto"/>
                      <w:sz w:val="21"/>
                      <w:szCs w:val="21"/>
                      <w:highlight w:val="none"/>
                    </w:rPr>
                    <w:t>泄漏</w:t>
                  </w:r>
                </w:p>
              </w:tc>
              <w:tc>
                <w:tcPr>
                  <w:tcW w:w="1432" w:type="pct"/>
                  <w:vAlign w:val="center"/>
                </w:tcPr>
                <w:p w14:paraId="7A61A46E">
                  <w:pPr>
                    <w:spacing w:line="280" w:lineRule="exact"/>
                    <w:ind w:firstLine="0" w:firstLineChars="0"/>
                    <w:jc w:val="center"/>
                    <w:rPr>
                      <w:rFonts w:hint="default" w:ascii="Times New Roman" w:hAnsi="Times New Roman" w:cs="Times New Roman"/>
                      <w:color w:val="auto"/>
                      <w:sz w:val="21"/>
                      <w:szCs w:val="21"/>
                      <w:highlight w:val="none"/>
                    </w:rPr>
                  </w:pPr>
                  <w:r>
                    <w:rPr>
                      <w:color w:val="auto"/>
                      <w:sz w:val="21"/>
                      <w:szCs w:val="21"/>
                      <w:highlight w:val="none"/>
                    </w:rPr>
                    <w:t>地下水、土壤</w:t>
                  </w:r>
                </w:p>
              </w:tc>
            </w:tr>
            <w:tr w14:paraId="24519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6" w:type="pct"/>
                  <w:vAlign w:val="center"/>
                </w:tcPr>
                <w:p w14:paraId="43B5E1EC">
                  <w:pPr>
                    <w:spacing w:line="280" w:lineRule="exact"/>
                    <w:ind w:firstLine="0" w:firstLineChars="0"/>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w:t>
                  </w:r>
                </w:p>
              </w:tc>
              <w:tc>
                <w:tcPr>
                  <w:tcW w:w="1508" w:type="pct"/>
                  <w:vAlign w:val="center"/>
                </w:tcPr>
                <w:p w14:paraId="3B0C9CB8">
                  <w:pPr>
                    <w:spacing w:line="280" w:lineRule="exact"/>
                    <w:ind w:firstLine="0" w:firstLineChars="0"/>
                    <w:jc w:val="center"/>
                    <w:rPr>
                      <w:rFonts w:hint="default" w:ascii="Times New Roman" w:hAnsi="Times New Roman" w:cs="Times New Roman"/>
                      <w:color w:val="auto"/>
                      <w:sz w:val="21"/>
                      <w:szCs w:val="21"/>
                      <w:highlight w:val="none"/>
                    </w:rPr>
                  </w:pPr>
                  <w:r>
                    <w:rPr>
                      <w:rFonts w:hint="eastAsia"/>
                      <w:color w:val="auto"/>
                      <w:sz w:val="21"/>
                      <w:szCs w:val="21"/>
                      <w:highlight w:val="none"/>
                    </w:rPr>
                    <w:t>液压油</w:t>
                  </w:r>
                </w:p>
              </w:tc>
              <w:tc>
                <w:tcPr>
                  <w:tcW w:w="1402" w:type="pct"/>
                  <w:vAlign w:val="center"/>
                </w:tcPr>
                <w:p w14:paraId="248C0647">
                  <w:pPr>
                    <w:spacing w:line="280" w:lineRule="exact"/>
                    <w:ind w:firstLine="0" w:firstLineChars="0"/>
                    <w:jc w:val="center"/>
                    <w:rPr>
                      <w:rFonts w:hint="default" w:ascii="Times New Roman" w:hAnsi="Times New Roman" w:cs="Times New Roman"/>
                      <w:color w:val="auto"/>
                      <w:sz w:val="21"/>
                      <w:szCs w:val="21"/>
                      <w:highlight w:val="none"/>
                    </w:rPr>
                  </w:pPr>
                  <w:r>
                    <w:rPr>
                      <w:color w:val="auto"/>
                      <w:sz w:val="21"/>
                      <w:szCs w:val="21"/>
                      <w:highlight w:val="none"/>
                    </w:rPr>
                    <w:t>泄漏</w:t>
                  </w:r>
                </w:p>
              </w:tc>
              <w:tc>
                <w:tcPr>
                  <w:tcW w:w="1432" w:type="pct"/>
                  <w:vAlign w:val="center"/>
                </w:tcPr>
                <w:p w14:paraId="6DD17788">
                  <w:pPr>
                    <w:spacing w:line="280" w:lineRule="exact"/>
                    <w:ind w:firstLine="0" w:firstLineChars="0"/>
                    <w:jc w:val="center"/>
                    <w:rPr>
                      <w:rFonts w:hint="default" w:ascii="Times New Roman" w:hAnsi="Times New Roman" w:cs="Times New Roman"/>
                      <w:color w:val="auto"/>
                      <w:sz w:val="21"/>
                      <w:szCs w:val="21"/>
                      <w:highlight w:val="none"/>
                    </w:rPr>
                  </w:pPr>
                  <w:r>
                    <w:rPr>
                      <w:color w:val="auto"/>
                      <w:sz w:val="21"/>
                      <w:szCs w:val="21"/>
                      <w:highlight w:val="none"/>
                    </w:rPr>
                    <w:t>地下水、土壤</w:t>
                  </w:r>
                </w:p>
              </w:tc>
            </w:tr>
            <w:tr w14:paraId="021E0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6" w:type="pct"/>
                  <w:vAlign w:val="center"/>
                </w:tcPr>
                <w:p w14:paraId="1E29D554">
                  <w:pPr>
                    <w:spacing w:line="280" w:lineRule="exact"/>
                    <w:ind w:firstLine="0" w:firstLineChars="0"/>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2577" w:type="dxa"/>
                  <w:vAlign w:val="center"/>
                </w:tcPr>
                <w:p w14:paraId="3604D10A">
                  <w:pPr>
                    <w:spacing w:line="280" w:lineRule="exact"/>
                    <w:ind w:firstLine="0" w:firstLineChars="0"/>
                    <w:jc w:val="center"/>
                    <w:rPr>
                      <w:rFonts w:hint="default" w:ascii="Times New Roman" w:hAnsi="Times New Roman" w:cs="Times New Roman"/>
                      <w:color w:val="auto"/>
                      <w:sz w:val="21"/>
                      <w:szCs w:val="21"/>
                      <w:highlight w:val="none"/>
                    </w:rPr>
                  </w:pPr>
                  <w:r>
                    <w:rPr>
                      <w:color w:val="auto"/>
                      <w:sz w:val="21"/>
                      <w:szCs w:val="21"/>
                      <w:highlight w:val="none"/>
                    </w:rPr>
                    <w:t>废润滑油</w:t>
                  </w:r>
                </w:p>
              </w:tc>
              <w:tc>
                <w:tcPr>
                  <w:tcW w:w="2396" w:type="dxa"/>
                  <w:vAlign w:val="center"/>
                </w:tcPr>
                <w:p w14:paraId="2BE829A7">
                  <w:pPr>
                    <w:spacing w:line="280" w:lineRule="exact"/>
                    <w:ind w:firstLine="0" w:firstLineChars="0"/>
                    <w:jc w:val="center"/>
                    <w:rPr>
                      <w:rFonts w:hint="default" w:ascii="Times New Roman" w:hAnsi="Times New Roman" w:cs="Times New Roman"/>
                      <w:color w:val="auto"/>
                      <w:sz w:val="21"/>
                      <w:szCs w:val="21"/>
                      <w:highlight w:val="none"/>
                    </w:rPr>
                  </w:pPr>
                  <w:r>
                    <w:rPr>
                      <w:color w:val="auto"/>
                      <w:sz w:val="21"/>
                      <w:szCs w:val="21"/>
                      <w:highlight w:val="none"/>
                    </w:rPr>
                    <w:t>泄漏</w:t>
                  </w:r>
                </w:p>
              </w:tc>
              <w:tc>
                <w:tcPr>
                  <w:tcW w:w="2448" w:type="dxa"/>
                  <w:vAlign w:val="center"/>
                </w:tcPr>
                <w:p w14:paraId="1F9008A3">
                  <w:pPr>
                    <w:spacing w:line="280" w:lineRule="exact"/>
                    <w:ind w:firstLine="0" w:firstLineChars="0"/>
                    <w:jc w:val="center"/>
                    <w:rPr>
                      <w:rFonts w:hint="default" w:ascii="Times New Roman" w:hAnsi="Times New Roman" w:cs="Times New Roman"/>
                      <w:color w:val="auto"/>
                      <w:sz w:val="21"/>
                      <w:szCs w:val="21"/>
                      <w:highlight w:val="none"/>
                    </w:rPr>
                  </w:pPr>
                  <w:r>
                    <w:rPr>
                      <w:color w:val="auto"/>
                      <w:sz w:val="21"/>
                      <w:szCs w:val="21"/>
                      <w:highlight w:val="none"/>
                    </w:rPr>
                    <w:t>地下水、土壤</w:t>
                  </w:r>
                </w:p>
              </w:tc>
            </w:tr>
            <w:tr w14:paraId="0F35D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6" w:type="pct"/>
                  <w:vAlign w:val="center"/>
                </w:tcPr>
                <w:p w14:paraId="3E8882E9">
                  <w:pPr>
                    <w:spacing w:line="280" w:lineRule="exact"/>
                    <w:ind w:firstLine="0" w:firstLineChars="0"/>
                    <w:jc w:val="center"/>
                    <w:rPr>
                      <w:rFonts w:hint="eastAsia"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val="en-US" w:eastAsia="zh-CN"/>
                    </w:rPr>
                    <w:t>4</w:t>
                  </w:r>
                </w:p>
              </w:tc>
              <w:tc>
                <w:tcPr>
                  <w:tcW w:w="2577" w:type="dxa"/>
                  <w:vAlign w:val="center"/>
                </w:tcPr>
                <w:p w14:paraId="118F7458">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rPr>
                    <w:t>废液压油</w:t>
                  </w:r>
                </w:p>
              </w:tc>
              <w:tc>
                <w:tcPr>
                  <w:tcW w:w="2396" w:type="dxa"/>
                  <w:vAlign w:val="center"/>
                </w:tcPr>
                <w:p w14:paraId="0DBC583E">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color w:val="auto"/>
                      <w:sz w:val="21"/>
                      <w:szCs w:val="21"/>
                      <w:highlight w:val="none"/>
                    </w:rPr>
                    <w:t>泄漏</w:t>
                  </w:r>
                </w:p>
              </w:tc>
              <w:tc>
                <w:tcPr>
                  <w:tcW w:w="2448" w:type="dxa"/>
                  <w:vAlign w:val="center"/>
                </w:tcPr>
                <w:p w14:paraId="52CC1116">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color w:val="auto"/>
                      <w:sz w:val="21"/>
                      <w:szCs w:val="21"/>
                      <w:highlight w:val="none"/>
                    </w:rPr>
                    <w:t>地下水、土壤</w:t>
                  </w:r>
                </w:p>
              </w:tc>
            </w:tr>
            <w:tr w14:paraId="68F7B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6" w:type="pct"/>
                  <w:vAlign w:val="center"/>
                </w:tcPr>
                <w:p w14:paraId="64C9A36E">
                  <w:pPr>
                    <w:spacing w:line="280" w:lineRule="exact"/>
                    <w:ind w:firstLine="0" w:firstLineChars="0"/>
                    <w:jc w:val="center"/>
                    <w:rPr>
                      <w:rFonts w:hint="eastAsia"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val="en-US" w:eastAsia="zh-CN"/>
                    </w:rPr>
                    <w:t>5</w:t>
                  </w:r>
                </w:p>
              </w:tc>
              <w:tc>
                <w:tcPr>
                  <w:tcW w:w="2577" w:type="dxa"/>
                  <w:vAlign w:val="center"/>
                </w:tcPr>
                <w:p w14:paraId="672745E4">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color w:val="auto"/>
                      <w:sz w:val="21"/>
                      <w:szCs w:val="21"/>
                      <w:highlight w:val="none"/>
                    </w:rPr>
                    <w:t>废油桶</w:t>
                  </w:r>
                </w:p>
              </w:tc>
              <w:tc>
                <w:tcPr>
                  <w:tcW w:w="2396" w:type="dxa"/>
                  <w:vAlign w:val="center"/>
                </w:tcPr>
                <w:p w14:paraId="5E87C136">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color w:val="auto"/>
                      <w:sz w:val="21"/>
                      <w:szCs w:val="21"/>
                      <w:highlight w:val="none"/>
                    </w:rPr>
                    <w:t>残余油类物质泄漏</w:t>
                  </w:r>
                </w:p>
              </w:tc>
              <w:tc>
                <w:tcPr>
                  <w:tcW w:w="2448" w:type="dxa"/>
                  <w:vAlign w:val="center"/>
                </w:tcPr>
                <w:p w14:paraId="70FDB1FB">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color w:val="auto"/>
                      <w:sz w:val="21"/>
                      <w:szCs w:val="21"/>
                      <w:highlight w:val="none"/>
                    </w:rPr>
                    <w:t>地下水、土壤</w:t>
                  </w:r>
                </w:p>
              </w:tc>
            </w:tr>
          </w:tbl>
          <w:p w14:paraId="34E3C7F1">
            <w:pPr>
              <w:spacing w:before="120" w:beforeLines="50"/>
              <w:ind w:firstLine="480"/>
              <w:jc w:val="both"/>
              <w:rPr>
                <w:rFonts w:hint="default" w:ascii="Times New Roman" w:hAnsi="Times New Roman" w:cs="Times New Roman"/>
                <w:color w:val="auto"/>
                <w:sz w:val="21"/>
                <w:szCs w:val="21"/>
                <w:highlight w:val="none"/>
              </w:rPr>
            </w:pPr>
            <w:r>
              <w:rPr>
                <w:color w:val="auto"/>
                <w:sz w:val="21"/>
                <w:szCs w:val="21"/>
                <w:highlight w:val="none"/>
              </w:rPr>
              <w:t>项目在运行过程中产生的油类物质，这些油类物质一旦泄漏进入土壤或地表水及地下水，由于其产生的COD、石油类污染物浓度较高，将会对项目所在区域的土壤、地表水及地下水造成较为严重的污染。石油类物质进入土壤后，能破坏土壤结构，影响土壤的通透性，改变土壤有机质的组成和结构，降低土壤质量，石油类物质进入土壤，使土壤中的新鲜有机碳含量大幅增加，而有效磷和有效氮却没有相应的变化，致使土壤中碳、氮、磷比例严重失调，影响土壤肥力和生产力；在一定的环境条件下，石油类物质中不易被土壤吸收的部分能渗入地下进而污染地下水，并对公众健康造成危害。</w:t>
            </w:r>
          </w:p>
          <w:p w14:paraId="5F91BA82">
            <w:pPr>
              <w:adjustRightInd w:val="0"/>
              <w:snapToGrid w:val="0"/>
              <w:ind w:firstLine="480"/>
              <w:jc w:val="both"/>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7.2</w:t>
            </w:r>
            <w:r>
              <w:rPr>
                <w:rFonts w:hint="default" w:ascii="Times New Roman" w:hAnsi="Times New Roman" w:cs="Times New Roman"/>
                <w:color w:val="auto"/>
                <w:sz w:val="21"/>
                <w:szCs w:val="21"/>
                <w:highlight w:val="none"/>
              </w:rPr>
              <w:t>环境风险防范措施及应急要求</w:t>
            </w:r>
          </w:p>
          <w:p w14:paraId="5D764FB5">
            <w:pPr>
              <w:ind w:firstLine="480"/>
              <w:jc w:val="both"/>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环境风险防范措施</w:t>
            </w:r>
          </w:p>
          <w:p w14:paraId="2A02A6F6">
            <w:pPr>
              <w:ind w:firstLine="480"/>
              <w:jc w:val="both"/>
              <w:rPr>
                <w:color w:val="auto"/>
                <w:sz w:val="21"/>
                <w:szCs w:val="21"/>
                <w:highlight w:val="none"/>
              </w:rPr>
            </w:pPr>
            <w:r>
              <w:rPr>
                <w:rFonts w:hint="eastAsia"/>
                <w:color w:val="auto"/>
                <w:sz w:val="21"/>
                <w:szCs w:val="21"/>
                <w:highlight w:val="none"/>
              </w:rPr>
              <w:t>危废暂存间均应</w:t>
            </w:r>
            <w:r>
              <w:rPr>
                <w:color w:val="auto"/>
                <w:sz w:val="21"/>
                <w:szCs w:val="21"/>
                <w:highlight w:val="none"/>
              </w:rPr>
              <w:t>准备沙袋、吸附棉、堵漏工具等物资。一旦发生泄漏，立即使用堵漏工具对容器进行修补，同时使用吸附棉等吸附泄漏出的物质。</w:t>
            </w:r>
          </w:p>
          <w:p w14:paraId="2ECF2C45">
            <w:pPr>
              <w:keepNext/>
              <w:keepLines/>
              <w:widowControl/>
              <w:ind w:firstLine="480"/>
              <w:rPr>
                <w:color w:val="auto"/>
                <w:sz w:val="21"/>
                <w:szCs w:val="21"/>
                <w:highlight w:val="none"/>
              </w:rPr>
            </w:pPr>
            <w:r>
              <w:rPr>
                <w:color w:val="auto"/>
                <w:sz w:val="21"/>
                <w:szCs w:val="21"/>
                <w:highlight w:val="none"/>
              </w:rPr>
              <w:t>危险废物暂存间地面及裙角做耐腐蚀硬化、防渗漏处理，且表面无裂隙；危险废物应储存于密闭容器中，并在容器外表设置环境保护图形标志和警示标志；危险废物应选择防腐、防漏、防磕碰、密封严密的容器进行贮存和运输，贮存于阴凉、通风良好的库房，远离火种、热源，库房应有专门人员看管。贮存库看管人员和危险废物运输人员工作中应佩戴防护用具。</w:t>
            </w:r>
            <w:r>
              <w:rPr>
                <w:rFonts w:hint="eastAsia"/>
                <w:color w:val="auto"/>
                <w:sz w:val="21"/>
                <w:szCs w:val="21"/>
                <w:highlight w:val="none"/>
              </w:rPr>
              <w:t>危险废物运输时由建设单位填写危险废物转移联单，报当地环保局备案，运输时采用符合国家标准的专用容器和运输车辆。</w:t>
            </w:r>
          </w:p>
          <w:p w14:paraId="791D7B3E">
            <w:pPr>
              <w:keepNext/>
              <w:keepLines/>
              <w:widowControl/>
              <w:ind w:firstLine="480"/>
              <w:rPr>
                <w:color w:val="auto"/>
                <w:sz w:val="21"/>
                <w:szCs w:val="21"/>
                <w:highlight w:val="none"/>
              </w:rPr>
            </w:pPr>
            <w:r>
              <w:rPr>
                <w:rFonts w:hint="eastAsia" w:cs="Times New Roman"/>
                <w:color w:val="auto"/>
                <w:sz w:val="21"/>
                <w:szCs w:val="21"/>
                <w:highlight w:val="none"/>
                <w:lang w:val="en-US" w:eastAsia="zh-CN"/>
              </w:rPr>
              <w:t>(2)</w:t>
            </w:r>
            <w:r>
              <w:rPr>
                <w:color w:val="auto"/>
                <w:sz w:val="21"/>
                <w:szCs w:val="21"/>
                <w:highlight w:val="none"/>
              </w:rPr>
              <w:t>应急措施</w:t>
            </w:r>
          </w:p>
          <w:p w14:paraId="13E407A0">
            <w:pPr>
              <w:ind w:firstLine="480"/>
              <w:rPr>
                <w:color w:val="auto"/>
                <w:sz w:val="21"/>
                <w:szCs w:val="21"/>
                <w:highlight w:val="none"/>
              </w:rPr>
            </w:pPr>
            <w:r>
              <w:rPr>
                <w:rFonts w:hint="eastAsia"/>
                <w:color w:val="auto"/>
                <w:sz w:val="21"/>
                <w:szCs w:val="21"/>
                <w:highlight w:val="none"/>
                <w:lang w:val="en-US" w:eastAsia="zh-CN"/>
              </w:rPr>
              <w:t>①</w:t>
            </w:r>
            <w:r>
              <w:rPr>
                <w:color w:val="auto"/>
                <w:sz w:val="21"/>
                <w:szCs w:val="21"/>
                <w:highlight w:val="none"/>
              </w:rPr>
              <w:t>一旦发生</w:t>
            </w:r>
            <w:r>
              <w:rPr>
                <w:rFonts w:hint="eastAsia"/>
                <w:color w:val="auto"/>
                <w:sz w:val="21"/>
                <w:szCs w:val="21"/>
                <w:highlight w:val="none"/>
              </w:rPr>
              <w:t>油类物质</w:t>
            </w:r>
            <w:r>
              <w:rPr>
                <w:color w:val="auto"/>
                <w:sz w:val="21"/>
                <w:szCs w:val="21"/>
                <w:highlight w:val="none"/>
              </w:rPr>
              <w:t>泄漏，现场人员应配戴口罩，做好个人防护，迅速将包装桶倾斜，使破损处朝上，防止继续泄漏，然后将其转移至空桶内。</w:t>
            </w:r>
          </w:p>
          <w:p w14:paraId="6ACAD1AB">
            <w:pPr>
              <w:ind w:firstLine="480"/>
              <w:rPr>
                <w:color w:val="auto"/>
                <w:sz w:val="21"/>
                <w:szCs w:val="21"/>
                <w:highlight w:val="none"/>
              </w:rPr>
            </w:pPr>
            <w:r>
              <w:rPr>
                <w:rFonts w:hint="eastAsia"/>
                <w:color w:val="auto"/>
                <w:sz w:val="21"/>
                <w:szCs w:val="21"/>
                <w:highlight w:val="none"/>
                <w:lang w:val="en-US" w:eastAsia="zh-CN"/>
              </w:rPr>
              <w:t>②</w:t>
            </w:r>
            <w:r>
              <w:rPr>
                <w:color w:val="auto"/>
                <w:sz w:val="21"/>
                <w:szCs w:val="21"/>
                <w:highlight w:val="none"/>
              </w:rPr>
              <w:t>应具备灭火器等用品，并定期检查灭火器状态及其有效期等。</w:t>
            </w:r>
          </w:p>
          <w:p w14:paraId="680D4C98">
            <w:pPr>
              <w:ind w:firstLine="480"/>
              <w:rPr>
                <w:color w:val="auto"/>
                <w:sz w:val="21"/>
                <w:szCs w:val="21"/>
                <w:highlight w:val="none"/>
              </w:rPr>
            </w:pPr>
            <w:r>
              <w:rPr>
                <w:rFonts w:hint="eastAsia"/>
                <w:color w:val="auto"/>
                <w:sz w:val="21"/>
                <w:szCs w:val="21"/>
                <w:highlight w:val="none"/>
                <w:lang w:val="en-US" w:eastAsia="zh-CN"/>
              </w:rPr>
              <w:t>③</w:t>
            </w:r>
            <w:r>
              <w:rPr>
                <w:color w:val="auto"/>
                <w:sz w:val="21"/>
                <w:szCs w:val="21"/>
                <w:highlight w:val="none"/>
              </w:rPr>
              <w:t>定期进行环保宣传教育以及紧急事故模拟演习，提高事故应变能力。</w:t>
            </w:r>
          </w:p>
          <w:p w14:paraId="7FAD2254">
            <w:pPr>
              <w:ind w:firstLine="480"/>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7.3</w:t>
            </w:r>
            <w:r>
              <w:rPr>
                <w:rFonts w:hint="default" w:ascii="Times New Roman" w:hAnsi="Times New Roman" w:cs="Times New Roman"/>
                <w:color w:val="auto"/>
                <w:sz w:val="21"/>
                <w:szCs w:val="21"/>
                <w:highlight w:val="none"/>
              </w:rPr>
              <w:t>分析结论</w:t>
            </w:r>
          </w:p>
          <w:p w14:paraId="6EF51FFE">
            <w:pP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项目所涉及的风险物质主要为</w:t>
            </w:r>
            <w:r>
              <w:rPr>
                <w:rFonts w:hint="default" w:ascii="Times New Roman" w:hAnsi="Times New Roman" w:cs="Times New Roman"/>
                <w:color w:val="auto"/>
                <w:sz w:val="21"/>
                <w:szCs w:val="21"/>
                <w:highlight w:val="none"/>
                <w:lang w:val="en-US" w:eastAsia="zh-CN"/>
              </w:rPr>
              <w:t>润滑油</w:t>
            </w:r>
            <w:r>
              <w:rPr>
                <w:rFonts w:hint="default" w:ascii="Times New Roman" w:hAnsi="Times New Roman" w:cs="Times New Roman"/>
                <w:color w:val="auto"/>
                <w:sz w:val="21"/>
                <w:szCs w:val="21"/>
                <w:highlight w:val="none"/>
              </w:rPr>
              <w:t>、</w:t>
            </w:r>
            <w:r>
              <w:rPr>
                <w:rFonts w:hint="eastAsia" w:cs="Times New Roman"/>
                <w:color w:val="auto"/>
                <w:sz w:val="21"/>
                <w:szCs w:val="21"/>
                <w:highlight w:val="none"/>
                <w:lang w:val="en-US" w:eastAsia="zh-CN"/>
              </w:rPr>
              <w:t>液压油、废润滑油、废液压油</w:t>
            </w:r>
            <w:r>
              <w:rPr>
                <w:rFonts w:hint="default" w:ascii="Times New Roman" w:hAnsi="Times New Roman" w:cs="Times New Roman"/>
                <w:color w:val="auto"/>
                <w:sz w:val="21"/>
                <w:szCs w:val="21"/>
                <w:highlight w:val="none"/>
              </w:rPr>
              <w:t>，</w:t>
            </w:r>
            <w:r>
              <w:rPr>
                <w:color w:val="auto"/>
                <w:sz w:val="21"/>
                <w:szCs w:val="21"/>
                <w:highlight w:val="none"/>
              </w:rPr>
              <w:t>此外，废油桶也属于风险物质。</w:t>
            </w:r>
            <w:r>
              <w:rPr>
                <w:rFonts w:hint="default" w:ascii="Times New Roman" w:hAnsi="Times New Roman" w:cs="Times New Roman"/>
                <w:color w:val="auto"/>
                <w:sz w:val="21"/>
                <w:szCs w:val="21"/>
                <w:highlight w:val="none"/>
              </w:rPr>
              <w:t>环境风险主要为油类物质泄漏事故，可能会造成大气、地下水或土壤的污染，项目针对性的制定了风险防范措施和应急措施，能够使风险事故发生概率大幅减小，造成的损失最小，环境风险为可接受水平。从环境风险角度分析项目建设是可行的。</w:t>
            </w:r>
          </w:p>
          <w:p w14:paraId="276F5ACC">
            <w:pPr>
              <w:keepNext w:val="0"/>
              <w:keepLines w:val="0"/>
              <w:widowControl/>
              <w:suppressLineNumbers w:val="0"/>
              <w:jc w:val="left"/>
              <w:rPr>
                <w:color w:val="auto"/>
                <w:sz w:val="21"/>
                <w:szCs w:val="21"/>
                <w:highlight w:val="none"/>
              </w:rPr>
            </w:pPr>
            <w:r>
              <w:rPr>
                <w:rFonts w:hint="default" w:ascii="Times New Roman" w:hAnsi="Times New Roman" w:eastAsia="宋体" w:cs="Times New Roman"/>
                <w:b/>
                <w:bCs/>
                <w:color w:val="auto"/>
                <w:kern w:val="0"/>
                <w:sz w:val="21"/>
                <w:szCs w:val="21"/>
                <w:highlight w:val="none"/>
                <w:lang w:val="en-US" w:eastAsia="zh-CN" w:bidi="ar"/>
              </w:rPr>
              <w:t>8</w:t>
            </w:r>
            <w:r>
              <w:rPr>
                <w:rFonts w:hint="eastAsia" w:ascii="宋体" w:hAnsi="宋体" w:eastAsia="宋体" w:cs="宋体"/>
                <w:b/>
                <w:bCs/>
                <w:color w:val="auto"/>
                <w:kern w:val="0"/>
                <w:sz w:val="21"/>
                <w:szCs w:val="21"/>
                <w:highlight w:val="none"/>
                <w:lang w:val="en-US" w:eastAsia="zh-CN" w:bidi="ar"/>
              </w:rPr>
              <w:t xml:space="preserve">、电磁辐射 </w:t>
            </w:r>
          </w:p>
          <w:p w14:paraId="172D776D">
            <w:pPr>
              <w:keepNext w:val="0"/>
              <w:keepLines w:val="0"/>
              <w:widowControl/>
              <w:suppressLineNumbers w:val="0"/>
              <w:jc w:val="left"/>
              <w:rPr>
                <w:rFonts w:hint="default"/>
                <w:color w:val="auto"/>
                <w:highlight w:val="none"/>
              </w:rPr>
            </w:pPr>
            <w:r>
              <w:rPr>
                <w:rFonts w:hint="eastAsia" w:ascii="宋体" w:hAnsi="宋体" w:eastAsia="宋体" w:cs="宋体"/>
                <w:color w:val="auto"/>
                <w:kern w:val="0"/>
                <w:sz w:val="21"/>
                <w:szCs w:val="21"/>
                <w:highlight w:val="none"/>
                <w:lang w:val="en-US" w:eastAsia="zh-CN" w:bidi="ar"/>
              </w:rPr>
              <w:t>本项目不涉及电磁辐射，无需开展电磁辐射评价</w:t>
            </w:r>
            <w:r>
              <w:rPr>
                <w:rFonts w:hint="eastAsia" w:ascii="宋体" w:hAnsi="宋体" w:eastAsia="宋体" w:cs="宋体"/>
                <w:color w:val="auto"/>
                <w:kern w:val="0"/>
                <w:sz w:val="20"/>
                <w:szCs w:val="20"/>
                <w:highlight w:val="none"/>
                <w:lang w:val="en-US" w:eastAsia="zh-CN" w:bidi="ar"/>
              </w:rPr>
              <w:t>。</w:t>
            </w:r>
          </w:p>
        </w:tc>
      </w:tr>
    </w:tbl>
    <w:p w14:paraId="03DD13D8">
      <w:pPr>
        <w:ind w:firstLine="723"/>
        <w:rPr>
          <w:rFonts w:eastAsiaTheme="minorEastAsia"/>
          <w:b/>
          <w:color w:val="auto"/>
          <w:kern w:val="0"/>
          <w:sz w:val="36"/>
          <w:szCs w:val="36"/>
          <w:highlight w:val="yellow"/>
        </w:rPr>
        <w:sectPr>
          <w:pgSz w:w="11905" w:h="16838"/>
          <w:pgMar w:top="1701" w:right="1531" w:bottom="1701" w:left="1531" w:header="851" w:footer="850" w:gutter="0"/>
          <w:pgBorders>
            <w:top w:val="none" w:sz="0" w:space="0"/>
            <w:left w:val="none" w:sz="0" w:space="0"/>
            <w:bottom w:val="none" w:sz="0" w:space="0"/>
            <w:right w:val="none" w:sz="0" w:space="0"/>
          </w:pgBorders>
          <w:cols w:space="0" w:num="1"/>
          <w:docGrid w:linePitch="312" w:charSpace="0"/>
        </w:sectPr>
      </w:pPr>
    </w:p>
    <w:p w14:paraId="6ECEA15F">
      <w:pPr>
        <w:pStyle w:val="77"/>
        <w:spacing w:before="0" w:beforeAutospacing="0" w:after="0" w:afterAutospacing="0" w:line="240" w:lineRule="auto"/>
        <w:ind w:firstLine="0" w:firstLineChars="0"/>
        <w:outlineLvl w:val="0"/>
        <w:rPr>
          <w:rFonts w:ascii="Times New Roman" w:hAnsi="Times New Roman" w:eastAsiaTheme="minorEastAsia"/>
          <w:b/>
          <w:bCs/>
          <w:snapToGrid w:val="0"/>
          <w:color w:val="auto"/>
          <w:sz w:val="32"/>
          <w:szCs w:val="32"/>
          <w:highlight w:val="none"/>
        </w:rPr>
      </w:pPr>
      <w:r>
        <w:rPr>
          <w:rFonts w:ascii="Times New Roman" w:hAnsi="Times New Roman" w:eastAsiaTheme="minorEastAsia"/>
          <w:b/>
          <w:bCs/>
          <w:snapToGrid w:val="0"/>
          <w:color w:val="auto"/>
          <w:sz w:val="32"/>
          <w:szCs w:val="32"/>
          <w:highlight w:val="none"/>
        </w:rPr>
        <w:t>五、</w:t>
      </w:r>
      <w:bookmarkStart w:id="35" w:name="_Hlk54167917"/>
      <w:r>
        <w:rPr>
          <w:rFonts w:ascii="Times New Roman" w:hAnsi="Times New Roman" w:eastAsiaTheme="minorEastAsia"/>
          <w:b/>
          <w:bCs/>
          <w:snapToGrid w:val="0"/>
          <w:color w:val="auto"/>
          <w:sz w:val="32"/>
          <w:szCs w:val="32"/>
          <w:highlight w:val="none"/>
        </w:rPr>
        <w:t>环境保护措施监督检查清单</w:t>
      </w:r>
      <w:bookmarkEnd w:id="35"/>
    </w:p>
    <w:tbl>
      <w:tblPr>
        <w:tblStyle w:val="84"/>
        <w:tblW w:w="5272"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755"/>
        <w:gridCol w:w="1511"/>
        <w:gridCol w:w="1670"/>
        <w:gridCol w:w="2278"/>
        <w:gridCol w:w="3132"/>
      </w:tblGrid>
      <w:tr w14:paraId="08230E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80" w:hRule="atLeast"/>
          <w:jc w:val="center"/>
        </w:trPr>
        <w:tc>
          <w:tcPr>
            <w:tcW w:w="403" w:type="pct"/>
            <w:tcBorders>
              <w:tl2br w:val="single" w:color="auto" w:sz="4" w:space="0"/>
            </w:tcBorders>
          </w:tcPr>
          <w:p w14:paraId="482F5A00">
            <w:pPr>
              <w:spacing w:line="240" w:lineRule="auto"/>
              <w:ind w:firstLine="0" w:firstLineChars="0"/>
              <w:jc w:val="right"/>
              <w:rPr>
                <w:b/>
                <w:bCs/>
                <w:color w:val="auto"/>
                <w:sz w:val="21"/>
                <w:szCs w:val="21"/>
                <w:highlight w:val="none"/>
              </w:rPr>
            </w:pPr>
            <w:r>
              <w:rPr>
                <w:b/>
                <w:bCs/>
                <w:color w:val="auto"/>
                <w:sz w:val="21"/>
                <w:szCs w:val="21"/>
                <w:highlight w:val="none"/>
              </w:rPr>
              <w:t>内容</w:t>
            </w:r>
          </w:p>
          <w:p w14:paraId="00F865A7">
            <w:pPr>
              <w:spacing w:line="240" w:lineRule="auto"/>
              <w:ind w:firstLine="0" w:firstLineChars="0"/>
              <w:rPr>
                <w:b/>
                <w:bCs/>
                <w:color w:val="auto"/>
                <w:sz w:val="21"/>
                <w:szCs w:val="21"/>
                <w:highlight w:val="none"/>
              </w:rPr>
            </w:pPr>
            <w:r>
              <w:rPr>
                <w:b/>
                <w:bCs/>
                <w:color w:val="auto"/>
                <w:sz w:val="21"/>
                <w:szCs w:val="21"/>
                <w:highlight w:val="none"/>
              </w:rPr>
              <w:t>要素</w:t>
            </w:r>
          </w:p>
        </w:tc>
        <w:tc>
          <w:tcPr>
            <w:tcW w:w="808" w:type="pct"/>
            <w:vAlign w:val="center"/>
          </w:tcPr>
          <w:p w14:paraId="69392B8F">
            <w:pPr>
              <w:spacing w:line="240" w:lineRule="auto"/>
              <w:ind w:firstLine="0" w:firstLineChars="0"/>
              <w:jc w:val="center"/>
              <w:rPr>
                <w:b/>
                <w:bCs/>
                <w:color w:val="auto"/>
                <w:sz w:val="21"/>
                <w:szCs w:val="21"/>
                <w:highlight w:val="none"/>
              </w:rPr>
            </w:pPr>
            <w:r>
              <w:rPr>
                <w:b/>
                <w:bCs/>
                <w:color w:val="auto"/>
                <w:sz w:val="21"/>
                <w:szCs w:val="21"/>
                <w:highlight w:val="none"/>
              </w:rPr>
              <w:t>排放口</w:t>
            </w:r>
            <w:r>
              <w:rPr>
                <w:rFonts w:hint="eastAsia"/>
                <w:b/>
                <w:bCs/>
                <w:color w:val="auto"/>
                <w:sz w:val="21"/>
                <w:szCs w:val="21"/>
                <w:highlight w:val="none"/>
              </w:rPr>
              <w:t>(</w:t>
            </w:r>
            <w:r>
              <w:rPr>
                <w:b/>
                <w:bCs/>
                <w:color w:val="auto"/>
                <w:sz w:val="21"/>
                <w:szCs w:val="21"/>
                <w:highlight w:val="none"/>
              </w:rPr>
              <w:t>编号、</w:t>
            </w:r>
          </w:p>
          <w:p w14:paraId="28DAD67E">
            <w:pPr>
              <w:spacing w:line="240" w:lineRule="auto"/>
              <w:ind w:firstLine="0" w:firstLineChars="0"/>
              <w:jc w:val="center"/>
              <w:rPr>
                <w:b/>
                <w:bCs/>
                <w:color w:val="auto"/>
                <w:sz w:val="21"/>
                <w:szCs w:val="21"/>
                <w:highlight w:val="none"/>
              </w:rPr>
            </w:pPr>
            <w:r>
              <w:rPr>
                <w:b/>
                <w:bCs/>
                <w:color w:val="auto"/>
                <w:sz w:val="21"/>
                <w:szCs w:val="21"/>
                <w:highlight w:val="none"/>
              </w:rPr>
              <w:t>名称)/污染源</w:t>
            </w:r>
          </w:p>
        </w:tc>
        <w:tc>
          <w:tcPr>
            <w:tcW w:w="893" w:type="pct"/>
            <w:vAlign w:val="center"/>
          </w:tcPr>
          <w:p w14:paraId="4F4B7653">
            <w:pPr>
              <w:spacing w:line="240" w:lineRule="auto"/>
              <w:ind w:firstLine="0" w:firstLineChars="0"/>
              <w:jc w:val="center"/>
              <w:rPr>
                <w:b/>
                <w:bCs/>
                <w:color w:val="auto"/>
                <w:sz w:val="21"/>
                <w:szCs w:val="21"/>
                <w:highlight w:val="none"/>
              </w:rPr>
            </w:pPr>
            <w:r>
              <w:rPr>
                <w:b/>
                <w:bCs/>
                <w:color w:val="auto"/>
                <w:sz w:val="21"/>
                <w:szCs w:val="21"/>
                <w:highlight w:val="none"/>
              </w:rPr>
              <w:t>污染物项目</w:t>
            </w:r>
          </w:p>
        </w:tc>
        <w:tc>
          <w:tcPr>
            <w:tcW w:w="1218" w:type="pct"/>
            <w:vAlign w:val="center"/>
          </w:tcPr>
          <w:p w14:paraId="5E64BB8D">
            <w:pPr>
              <w:spacing w:line="240" w:lineRule="auto"/>
              <w:ind w:firstLine="0" w:firstLineChars="0"/>
              <w:jc w:val="center"/>
              <w:rPr>
                <w:b/>
                <w:bCs/>
                <w:color w:val="auto"/>
                <w:sz w:val="21"/>
                <w:szCs w:val="21"/>
                <w:highlight w:val="none"/>
              </w:rPr>
            </w:pPr>
            <w:r>
              <w:rPr>
                <w:b/>
                <w:bCs/>
                <w:color w:val="auto"/>
                <w:sz w:val="21"/>
                <w:szCs w:val="21"/>
                <w:highlight w:val="none"/>
              </w:rPr>
              <w:t>环境保护措施</w:t>
            </w:r>
          </w:p>
        </w:tc>
        <w:tc>
          <w:tcPr>
            <w:tcW w:w="1675" w:type="pct"/>
            <w:vAlign w:val="center"/>
          </w:tcPr>
          <w:p w14:paraId="26AF3004">
            <w:pPr>
              <w:spacing w:line="240" w:lineRule="auto"/>
              <w:ind w:firstLine="0" w:firstLineChars="0"/>
              <w:jc w:val="center"/>
              <w:rPr>
                <w:b/>
                <w:bCs/>
                <w:color w:val="auto"/>
                <w:sz w:val="21"/>
                <w:szCs w:val="21"/>
                <w:highlight w:val="none"/>
              </w:rPr>
            </w:pPr>
            <w:r>
              <w:rPr>
                <w:b/>
                <w:bCs/>
                <w:color w:val="auto"/>
                <w:sz w:val="21"/>
                <w:szCs w:val="21"/>
                <w:highlight w:val="none"/>
              </w:rPr>
              <w:t>执行标准</w:t>
            </w:r>
          </w:p>
        </w:tc>
      </w:tr>
      <w:tr w14:paraId="51C46D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41" w:hRule="atLeast"/>
          <w:jc w:val="center"/>
        </w:trPr>
        <w:tc>
          <w:tcPr>
            <w:tcW w:w="403" w:type="pct"/>
            <w:vMerge w:val="restart"/>
            <w:vAlign w:val="center"/>
          </w:tcPr>
          <w:p w14:paraId="4478C6CA">
            <w:pPr>
              <w:spacing w:line="240" w:lineRule="auto"/>
              <w:ind w:firstLine="0" w:firstLineChars="0"/>
              <w:jc w:val="center"/>
              <w:rPr>
                <w:color w:val="auto"/>
                <w:kern w:val="0"/>
                <w:sz w:val="21"/>
                <w:szCs w:val="21"/>
                <w:highlight w:val="none"/>
              </w:rPr>
            </w:pPr>
            <w:r>
              <w:rPr>
                <w:rFonts w:hint="eastAsia"/>
                <w:color w:val="auto"/>
                <w:kern w:val="0"/>
                <w:sz w:val="21"/>
                <w:szCs w:val="21"/>
                <w:highlight w:val="none"/>
              </w:rPr>
              <w:t>大气环境</w:t>
            </w:r>
          </w:p>
        </w:tc>
        <w:tc>
          <w:tcPr>
            <w:tcW w:w="808" w:type="pct"/>
            <w:vAlign w:val="center"/>
          </w:tcPr>
          <w:p w14:paraId="6F5A2D53">
            <w:pPr>
              <w:pStyle w:val="135"/>
              <w:keepNext w:val="0"/>
              <w:keepLines w:val="0"/>
              <w:pageBreakBefore w:val="0"/>
              <w:widowControl/>
              <w:kinsoku/>
              <w:wordWrap/>
              <w:overflowPunct/>
              <w:topLinePunct w:val="0"/>
              <w:autoSpaceDE w:val="0"/>
              <w:autoSpaceDN w:val="0"/>
              <w:bidi w:val="0"/>
              <w:adjustRightInd/>
              <w:snapToGrid/>
              <w:spacing w:beforeLines="0" w:afterLines="0" w:line="280" w:lineRule="exact"/>
              <w:ind w:firstLine="0" w:firstLineChars="0"/>
              <w:jc w:val="center"/>
              <w:textAlignment w:val="auto"/>
              <w:rPr>
                <w:rFonts w:hint="default" w:ascii="Times New Roman" w:hAnsi="Times New Roman" w:cs="Times New Roman"/>
                <w:color w:val="auto"/>
                <w:sz w:val="21"/>
                <w:szCs w:val="21"/>
                <w:highlight w:val="none"/>
                <w:lang w:val="en-US"/>
              </w:rPr>
            </w:pPr>
            <w:r>
              <w:rPr>
                <w:rFonts w:hint="default" w:ascii="Times New Roman" w:hAnsi="Times New Roman" w:cs="Times New Roman"/>
                <w:color w:val="auto"/>
                <w:sz w:val="21"/>
                <w:szCs w:val="21"/>
                <w:highlight w:val="none"/>
                <w:lang w:val="en-US" w:eastAsia="zh-CN"/>
              </w:rPr>
              <w:t>入</w:t>
            </w:r>
            <w:r>
              <w:rPr>
                <w:rFonts w:hint="default" w:ascii="Times New Roman" w:hAnsi="Times New Roman" w:cs="Times New Roman"/>
                <w:color w:val="auto"/>
                <w:sz w:val="21"/>
                <w:szCs w:val="21"/>
                <w:highlight w:val="none"/>
              </w:rPr>
              <w:t>料、</w:t>
            </w:r>
            <w:r>
              <w:rPr>
                <w:rFonts w:hint="default" w:ascii="Times New Roman" w:hAnsi="Times New Roman" w:cs="Times New Roman"/>
                <w:color w:val="auto"/>
                <w:sz w:val="21"/>
                <w:szCs w:val="21"/>
                <w:highlight w:val="none"/>
                <w:lang w:val="en-US" w:eastAsia="zh-CN"/>
              </w:rPr>
              <w:t>筛分、搅拌等</w:t>
            </w:r>
          </w:p>
        </w:tc>
        <w:tc>
          <w:tcPr>
            <w:tcW w:w="893" w:type="pct"/>
            <w:vAlign w:val="center"/>
          </w:tcPr>
          <w:p w14:paraId="09E1CE1E">
            <w:pPr>
              <w:keepNext w:val="0"/>
              <w:keepLines w:val="0"/>
              <w:pageBreakBefore w:val="0"/>
              <w:widowControl/>
              <w:kinsoku/>
              <w:wordWrap/>
              <w:overflowPunct/>
              <w:topLinePunct w:val="0"/>
              <w:autoSpaceDE w:val="0"/>
              <w:autoSpaceDN w:val="0"/>
              <w:bidi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bCs/>
                <w:color w:val="auto"/>
                <w:sz w:val="21"/>
                <w:szCs w:val="21"/>
                <w:highlight w:val="none"/>
              </w:rPr>
              <w:t>颗粒物</w:t>
            </w:r>
          </w:p>
        </w:tc>
        <w:tc>
          <w:tcPr>
            <w:tcW w:w="1218" w:type="pct"/>
            <w:vAlign w:val="center"/>
          </w:tcPr>
          <w:p w14:paraId="24F3786F">
            <w:pPr>
              <w:pStyle w:val="135"/>
              <w:keepNext w:val="0"/>
              <w:keepLines w:val="0"/>
              <w:pageBreakBefore w:val="0"/>
              <w:widowControl/>
              <w:kinsoku/>
              <w:wordWrap/>
              <w:overflowPunct/>
              <w:topLinePunct w:val="0"/>
              <w:autoSpaceDE w:val="0"/>
              <w:autoSpaceDN w:val="0"/>
              <w:bidi w:val="0"/>
              <w:adjustRightInd/>
              <w:snapToGrid/>
              <w:spacing w:beforeLines="0" w:afterLines="0" w:line="280" w:lineRule="exact"/>
              <w:ind w:firstLine="0" w:firstLineChars="0"/>
              <w:jc w:val="both"/>
              <w:textAlignment w:val="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sz w:val="21"/>
                <w:szCs w:val="21"/>
                <w:highlight w:val="none"/>
                <w:lang w:val="en-US" w:eastAsia="zh-CN"/>
              </w:rPr>
              <w:t>集尘罩+依托现有质检筛分除尘器+24m高排气筒</w:t>
            </w:r>
          </w:p>
        </w:tc>
        <w:tc>
          <w:tcPr>
            <w:tcW w:w="1675" w:type="pct"/>
            <w:vAlign w:val="center"/>
          </w:tcPr>
          <w:p w14:paraId="0D91B668">
            <w:pPr>
              <w:keepNext w:val="0"/>
              <w:keepLines w:val="0"/>
              <w:pageBreakBefore w:val="0"/>
              <w:widowControl/>
              <w:kinsoku/>
              <w:wordWrap/>
              <w:overflowPunct/>
              <w:topLinePunct w:val="0"/>
              <w:autoSpaceDE w:val="0"/>
              <w:autoSpaceDN w:val="0"/>
              <w:bidi w:val="0"/>
              <w:spacing w:line="280" w:lineRule="exact"/>
              <w:ind w:firstLine="0" w:firstLineChars="0"/>
              <w:jc w:val="center"/>
              <w:textAlignment w:val="auto"/>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spacing w:val="-10"/>
                <w:sz w:val="21"/>
                <w:szCs w:val="21"/>
                <w:highlight w:val="none"/>
              </w:rPr>
              <w:t>执行《钢铁工业大气污染物超低排放标准》</w:t>
            </w:r>
            <w:r>
              <w:rPr>
                <w:rFonts w:hint="default" w:ascii="Times New Roman" w:hAnsi="Times New Roman" w:cs="Times New Roman"/>
                <w:color w:val="auto"/>
                <w:spacing w:val="-10"/>
                <w:sz w:val="21"/>
                <w:szCs w:val="21"/>
                <w:highlight w:val="none"/>
                <w:lang w:eastAsia="zh-CN"/>
              </w:rPr>
              <w:t>(</w:t>
            </w:r>
            <w:r>
              <w:rPr>
                <w:rFonts w:hint="default" w:ascii="Times New Roman" w:hAnsi="Times New Roman" w:cs="Times New Roman"/>
                <w:color w:val="auto"/>
                <w:spacing w:val="-10"/>
                <w:sz w:val="21"/>
                <w:szCs w:val="21"/>
                <w:highlight w:val="none"/>
              </w:rPr>
              <w:t>DB13/2169-2018)</w:t>
            </w:r>
            <w:r>
              <w:rPr>
                <w:rFonts w:hint="default" w:ascii="Times New Roman" w:hAnsi="Times New Roman" w:cs="Times New Roman"/>
                <w:snapToGrid w:val="0"/>
                <w:color w:val="auto"/>
                <w:sz w:val="21"/>
                <w:szCs w:val="21"/>
                <w:highlight w:val="none"/>
                <w:lang w:val="en-US" w:eastAsia="zh-CN"/>
              </w:rPr>
              <w:t>表1高炉炼铁原料系统、煤粉系统、其他生产设施排放限值</w:t>
            </w:r>
          </w:p>
        </w:tc>
      </w:tr>
      <w:tr w14:paraId="247C1F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03" w:type="pct"/>
            <w:vMerge w:val="continue"/>
            <w:vAlign w:val="center"/>
          </w:tcPr>
          <w:p w14:paraId="70CF18DA">
            <w:pPr>
              <w:spacing w:line="240" w:lineRule="auto"/>
              <w:ind w:firstLine="0" w:firstLineChars="0"/>
              <w:jc w:val="center"/>
              <w:rPr>
                <w:rFonts w:hint="eastAsia"/>
                <w:color w:val="auto"/>
                <w:kern w:val="0"/>
                <w:sz w:val="21"/>
                <w:szCs w:val="21"/>
                <w:highlight w:val="none"/>
              </w:rPr>
            </w:pPr>
          </w:p>
        </w:tc>
        <w:tc>
          <w:tcPr>
            <w:tcW w:w="808" w:type="pct"/>
            <w:vAlign w:val="center"/>
          </w:tcPr>
          <w:p w14:paraId="3B4A488B">
            <w:pPr>
              <w:pStyle w:val="135"/>
              <w:keepNext w:val="0"/>
              <w:keepLines w:val="0"/>
              <w:pageBreakBefore w:val="0"/>
              <w:widowControl/>
              <w:kinsoku/>
              <w:wordWrap/>
              <w:overflowPunct/>
              <w:topLinePunct w:val="0"/>
              <w:autoSpaceDE w:val="0"/>
              <w:autoSpaceDN w:val="0"/>
              <w:bidi w:val="0"/>
              <w:adjustRightInd/>
              <w:snapToGrid/>
              <w:spacing w:beforeLines="0" w:afterLines="0" w:line="28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无组织</w:t>
            </w:r>
          </w:p>
        </w:tc>
        <w:tc>
          <w:tcPr>
            <w:tcW w:w="893" w:type="pct"/>
            <w:vAlign w:val="center"/>
          </w:tcPr>
          <w:p w14:paraId="53FBED3F">
            <w:pPr>
              <w:pStyle w:val="135"/>
              <w:adjustRightInd/>
              <w:snapToGrid/>
              <w:spacing w:beforeLines="0" w:afterLines="0" w:line="280" w:lineRule="exact"/>
              <w:ind w:left="-105" w:leftChars="-50" w:right="-105" w:rightChars="-50" w:firstLine="0" w:firstLineChars="0"/>
              <w:rPr>
                <w:rFonts w:hint="default" w:ascii="Times New Roman" w:hAnsi="Times New Roman" w:cs="Times New Roman"/>
                <w:bCs/>
                <w:color w:val="auto"/>
                <w:sz w:val="21"/>
                <w:szCs w:val="21"/>
                <w:highlight w:val="none"/>
              </w:rPr>
            </w:pPr>
            <w:r>
              <w:rPr>
                <w:rFonts w:hint="default" w:ascii="Times New Roman" w:hAnsi="Times New Roman" w:cs="Times New Roman"/>
                <w:bCs/>
                <w:color w:val="auto"/>
                <w:sz w:val="21"/>
                <w:szCs w:val="21"/>
                <w:highlight w:val="none"/>
              </w:rPr>
              <w:t>颗粒物</w:t>
            </w:r>
          </w:p>
        </w:tc>
        <w:tc>
          <w:tcPr>
            <w:tcW w:w="1218" w:type="pct"/>
            <w:vAlign w:val="center"/>
          </w:tcPr>
          <w:p w14:paraId="607687CC">
            <w:pPr>
              <w:adjustRightInd w:val="0"/>
              <w:snapToGrid w:val="0"/>
              <w:spacing w:line="240" w:lineRule="auto"/>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olor w:val="auto"/>
                <w:kern w:val="0"/>
                <w:sz w:val="21"/>
                <w:szCs w:val="21"/>
                <w:highlight w:val="red"/>
                <w:lang w:val="en-US" w:eastAsia="zh-CN"/>
              </w:rPr>
              <w:t>封闭车间</w:t>
            </w:r>
            <w:r>
              <w:rPr>
                <w:rFonts w:hint="eastAsia"/>
                <w:color w:val="auto"/>
                <w:kern w:val="2"/>
                <w:sz w:val="21"/>
                <w:szCs w:val="21"/>
                <w:highlight w:val="red"/>
                <w:lang w:val="en-US" w:eastAsia="zh-CN"/>
              </w:rPr>
              <w:t>+自动感应门</w:t>
            </w:r>
            <w:r>
              <w:rPr>
                <w:rFonts w:hint="eastAsia"/>
                <w:color w:val="auto"/>
                <w:kern w:val="0"/>
                <w:sz w:val="21"/>
                <w:szCs w:val="21"/>
                <w:highlight w:val="red"/>
                <w:lang w:val="en-US" w:eastAsia="zh-CN"/>
              </w:rPr>
              <w:t>+喷雾抑尘</w:t>
            </w:r>
          </w:p>
        </w:tc>
        <w:tc>
          <w:tcPr>
            <w:tcW w:w="1675" w:type="pct"/>
            <w:vAlign w:val="center"/>
          </w:tcPr>
          <w:p w14:paraId="400BB0BC">
            <w:pPr>
              <w:pStyle w:val="135"/>
              <w:adjustRightInd/>
              <w:snapToGrid/>
              <w:spacing w:beforeLines="0" w:afterLines="0" w:line="280" w:lineRule="exact"/>
              <w:ind w:firstLine="0" w:firstLineChars="0"/>
              <w:rPr>
                <w:rFonts w:hint="default" w:ascii="Times New Roman" w:hAnsi="Times New Roman" w:cs="Times New Roman"/>
                <w:color w:val="auto"/>
                <w:spacing w:val="-10"/>
                <w:sz w:val="21"/>
                <w:szCs w:val="21"/>
                <w:highlight w:val="none"/>
              </w:rPr>
            </w:pPr>
            <w:r>
              <w:rPr>
                <w:rFonts w:hint="default" w:ascii="Times New Roman" w:hAnsi="Times New Roman" w:eastAsia="宋体" w:cs="Times New Roman"/>
                <w:color w:val="auto"/>
                <w:kern w:val="0"/>
                <w:sz w:val="21"/>
                <w:szCs w:val="21"/>
                <w:highlight w:val="none"/>
                <w:lang w:val="en-US" w:eastAsia="zh-CN" w:bidi="ar-SA"/>
              </w:rPr>
              <w:t>《钢铁工业大气污染物超低排放标准》(DB13/2169-2018)表5无组织排放浓度限值</w:t>
            </w:r>
            <w:r>
              <w:rPr>
                <w:rFonts w:hint="default" w:ascii="Times New Roman" w:hAnsi="Times New Roman" w:cs="Times New Roman"/>
                <w:color w:val="auto"/>
                <w:kern w:val="0"/>
                <w:sz w:val="21"/>
                <w:szCs w:val="21"/>
                <w:highlight w:val="none"/>
                <w:lang w:val="en-US" w:eastAsia="zh-CN" w:bidi="ar-SA"/>
              </w:rPr>
              <w:t>，</w:t>
            </w:r>
            <w:r>
              <w:rPr>
                <w:rFonts w:hint="default" w:ascii="Times New Roman" w:hAnsi="Times New Roman" w:eastAsia="宋体" w:cs="Times New Roman"/>
                <w:color w:val="auto"/>
                <w:highlight w:val="none"/>
              </w:rPr>
              <w:t>同时满足《唐山市人民政府关于执行重点行业大气污染物排放特别要求的通知》(唐政字[2021]82号)中厂界无组织排放浓度限值要求</w:t>
            </w:r>
          </w:p>
        </w:tc>
      </w:tr>
      <w:tr w14:paraId="7F2CD1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44" w:hRule="atLeast"/>
          <w:jc w:val="center"/>
        </w:trPr>
        <w:tc>
          <w:tcPr>
            <w:tcW w:w="403" w:type="pct"/>
            <w:vAlign w:val="center"/>
          </w:tcPr>
          <w:p w14:paraId="7358D66F">
            <w:pPr>
              <w:pStyle w:val="135"/>
              <w:adjustRightInd/>
              <w:snapToGrid/>
              <w:spacing w:beforeLines="0" w:afterLines="0" w:line="280" w:lineRule="exact"/>
              <w:ind w:firstLine="0" w:firstLineChars="0"/>
              <w:rPr>
                <w:rFonts w:ascii="Times New Roman"/>
                <w:color w:val="auto"/>
                <w:sz w:val="21"/>
                <w:szCs w:val="21"/>
                <w:highlight w:val="none"/>
              </w:rPr>
            </w:pPr>
            <w:r>
              <w:rPr>
                <w:rFonts w:hint="eastAsia" w:ascii="Times New Roman"/>
                <w:color w:val="auto"/>
                <w:sz w:val="21"/>
                <w:szCs w:val="21"/>
                <w:highlight w:val="none"/>
              </w:rPr>
              <w:t>地表水环境</w:t>
            </w:r>
          </w:p>
        </w:tc>
        <w:tc>
          <w:tcPr>
            <w:tcW w:w="808" w:type="pct"/>
            <w:vAlign w:val="center"/>
          </w:tcPr>
          <w:p w14:paraId="55CFC529">
            <w:pPr>
              <w:pStyle w:val="135"/>
              <w:adjustRightInd/>
              <w:snapToGrid/>
              <w:spacing w:beforeLines="0" w:afterLines="0" w:line="280" w:lineRule="exact"/>
              <w:ind w:firstLine="0" w:firstLineChars="0"/>
              <w:rPr>
                <w:rFonts w:ascii="Times New Roman"/>
                <w:color w:val="auto"/>
                <w:sz w:val="21"/>
                <w:szCs w:val="21"/>
                <w:highlight w:val="none"/>
              </w:rPr>
            </w:pPr>
            <w:r>
              <w:rPr>
                <w:rFonts w:hint="eastAsia" w:ascii="Times New Roman" w:hAnsi="Times New Roman" w:eastAsia="宋体" w:cs="Times New Roman"/>
                <w:color w:val="auto"/>
                <w:kern w:val="0"/>
                <w:sz w:val="21"/>
                <w:szCs w:val="21"/>
                <w:highlight w:val="none"/>
                <w:lang w:val="en-US" w:eastAsia="zh-CN" w:bidi="ar-SA"/>
              </w:rPr>
              <w:t>洗车废水</w:t>
            </w:r>
          </w:p>
        </w:tc>
        <w:tc>
          <w:tcPr>
            <w:tcW w:w="893" w:type="pct"/>
            <w:vAlign w:val="center"/>
          </w:tcPr>
          <w:p w14:paraId="07B2ADAD">
            <w:pPr>
              <w:pStyle w:val="135"/>
              <w:adjustRightInd/>
              <w:snapToGrid/>
              <w:spacing w:beforeLines="0" w:afterLines="0" w:line="280" w:lineRule="exact"/>
              <w:ind w:firstLine="0" w:firstLineChars="0"/>
              <w:rPr>
                <w:color w:val="auto"/>
                <w:kern w:val="0"/>
                <w:sz w:val="21"/>
                <w:szCs w:val="21"/>
                <w:highlight w:val="none"/>
              </w:rPr>
            </w:pPr>
            <w:r>
              <w:rPr>
                <w:rFonts w:hint="eastAsia" w:ascii="Times New Roman" w:hAnsi="Times New Roman" w:eastAsia="宋体" w:cs="Times New Roman"/>
                <w:color w:val="auto"/>
                <w:kern w:val="0"/>
                <w:sz w:val="21"/>
                <w:szCs w:val="21"/>
                <w:highlight w:val="none"/>
                <w:lang w:val="en-US" w:eastAsia="zh-CN" w:bidi="ar-SA"/>
              </w:rPr>
              <w:t>SS、COD</w:t>
            </w:r>
          </w:p>
        </w:tc>
        <w:tc>
          <w:tcPr>
            <w:tcW w:w="1218" w:type="pct"/>
            <w:vAlign w:val="center"/>
          </w:tcPr>
          <w:p w14:paraId="1F8F4D3B">
            <w:pPr>
              <w:pStyle w:val="135"/>
              <w:adjustRightInd/>
              <w:snapToGrid/>
              <w:spacing w:beforeLines="0" w:afterLines="0" w:line="280" w:lineRule="exact"/>
              <w:ind w:firstLine="0" w:firstLineChars="0"/>
              <w:rPr>
                <w:rFonts w:ascii="Times New Roman"/>
                <w:color w:val="auto"/>
                <w:sz w:val="21"/>
                <w:szCs w:val="21"/>
                <w:highlight w:val="none"/>
              </w:rPr>
            </w:pPr>
            <w:r>
              <w:rPr>
                <w:rFonts w:hint="eastAsia" w:ascii="Times New Roman" w:hAnsi="Times New Roman" w:eastAsia="宋体" w:cs="Times New Roman"/>
                <w:color w:val="auto"/>
                <w:kern w:val="0"/>
                <w:sz w:val="21"/>
                <w:szCs w:val="21"/>
                <w:highlight w:val="none"/>
                <w:lang w:val="en-US" w:eastAsia="zh-CN" w:bidi="ar-SA"/>
              </w:rPr>
              <w:t>沉淀后循环利用不外排</w:t>
            </w:r>
          </w:p>
        </w:tc>
        <w:tc>
          <w:tcPr>
            <w:tcW w:w="1675" w:type="pct"/>
            <w:vAlign w:val="center"/>
          </w:tcPr>
          <w:p w14:paraId="3DA2F2CD">
            <w:pPr>
              <w:keepNext w:val="0"/>
              <w:keepLines w:val="0"/>
              <w:pageBreakBefore w:val="0"/>
              <w:widowControl/>
              <w:kinsoku/>
              <w:wordWrap/>
              <w:overflowPunct/>
              <w:topLinePunct w:val="0"/>
              <w:autoSpaceDE w:val="0"/>
              <w:autoSpaceDN w:val="0"/>
              <w:bidi w:val="0"/>
              <w:spacing w:line="280" w:lineRule="exact"/>
              <w:ind w:firstLine="0" w:firstLineChars="0"/>
              <w:jc w:val="center"/>
              <w:textAlignment w:val="auto"/>
              <w:rPr>
                <w:color w:val="auto"/>
                <w:spacing w:val="-10"/>
                <w:sz w:val="21"/>
                <w:szCs w:val="21"/>
                <w:highlight w:val="none"/>
              </w:rPr>
            </w:pPr>
            <w:r>
              <w:rPr>
                <w:rFonts w:hint="eastAsia" w:ascii="Times New Roman" w:hAnsi="Times New Roman" w:eastAsia="宋体" w:cs="Times New Roman"/>
                <w:color w:val="auto"/>
                <w:kern w:val="0"/>
                <w:sz w:val="21"/>
                <w:szCs w:val="21"/>
                <w:highlight w:val="none"/>
                <w:lang w:val="en-US" w:eastAsia="zh-CN" w:bidi="ar-SA"/>
              </w:rPr>
              <w:t>不外排</w:t>
            </w:r>
          </w:p>
        </w:tc>
      </w:tr>
      <w:tr w14:paraId="317DEF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03" w:type="pct"/>
            <w:vAlign w:val="center"/>
          </w:tcPr>
          <w:p w14:paraId="7E1E2794">
            <w:pPr>
              <w:pStyle w:val="135"/>
              <w:adjustRightInd/>
              <w:snapToGrid/>
              <w:spacing w:beforeLines="0" w:afterLines="0" w:line="280" w:lineRule="exact"/>
              <w:ind w:firstLine="0" w:firstLineChars="0"/>
              <w:rPr>
                <w:rFonts w:ascii="Times New Roman"/>
                <w:color w:val="auto"/>
                <w:sz w:val="21"/>
                <w:szCs w:val="21"/>
                <w:highlight w:val="none"/>
              </w:rPr>
            </w:pPr>
            <w:r>
              <w:rPr>
                <w:rFonts w:ascii="Times New Roman"/>
                <w:color w:val="auto"/>
                <w:sz w:val="21"/>
                <w:szCs w:val="21"/>
                <w:highlight w:val="none"/>
              </w:rPr>
              <w:t>声环境</w:t>
            </w:r>
          </w:p>
        </w:tc>
        <w:tc>
          <w:tcPr>
            <w:tcW w:w="808" w:type="pct"/>
            <w:vAlign w:val="center"/>
          </w:tcPr>
          <w:p w14:paraId="4D645D9D">
            <w:pPr>
              <w:pStyle w:val="135"/>
              <w:keepNext w:val="0"/>
              <w:keepLines w:val="0"/>
              <w:pageBreakBefore w:val="0"/>
              <w:widowControl/>
              <w:kinsoku/>
              <w:wordWrap/>
              <w:overflowPunct/>
              <w:topLinePunct w:val="0"/>
              <w:autoSpaceDE w:val="0"/>
              <w:autoSpaceDN w:val="0"/>
              <w:bidi w:val="0"/>
              <w:adjustRightInd/>
              <w:snapToGrid/>
              <w:spacing w:beforeLines="0" w:afterLines="0" w:line="280" w:lineRule="exact"/>
              <w:ind w:firstLine="0" w:firstLineChars="0"/>
              <w:jc w:val="center"/>
              <w:textAlignment w:val="auto"/>
              <w:rPr>
                <w:rFonts w:ascii="Times New Roman"/>
                <w:color w:val="auto"/>
                <w:sz w:val="21"/>
                <w:szCs w:val="21"/>
                <w:highlight w:val="none"/>
              </w:rPr>
            </w:pPr>
            <w:r>
              <w:rPr>
                <w:rFonts w:hint="eastAsia" w:ascii="Times New Roman"/>
                <w:color w:val="auto"/>
                <w:sz w:val="21"/>
                <w:szCs w:val="21"/>
                <w:highlight w:val="none"/>
              </w:rPr>
              <w:t>设备运转噪声</w:t>
            </w:r>
          </w:p>
        </w:tc>
        <w:tc>
          <w:tcPr>
            <w:tcW w:w="893" w:type="pct"/>
            <w:vAlign w:val="center"/>
          </w:tcPr>
          <w:p w14:paraId="4310D62A">
            <w:pPr>
              <w:pStyle w:val="135"/>
              <w:keepNext w:val="0"/>
              <w:keepLines w:val="0"/>
              <w:pageBreakBefore w:val="0"/>
              <w:widowControl/>
              <w:kinsoku/>
              <w:wordWrap/>
              <w:overflowPunct/>
              <w:topLinePunct w:val="0"/>
              <w:autoSpaceDE w:val="0"/>
              <w:autoSpaceDN w:val="0"/>
              <w:bidi w:val="0"/>
              <w:adjustRightInd/>
              <w:snapToGrid/>
              <w:spacing w:beforeLines="0" w:afterLines="0" w:line="280" w:lineRule="exact"/>
              <w:ind w:firstLine="0" w:firstLineChars="0"/>
              <w:jc w:val="center"/>
              <w:textAlignment w:val="auto"/>
              <w:rPr>
                <w:rFonts w:ascii="Times New Roman"/>
                <w:color w:val="auto"/>
                <w:sz w:val="21"/>
                <w:szCs w:val="21"/>
                <w:highlight w:val="none"/>
              </w:rPr>
            </w:pPr>
            <w:r>
              <w:rPr>
                <w:rFonts w:hint="eastAsia" w:ascii="Times New Roman"/>
                <w:color w:val="auto"/>
                <w:sz w:val="21"/>
                <w:szCs w:val="21"/>
                <w:highlight w:val="none"/>
              </w:rPr>
              <w:t>Leq(A)</w:t>
            </w:r>
          </w:p>
        </w:tc>
        <w:tc>
          <w:tcPr>
            <w:tcW w:w="1218" w:type="pct"/>
            <w:vAlign w:val="center"/>
          </w:tcPr>
          <w:p w14:paraId="7603BF4A">
            <w:pPr>
              <w:pStyle w:val="135"/>
              <w:keepNext w:val="0"/>
              <w:keepLines w:val="0"/>
              <w:pageBreakBefore w:val="0"/>
              <w:widowControl/>
              <w:kinsoku/>
              <w:wordWrap/>
              <w:overflowPunct/>
              <w:topLinePunct w:val="0"/>
              <w:autoSpaceDE w:val="0"/>
              <w:autoSpaceDN w:val="0"/>
              <w:bidi w:val="0"/>
              <w:adjustRightInd/>
              <w:snapToGrid/>
              <w:spacing w:beforeLines="0" w:afterLines="0" w:line="280" w:lineRule="exact"/>
              <w:ind w:firstLine="0" w:firstLineChars="0"/>
              <w:jc w:val="center"/>
              <w:textAlignment w:val="auto"/>
              <w:rPr>
                <w:rFonts w:hint="eastAsia" w:ascii="Times New Roman" w:eastAsia="宋体"/>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封闭车间+</w:t>
            </w:r>
            <w:r>
              <w:rPr>
                <w:rFonts w:hint="default" w:ascii="Times New Roman" w:hAnsi="Times New Roman" w:cs="Times New Roman"/>
                <w:color w:val="auto"/>
                <w:sz w:val="21"/>
                <w:szCs w:val="21"/>
                <w:highlight w:val="none"/>
              </w:rPr>
              <w:t>低噪声设备</w:t>
            </w:r>
            <w:r>
              <w:rPr>
                <w:rFonts w:hint="default" w:ascii="Times New Roman" w:hAnsi="Times New Roman" w:cs="Times New Roman"/>
                <w:color w:val="auto"/>
                <w:sz w:val="21"/>
                <w:szCs w:val="21"/>
                <w:highlight w:val="none"/>
                <w:lang w:val="en-US" w:eastAsia="zh-CN"/>
              </w:rPr>
              <w:t>+基础</w:t>
            </w:r>
            <w:r>
              <w:rPr>
                <w:rFonts w:hint="eastAsia" w:ascii="Times New Roman" w:cs="Times New Roman"/>
                <w:color w:val="auto"/>
                <w:sz w:val="21"/>
                <w:szCs w:val="21"/>
                <w:highlight w:val="none"/>
                <w:lang w:val="en-US" w:eastAsia="zh-CN"/>
              </w:rPr>
              <w:t>减振</w:t>
            </w:r>
          </w:p>
        </w:tc>
        <w:tc>
          <w:tcPr>
            <w:tcW w:w="1675" w:type="pct"/>
            <w:vAlign w:val="center"/>
          </w:tcPr>
          <w:p w14:paraId="4FA03F08">
            <w:pPr>
              <w:pStyle w:val="135"/>
              <w:keepNext w:val="0"/>
              <w:keepLines w:val="0"/>
              <w:pageBreakBefore w:val="0"/>
              <w:widowControl/>
              <w:kinsoku/>
              <w:wordWrap/>
              <w:overflowPunct/>
              <w:topLinePunct w:val="0"/>
              <w:autoSpaceDE w:val="0"/>
              <w:autoSpaceDN w:val="0"/>
              <w:bidi w:val="0"/>
              <w:adjustRightInd/>
              <w:snapToGrid/>
              <w:spacing w:beforeLines="0" w:afterLines="0" w:line="280" w:lineRule="exact"/>
              <w:ind w:firstLine="0" w:firstLineChars="0"/>
              <w:jc w:val="center"/>
              <w:textAlignment w:val="auto"/>
              <w:rPr>
                <w:rFonts w:ascii="Times New Roman"/>
                <w:color w:val="auto"/>
                <w:sz w:val="21"/>
                <w:szCs w:val="21"/>
                <w:highlight w:val="none"/>
              </w:rPr>
            </w:pPr>
            <w:r>
              <w:rPr>
                <w:rFonts w:hint="eastAsia" w:ascii="Times New Roman"/>
                <w:color w:val="auto"/>
                <w:sz w:val="21"/>
                <w:szCs w:val="21"/>
                <w:highlight w:val="none"/>
              </w:rPr>
              <w:t>《工业企业厂界环境噪声排放标准》(GB12348-2008)</w:t>
            </w:r>
            <w:r>
              <w:rPr>
                <w:rFonts w:hint="eastAsia" w:ascii="Times New Roman"/>
                <w:color w:val="auto"/>
                <w:sz w:val="21"/>
                <w:szCs w:val="21"/>
                <w:highlight w:val="none"/>
                <w:lang w:val="en-US" w:eastAsia="zh-CN"/>
              </w:rPr>
              <w:t>3</w:t>
            </w:r>
            <w:r>
              <w:rPr>
                <w:rFonts w:hint="eastAsia" w:ascii="Times New Roman"/>
                <w:color w:val="auto"/>
                <w:sz w:val="21"/>
                <w:szCs w:val="21"/>
                <w:highlight w:val="none"/>
              </w:rPr>
              <w:t>类标准要求</w:t>
            </w:r>
          </w:p>
        </w:tc>
      </w:tr>
      <w:tr w14:paraId="63AB0A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03" w:type="pct"/>
            <w:vAlign w:val="center"/>
          </w:tcPr>
          <w:p w14:paraId="4CC99E7D">
            <w:pPr>
              <w:spacing w:line="240" w:lineRule="auto"/>
              <w:ind w:firstLine="0" w:firstLineChars="0"/>
              <w:jc w:val="center"/>
              <w:rPr>
                <w:color w:val="auto"/>
                <w:sz w:val="21"/>
                <w:szCs w:val="21"/>
                <w:highlight w:val="none"/>
              </w:rPr>
            </w:pPr>
            <w:r>
              <w:rPr>
                <w:color w:val="auto"/>
                <w:sz w:val="21"/>
                <w:szCs w:val="21"/>
                <w:highlight w:val="none"/>
              </w:rPr>
              <w:t>电磁辐射</w:t>
            </w:r>
          </w:p>
        </w:tc>
        <w:tc>
          <w:tcPr>
            <w:tcW w:w="808" w:type="pct"/>
            <w:vAlign w:val="center"/>
          </w:tcPr>
          <w:p w14:paraId="4E9EBBBC">
            <w:pPr>
              <w:keepNext w:val="0"/>
              <w:keepLines w:val="0"/>
              <w:pageBreakBefore w:val="0"/>
              <w:widowControl/>
              <w:kinsoku/>
              <w:wordWrap/>
              <w:overflowPunct/>
              <w:topLinePunct w:val="0"/>
              <w:autoSpaceDE w:val="0"/>
              <w:autoSpaceDN w:val="0"/>
              <w:bidi w:val="0"/>
              <w:spacing w:line="280" w:lineRule="exact"/>
              <w:ind w:firstLine="0" w:firstLineChars="0"/>
              <w:jc w:val="center"/>
              <w:textAlignment w:val="auto"/>
              <w:rPr>
                <w:color w:val="auto"/>
                <w:sz w:val="21"/>
                <w:szCs w:val="21"/>
                <w:highlight w:val="none"/>
              </w:rPr>
            </w:pPr>
            <w:r>
              <w:rPr>
                <w:rFonts w:hint="eastAsia"/>
                <w:color w:val="auto"/>
                <w:sz w:val="21"/>
                <w:szCs w:val="21"/>
                <w:highlight w:val="none"/>
              </w:rPr>
              <w:t>—</w:t>
            </w:r>
          </w:p>
        </w:tc>
        <w:tc>
          <w:tcPr>
            <w:tcW w:w="893" w:type="pct"/>
            <w:vAlign w:val="center"/>
          </w:tcPr>
          <w:p w14:paraId="34369E5F">
            <w:pPr>
              <w:keepNext w:val="0"/>
              <w:keepLines w:val="0"/>
              <w:pageBreakBefore w:val="0"/>
              <w:widowControl/>
              <w:kinsoku/>
              <w:wordWrap/>
              <w:overflowPunct/>
              <w:topLinePunct w:val="0"/>
              <w:autoSpaceDE w:val="0"/>
              <w:autoSpaceDN w:val="0"/>
              <w:bidi w:val="0"/>
              <w:spacing w:line="280" w:lineRule="exact"/>
              <w:ind w:firstLine="0" w:firstLineChars="0"/>
              <w:jc w:val="center"/>
              <w:textAlignment w:val="auto"/>
              <w:rPr>
                <w:color w:val="auto"/>
                <w:sz w:val="21"/>
                <w:szCs w:val="21"/>
                <w:highlight w:val="none"/>
              </w:rPr>
            </w:pPr>
            <w:r>
              <w:rPr>
                <w:rFonts w:hint="eastAsia"/>
                <w:color w:val="auto"/>
                <w:sz w:val="21"/>
                <w:szCs w:val="21"/>
                <w:highlight w:val="none"/>
              </w:rPr>
              <w:t>—</w:t>
            </w:r>
          </w:p>
        </w:tc>
        <w:tc>
          <w:tcPr>
            <w:tcW w:w="1218" w:type="pct"/>
            <w:vAlign w:val="center"/>
          </w:tcPr>
          <w:p w14:paraId="6F1DC8C3">
            <w:pPr>
              <w:keepNext w:val="0"/>
              <w:keepLines w:val="0"/>
              <w:pageBreakBefore w:val="0"/>
              <w:widowControl/>
              <w:kinsoku/>
              <w:wordWrap/>
              <w:overflowPunct/>
              <w:topLinePunct w:val="0"/>
              <w:autoSpaceDE w:val="0"/>
              <w:autoSpaceDN w:val="0"/>
              <w:bidi w:val="0"/>
              <w:spacing w:line="280" w:lineRule="exact"/>
              <w:ind w:firstLine="0" w:firstLineChars="0"/>
              <w:jc w:val="center"/>
              <w:textAlignment w:val="auto"/>
              <w:rPr>
                <w:color w:val="auto"/>
                <w:sz w:val="21"/>
                <w:szCs w:val="21"/>
                <w:highlight w:val="none"/>
              </w:rPr>
            </w:pPr>
            <w:r>
              <w:rPr>
                <w:rFonts w:hint="eastAsia"/>
                <w:color w:val="auto"/>
                <w:sz w:val="21"/>
                <w:szCs w:val="21"/>
                <w:highlight w:val="none"/>
              </w:rPr>
              <w:t>—</w:t>
            </w:r>
          </w:p>
        </w:tc>
        <w:tc>
          <w:tcPr>
            <w:tcW w:w="1675" w:type="pct"/>
            <w:vAlign w:val="center"/>
          </w:tcPr>
          <w:p w14:paraId="6A912D6A">
            <w:pPr>
              <w:keepNext w:val="0"/>
              <w:keepLines w:val="0"/>
              <w:pageBreakBefore w:val="0"/>
              <w:widowControl/>
              <w:kinsoku/>
              <w:wordWrap/>
              <w:overflowPunct/>
              <w:topLinePunct w:val="0"/>
              <w:autoSpaceDE w:val="0"/>
              <w:autoSpaceDN w:val="0"/>
              <w:bidi w:val="0"/>
              <w:spacing w:line="280" w:lineRule="exact"/>
              <w:ind w:firstLine="0" w:firstLineChars="0"/>
              <w:jc w:val="center"/>
              <w:textAlignment w:val="auto"/>
              <w:rPr>
                <w:color w:val="auto"/>
                <w:sz w:val="21"/>
                <w:szCs w:val="21"/>
                <w:highlight w:val="none"/>
              </w:rPr>
            </w:pPr>
            <w:r>
              <w:rPr>
                <w:rFonts w:hint="eastAsia"/>
                <w:color w:val="auto"/>
                <w:sz w:val="21"/>
                <w:szCs w:val="21"/>
                <w:highlight w:val="none"/>
              </w:rPr>
              <w:t>—</w:t>
            </w:r>
          </w:p>
        </w:tc>
      </w:tr>
      <w:tr w14:paraId="4DDF20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03" w:type="pct"/>
            <w:vAlign w:val="center"/>
          </w:tcPr>
          <w:p w14:paraId="18D35C9A">
            <w:pPr>
              <w:spacing w:line="240" w:lineRule="auto"/>
              <w:ind w:firstLine="0" w:firstLineChars="0"/>
              <w:jc w:val="center"/>
              <w:rPr>
                <w:color w:val="auto"/>
                <w:sz w:val="21"/>
                <w:szCs w:val="21"/>
                <w:highlight w:val="none"/>
              </w:rPr>
            </w:pPr>
            <w:r>
              <w:rPr>
                <w:color w:val="auto"/>
                <w:sz w:val="21"/>
                <w:szCs w:val="21"/>
                <w:highlight w:val="none"/>
              </w:rPr>
              <w:t>固体废物</w:t>
            </w:r>
          </w:p>
        </w:tc>
        <w:tc>
          <w:tcPr>
            <w:tcW w:w="4596" w:type="pct"/>
            <w:gridSpan w:val="4"/>
            <w:vAlign w:val="center"/>
          </w:tcPr>
          <w:p w14:paraId="12C1587F">
            <w:pPr>
              <w:pStyle w:val="135"/>
              <w:keepNext w:val="0"/>
              <w:keepLines w:val="0"/>
              <w:pageBreakBefore w:val="0"/>
              <w:widowControl/>
              <w:kinsoku/>
              <w:wordWrap/>
              <w:overflowPunct/>
              <w:topLinePunct w:val="0"/>
              <w:autoSpaceDE w:val="0"/>
              <w:autoSpaceDN w:val="0"/>
              <w:bidi w:val="0"/>
              <w:adjustRightInd/>
              <w:snapToGrid/>
              <w:spacing w:beforeLines="0" w:afterLines="0" w:line="360" w:lineRule="auto"/>
              <w:ind w:firstLine="0" w:firstLineChars="0"/>
              <w:jc w:val="center"/>
              <w:textAlignment w:val="auto"/>
              <w:rPr>
                <w:rFonts w:hint="default" w:eastAsia="宋体"/>
                <w:color w:val="auto"/>
                <w:highlight w:val="none"/>
                <w:lang w:val="en-US" w:eastAsia="zh-CN"/>
              </w:rPr>
            </w:pPr>
            <w:r>
              <w:rPr>
                <w:rFonts w:hint="eastAsia"/>
                <w:color w:val="auto"/>
                <w:sz w:val="21"/>
                <w:szCs w:val="21"/>
                <w:highlight w:val="none"/>
                <w:lang w:val="en-US" w:eastAsia="zh-CN"/>
              </w:rPr>
              <w:t>一般固废：①大粒径物料</w:t>
            </w:r>
            <w:r>
              <w:rPr>
                <w:rFonts w:hint="eastAsia" w:ascii="Times New Roman" w:hAnsi="Times New Roman" w:eastAsia="宋体" w:cs="Times New Roman"/>
                <w:color w:val="auto"/>
                <w:sz w:val="21"/>
                <w:szCs w:val="21"/>
                <w:highlight w:val="none"/>
                <w:lang w:val="en-US" w:eastAsia="zh-CN"/>
              </w:rPr>
              <w:t>：</w:t>
            </w:r>
            <w:r>
              <w:rPr>
                <w:rFonts w:hint="eastAsia"/>
                <w:color w:val="auto"/>
                <w:sz w:val="21"/>
                <w:szCs w:val="21"/>
                <w:highlight w:val="none"/>
                <w:lang w:val="en-US" w:eastAsia="zh-CN"/>
              </w:rPr>
              <w:t>统一收集后回烧结配料</w:t>
            </w:r>
            <w:r>
              <w:rPr>
                <w:rFonts w:hint="eastAsia" w:ascii="Times New Roman" w:cs="Times New Roman"/>
                <w:color w:val="auto"/>
                <w:sz w:val="21"/>
                <w:szCs w:val="21"/>
                <w:highlight w:val="none"/>
                <w:lang w:eastAsia="zh-CN"/>
              </w:rPr>
              <w:t>；</w:t>
            </w:r>
            <w:r>
              <w:rPr>
                <w:rFonts w:hint="eastAsia" w:ascii="Times New Roman" w:cs="Times New Roman"/>
                <w:color w:val="auto"/>
                <w:sz w:val="21"/>
                <w:szCs w:val="21"/>
                <w:highlight w:val="none"/>
                <w:lang w:val="en-US" w:eastAsia="zh-CN"/>
              </w:rPr>
              <w:t>②</w:t>
            </w:r>
            <w:r>
              <w:rPr>
                <w:rFonts w:hint="eastAsia"/>
                <w:color w:val="auto"/>
                <w:sz w:val="21"/>
                <w:szCs w:val="21"/>
                <w:highlight w:val="none"/>
              </w:rPr>
              <w:t>除尘灰</w:t>
            </w:r>
            <w:r>
              <w:rPr>
                <w:rFonts w:hint="eastAsia"/>
                <w:color w:val="auto"/>
                <w:sz w:val="21"/>
                <w:szCs w:val="21"/>
                <w:highlight w:val="none"/>
                <w:lang w:eastAsia="zh-CN"/>
              </w:rPr>
              <w:t>、</w:t>
            </w:r>
            <w:r>
              <w:rPr>
                <w:rFonts w:hint="eastAsia"/>
                <w:color w:val="auto"/>
                <w:sz w:val="21"/>
                <w:szCs w:val="21"/>
                <w:highlight w:val="none"/>
                <w:lang w:val="en-US" w:eastAsia="zh-CN"/>
              </w:rPr>
              <w:t>半成品筛分筛下物、洗车沉泥</w:t>
            </w:r>
            <w:r>
              <w:rPr>
                <w:rFonts w:hint="eastAsia"/>
                <w:color w:val="auto"/>
                <w:sz w:val="21"/>
                <w:szCs w:val="21"/>
                <w:highlight w:val="none"/>
                <w:lang w:eastAsia="zh-CN"/>
              </w:rPr>
              <w:t>：</w:t>
            </w:r>
            <w:r>
              <w:rPr>
                <w:rFonts w:hint="eastAsia"/>
                <w:color w:val="auto"/>
                <w:sz w:val="21"/>
                <w:szCs w:val="21"/>
                <w:highlight w:val="none"/>
                <w:lang w:val="en-US" w:eastAsia="zh-CN"/>
              </w:rPr>
              <w:t>作为原料回用；③废布袋：</w:t>
            </w:r>
            <w:r>
              <w:rPr>
                <w:rFonts w:hint="eastAsia"/>
                <w:color w:val="auto"/>
                <w:sz w:val="21"/>
                <w:szCs w:val="21"/>
                <w:highlight w:val="none"/>
              </w:rPr>
              <w:t>收集后</w:t>
            </w:r>
            <w:r>
              <w:rPr>
                <w:rFonts w:hint="eastAsia" w:ascii="Times New Roman"/>
                <w:color w:val="auto"/>
                <w:sz w:val="21"/>
                <w:szCs w:val="21"/>
                <w:highlight w:val="none"/>
              </w:rPr>
              <w:t>由厂家回收利用</w:t>
            </w:r>
            <w:r>
              <w:rPr>
                <w:rFonts w:hint="eastAsia" w:ascii="Times New Roman"/>
                <w:color w:val="auto"/>
                <w:sz w:val="21"/>
                <w:szCs w:val="21"/>
                <w:highlight w:val="none"/>
                <w:lang w:eastAsia="zh-CN"/>
              </w:rPr>
              <w:t>；</w:t>
            </w:r>
            <w:r>
              <w:rPr>
                <w:rFonts w:hint="eastAsia" w:ascii="Times New Roman"/>
                <w:color w:val="auto"/>
                <w:sz w:val="21"/>
                <w:szCs w:val="21"/>
                <w:highlight w:val="none"/>
                <w:lang w:val="en-US" w:eastAsia="zh-CN"/>
              </w:rPr>
              <w:t>④</w:t>
            </w:r>
            <w:r>
              <w:rPr>
                <w:rFonts w:hint="eastAsia" w:cs="Times New Roman"/>
                <w:color w:val="auto"/>
                <w:sz w:val="21"/>
                <w:szCs w:val="21"/>
                <w:highlight w:val="none"/>
                <w:lang w:val="en-US" w:eastAsia="zh-CN"/>
              </w:rPr>
              <w:t>未成形的不合格品：</w:t>
            </w:r>
            <w:r>
              <w:rPr>
                <w:rFonts w:hint="eastAsia" w:ascii="Times New Roman"/>
                <w:color w:val="auto"/>
                <w:sz w:val="21"/>
                <w:szCs w:val="21"/>
                <w:highlight w:val="none"/>
              </w:rPr>
              <w:t>返回</w:t>
            </w:r>
            <w:r>
              <w:rPr>
                <w:rFonts w:hint="eastAsia" w:ascii="Times New Roman"/>
                <w:color w:val="auto"/>
                <w:sz w:val="21"/>
                <w:szCs w:val="21"/>
                <w:highlight w:val="none"/>
                <w:lang w:val="en-US" w:eastAsia="zh-CN"/>
              </w:rPr>
              <w:t>中转</w:t>
            </w:r>
            <w:r>
              <w:rPr>
                <w:rFonts w:hint="eastAsia" w:ascii="Times New Roman"/>
                <w:color w:val="auto"/>
                <w:sz w:val="21"/>
                <w:szCs w:val="21"/>
                <w:highlight w:val="none"/>
              </w:rPr>
              <w:t>工序回用</w:t>
            </w:r>
            <w:r>
              <w:rPr>
                <w:rFonts w:hint="eastAsia" w:ascii="Times New Roman"/>
                <w:color w:val="auto"/>
                <w:sz w:val="21"/>
                <w:szCs w:val="21"/>
                <w:highlight w:val="none"/>
                <w:lang w:eastAsia="zh-CN"/>
              </w:rPr>
              <w:t>；</w:t>
            </w:r>
            <w:r>
              <w:rPr>
                <w:rFonts w:hint="eastAsia" w:ascii="Times New Roman"/>
                <w:color w:val="auto"/>
                <w:sz w:val="21"/>
                <w:szCs w:val="21"/>
                <w:highlight w:val="none"/>
                <w:lang w:val="en-US" w:eastAsia="zh-CN"/>
              </w:rPr>
              <w:t>⑤</w:t>
            </w:r>
            <w:r>
              <w:rPr>
                <w:rFonts w:hint="eastAsia"/>
                <w:color w:val="auto"/>
                <w:sz w:val="21"/>
                <w:szCs w:val="21"/>
                <w:highlight w:val="none"/>
                <w:lang w:val="en-US" w:eastAsia="zh-CN"/>
              </w:rPr>
              <w:t>粘合剂废包装袋：</w:t>
            </w:r>
            <w:r>
              <w:rPr>
                <w:rFonts w:hint="eastAsia"/>
                <w:color w:val="auto"/>
                <w:sz w:val="21"/>
                <w:szCs w:val="21"/>
                <w:highlight w:val="none"/>
              </w:rPr>
              <w:t>收集后</w:t>
            </w:r>
            <w:r>
              <w:rPr>
                <w:rFonts w:hint="eastAsia" w:ascii="Times New Roman"/>
                <w:color w:val="auto"/>
                <w:sz w:val="21"/>
                <w:szCs w:val="21"/>
                <w:highlight w:val="none"/>
              </w:rPr>
              <w:t>由厂家回收利用</w:t>
            </w:r>
          </w:p>
          <w:p w14:paraId="74F4DB56">
            <w:pPr>
              <w:pStyle w:val="135"/>
              <w:keepNext w:val="0"/>
              <w:keepLines w:val="0"/>
              <w:pageBreakBefore w:val="0"/>
              <w:widowControl/>
              <w:kinsoku/>
              <w:wordWrap/>
              <w:overflowPunct/>
              <w:topLinePunct w:val="0"/>
              <w:autoSpaceDE w:val="0"/>
              <w:autoSpaceDN w:val="0"/>
              <w:bidi w:val="0"/>
              <w:adjustRightInd/>
              <w:snapToGrid/>
              <w:spacing w:beforeLines="0" w:afterLines="0" w:line="360" w:lineRule="auto"/>
              <w:ind w:firstLine="0" w:firstLineChars="0"/>
              <w:jc w:val="center"/>
              <w:textAlignment w:val="auto"/>
              <w:rPr>
                <w:rFonts w:hint="default" w:eastAsia="宋体"/>
                <w:color w:val="auto"/>
                <w:sz w:val="21"/>
                <w:szCs w:val="21"/>
                <w:highlight w:val="none"/>
                <w:lang w:val="en-US" w:eastAsia="zh-CN"/>
              </w:rPr>
            </w:pPr>
            <w:r>
              <w:rPr>
                <w:rFonts w:hint="eastAsia" w:ascii="Times New Roman" w:cs="Times New Roman"/>
                <w:color w:val="auto"/>
                <w:sz w:val="21"/>
                <w:szCs w:val="21"/>
                <w:highlight w:val="none"/>
                <w:lang w:val="en-US" w:eastAsia="zh-CN"/>
              </w:rPr>
              <w:t>危险废物：</w:t>
            </w:r>
            <w:r>
              <w:rPr>
                <w:rFonts w:hint="eastAsia"/>
                <w:color w:val="auto"/>
                <w:sz w:val="21"/>
                <w:szCs w:val="21"/>
                <w:highlight w:val="none"/>
              </w:rPr>
              <w:t>废润滑油、废液压油集中收集于</w:t>
            </w:r>
            <w:r>
              <w:rPr>
                <w:rFonts w:hint="eastAsia"/>
                <w:color w:val="auto"/>
                <w:sz w:val="21"/>
                <w:szCs w:val="21"/>
                <w:highlight w:val="none"/>
                <w:lang w:eastAsia="zh-CN"/>
              </w:rPr>
              <w:t>铁桶</w:t>
            </w:r>
            <w:r>
              <w:rPr>
                <w:rFonts w:hint="eastAsia"/>
                <w:color w:val="auto"/>
                <w:sz w:val="21"/>
                <w:szCs w:val="21"/>
                <w:highlight w:val="none"/>
              </w:rPr>
              <w:t>内与废油桶</w:t>
            </w:r>
            <w:r>
              <w:rPr>
                <w:rFonts w:hint="eastAsia"/>
                <w:color w:val="auto"/>
                <w:sz w:val="21"/>
                <w:szCs w:val="21"/>
                <w:highlight w:val="none"/>
                <w:lang w:eastAsia="zh-CN"/>
              </w:rPr>
              <w:t>、</w:t>
            </w:r>
            <w:r>
              <w:rPr>
                <w:rFonts w:hint="eastAsia"/>
                <w:color w:val="auto"/>
                <w:sz w:val="21"/>
                <w:szCs w:val="21"/>
                <w:highlight w:val="none"/>
                <w:lang w:val="en-US" w:eastAsia="zh-CN"/>
              </w:rPr>
              <w:t>废电瓶</w:t>
            </w:r>
            <w:r>
              <w:rPr>
                <w:rFonts w:hint="eastAsia"/>
                <w:color w:val="auto"/>
                <w:sz w:val="21"/>
                <w:szCs w:val="21"/>
                <w:highlight w:val="none"/>
              </w:rPr>
              <w:t>在危废间暂存后，定期</w:t>
            </w:r>
            <w:r>
              <w:rPr>
                <w:rFonts w:hint="eastAsia"/>
                <w:color w:val="auto"/>
                <w:sz w:val="21"/>
                <w:szCs w:val="21"/>
                <w:highlight w:val="none"/>
                <w:lang w:eastAsia="zh-CN"/>
              </w:rPr>
              <w:t>交</w:t>
            </w:r>
            <w:r>
              <w:rPr>
                <w:rFonts w:hint="eastAsia"/>
                <w:color w:val="auto"/>
                <w:sz w:val="21"/>
                <w:szCs w:val="21"/>
                <w:highlight w:val="none"/>
              </w:rPr>
              <w:t>有资质的单位处置。</w:t>
            </w:r>
          </w:p>
        </w:tc>
      </w:tr>
      <w:tr w14:paraId="49E816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99" w:hRule="atLeast"/>
          <w:jc w:val="center"/>
        </w:trPr>
        <w:tc>
          <w:tcPr>
            <w:tcW w:w="403" w:type="pct"/>
            <w:vAlign w:val="center"/>
          </w:tcPr>
          <w:p w14:paraId="4109CB99">
            <w:pPr>
              <w:spacing w:line="240" w:lineRule="auto"/>
              <w:ind w:firstLine="0" w:firstLineChars="0"/>
              <w:jc w:val="center"/>
              <w:rPr>
                <w:color w:val="auto"/>
                <w:sz w:val="21"/>
                <w:szCs w:val="21"/>
                <w:highlight w:val="none"/>
              </w:rPr>
            </w:pPr>
            <w:r>
              <w:rPr>
                <w:color w:val="auto"/>
                <w:sz w:val="21"/>
                <w:szCs w:val="21"/>
                <w:highlight w:val="none"/>
              </w:rPr>
              <w:t>土壤及地下水污染防治措施</w:t>
            </w:r>
          </w:p>
        </w:tc>
        <w:tc>
          <w:tcPr>
            <w:tcW w:w="4596" w:type="pct"/>
            <w:gridSpan w:val="4"/>
            <w:vAlign w:val="center"/>
          </w:tcPr>
          <w:p w14:paraId="548470E5">
            <w:pPr>
              <w:pStyle w:val="25"/>
              <w:rPr>
                <w:color w:val="auto"/>
                <w:sz w:val="21"/>
                <w:szCs w:val="21"/>
                <w:highlight w:val="none"/>
              </w:rPr>
            </w:pPr>
            <w:r>
              <w:rPr>
                <w:rFonts w:hint="eastAsia"/>
                <w:lang w:val="en-US" w:eastAsia="zh-CN"/>
              </w:rPr>
              <w:t>生产车间依托原有，地面已采用</w:t>
            </w:r>
            <w:r>
              <w:rPr>
                <w:rFonts w:hint="default" w:ascii="Times New Roman" w:hAnsi="Times New Roman" w:cs="Times New Roman"/>
                <w:color w:val="auto"/>
                <w:sz w:val="21"/>
                <w:szCs w:val="21"/>
                <w:highlight w:val="none"/>
              </w:rPr>
              <w:t>抗渗混凝土</w:t>
            </w:r>
            <w:r>
              <w:rPr>
                <w:rFonts w:hint="eastAsia" w:cs="Times New Roman"/>
                <w:color w:val="auto"/>
                <w:sz w:val="21"/>
                <w:szCs w:val="21"/>
                <w:highlight w:val="none"/>
                <w:lang w:val="en-US" w:eastAsia="zh-CN"/>
              </w:rPr>
              <w:t>进行防渗。</w:t>
            </w:r>
          </w:p>
        </w:tc>
      </w:tr>
      <w:tr w14:paraId="0ABD26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03" w:type="pct"/>
            <w:vAlign w:val="center"/>
          </w:tcPr>
          <w:p w14:paraId="048C4461">
            <w:pPr>
              <w:spacing w:line="240" w:lineRule="auto"/>
              <w:ind w:firstLine="0" w:firstLineChars="0"/>
              <w:jc w:val="center"/>
              <w:rPr>
                <w:color w:val="auto"/>
                <w:sz w:val="21"/>
                <w:szCs w:val="21"/>
                <w:highlight w:val="none"/>
              </w:rPr>
            </w:pPr>
            <w:r>
              <w:rPr>
                <w:color w:val="auto"/>
                <w:sz w:val="21"/>
                <w:szCs w:val="21"/>
                <w:highlight w:val="none"/>
              </w:rPr>
              <w:t>生态保护措施</w:t>
            </w:r>
          </w:p>
        </w:tc>
        <w:tc>
          <w:tcPr>
            <w:tcW w:w="4596" w:type="pct"/>
            <w:gridSpan w:val="4"/>
            <w:vAlign w:val="center"/>
          </w:tcPr>
          <w:p w14:paraId="750D28B9">
            <w:pPr>
              <w:spacing w:line="240" w:lineRule="auto"/>
              <w:ind w:firstLine="0" w:firstLineChars="0"/>
              <w:rPr>
                <w:color w:val="auto"/>
                <w:sz w:val="21"/>
                <w:szCs w:val="21"/>
                <w:highlight w:val="none"/>
              </w:rPr>
            </w:pPr>
            <w:r>
              <w:rPr>
                <w:rFonts w:hint="eastAsia"/>
                <w:color w:val="auto"/>
                <w:sz w:val="21"/>
                <w:szCs w:val="21"/>
                <w:highlight w:val="none"/>
              </w:rPr>
              <w:t>—</w:t>
            </w:r>
          </w:p>
        </w:tc>
      </w:tr>
      <w:tr w14:paraId="5B3423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03" w:type="pct"/>
            <w:vAlign w:val="center"/>
          </w:tcPr>
          <w:p w14:paraId="58A5324D">
            <w:pPr>
              <w:spacing w:line="240" w:lineRule="auto"/>
              <w:ind w:firstLine="0" w:firstLineChars="0"/>
              <w:jc w:val="center"/>
              <w:rPr>
                <w:color w:val="auto"/>
                <w:sz w:val="21"/>
                <w:szCs w:val="21"/>
                <w:highlight w:val="none"/>
              </w:rPr>
            </w:pPr>
            <w:r>
              <w:rPr>
                <w:color w:val="auto"/>
                <w:sz w:val="21"/>
                <w:szCs w:val="21"/>
                <w:highlight w:val="none"/>
              </w:rPr>
              <w:t>环境风险防范措施</w:t>
            </w:r>
          </w:p>
        </w:tc>
        <w:tc>
          <w:tcPr>
            <w:tcW w:w="4596" w:type="pct"/>
            <w:gridSpan w:val="4"/>
            <w:vAlign w:val="center"/>
          </w:tcPr>
          <w:p w14:paraId="5505C1EA">
            <w:pPr>
              <w:pStyle w:val="25"/>
              <w:rPr>
                <w:color w:val="auto"/>
                <w:sz w:val="21"/>
                <w:szCs w:val="21"/>
                <w:highlight w:val="none"/>
              </w:rPr>
            </w:pPr>
            <w:r>
              <w:rPr>
                <w:rFonts w:hint="eastAsia"/>
                <w:lang w:val="en-US" w:eastAsia="zh-CN"/>
              </w:rPr>
              <w:t>危废间依托现有，已配备应急物资。危废间地面已按要求采取相关防渗措施。企业应按照相关要求定期进行风险事故演练。</w:t>
            </w:r>
          </w:p>
        </w:tc>
      </w:tr>
      <w:tr w14:paraId="765403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03" w:type="pct"/>
            <w:vAlign w:val="center"/>
          </w:tcPr>
          <w:p w14:paraId="3C17571E">
            <w:pPr>
              <w:spacing w:line="240" w:lineRule="auto"/>
              <w:ind w:firstLine="0" w:firstLineChars="0"/>
              <w:rPr>
                <w:color w:val="auto"/>
                <w:sz w:val="21"/>
                <w:szCs w:val="21"/>
                <w:highlight w:val="none"/>
              </w:rPr>
            </w:pPr>
            <w:r>
              <w:rPr>
                <w:color w:val="auto"/>
                <w:sz w:val="21"/>
                <w:szCs w:val="21"/>
                <w:highlight w:val="none"/>
              </w:rPr>
              <w:t>其他环境管理要求</w:t>
            </w:r>
          </w:p>
        </w:tc>
        <w:tc>
          <w:tcPr>
            <w:tcW w:w="4596" w:type="pct"/>
            <w:gridSpan w:val="4"/>
            <w:vAlign w:val="center"/>
          </w:tcPr>
          <w:p w14:paraId="019F0395">
            <w:pPr>
              <w:keepNext w:val="0"/>
              <w:keepLines w:val="0"/>
              <w:pageBreakBefore w:val="0"/>
              <w:widowControl/>
              <w:kinsoku/>
              <w:wordWrap/>
              <w:overflowPunct/>
              <w:topLinePunct w:val="0"/>
              <w:autoSpaceDE w:val="0"/>
              <w:autoSpaceDN w:val="0"/>
              <w:bidi w:val="0"/>
              <w:adjustRightInd w:val="0"/>
              <w:snapToGrid w:val="0"/>
              <w:spacing w:line="280" w:lineRule="exact"/>
              <w:ind w:firstLine="420"/>
              <w:textAlignment w:val="auto"/>
              <w:rPr>
                <w:color w:val="auto"/>
                <w:sz w:val="21"/>
                <w:szCs w:val="21"/>
                <w:highlight w:val="none"/>
              </w:rPr>
            </w:pPr>
            <w:r>
              <w:rPr>
                <w:rFonts w:hint="eastAsia"/>
                <w:color w:val="auto"/>
                <w:sz w:val="21"/>
                <w:szCs w:val="21"/>
                <w:highlight w:val="none"/>
              </w:rPr>
              <w:t>1.排放口规范化</w:t>
            </w:r>
          </w:p>
          <w:p w14:paraId="2C6E9FD9">
            <w:pPr>
              <w:keepNext w:val="0"/>
              <w:keepLines w:val="0"/>
              <w:pageBreakBefore w:val="0"/>
              <w:widowControl/>
              <w:kinsoku/>
              <w:wordWrap/>
              <w:overflowPunct/>
              <w:topLinePunct w:val="0"/>
              <w:autoSpaceDE w:val="0"/>
              <w:autoSpaceDN w:val="0"/>
              <w:bidi w:val="0"/>
              <w:adjustRightInd w:val="0"/>
              <w:snapToGrid w:val="0"/>
              <w:spacing w:line="280" w:lineRule="exact"/>
              <w:ind w:firstLine="420"/>
              <w:textAlignment w:val="auto"/>
              <w:rPr>
                <w:color w:val="auto"/>
                <w:sz w:val="21"/>
                <w:szCs w:val="21"/>
                <w:highlight w:val="none"/>
              </w:rPr>
            </w:pPr>
            <w:r>
              <w:rPr>
                <w:rFonts w:hint="eastAsia"/>
                <w:color w:val="auto"/>
                <w:sz w:val="21"/>
                <w:szCs w:val="21"/>
                <w:highlight w:val="none"/>
              </w:rPr>
              <w:t>按照《排污口规范化整治技术要求</w:t>
            </w:r>
            <w:r>
              <w:rPr>
                <w:rFonts w:hint="eastAsia"/>
                <w:color w:val="auto"/>
                <w:sz w:val="21"/>
                <w:szCs w:val="21"/>
                <w:highlight w:val="none"/>
                <w:lang w:eastAsia="zh-CN"/>
              </w:rPr>
              <w:t>(</w:t>
            </w:r>
            <w:r>
              <w:rPr>
                <w:rFonts w:hint="eastAsia"/>
                <w:color w:val="auto"/>
                <w:sz w:val="21"/>
                <w:szCs w:val="21"/>
                <w:highlight w:val="none"/>
              </w:rPr>
              <w:t>试行)》</w:t>
            </w:r>
            <w:r>
              <w:rPr>
                <w:rFonts w:hint="eastAsia"/>
                <w:color w:val="auto"/>
                <w:sz w:val="21"/>
                <w:szCs w:val="21"/>
                <w:highlight w:val="none"/>
                <w:lang w:eastAsia="zh-CN"/>
              </w:rPr>
              <w:t>(</w:t>
            </w:r>
            <w:r>
              <w:rPr>
                <w:rFonts w:hint="eastAsia"/>
                <w:color w:val="auto"/>
                <w:sz w:val="21"/>
                <w:szCs w:val="21"/>
                <w:highlight w:val="none"/>
              </w:rPr>
              <w:t>环监[1996]470号)相关要求设置规范化排污口。</w:t>
            </w:r>
          </w:p>
          <w:p w14:paraId="56F758E8">
            <w:pPr>
              <w:keepNext w:val="0"/>
              <w:keepLines w:val="0"/>
              <w:pageBreakBefore w:val="0"/>
              <w:widowControl/>
              <w:kinsoku/>
              <w:wordWrap/>
              <w:overflowPunct/>
              <w:topLinePunct w:val="0"/>
              <w:autoSpaceDE w:val="0"/>
              <w:autoSpaceDN w:val="0"/>
              <w:bidi w:val="0"/>
              <w:adjustRightInd w:val="0"/>
              <w:snapToGrid w:val="0"/>
              <w:spacing w:line="280" w:lineRule="exact"/>
              <w:ind w:firstLine="420"/>
              <w:textAlignment w:val="auto"/>
              <w:rPr>
                <w:color w:val="auto"/>
                <w:sz w:val="21"/>
                <w:szCs w:val="21"/>
                <w:highlight w:val="none"/>
              </w:rPr>
            </w:pPr>
            <w:r>
              <w:rPr>
                <w:rFonts w:hint="eastAsia"/>
                <w:color w:val="auto"/>
                <w:sz w:val="21"/>
                <w:szCs w:val="21"/>
                <w:highlight w:val="none"/>
                <w:lang w:eastAsia="zh-CN"/>
              </w:rPr>
              <w:t>(</w:t>
            </w:r>
            <w:r>
              <w:rPr>
                <w:rFonts w:hint="eastAsia"/>
                <w:color w:val="auto"/>
                <w:sz w:val="21"/>
                <w:szCs w:val="21"/>
                <w:highlight w:val="none"/>
              </w:rPr>
              <w:t>1)废气排放口设置便于采样、监测的采样口，废气监测平台、监测断面和监测孔的设置应符合GB/T16157、HJ/T397等的要求；监测平台应便于开展监测活动，应能保证监测人员的安全。</w:t>
            </w:r>
          </w:p>
          <w:p w14:paraId="7B74B02E">
            <w:pPr>
              <w:keepNext w:val="0"/>
              <w:keepLines w:val="0"/>
              <w:pageBreakBefore w:val="0"/>
              <w:widowControl/>
              <w:kinsoku/>
              <w:wordWrap/>
              <w:overflowPunct/>
              <w:topLinePunct w:val="0"/>
              <w:autoSpaceDE w:val="0"/>
              <w:autoSpaceDN w:val="0"/>
              <w:bidi w:val="0"/>
              <w:adjustRightInd w:val="0"/>
              <w:snapToGrid w:val="0"/>
              <w:spacing w:line="280" w:lineRule="exact"/>
              <w:ind w:firstLine="420"/>
              <w:textAlignment w:val="auto"/>
              <w:rPr>
                <w:rFonts w:hint="eastAsia"/>
                <w:color w:val="auto"/>
                <w:sz w:val="21"/>
                <w:szCs w:val="21"/>
                <w:highlight w:val="none"/>
              </w:rPr>
            </w:pPr>
            <w:r>
              <w:rPr>
                <w:rFonts w:hint="eastAsia"/>
                <w:color w:val="auto"/>
                <w:sz w:val="21"/>
                <w:szCs w:val="21"/>
                <w:highlight w:val="none"/>
                <w:lang w:eastAsia="zh-CN"/>
              </w:rPr>
              <w:t>(</w:t>
            </w:r>
            <w:r>
              <w:rPr>
                <w:rFonts w:hint="eastAsia"/>
                <w:color w:val="auto"/>
                <w:sz w:val="21"/>
                <w:szCs w:val="21"/>
                <w:highlight w:val="none"/>
              </w:rPr>
              <w:t>2)按照国家标准《环境保护图形标志》</w:t>
            </w:r>
            <w:r>
              <w:rPr>
                <w:rFonts w:hint="eastAsia"/>
                <w:color w:val="auto"/>
                <w:sz w:val="21"/>
                <w:szCs w:val="21"/>
                <w:highlight w:val="none"/>
                <w:lang w:eastAsia="zh-CN"/>
              </w:rPr>
              <w:t>(</w:t>
            </w:r>
            <w:r>
              <w:rPr>
                <w:rFonts w:hint="eastAsia"/>
                <w:color w:val="auto"/>
                <w:sz w:val="21"/>
                <w:szCs w:val="21"/>
                <w:highlight w:val="none"/>
              </w:rPr>
              <w:t>GB15562.1-1995)的规定，设置与之相适应的环境保护图形标志牌，标明废气排放单位，排放口编号，污染物种类等。</w:t>
            </w:r>
          </w:p>
          <w:p w14:paraId="7EB5D745">
            <w:pPr>
              <w:pStyle w:val="53"/>
              <w:keepNext w:val="0"/>
              <w:keepLines w:val="0"/>
              <w:pageBreakBefore w:val="0"/>
              <w:widowControl w:val="0"/>
              <w:kinsoku/>
              <w:wordWrap/>
              <w:overflowPunct/>
              <w:topLinePunct w:val="0"/>
              <w:autoSpaceDE w:val="0"/>
              <w:autoSpaceDN w:val="0"/>
              <w:bidi w:val="0"/>
              <w:adjustRightInd/>
              <w:snapToGrid/>
              <w:spacing w:line="360" w:lineRule="auto"/>
              <w:ind w:firstLine="0" w:firstLineChars="0"/>
              <w:jc w:val="center"/>
              <w:textAlignment w:val="auto"/>
              <w:rPr>
                <w:rFonts w:hint="default" w:ascii="Times New Roman" w:hAnsi="Times New Roman" w:eastAsia="宋体" w:cs="Times New Roman"/>
                <w:b/>
                <w:color w:val="auto"/>
                <w:kern w:val="2"/>
                <w:sz w:val="21"/>
                <w:szCs w:val="21"/>
                <w:highlight w:val="none"/>
              </w:rPr>
            </w:pPr>
          </w:p>
          <w:p w14:paraId="1050694F">
            <w:pPr>
              <w:pStyle w:val="53"/>
              <w:keepNext w:val="0"/>
              <w:keepLines w:val="0"/>
              <w:pageBreakBefore w:val="0"/>
              <w:widowControl w:val="0"/>
              <w:kinsoku/>
              <w:wordWrap/>
              <w:overflowPunct/>
              <w:topLinePunct w:val="0"/>
              <w:autoSpaceDE w:val="0"/>
              <w:autoSpaceDN w:val="0"/>
              <w:bidi w:val="0"/>
              <w:adjustRightInd/>
              <w:snapToGrid/>
              <w:spacing w:line="360" w:lineRule="auto"/>
              <w:ind w:firstLine="0" w:firstLineChars="0"/>
              <w:jc w:val="center"/>
              <w:textAlignment w:val="auto"/>
              <w:rPr>
                <w:rFonts w:hint="default" w:ascii="Times New Roman" w:hAnsi="Times New Roman" w:eastAsia="宋体" w:cs="Times New Roman"/>
                <w:b/>
                <w:color w:val="auto"/>
                <w:kern w:val="2"/>
                <w:sz w:val="21"/>
                <w:szCs w:val="21"/>
                <w:highlight w:val="none"/>
              </w:rPr>
            </w:pPr>
          </w:p>
          <w:p w14:paraId="1E63DB8A">
            <w:pPr>
              <w:pStyle w:val="53"/>
              <w:keepNext w:val="0"/>
              <w:keepLines w:val="0"/>
              <w:pageBreakBefore w:val="0"/>
              <w:widowControl w:val="0"/>
              <w:kinsoku/>
              <w:wordWrap/>
              <w:overflowPunct/>
              <w:topLinePunct w:val="0"/>
              <w:autoSpaceDE w:val="0"/>
              <w:autoSpaceDN w:val="0"/>
              <w:bidi w:val="0"/>
              <w:adjustRightInd/>
              <w:snapToGrid/>
              <w:spacing w:line="360" w:lineRule="auto"/>
              <w:ind w:firstLine="0" w:firstLineChars="0"/>
              <w:jc w:val="center"/>
              <w:textAlignment w:val="auto"/>
              <w:rPr>
                <w:rFonts w:hint="default" w:ascii="Times New Roman" w:hAnsi="Times New Roman" w:eastAsia="宋体" w:cs="Times New Roman"/>
                <w:b/>
                <w:color w:val="auto"/>
                <w:kern w:val="2"/>
                <w:sz w:val="21"/>
                <w:szCs w:val="21"/>
                <w:highlight w:val="none"/>
              </w:rPr>
            </w:pPr>
          </w:p>
          <w:p w14:paraId="35BA9E82">
            <w:pPr>
              <w:pStyle w:val="53"/>
              <w:keepNext w:val="0"/>
              <w:keepLines w:val="0"/>
              <w:pageBreakBefore w:val="0"/>
              <w:widowControl w:val="0"/>
              <w:kinsoku/>
              <w:wordWrap/>
              <w:overflowPunct/>
              <w:topLinePunct w:val="0"/>
              <w:autoSpaceDE w:val="0"/>
              <w:autoSpaceDN w:val="0"/>
              <w:bidi w:val="0"/>
              <w:adjustRightInd/>
              <w:snapToGrid/>
              <w:spacing w:line="360" w:lineRule="auto"/>
              <w:ind w:firstLine="0" w:firstLineChars="0"/>
              <w:jc w:val="center"/>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b/>
                <w:color w:val="auto"/>
                <w:kern w:val="2"/>
                <w:sz w:val="21"/>
                <w:szCs w:val="21"/>
                <w:highlight w:val="none"/>
              </w:rPr>
              <w:t>表</w:t>
            </w:r>
            <w:r>
              <w:rPr>
                <w:rFonts w:hint="eastAsia" w:ascii="Times New Roman" w:cs="Times New Roman"/>
                <w:b/>
                <w:color w:val="auto"/>
                <w:kern w:val="2"/>
                <w:sz w:val="21"/>
                <w:szCs w:val="21"/>
                <w:highlight w:val="none"/>
                <w:lang w:val="en-US" w:eastAsia="zh-CN"/>
              </w:rPr>
              <w:t xml:space="preserve">5-1  </w:t>
            </w:r>
            <w:r>
              <w:rPr>
                <w:rFonts w:hint="default" w:ascii="Times New Roman" w:hAnsi="Times New Roman" w:eastAsia="宋体" w:cs="Times New Roman"/>
                <w:b/>
                <w:color w:val="auto"/>
                <w:kern w:val="2"/>
                <w:sz w:val="21"/>
                <w:szCs w:val="21"/>
                <w:highlight w:val="none"/>
                <w:lang w:val="en-US" w:eastAsia="zh-CN"/>
              </w:rPr>
              <w:t xml:space="preserve">  </w:t>
            </w:r>
            <w:r>
              <w:rPr>
                <w:rFonts w:hint="default" w:ascii="Times New Roman" w:hAnsi="Times New Roman" w:eastAsia="宋体" w:cs="Times New Roman"/>
                <w:b/>
                <w:color w:val="auto"/>
                <w:kern w:val="2"/>
                <w:sz w:val="21"/>
                <w:szCs w:val="21"/>
                <w:highlight w:val="none"/>
              </w:rPr>
              <w:t>排放口规范化标志</w:t>
            </w:r>
          </w:p>
          <w:tbl>
            <w:tblPr>
              <w:tblStyle w:val="84"/>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0"/>
              <w:gridCol w:w="2480"/>
              <w:gridCol w:w="2232"/>
              <w:gridCol w:w="1323"/>
              <w:gridCol w:w="1964"/>
            </w:tblGrid>
            <w:tr w14:paraId="40D8C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atLeast"/>
              </w:trPr>
              <w:tc>
                <w:tcPr>
                  <w:tcW w:w="327" w:type="pct"/>
                  <w:tcBorders>
                    <w:top w:val="single" w:color="auto" w:sz="4" w:space="0"/>
                    <w:left w:val="single" w:color="auto" w:sz="4" w:space="0"/>
                    <w:bottom w:val="single" w:color="auto" w:sz="4" w:space="0"/>
                    <w:right w:val="single" w:color="auto" w:sz="4" w:space="0"/>
                  </w:tcBorders>
                  <w:noWrap w:val="0"/>
                  <w:vAlign w:val="center"/>
                </w:tcPr>
                <w:p w14:paraId="214D7F05">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447" w:type="pct"/>
                  <w:tcBorders>
                    <w:top w:val="single" w:color="auto" w:sz="4" w:space="0"/>
                    <w:left w:val="single" w:color="auto" w:sz="4" w:space="0"/>
                    <w:bottom w:val="single" w:color="auto" w:sz="4" w:space="0"/>
                    <w:right w:val="single" w:color="auto" w:sz="4" w:space="0"/>
                  </w:tcBorders>
                  <w:noWrap w:val="0"/>
                  <w:vAlign w:val="center"/>
                </w:tcPr>
                <w:p w14:paraId="00590825">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提示图形符号</w:t>
                  </w:r>
                </w:p>
                <w:p w14:paraId="63164F1C">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背景颜色：绿色</w:t>
                  </w:r>
                </w:p>
                <w:p w14:paraId="351CC6FB">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图形颜色：白色</w:t>
                  </w:r>
                </w:p>
              </w:tc>
              <w:tc>
                <w:tcPr>
                  <w:tcW w:w="1303" w:type="pct"/>
                  <w:tcBorders>
                    <w:top w:val="single" w:color="auto" w:sz="4" w:space="0"/>
                    <w:left w:val="single" w:color="auto" w:sz="4" w:space="0"/>
                    <w:bottom w:val="single" w:color="auto" w:sz="4" w:space="0"/>
                    <w:right w:val="single" w:color="auto" w:sz="4" w:space="0"/>
                  </w:tcBorders>
                  <w:noWrap w:val="0"/>
                  <w:vAlign w:val="center"/>
                </w:tcPr>
                <w:p w14:paraId="2C8A9C11">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警告图形符号</w:t>
                  </w:r>
                </w:p>
                <w:p w14:paraId="1ACF128C">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背景颜色：黄色</w:t>
                  </w:r>
                </w:p>
                <w:p w14:paraId="0CB76FF5">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图形颜色：黑色</w:t>
                  </w:r>
                </w:p>
              </w:tc>
              <w:tc>
                <w:tcPr>
                  <w:tcW w:w="772" w:type="pct"/>
                  <w:tcBorders>
                    <w:top w:val="single" w:color="auto" w:sz="4" w:space="0"/>
                    <w:left w:val="single" w:color="auto" w:sz="4" w:space="0"/>
                    <w:bottom w:val="single" w:color="auto" w:sz="4" w:space="0"/>
                    <w:right w:val="single" w:color="auto" w:sz="4" w:space="0"/>
                  </w:tcBorders>
                  <w:noWrap w:val="0"/>
                  <w:vAlign w:val="center"/>
                </w:tcPr>
                <w:p w14:paraId="5E662F81">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名称</w:t>
                  </w:r>
                </w:p>
              </w:tc>
              <w:tc>
                <w:tcPr>
                  <w:tcW w:w="1147" w:type="pct"/>
                  <w:tcBorders>
                    <w:top w:val="single" w:color="auto" w:sz="4" w:space="0"/>
                    <w:left w:val="single" w:color="auto" w:sz="4" w:space="0"/>
                    <w:bottom w:val="single" w:color="auto" w:sz="4" w:space="0"/>
                    <w:right w:val="single" w:color="auto" w:sz="4" w:space="0"/>
                  </w:tcBorders>
                  <w:noWrap w:val="0"/>
                  <w:vAlign w:val="center"/>
                </w:tcPr>
                <w:p w14:paraId="73098007">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功能</w:t>
                  </w:r>
                </w:p>
              </w:tc>
            </w:tr>
            <w:tr w14:paraId="61FF1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 w:hRule="atLeast"/>
              </w:trPr>
              <w:tc>
                <w:tcPr>
                  <w:tcW w:w="327" w:type="pct"/>
                  <w:tcBorders>
                    <w:top w:val="single" w:color="auto" w:sz="4" w:space="0"/>
                    <w:left w:val="single" w:color="auto" w:sz="4" w:space="0"/>
                    <w:bottom w:val="single" w:color="auto" w:sz="4" w:space="0"/>
                    <w:right w:val="single" w:color="auto" w:sz="4" w:space="0"/>
                  </w:tcBorders>
                  <w:noWrap w:val="0"/>
                  <w:vAlign w:val="center"/>
                </w:tcPr>
                <w:p w14:paraId="49B9F02B">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1</w:t>
                  </w:r>
                </w:p>
              </w:tc>
              <w:tc>
                <w:tcPr>
                  <w:tcW w:w="1447" w:type="pct"/>
                  <w:tcBorders>
                    <w:top w:val="single" w:color="auto" w:sz="4" w:space="0"/>
                    <w:left w:val="single" w:color="auto" w:sz="4" w:space="0"/>
                    <w:bottom w:val="single" w:color="auto" w:sz="4" w:space="0"/>
                    <w:right w:val="single" w:color="auto" w:sz="4" w:space="0"/>
                  </w:tcBorders>
                  <w:noWrap w:val="0"/>
                  <w:vAlign w:val="center"/>
                </w:tcPr>
                <w:p w14:paraId="7526D31E">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anchor distT="0" distB="0" distL="114300" distR="114300" simplePos="0" relativeHeight="251666432" behindDoc="0" locked="0" layoutInCell="1" allowOverlap="1">
                        <wp:simplePos x="0" y="0"/>
                        <wp:positionH relativeFrom="column">
                          <wp:posOffset>62865</wp:posOffset>
                        </wp:positionH>
                        <wp:positionV relativeFrom="paragraph">
                          <wp:posOffset>56515</wp:posOffset>
                        </wp:positionV>
                        <wp:extent cx="885825" cy="521335"/>
                        <wp:effectExtent l="0" t="0" r="9525" b="12065"/>
                        <wp:wrapNone/>
                        <wp:docPr id="11" name="Picture 10" descr="QQ截图20141014144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QQ截图20141014144550"/>
                                <pic:cNvPicPr>
                                  <a:picLocks noChangeAspect="1"/>
                                </pic:cNvPicPr>
                              </pic:nvPicPr>
                              <pic:blipFill>
                                <a:blip r:embed="rId37"/>
                                <a:stretch>
                                  <a:fillRect/>
                                </a:stretch>
                              </pic:blipFill>
                              <pic:spPr>
                                <a:xfrm>
                                  <a:off x="0" y="0"/>
                                  <a:ext cx="885825" cy="521335"/>
                                </a:xfrm>
                                <a:prstGeom prst="rect">
                                  <a:avLst/>
                                </a:prstGeom>
                                <a:noFill/>
                                <a:ln>
                                  <a:noFill/>
                                </a:ln>
                              </pic:spPr>
                            </pic:pic>
                          </a:graphicData>
                        </a:graphic>
                      </wp:anchor>
                    </w:drawing>
                  </w:r>
                </w:p>
              </w:tc>
              <w:tc>
                <w:tcPr>
                  <w:tcW w:w="1303" w:type="pct"/>
                  <w:tcBorders>
                    <w:top w:val="single" w:color="auto" w:sz="4" w:space="0"/>
                    <w:left w:val="single" w:color="auto" w:sz="4" w:space="0"/>
                    <w:bottom w:val="single" w:color="auto" w:sz="4" w:space="0"/>
                    <w:right w:val="single" w:color="auto" w:sz="4" w:space="0"/>
                  </w:tcBorders>
                  <w:noWrap w:val="0"/>
                  <w:vAlign w:val="center"/>
                </w:tcPr>
                <w:p w14:paraId="6174A400">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anchor distT="0" distB="0" distL="114300" distR="114300" simplePos="0" relativeHeight="251663360" behindDoc="0" locked="0" layoutInCell="1" allowOverlap="1">
                        <wp:simplePos x="0" y="0"/>
                        <wp:positionH relativeFrom="column">
                          <wp:posOffset>5715</wp:posOffset>
                        </wp:positionH>
                        <wp:positionV relativeFrom="paragraph">
                          <wp:posOffset>31750</wp:posOffset>
                        </wp:positionV>
                        <wp:extent cx="899795" cy="532130"/>
                        <wp:effectExtent l="0" t="0" r="14605" b="1270"/>
                        <wp:wrapNone/>
                        <wp:docPr id="8" name="Picture 5" descr="QQ截图20141014144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QQ截图20141014144613"/>
                                <pic:cNvPicPr>
                                  <a:picLocks noChangeAspect="1"/>
                                </pic:cNvPicPr>
                              </pic:nvPicPr>
                              <pic:blipFill>
                                <a:blip r:embed="rId38"/>
                                <a:stretch>
                                  <a:fillRect/>
                                </a:stretch>
                              </pic:blipFill>
                              <pic:spPr>
                                <a:xfrm>
                                  <a:off x="0" y="0"/>
                                  <a:ext cx="899795" cy="532130"/>
                                </a:xfrm>
                                <a:prstGeom prst="rect">
                                  <a:avLst/>
                                </a:prstGeom>
                                <a:noFill/>
                                <a:ln>
                                  <a:noFill/>
                                </a:ln>
                              </pic:spPr>
                            </pic:pic>
                          </a:graphicData>
                        </a:graphic>
                      </wp:anchor>
                    </w:drawing>
                  </w:r>
                </w:p>
              </w:tc>
              <w:tc>
                <w:tcPr>
                  <w:tcW w:w="772" w:type="pct"/>
                  <w:tcBorders>
                    <w:top w:val="single" w:color="auto" w:sz="4" w:space="0"/>
                    <w:left w:val="single" w:color="auto" w:sz="4" w:space="0"/>
                    <w:bottom w:val="single" w:color="auto" w:sz="4" w:space="0"/>
                    <w:right w:val="single" w:color="auto" w:sz="4" w:space="0"/>
                  </w:tcBorders>
                  <w:noWrap w:val="0"/>
                  <w:vAlign w:val="center"/>
                </w:tcPr>
                <w:p w14:paraId="049EA5D1">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废气排放口</w:t>
                  </w:r>
                </w:p>
              </w:tc>
              <w:tc>
                <w:tcPr>
                  <w:tcW w:w="1147" w:type="pct"/>
                  <w:tcBorders>
                    <w:top w:val="single" w:color="auto" w:sz="4" w:space="0"/>
                    <w:left w:val="single" w:color="auto" w:sz="4" w:space="0"/>
                    <w:bottom w:val="single" w:color="auto" w:sz="4" w:space="0"/>
                    <w:right w:val="single" w:color="auto" w:sz="4" w:space="0"/>
                  </w:tcBorders>
                  <w:noWrap w:val="0"/>
                  <w:vAlign w:val="center"/>
                </w:tcPr>
                <w:p w14:paraId="20F7D532">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表示废气向大气排放</w:t>
                  </w:r>
                </w:p>
              </w:tc>
            </w:tr>
            <w:tr w14:paraId="3A3E5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trPr>
              <w:tc>
                <w:tcPr>
                  <w:tcW w:w="327" w:type="pct"/>
                  <w:tcBorders>
                    <w:top w:val="single" w:color="auto" w:sz="4" w:space="0"/>
                    <w:left w:val="single" w:color="auto" w:sz="4" w:space="0"/>
                    <w:bottom w:val="single" w:color="auto" w:sz="4" w:space="0"/>
                    <w:right w:val="single" w:color="auto" w:sz="4" w:space="0"/>
                  </w:tcBorders>
                  <w:noWrap w:val="0"/>
                  <w:vAlign w:val="center"/>
                </w:tcPr>
                <w:p w14:paraId="4FC678A6">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2</w:t>
                  </w:r>
                </w:p>
              </w:tc>
              <w:tc>
                <w:tcPr>
                  <w:tcW w:w="1447" w:type="pct"/>
                  <w:tcBorders>
                    <w:top w:val="single" w:color="auto" w:sz="4" w:space="0"/>
                    <w:left w:val="single" w:color="auto" w:sz="4" w:space="0"/>
                    <w:bottom w:val="single" w:color="auto" w:sz="4" w:space="0"/>
                    <w:right w:val="single" w:color="auto" w:sz="4" w:space="0"/>
                  </w:tcBorders>
                  <w:noWrap w:val="0"/>
                  <w:vAlign w:val="center"/>
                </w:tcPr>
                <w:p w14:paraId="27507F96">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anchor distT="0" distB="0" distL="114300" distR="114300" simplePos="0" relativeHeight="251665408" behindDoc="0" locked="0" layoutInCell="1" allowOverlap="1">
                        <wp:simplePos x="0" y="0"/>
                        <wp:positionH relativeFrom="column">
                          <wp:posOffset>79375</wp:posOffset>
                        </wp:positionH>
                        <wp:positionV relativeFrom="paragraph">
                          <wp:posOffset>55245</wp:posOffset>
                        </wp:positionV>
                        <wp:extent cx="890270" cy="527685"/>
                        <wp:effectExtent l="0" t="0" r="5080" b="5715"/>
                        <wp:wrapNone/>
                        <wp:docPr id="3" name="Picture 9" descr="QQ截图20141014144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9" descr="QQ截图20141014144508"/>
                                <pic:cNvPicPr>
                                  <a:picLocks noChangeAspect="1"/>
                                </pic:cNvPicPr>
                              </pic:nvPicPr>
                              <pic:blipFill>
                                <a:blip r:embed="rId39"/>
                                <a:stretch>
                                  <a:fillRect/>
                                </a:stretch>
                              </pic:blipFill>
                              <pic:spPr>
                                <a:xfrm>
                                  <a:off x="0" y="0"/>
                                  <a:ext cx="890270" cy="527685"/>
                                </a:xfrm>
                                <a:prstGeom prst="rect">
                                  <a:avLst/>
                                </a:prstGeom>
                                <a:noFill/>
                                <a:ln>
                                  <a:noFill/>
                                </a:ln>
                              </pic:spPr>
                            </pic:pic>
                          </a:graphicData>
                        </a:graphic>
                      </wp:anchor>
                    </w:drawing>
                  </w:r>
                </w:p>
              </w:tc>
              <w:tc>
                <w:tcPr>
                  <w:tcW w:w="1303" w:type="pct"/>
                  <w:tcBorders>
                    <w:top w:val="single" w:color="auto" w:sz="4" w:space="0"/>
                    <w:left w:val="single" w:color="auto" w:sz="4" w:space="0"/>
                    <w:bottom w:val="single" w:color="auto" w:sz="4" w:space="0"/>
                    <w:right w:val="single" w:color="auto" w:sz="4" w:space="0"/>
                  </w:tcBorders>
                  <w:noWrap w:val="0"/>
                  <w:vAlign w:val="center"/>
                </w:tcPr>
                <w:p w14:paraId="2C05115C">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anchor distT="0" distB="0" distL="114300" distR="114300" simplePos="0" relativeHeight="251664384" behindDoc="0" locked="0" layoutInCell="1" allowOverlap="1">
                        <wp:simplePos x="0" y="0"/>
                        <wp:positionH relativeFrom="column">
                          <wp:posOffset>-17780</wp:posOffset>
                        </wp:positionH>
                        <wp:positionV relativeFrom="paragraph">
                          <wp:posOffset>33020</wp:posOffset>
                        </wp:positionV>
                        <wp:extent cx="972185" cy="537845"/>
                        <wp:effectExtent l="0" t="0" r="18415" b="14605"/>
                        <wp:wrapNone/>
                        <wp:docPr id="4" name="Picture 6" descr="QQ截图20141014144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6" descr="QQ截图20141014144623"/>
                                <pic:cNvPicPr>
                                  <a:picLocks noChangeAspect="1"/>
                                </pic:cNvPicPr>
                              </pic:nvPicPr>
                              <pic:blipFill>
                                <a:blip r:embed="rId40"/>
                                <a:stretch>
                                  <a:fillRect/>
                                </a:stretch>
                              </pic:blipFill>
                              <pic:spPr>
                                <a:xfrm>
                                  <a:off x="0" y="0"/>
                                  <a:ext cx="972185" cy="537845"/>
                                </a:xfrm>
                                <a:prstGeom prst="rect">
                                  <a:avLst/>
                                </a:prstGeom>
                                <a:noFill/>
                                <a:ln>
                                  <a:noFill/>
                                </a:ln>
                              </pic:spPr>
                            </pic:pic>
                          </a:graphicData>
                        </a:graphic>
                      </wp:anchor>
                    </w:drawing>
                  </w:r>
                </w:p>
              </w:tc>
              <w:tc>
                <w:tcPr>
                  <w:tcW w:w="772" w:type="pct"/>
                  <w:tcBorders>
                    <w:top w:val="single" w:color="auto" w:sz="4" w:space="0"/>
                    <w:left w:val="single" w:color="auto" w:sz="4" w:space="0"/>
                    <w:bottom w:val="single" w:color="auto" w:sz="4" w:space="0"/>
                    <w:right w:val="single" w:color="auto" w:sz="4" w:space="0"/>
                  </w:tcBorders>
                  <w:noWrap w:val="0"/>
                  <w:vAlign w:val="center"/>
                </w:tcPr>
                <w:p w14:paraId="43432A45">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噪声源</w:t>
                  </w:r>
                </w:p>
              </w:tc>
              <w:tc>
                <w:tcPr>
                  <w:tcW w:w="1147" w:type="pct"/>
                  <w:tcBorders>
                    <w:top w:val="single" w:color="auto" w:sz="4" w:space="0"/>
                    <w:left w:val="single" w:color="auto" w:sz="4" w:space="0"/>
                    <w:bottom w:val="single" w:color="auto" w:sz="4" w:space="0"/>
                    <w:right w:val="single" w:color="auto" w:sz="4" w:space="0"/>
                  </w:tcBorders>
                  <w:noWrap w:val="0"/>
                  <w:vAlign w:val="center"/>
                </w:tcPr>
                <w:p w14:paraId="1D0F0A16">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表示噪声向外环境排放</w:t>
                  </w:r>
                </w:p>
              </w:tc>
            </w:tr>
            <w:tr w14:paraId="766F0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5" w:hRule="atLeast"/>
              </w:trPr>
              <w:tc>
                <w:tcPr>
                  <w:tcW w:w="327" w:type="pct"/>
                  <w:tcBorders>
                    <w:top w:val="single" w:color="auto" w:sz="4" w:space="0"/>
                    <w:left w:val="single" w:color="auto" w:sz="4" w:space="0"/>
                    <w:bottom w:val="single" w:color="auto" w:sz="4" w:space="0"/>
                    <w:right w:val="single" w:color="auto" w:sz="4" w:space="0"/>
                  </w:tcBorders>
                  <w:noWrap w:val="0"/>
                  <w:vAlign w:val="center"/>
                </w:tcPr>
                <w:p w14:paraId="2DB0195E">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3</w:t>
                  </w:r>
                </w:p>
              </w:tc>
              <w:tc>
                <w:tcPr>
                  <w:tcW w:w="1447" w:type="pct"/>
                  <w:tcBorders>
                    <w:top w:val="single" w:color="auto" w:sz="4" w:space="0"/>
                    <w:left w:val="single" w:color="auto" w:sz="4" w:space="0"/>
                    <w:bottom w:val="single" w:color="auto" w:sz="4" w:space="0"/>
                    <w:right w:val="single" w:color="auto" w:sz="4" w:space="0"/>
                  </w:tcBorders>
                  <w:noWrap w:val="0"/>
                  <w:vAlign w:val="center"/>
                </w:tcPr>
                <w:p w14:paraId="0C998810">
                  <w:pPr>
                    <w:keepNext w:val="0"/>
                    <w:keepLines w:val="0"/>
                    <w:pageBreakBefore w:val="0"/>
                    <w:widowControl/>
                    <w:kinsoku/>
                    <w:wordWrap/>
                    <w:overflowPunct/>
                    <w:topLinePunct w:val="0"/>
                    <w:autoSpaceDE/>
                    <w:autoSpaceDN/>
                    <w:bidi w:val="0"/>
                    <w:adjustRightInd/>
                    <w:snapToGrid/>
                    <w:spacing w:line="240" w:lineRule="auto"/>
                    <w:ind w:firstLine="840" w:firstLineChars="40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303" w:type="pct"/>
                  <w:tcBorders>
                    <w:top w:val="single" w:color="auto" w:sz="4" w:space="0"/>
                    <w:left w:val="single" w:color="auto" w:sz="4" w:space="0"/>
                    <w:bottom w:val="single" w:color="auto" w:sz="4" w:space="0"/>
                    <w:right w:val="single" w:color="auto" w:sz="4" w:space="0"/>
                  </w:tcBorders>
                  <w:noWrap w:val="0"/>
                  <w:vAlign w:val="center"/>
                </w:tcPr>
                <w:p w14:paraId="7CA204D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outlineLvl w:val="1"/>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inline distT="0" distB="0" distL="114300" distR="114300">
                        <wp:extent cx="1153160" cy="955675"/>
                        <wp:effectExtent l="0" t="0" r="8890" b="15875"/>
                        <wp:docPr id="2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6"/>
                                <pic:cNvPicPr>
                                  <a:picLocks noChangeAspect="1"/>
                                </pic:cNvPicPr>
                              </pic:nvPicPr>
                              <pic:blipFill>
                                <a:blip r:embed="rId41"/>
                                <a:stretch>
                                  <a:fillRect/>
                                </a:stretch>
                              </pic:blipFill>
                              <pic:spPr>
                                <a:xfrm>
                                  <a:off x="0" y="0"/>
                                  <a:ext cx="1153160" cy="955675"/>
                                </a:xfrm>
                                <a:prstGeom prst="rect">
                                  <a:avLst/>
                                </a:prstGeom>
                                <a:noFill/>
                                <a:ln>
                                  <a:noFill/>
                                </a:ln>
                              </pic:spPr>
                            </pic:pic>
                          </a:graphicData>
                        </a:graphic>
                      </wp:inline>
                    </w:drawing>
                  </w:r>
                </w:p>
              </w:tc>
              <w:tc>
                <w:tcPr>
                  <w:tcW w:w="772" w:type="pct"/>
                  <w:tcBorders>
                    <w:top w:val="single" w:color="auto" w:sz="4" w:space="0"/>
                    <w:left w:val="single" w:color="auto" w:sz="4" w:space="0"/>
                    <w:bottom w:val="single" w:color="auto" w:sz="4" w:space="0"/>
                    <w:right w:val="single" w:color="auto" w:sz="4" w:space="0"/>
                  </w:tcBorders>
                  <w:noWrap w:val="0"/>
                  <w:vAlign w:val="center"/>
                </w:tcPr>
                <w:p w14:paraId="02C4FA99">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outlineLvl w:val="1"/>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危险废物储存</w:t>
                  </w:r>
                </w:p>
              </w:tc>
              <w:tc>
                <w:tcPr>
                  <w:tcW w:w="1147" w:type="pct"/>
                  <w:tcBorders>
                    <w:top w:val="single" w:color="auto" w:sz="4" w:space="0"/>
                    <w:left w:val="single" w:color="auto" w:sz="4" w:space="0"/>
                    <w:bottom w:val="single" w:color="auto" w:sz="4" w:space="0"/>
                    <w:right w:val="single" w:color="auto" w:sz="4" w:space="0"/>
                  </w:tcBorders>
                  <w:noWrap w:val="0"/>
                  <w:vAlign w:val="center"/>
                </w:tcPr>
                <w:p w14:paraId="22D96BB1">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outlineLvl w:val="1"/>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表示危废暂存场所</w:t>
                  </w:r>
                </w:p>
              </w:tc>
            </w:tr>
          </w:tbl>
          <w:p w14:paraId="5A03C022">
            <w:pPr>
              <w:keepNext w:val="0"/>
              <w:keepLines w:val="0"/>
              <w:pageBreakBefore w:val="0"/>
              <w:widowControl/>
              <w:kinsoku/>
              <w:wordWrap/>
              <w:overflowPunct/>
              <w:topLinePunct w:val="0"/>
              <w:autoSpaceDE w:val="0"/>
              <w:autoSpaceDN w:val="0"/>
              <w:bidi w:val="0"/>
              <w:adjustRightInd w:val="0"/>
              <w:snapToGrid w:val="0"/>
              <w:spacing w:line="360" w:lineRule="auto"/>
              <w:ind w:firstLine="420"/>
              <w:textAlignment w:val="auto"/>
              <w:rPr>
                <w:rFonts w:hint="eastAsia"/>
                <w:color w:val="auto"/>
                <w:sz w:val="21"/>
                <w:szCs w:val="21"/>
                <w:highlight w:val="none"/>
                <w:lang w:eastAsia="zh-CN"/>
              </w:rPr>
            </w:pPr>
            <w:r>
              <w:rPr>
                <w:rFonts w:hint="eastAsia"/>
                <w:color w:val="auto"/>
                <w:sz w:val="21"/>
                <w:szCs w:val="21"/>
                <w:highlight w:val="none"/>
                <w:lang w:eastAsia="zh-CN"/>
              </w:rPr>
              <w:t>2.严格落实排污许可证制度</w:t>
            </w:r>
          </w:p>
          <w:p w14:paraId="5DCA4EC9">
            <w:pPr>
              <w:keepNext w:val="0"/>
              <w:keepLines w:val="0"/>
              <w:pageBreakBefore w:val="0"/>
              <w:widowControl/>
              <w:kinsoku/>
              <w:wordWrap/>
              <w:overflowPunct/>
              <w:topLinePunct w:val="0"/>
              <w:autoSpaceDE w:val="0"/>
              <w:autoSpaceDN w:val="0"/>
              <w:bidi w:val="0"/>
              <w:adjustRightInd w:val="0"/>
              <w:snapToGrid w:val="0"/>
              <w:spacing w:line="360" w:lineRule="auto"/>
              <w:ind w:firstLine="420"/>
              <w:textAlignment w:val="auto"/>
              <w:rPr>
                <w:rFonts w:hint="eastAsia"/>
                <w:color w:val="auto"/>
                <w:sz w:val="21"/>
                <w:szCs w:val="21"/>
                <w:highlight w:val="none"/>
                <w:lang w:eastAsia="zh-CN"/>
              </w:rPr>
            </w:pPr>
            <w:r>
              <w:rPr>
                <w:rFonts w:hint="eastAsia"/>
                <w:color w:val="auto"/>
                <w:sz w:val="21"/>
                <w:szCs w:val="21"/>
                <w:highlight w:val="none"/>
                <w:lang w:eastAsia="zh-CN"/>
              </w:rPr>
              <w:t>根据《国务院办公厅关于印发控制污染物排放许可制实施方案的通知》(国办发[2016]81号)和《环境保护部关于印发《“十三五”环境影响评价改革实施方案&gt;的通知》(环评[2016]95号)，建设单位应做好建设项目环境影响评价制度与排污许可制相关工作。</w:t>
            </w:r>
          </w:p>
          <w:p w14:paraId="3583D7DD">
            <w:pPr>
              <w:keepNext w:val="0"/>
              <w:keepLines w:val="0"/>
              <w:pageBreakBefore w:val="0"/>
              <w:widowControl/>
              <w:kinsoku/>
              <w:wordWrap/>
              <w:overflowPunct/>
              <w:topLinePunct w:val="0"/>
              <w:autoSpaceDE w:val="0"/>
              <w:autoSpaceDN w:val="0"/>
              <w:bidi w:val="0"/>
              <w:adjustRightInd w:val="0"/>
              <w:snapToGrid w:val="0"/>
              <w:spacing w:line="360" w:lineRule="auto"/>
              <w:ind w:firstLine="420"/>
              <w:textAlignment w:val="auto"/>
              <w:rPr>
                <w:rFonts w:hint="eastAsia"/>
                <w:color w:val="auto"/>
                <w:sz w:val="21"/>
                <w:szCs w:val="21"/>
                <w:highlight w:val="none"/>
                <w:lang w:eastAsia="zh-CN"/>
              </w:rPr>
            </w:pPr>
            <w:r>
              <w:rPr>
                <w:rFonts w:hint="eastAsia"/>
                <w:color w:val="auto"/>
                <w:sz w:val="21"/>
                <w:szCs w:val="21"/>
                <w:highlight w:val="none"/>
                <w:lang w:eastAsia="zh-CN"/>
              </w:rPr>
              <w:t>①在排污许可管理中，应严格按照排污许可管理规定及排污许可申请与核发技术规范申请许可证的要求登记排污许可信息；</w:t>
            </w:r>
          </w:p>
          <w:p w14:paraId="50B299AB">
            <w:pPr>
              <w:keepNext w:val="0"/>
              <w:keepLines w:val="0"/>
              <w:pageBreakBefore w:val="0"/>
              <w:widowControl/>
              <w:kinsoku/>
              <w:wordWrap/>
              <w:overflowPunct/>
              <w:topLinePunct w:val="0"/>
              <w:autoSpaceDE w:val="0"/>
              <w:autoSpaceDN w:val="0"/>
              <w:bidi w:val="0"/>
              <w:adjustRightInd w:val="0"/>
              <w:snapToGrid w:val="0"/>
              <w:spacing w:line="360" w:lineRule="auto"/>
              <w:ind w:firstLine="420"/>
              <w:textAlignment w:val="auto"/>
              <w:rPr>
                <w:rFonts w:hint="eastAsia"/>
                <w:color w:val="auto"/>
                <w:sz w:val="21"/>
                <w:szCs w:val="21"/>
                <w:highlight w:val="none"/>
                <w:lang w:eastAsia="zh-CN"/>
              </w:rPr>
            </w:pPr>
            <w:r>
              <w:rPr>
                <w:rFonts w:hint="eastAsia"/>
                <w:color w:val="auto"/>
                <w:sz w:val="21"/>
                <w:szCs w:val="21"/>
                <w:highlight w:val="none"/>
                <w:lang w:eastAsia="zh-CN"/>
              </w:rPr>
              <w:t>②在按照排污许可管理规定及排污许可申请与核发技术规范申请排污许可证时应制定好自行监测计划等与污染物排放相关的主要内容；</w:t>
            </w:r>
          </w:p>
          <w:p w14:paraId="4CCA8809">
            <w:pPr>
              <w:keepNext w:val="0"/>
              <w:keepLines w:val="0"/>
              <w:pageBreakBefore w:val="0"/>
              <w:widowControl/>
              <w:kinsoku/>
              <w:wordWrap/>
              <w:overflowPunct/>
              <w:topLinePunct w:val="0"/>
              <w:autoSpaceDE w:val="0"/>
              <w:autoSpaceDN w:val="0"/>
              <w:bidi w:val="0"/>
              <w:adjustRightInd w:val="0"/>
              <w:snapToGrid w:val="0"/>
              <w:spacing w:line="360" w:lineRule="auto"/>
              <w:ind w:firstLine="420"/>
              <w:textAlignment w:val="auto"/>
              <w:rPr>
                <w:color w:val="auto"/>
                <w:sz w:val="21"/>
                <w:szCs w:val="21"/>
                <w:highlight w:val="none"/>
              </w:rPr>
            </w:pPr>
            <w:r>
              <w:rPr>
                <w:rFonts w:hint="eastAsia"/>
                <w:color w:val="auto"/>
                <w:sz w:val="21"/>
                <w:szCs w:val="21"/>
                <w:highlight w:val="none"/>
                <w:lang w:eastAsia="zh-CN"/>
              </w:rPr>
              <w:t>③项目在发生实际排污行为之前，排污单位应当按照国家环境保护相关法律法规以及排污许可证申请与核发技术规范要求申请排污许可证，不得无证排污或不按证排污。</w:t>
            </w:r>
          </w:p>
        </w:tc>
      </w:tr>
    </w:tbl>
    <w:p w14:paraId="40D3FA83">
      <w:pPr>
        <w:pStyle w:val="77"/>
        <w:spacing w:before="0" w:beforeAutospacing="0" w:after="0" w:afterAutospacing="0" w:line="240" w:lineRule="auto"/>
        <w:ind w:firstLine="0" w:firstLineChars="0"/>
        <w:outlineLvl w:val="0"/>
        <w:rPr>
          <w:rFonts w:ascii="Times New Roman" w:hAnsi="Times New Roman" w:eastAsiaTheme="minorEastAsia"/>
          <w:b/>
          <w:bCs/>
          <w:snapToGrid w:val="0"/>
          <w:color w:val="auto"/>
          <w:sz w:val="32"/>
          <w:szCs w:val="32"/>
          <w:highlight w:val="none"/>
        </w:rPr>
      </w:pPr>
      <w:r>
        <w:rPr>
          <w:rFonts w:ascii="Times New Roman" w:hAnsi="Times New Roman" w:eastAsiaTheme="minorEastAsia"/>
          <w:snapToGrid w:val="0"/>
          <w:color w:val="auto"/>
          <w:sz w:val="32"/>
          <w:szCs w:val="22"/>
          <w:highlight w:val="yellow"/>
        </w:rPr>
        <w:br w:type="page"/>
      </w:r>
      <w:r>
        <w:rPr>
          <w:rFonts w:ascii="Times New Roman" w:hAnsi="Times New Roman" w:eastAsiaTheme="minorEastAsia"/>
          <w:b/>
          <w:bCs/>
          <w:snapToGrid w:val="0"/>
          <w:color w:val="auto"/>
          <w:sz w:val="32"/>
          <w:szCs w:val="32"/>
          <w:highlight w:val="none"/>
        </w:rPr>
        <w:t>六、结论</w:t>
      </w:r>
    </w:p>
    <w:tbl>
      <w:tblPr>
        <w:tblStyle w:val="8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27B219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14:paraId="2B39ECE7">
            <w:pPr>
              <w:pStyle w:val="77"/>
              <w:spacing w:before="0" w:beforeAutospacing="0" w:after="0" w:afterAutospacing="0"/>
              <w:jc w:val="both"/>
              <w:rPr>
                <w:rFonts w:ascii="Times New Roman" w:hAnsi="Times New Roman"/>
                <w:color w:val="auto"/>
                <w:szCs w:val="21"/>
                <w:highlight w:val="none"/>
              </w:rPr>
            </w:pPr>
            <w:r>
              <w:rPr>
                <w:rFonts w:hint="eastAsia" w:ascii="Times New Roman" w:hAnsi="Times New Roman"/>
                <w:color w:val="auto"/>
                <w:szCs w:val="21"/>
                <w:highlight w:val="none"/>
                <w:lang w:eastAsia="zh-CN"/>
              </w:rPr>
              <w:t>唐山松汀钢铁有限公司含铁废料综合利用项目</w:t>
            </w:r>
            <w:r>
              <w:rPr>
                <w:rFonts w:ascii="Times New Roman" w:hAnsi="Times New Roman"/>
                <w:color w:val="auto"/>
                <w:szCs w:val="21"/>
                <w:highlight w:val="none"/>
              </w:rPr>
              <w:t>符合国家和地方产业政策，项目拟采取的环保措施技术可靠、经济可行，项目建设符合达标排放、总量控制的基本原则。厂区所在区域环境质量现状适合项目建设，项目建设对周围环境影响较小，厂址选择从环保角度合理。</w:t>
            </w:r>
          </w:p>
          <w:p w14:paraId="433FA561">
            <w:pPr>
              <w:pStyle w:val="77"/>
              <w:adjustRightInd w:val="0"/>
              <w:snapToGrid w:val="0"/>
              <w:spacing w:before="0" w:beforeAutospacing="0" w:after="0" w:afterAutospacing="0"/>
              <w:ind w:firstLine="480"/>
              <w:jc w:val="both"/>
              <w:rPr>
                <w:rFonts w:ascii="Times New Roman" w:hAnsi="Times New Roman"/>
                <w:color w:val="auto"/>
                <w:sz w:val="21"/>
                <w:szCs w:val="21"/>
                <w:highlight w:val="none"/>
              </w:rPr>
            </w:pPr>
            <w:r>
              <w:rPr>
                <w:rFonts w:ascii="Times New Roman" w:hAnsi="Times New Roman"/>
                <w:color w:val="auto"/>
                <w:sz w:val="21"/>
                <w:szCs w:val="21"/>
                <w:highlight w:val="none"/>
              </w:rPr>
              <w:t>建设单位在全面加强管理，落实主管部门的环保要求，严格认真落实各项环境保护措施和风险防范措施后，项目运营期对环境空气、水环境、声环境等的影响较小，能够满足功能区环境质量标准要求。项目运营期存在事故风险，通过采取严格的环境风险防范措施，可使事故风险发生率降至较小程度，减少危害，其风险在可接受水平。</w:t>
            </w:r>
          </w:p>
          <w:p w14:paraId="5C3E9208">
            <w:pPr>
              <w:rPr>
                <w:rFonts w:eastAsiaTheme="minorEastAsia"/>
                <w:color w:val="auto"/>
                <w:highlight w:val="none"/>
              </w:rPr>
            </w:pPr>
            <w:r>
              <w:rPr>
                <w:rFonts w:ascii="Times New Roman" w:hAnsi="Times New Roman"/>
                <w:color w:val="auto"/>
                <w:sz w:val="21"/>
                <w:szCs w:val="21"/>
                <w:highlight w:val="none"/>
              </w:rPr>
              <w:t>综上所述，本项目在严格执行国家、地方的各项环保政策、法规和规定</w:t>
            </w:r>
            <w:r>
              <w:rPr>
                <w:rFonts w:hint="eastAsia" w:ascii="Times New Roman" w:hAnsi="Times New Roman"/>
                <w:color w:val="auto"/>
                <w:sz w:val="21"/>
                <w:szCs w:val="21"/>
                <w:highlight w:val="none"/>
              </w:rPr>
              <w:t>，</w:t>
            </w:r>
            <w:r>
              <w:rPr>
                <w:rFonts w:ascii="Times New Roman" w:hAnsi="Times New Roman"/>
                <w:color w:val="auto"/>
                <w:sz w:val="21"/>
                <w:szCs w:val="21"/>
                <w:highlight w:val="none"/>
              </w:rPr>
              <w:t>保证废气、废水、噪声达标排放和固废合理处置，落实报告</w:t>
            </w:r>
            <w:r>
              <w:rPr>
                <w:rFonts w:hint="eastAsia" w:ascii="Times New Roman" w:hAnsi="Times New Roman"/>
                <w:color w:val="auto"/>
                <w:sz w:val="21"/>
                <w:szCs w:val="21"/>
                <w:highlight w:val="none"/>
              </w:rPr>
              <w:t>表</w:t>
            </w:r>
            <w:r>
              <w:rPr>
                <w:rFonts w:ascii="Times New Roman" w:hAnsi="Times New Roman"/>
                <w:color w:val="auto"/>
                <w:sz w:val="21"/>
                <w:szCs w:val="21"/>
                <w:highlight w:val="none"/>
              </w:rPr>
              <w:t>提出的各项环境保护措施和风险防范措施要求的前提下，</w:t>
            </w:r>
            <w:r>
              <w:rPr>
                <w:rFonts w:hint="eastAsia" w:ascii="Times New Roman" w:hAnsi="Times New Roman"/>
                <w:color w:val="auto"/>
                <w:sz w:val="21"/>
                <w:szCs w:val="21"/>
                <w:highlight w:val="none"/>
              </w:rPr>
              <w:t>项目各项污染物均能合理处置或达标排放，对周围环境影响较小。因此，从环保角度分析，本项目的建设是可行的。</w:t>
            </w:r>
          </w:p>
        </w:tc>
      </w:tr>
    </w:tbl>
    <w:p w14:paraId="7FB31250">
      <w:pPr>
        <w:ind w:firstLine="640"/>
        <w:rPr>
          <w:rFonts w:eastAsiaTheme="minorEastAsia"/>
          <w:color w:val="auto"/>
          <w:sz w:val="32"/>
          <w:szCs w:val="32"/>
          <w:highlight w:val="yellow"/>
        </w:rPr>
        <w:sectPr>
          <w:pgSz w:w="11905" w:h="16838"/>
          <w:pgMar w:top="1701" w:right="1531" w:bottom="1701" w:left="1531" w:header="851" w:footer="850" w:gutter="0"/>
          <w:pgBorders>
            <w:top w:val="none" w:sz="0" w:space="0"/>
            <w:left w:val="none" w:sz="0" w:space="0"/>
            <w:bottom w:val="none" w:sz="0" w:space="0"/>
            <w:right w:val="none" w:sz="0" w:space="0"/>
          </w:pgBorders>
          <w:cols w:space="0" w:num="1"/>
          <w:docGrid w:linePitch="312" w:charSpace="0"/>
        </w:sectPr>
      </w:pPr>
    </w:p>
    <w:p w14:paraId="66A890E6">
      <w:pPr>
        <w:pStyle w:val="77"/>
        <w:spacing w:before="0" w:beforeAutospacing="0" w:after="0" w:afterAutospacing="0" w:line="240" w:lineRule="auto"/>
        <w:ind w:firstLine="0" w:firstLineChars="0"/>
        <w:outlineLvl w:val="0"/>
        <w:rPr>
          <w:rFonts w:ascii="Times New Roman" w:hAnsi="Times New Roman" w:eastAsiaTheme="minorEastAsia"/>
          <w:b/>
          <w:bCs/>
          <w:snapToGrid w:val="0"/>
          <w:color w:val="auto"/>
          <w:sz w:val="32"/>
          <w:szCs w:val="32"/>
          <w:highlight w:val="none"/>
        </w:rPr>
      </w:pPr>
      <w:r>
        <w:rPr>
          <w:rFonts w:ascii="Times New Roman" w:hAnsi="Times New Roman" w:eastAsiaTheme="minorEastAsia"/>
          <w:b/>
          <w:bCs/>
          <w:snapToGrid w:val="0"/>
          <w:color w:val="auto"/>
          <w:sz w:val="32"/>
          <w:szCs w:val="32"/>
          <w:highlight w:val="none"/>
        </w:rPr>
        <w:t>附表</w:t>
      </w:r>
    </w:p>
    <w:p w14:paraId="1DD18553">
      <w:pPr>
        <w:pStyle w:val="77"/>
        <w:spacing w:before="0" w:beforeAutospacing="0" w:after="0" w:afterAutospacing="0" w:line="240" w:lineRule="auto"/>
        <w:ind w:firstLine="0" w:firstLineChars="0"/>
        <w:jc w:val="center"/>
        <w:outlineLvl w:val="0"/>
        <w:rPr>
          <w:rFonts w:ascii="Times New Roman" w:hAnsi="Times New Roman" w:eastAsiaTheme="minorEastAsia"/>
          <w:b/>
          <w:bCs/>
          <w:snapToGrid w:val="0"/>
          <w:color w:val="auto"/>
          <w:sz w:val="48"/>
          <w:szCs w:val="48"/>
          <w:highlight w:val="none"/>
        </w:rPr>
      </w:pPr>
      <w:r>
        <w:rPr>
          <w:rFonts w:ascii="Times New Roman" w:hAnsi="Times New Roman" w:eastAsiaTheme="minorEastAsia"/>
          <w:b/>
          <w:bCs/>
          <w:snapToGrid w:val="0"/>
          <w:color w:val="auto"/>
          <w:sz w:val="48"/>
          <w:szCs w:val="48"/>
          <w:highlight w:val="none"/>
        </w:rPr>
        <w:t>建设项目污染物排放量汇总表</w:t>
      </w:r>
    </w:p>
    <w:tbl>
      <w:tblPr>
        <w:tblStyle w:val="84"/>
        <w:tblW w:w="1378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90"/>
        <w:gridCol w:w="1764"/>
        <w:gridCol w:w="1604"/>
        <w:gridCol w:w="1213"/>
        <w:gridCol w:w="1814"/>
        <w:gridCol w:w="1691"/>
        <w:gridCol w:w="1486"/>
        <w:gridCol w:w="1909"/>
        <w:gridCol w:w="1317"/>
      </w:tblGrid>
      <w:tr w14:paraId="793D76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90" w:type="dxa"/>
            <w:tcBorders>
              <w:tl2br w:val="single" w:color="auto" w:sz="4" w:space="0"/>
            </w:tcBorders>
            <w:tcMar>
              <w:left w:w="28" w:type="dxa"/>
              <w:right w:w="28" w:type="dxa"/>
            </w:tcMar>
            <w:vAlign w:val="center"/>
          </w:tcPr>
          <w:p w14:paraId="788E0C6C">
            <w:pPr>
              <w:pStyle w:val="135"/>
              <w:spacing w:beforeLines="0" w:afterLines="0" w:line="240" w:lineRule="auto"/>
              <w:ind w:firstLine="0" w:firstLineChars="0"/>
              <w:jc w:val="right"/>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项目</w:t>
            </w:r>
          </w:p>
          <w:p w14:paraId="424403B2">
            <w:pPr>
              <w:pStyle w:val="135"/>
              <w:spacing w:beforeLines="0" w:afterLines="0" w:line="240" w:lineRule="auto"/>
              <w:ind w:firstLine="0" w:firstLineChars="0"/>
              <w:jc w:val="both"/>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分类</w:t>
            </w:r>
          </w:p>
        </w:tc>
        <w:tc>
          <w:tcPr>
            <w:tcW w:w="1764" w:type="dxa"/>
            <w:tcMar>
              <w:left w:w="28" w:type="dxa"/>
              <w:right w:w="28" w:type="dxa"/>
            </w:tcMar>
            <w:vAlign w:val="center"/>
          </w:tcPr>
          <w:p w14:paraId="1EA8FBB8">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污染物名称</w:t>
            </w:r>
          </w:p>
        </w:tc>
        <w:tc>
          <w:tcPr>
            <w:tcW w:w="1604" w:type="dxa"/>
            <w:tcMar>
              <w:left w:w="28" w:type="dxa"/>
              <w:right w:w="28" w:type="dxa"/>
            </w:tcMar>
            <w:vAlign w:val="center"/>
          </w:tcPr>
          <w:p w14:paraId="762AB4C7">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现有工程</w:t>
            </w:r>
          </w:p>
          <w:p w14:paraId="0D91BBCF">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排放量</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t>固体废物产生量</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fldChar w:fldCharType="begin"/>
            </w:r>
            <w:r>
              <w:rPr>
                <w:rFonts w:ascii="Times New Roman" w:eastAsiaTheme="minorEastAsia"/>
                <w:b/>
                <w:bCs/>
                <w:snapToGrid w:val="0"/>
                <w:color w:val="auto"/>
                <w:kern w:val="21"/>
                <w:sz w:val="24"/>
                <w:szCs w:val="24"/>
                <w:highlight w:val="none"/>
              </w:rPr>
              <w:instrText xml:space="preserve"> = 1 \* GB3 \* MERGEFORMAT </w:instrText>
            </w:r>
            <w:r>
              <w:rPr>
                <w:rFonts w:ascii="Times New Roman" w:eastAsiaTheme="minorEastAsia"/>
                <w:b/>
                <w:bCs/>
                <w:snapToGrid w:val="0"/>
                <w:color w:val="auto"/>
                <w:kern w:val="21"/>
                <w:sz w:val="24"/>
                <w:szCs w:val="24"/>
                <w:highlight w:val="none"/>
              </w:rPr>
              <w:fldChar w:fldCharType="separate"/>
            </w:r>
            <w:r>
              <w:rPr>
                <w:rFonts w:ascii="Times New Roman" w:eastAsiaTheme="minorEastAsia"/>
                <w:b/>
                <w:bCs/>
                <w:snapToGrid w:val="0"/>
                <w:color w:val="auto"/>
                <w:kern w:val="21"/>
                <w:sz w:val="24"/>
                <w:szCs w:val="24"/>
                <w:highlight w:val="none"/>
              </w:rPr>
              <w:t>①</w:t>
            </w:r>
            <w:r>
              <w:rPr>
                <w:rFonts w:ascii="Times New Roman" w:eastAsiaTheme="minorEastAsia"/>
                <w:b/>
                <w:bCs/>
                <w:snapToGrid w:val="0"/>
                <w:color w:val="auto"/>
                <w:kern w:val="21"/>
                <w:sz w:val="24"/>
                <w:szCs w:val="24"/>
                <w:highlight w:val="none"/>
              </w:rPr>
              <w:fldChar w:fldCharType="end"/>
            </w:r>
          </w:p>
        </w:tc>
        <w:tc>
          <w:tcPr>
            <w:tcW w:w="1213" w:type="dxa"/>
            <w:tcMar>
              <w:left w:w="28" w:type="dxa"/>
              <w:right w:w="28" w:type="dxa"/>
            </w:tcMar>
            <w:vAlign w:val="center"/>
          </w:tcPr>
          <w:p w14:paraId="1901EE33">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现有工程</w:t>
            </w:r>
          </w:p>
          <w:p w14:paraId="0C00B505">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许可排放量</w:t>
            </w:r>
            <w:r>
              <w:rPr>
                <w:rFonts w:ascii="Times New Roman" w:eastAsiaTheme="minorEastAsia"/>
                <w:b/>
                <w:bCs/>
                <w:snapToGrid w:val="0"/>
                <w:color w:val="auto"/>
                <w:kern w:val="21"/>
                <w:sz w:val="24"/>
                <w:szCs w:val="24"/>
                <w:highlight w:val="none"/>
              </w:rPr>
              <w:fldChar w:fldCharType="begin"/>
            </w:r>
            <w:r>
              <w:rPr>
                <w:rFonts w:ascii="Times New Roman" w:eastAsiaTheme="minorEastAsia"/>
                <w:b/>
                <w:bCs/>
                <w:snapToGrid w:val="0"/>
                <w:color w:val="auto"/>
                <w:kern w:val="21"/>
                <w:sz w:val="24"/>
                <w:szCs w:val="24"/>
                <w:highlight w:val="none"/>
              </w:rPr>
              <w:instrText xml:space="preserve"> = 2 \* GB3 \* MERGEFORMAT </w:instrText>
            </w:r>
            <w:r>
              <w:rPr>
                <w:rFonts w:ascii="Times New Roman" w:eastAsiaTheme="minorEastAsia"/>
                <w:b/>
                <w:bCs/>
                <w:snapToGrid w:val="0"/>
                <w:color w:val="auto"/>
                <w:kern w:val="21"/>
                <w:sz w:val="24"/>
                <w:szCs w:val="24"/>
                <w:highlight w:val="none"/>
              </w:rPr>
              <w:fldChar w:fldCharType="separate"/>
            </w:r>
            <w:r>
              <w:rPr>
                <w:rFonts w:ascii="Times New Roman" w:eastAsiaTheme="minorEastAsia"/>
                <w:b/>
                <w:bCs/>
                <w:snapToGrid w:val="0"/>
                <w:color w:val="auto"/>
                <w:kern w:val="21"/>
                <w:sz w:val="24"/>
                <w:szCs w:val="24"/>
                <w:highlight w:val="none"/>
              </w:rPr>
              <w:t>②</w:t>
            </w:r>
            <w:r>
              <w:rPr>
                <w:rFonts w:ascii="Times New Roman" w:eastAsiaTheme="minorEastAsia"/>
                <w:b/>
                <w:bCs/>
                <w:snapToGrid w:val="0"/>
                <w:color w:val="auto"/>
                <w:kern w:val="21"/>
                <w:sz w:val="24"/>
                <w:szCs w:val="24"/>
                <w:highlight w:val="none"/>
              </w:rPr>
              <w:fldChar w:fldCharType="end"/>
            </w:r>
          </w:p>
        </w:tc>
        <w:tc>
          <w:tcPr>
            <w:tcW w:w="1814" w:type="dxa"/>
            <w:tcMar>
              <w:left w:w="28" w:type="dxa"/>
              <w:right w:w="28" w:type="dxa"/>
            </w:tcMar>
            <w:vAlign w:val="center"/>
          </w:tcPr>
          <w:p w14:paraId="0B11780E">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在建工程</w:t>
            </w:r>
          </w:p>
          <w:p w14:paraId="7622672D">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排放量</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t>固体废物产生量</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fldChar w:fldCharType="begin"/>
            </w:r>
            <w:r>
              <w:rPr>
                <w:rFonts w:ascii="Times New Roman" w:eastAsiaTheme="minorEastAsia"/>
                <w:b/>
                <w:bCs/>
                <w:snapToGrid w:val="0"/>
                <w:color w:val="auto"/>
                <w:kern w:val="21"/>
                <w:sz w:val="24"/>
                <w:szCs w:val="24"/>
                <w:highlight w:val="none"/>
              </w:rPr>
              <w:instrText xml:space="preserve"> = 3 \* GB3 \* MERGEFORMAT </w:instrText>
            </w:r>
            <w:r>
              <w:rPr>
                <w:rFonts w:ascii="Times New Roman" w:eastAsiaTheme="minorEastAsia"/>
                <w:b/>
                <w:bCs/>
                <w:snapToGrid w:val="0"/>
                <w:color w:val="auto"/>
                <w:kern w:val="21"/>
                <w:sz w:val="24"/>
                <w:szCs w:val="24"/>
                <w:highlight w:val="none"/>
              </w:rPr>
              <w:fldChar w:fldCharType="separate"/>
            </w:r>
            <w:r>
              <w:rPr>
                <w:rFonts w:ascii="Times New Roman" w:eastAsiaTheme="minorEastAsia"/>
                <w:b/>
                <w:bCs/>
                <w:snapToGrid w:val="0"/>
                <w:color w:val="auto"/>
                <w:kern w:val="21"/>
                <w:sz w:val="24"/>
                <w:szCs w:val="24"/>
                <w:highlight w:val="none"/>
              </w:rPr>
              <w:t>③</w:t>
            </w:r>
            <w:r>
              <w:rPr>
                <w:rFonts w:ascii="Times New Roman" w:eastAsiaTheme="minorEastAsia"/>
                <w:b/>
                <w:bCs/>
                <w:snapToGrid w:val="0"/>
                <w:color w:val="auto"/>
                <w:kern w:val="21"/>
                <w:sz w:val="24"/>
                <w:szCs w:val="24"/>
                <w:highlight w:val="none"/>
              </w:rPr>
              <w:fldChar w:fldCharType="end"/>
            </w:r>
          </w:p>
        </w:tc>
        <w:tc>
          <w:tcPr>
            <w:tcW w:w="1691" w:type="dxa"/>
            <w:tcMar>
              <w:left w:w="28" w:type="dxa"/>
              <w:right w:w="28" w:type="dxa"/>
            </w:tcMar>
            <w:vAlign w:val="center"/>
          </w:tcPr>
          <w:p w14:paraId="75F15B02">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本项目</w:t>
            </w:r>
          </w:p>
          <w:p w14:paraId="751DB078">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排放量</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t>固体废物产生量</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fldChar w:fldCharType="begin"/>
            </w:r>
            <w:r>
              <w:rPr>
                <w:rFonts w:ascii="Times New Roman" w:eastAsiaTheme="minorEastAsia"/>
                <w:b/>
                <w:bCs/>
                <w:snapToGrid w:val="0"/>
                <w:color w:val="auto"/>
                <w:kern w:val="21"/>
                <w:sz w:val="24"/>
                <w:szCs w:val="24"/>
                <w:highlight w:val="none"/>
              </w:rPr>
              <w:instrText xml:space="preserve"> = 4 \* GB3 \* MERGEFORMAT </w:instrText>
            </w:r>
            <w:r>
              <w:rPr>
                <w:rFonts w:ascii="Times New Roman" w:eastAsiaTheme="minorEastAsia"/>
                <w:b/>
                <w:bCs/>
                <w:snapToGrid w:val="0"/>
                <w:color w:val="auto"/>
                <w:kern w:val="21"/>
                <w:sz w:val="24"/>
                <w:szCs w:val="24"/>
                <w:highlight w:val="none"/>
              </w:rPr>
              <w:fldChar w:fldCharType="separate"/>
            </w:r>
            <w:r>
              <w:rPr>
                <w:rFonts w:ascii="Times New Roman" w:eastAsiaTheme="minorEastAsia"/>
                <w:b/>
                <w:bCs/>
                <w:snapToGrid w:val="0"/>
                <w:color w:val="auto"/>
                <w:kern w:val="21"/>
                <w:sz w:val="24"/>
                <w:szCs w:val="24"/>
                <w:highlight w:val="none"/>
              </w:rPr>
              <w:t>④</w:t>
            </w:r>
            <w:r>
              <w:rPr>
                <w:rFonts w:ascii="Times New Roman" w:eastAsiaTheme="minorEastAsia"/>
                <w:b/>
                <w:bCs/>
                <w:snapToGrid w:val="0"/>
                <w:color w:val="auto"/>
                <w:kern w:val="21"/>
                <w:sz w:val="24"/>
                <w:szCs w:val="24"/>
                <w:highlight w:val="none"/>
              </w:rPr>
              <w:fldChar w:fldCharType="end"/>
            </w:r>
          </w:p>
        </w:tc>
        <w:tc>
          <w:tcPr>
            <w:tcW w:w="1486" w:type="dxa"/>
            <w:tcMar>
              <w:left w:w="28" w:type="dxa"/>
              <w:right w:w="28" w:type="dxa"/>
            </w:tcMar>
            <w:vAlign w:val="center"/>
          </w:tcPr>
          <w:p w14:paraId="0ACA2E1F">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以新带老削减量</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t>新建项目不填</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fldChar w:fldCharType="begin"/>
            </w:r>
            <w:r>
              <w:rPr>
                <w:rFonts w:ascii="Times New Roman" w:eastAsiaTheme="minorEastAsia"/>
                <w:b/>
                <w:bCs/>
                <w:snapToGrid w:val="0"/>
                <w:color w:val="auto"/>
                <w:kern w:val="21"/>
                <w:sz w:val="24"/>
                <w:szCs w:val="24"/>
                <w:highlight w:val="none"/>
              </w:rPr>
              <w:instrText xml:space="preserve"> = 5 \* GB3 \* MERGEFORMAT </w:instrText>
            </w:r>
            <w:r>
              <w:rPr>
                <w:rFonts w:ascii="Times New Roman" w:eastAsiaTheme="minorEastAsia"/>
                <w:b/>
                <w:bCs/>
                <w:snapToGrid w:val="0"/>
                <w:color w:val="auto"/>
                <w:kern w:val="21"/>
                <w:sz w:val="24"/>
                <w:szCs w:val="24"/>
                <w:highlight w:val="none"/>
              </w:rPr>
              <w:fldChar w:fldCharType="separate"/>
            </w:r>
            <w:r>
              <w:rPr>
                <w:rFonts w:ascii="Times New Roman" w:eastAsiaTheme="minorEastAsia"/>
                <w:b/>
                <w:bCs/>
                <w:snapToGrid w:val="0"/>
                <w:color w:val="auto"/>
                <w:kern w:val="21"/>
                <w:sz w:val="24"/>
                <w:szCs w:val="24"/>
                <w:highlight w:val="none"/>
              </w:rPr>
              <w:t>⑤</w:t>
            </w:r>
            <w:r>
              <w:rPr>
                <w:rFonts w:ascii="Times New Roman" w:eastAsiaTheme="minorEastAsia"/>
                <w:b/>
                <w:bCs/>
                <w:snapToGrid w:val="0"/>
                <w:color w:val="auto"/>
                <w:kern w:val="21"/>
                <w:sz w:val="24"/>
                <w:szCs w:val="24"/>
                <w:highlight w:val="none"/>
              </w:rPr>
              <w:fldChar w:fldCharType="end"/>
            </w:r>
          </w:p>
        </w:tc>
        <w:tc>
          <w:tcPr>
            <w:tcW w:w="1909" w:type="dxa"/>
            <w:tcMar>
              <w:left w:w="28" w:type="dxa"/>
              <w:right w:w="28" w:type="dxa"/>
            </w:tcMar>
            <w:vAlign w:val="center"/>
          </w:tcPr>
          <w:p w14:paraId="7A4A2541">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本项目建成后</w:t>
            </w:r>
          </w:p>
          <w:p w14:paraId="3A168291">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全厂排放量</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t>固体废物产生量</w:t>
            </w:r>
            <w:r>
              <w:rPr>
                <w:rFonts w:hint="eastAsia" w:ascii="Times New Roman" w:eastAsiaTheme="minorEastAsia"/>
                <w:b/>
                <w:bCs/>
                <w:snapToGrid w:val="0"/>
                <w:color w:val="auto"/>
                <w:kern w:val="21"/>
                <w:sz w:val="24"/>
                <w:szCs w:val="24"/>
                <w:highlight w:val="none"/>
              </w:rPr>
              <w:t>)</w:t>
            </w:r>
            <w:r>
              <w:rPr>
                <w:rFonts w:ascii="Times New Roman" w:eastAsiaTheme="minorEastAsia"/>
                <w:b/>
                <w:bCs/>
                <w:snapToGrid w:val="0"/>
                <w:color w:val="auto"/>
                <w:kern w:val="21"/>
                <w:sz w:val="24"/>
                <w:szCs w:val="24"/>
                <w:highlight w:val="none"/>
              </w:rPr>
              <w:fldChar w:fldCharType="begin"/>
            </w:r>
            <w:r>
              <w:rPr>
                <w:rFonts w:ascii="Times New Roman" w:eastAsiaTheme="minorEastAsia"/>
                <w:b/>
                <w:bCs/>
                <w:snapToGrid w:val="0"/>
                <w:color w:val="auto"/>
                <w:kern w:val="21"/>
                <w:sz w:val="24"/>
                <w:szCs w:val="24"/>
                <w:highlight w:val="none"/>
              </w:rPr>
              <w:instrText xml:space="preserve"> = 6 \* GB3 \* MERGEFORMAT </w:instrText>
            </w:r>
            <w:r>
              <w:rPr>
                <w:rFonts w:ascii="Times New Roman" w:eastAsiaTheme="minorEastAsia"/>
                <w:b/>
                <w:bCs/>
                <w:snapToGrid w:val="0"/>
                <w:color w:val="auto"/>
                <w:kern w:val="21"/>
                <w:sz w:val="24"/>
                <w:szCs w:val="24"/>
                <w:highlight w:val="none"/>
              </w:rPr>
              <w:fldChar w:fldCharType="separate"/>
            </w:r>
            <w:r>
              <w:rPr>
                <w:rFonts w:ascii="Times New Roman" w:eastAsiaTheme="minorEastAsia"/>
                <w:b/>
                <w:bCs/>
                <w:snapToGrid w:val="0"/>
                <w:color w:val="auto"/>
                <w:kern w:val="21"/>
                <w:sz w:val="24"/>
                <w:szCs w:val="24"/>
                <w:highlight w:val="none"/>
              </w:rPr>
              <w:t>⑥</w:t>
            </w:r>
            <w:r>
              <w:rPr>
                <w:rFonts w:ascii="Times New Roman" w:eastAsiaTheme="minorEastAsia"/>
                <w:b/>
                <w:bCs/>
                <w:snapToGrid w:val="0"/>
                <w:color w:val="auto"/>
                <w:kern w:val="21"/>
                <w:sz w:val="24"/>
                <w:szCs w:val="24"/>
                <w:highlight w:val="none"/>
              </w:rPr>
              <w:fldChar w:fldCharType="end"/>
            </w:r>
          </w:p>
        </w:tc>
        <w:tc>
          <w:tcPr>
            <w:tcW w:w="1317" w:type="dxa"/>
            <w:tcMar>
              <w:left w:w="28" w:type="dxa"/>
              <w:right w:w="28" w:type="dxa"/>
            </w:tcMar>
            <w:vAlign w:val="center"/>
          </w:tcPr>
          <w:p w14:paraId="2C9ACE3B">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t>变化量</w:t>
            </w:r>
          </w:p>
          <w:p w14:paraId="6AB88754">
            <w:pPr>
              <w:pStyle w:val="135"/>
              <w:spacing w:beforeLines="0" w:afterLines="0" w:line="240" w:lineRule="auto"/>
              <w:ind w:firstLine="0" w:firstLineChars="0"/>
              <w:rPr>
                <w:rFonts w:ascii="Times New Roman" w:eastAsiaTheme="minorEastAsia"/>
                <w:b/>
                <w:bCs/>
                <w:snapToGrid w:val="0"/>
                <w:color w:val="auto"/>
                <w:kern w:val="21"/>
                <w:sz w:val="24"/>
                <w:szCs w:val="24"/>
                <w:highlight w:val="none"/>
              </w:rPr>
            </w:pPr>
            <w:r>
              <w:rPr>
                <w:rFonts w:ascii="Times New Roman" w:eastAsiaTheme="minorEastAsia"/>
                <w:b/>
                <w:bCs/>
                <w:snapToGrid w:val="0"/>
                <w:color w:val="auto"/>
                <w:kern w:val="21"/>
                <w:sz w:val="24"/>
                <w:szCs w:val="24"/>
                <w:highlight w:val="none"/>
              </w:rPr>
              <w:fldChar w:fldCharType="begin"/>
            </w:r>
            <w:r>
              <w:rPr>
                <w:rFonts w:ascii="Times New Roman" w:eastAsiaTheme="minorEastAsia"/>
                <w:b/>
                <w:bCs/>
                <w:snapToGrid w:val="0"/>
                <w:color w:val="auto"/>
                <w:kern w:val="21"/>
                <w:sz w:val="24"/>
                <w:szCs w:val="24"/>
                <w:highlight w:val="none"/>
              </w:rPr>
              <w:instrText xml:space="preserve"> = 7 \* GB3 \* MERGEFORMAT </w:instrText>
            </w:r>
            <w:r>
              <w:rPr>
                <w:rFonts w:ascii="Times New Roman" w:eastAsiaTheme="minorEastAsia"/>
                <w:b/>
                <w:bCs/>
                <w:snapToGrid w:val="0"/>
                <w:color w:val="auto"/>
                <w:kern w:val="21"/>
                <w:sz w:val="24"/>
                <w:szCs w:val="24"/>
                <w:highlight w:val="none"/>
              </w:rPr>
              <w:fldChar w:fldCharType="separate"/>
            </w:r>
            <w:r>
              <w:rPr>
                <w:rFonts w:ascii="Times New Roman" w:eastAsiaTheme="minorEastAsia"/>
                <w:b/>
                <w:bCs/>
                <w:snapToGrid w:val="0"/>
                <w:color w:val="auto"/>
                <w:kern w:val="21"/>
                <w:sz w:val="24"/>
                <w:szCs w:val="24"/>
                <w:highlight w:val="none"/>
              </w:rPr>
              <w:t>⑦</w:t>
            </w:r>
            <w:r>
              <w:rPr>
                <w:rFonts w:ascii="Times New Roman" w:eastAsiaTheme="minorEastAsia"/>
                <w:b/>
                <w:bCs/>
                <w:snapToGrid w:val="0"/>
                <w:color w:val="auto"/>
                <w:kern w:val="21"/>
                <w:sz w:val="24"/>
                <w:szCs w:val="24"/>
                <w:highlight w:val="none"/>
              </w:rPr>
              <w:fldChar w:fldCharType="end"/>
            </w:r>
          </w:p>
        </w:tc>
      </w:tr>
      <w:tr w14:paraId="39E957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990" w:type="dxa"/>
            <w:vAlign w:val="center"/>
          </w:tcPr>
          <w:p w14:paraId="3F9008D4">
            <w:pPr>
              <w:pStyle w:val="135"/>
              <w:spacing w:beforeLines="0" w:afterLines="0" w:line="240" w:lineRule="exact"/>
              <w:ind w:firstLine="0" w:firstLineChars="0"/>
              <w:rPr>
                <w:rFonts w:ascii="Times New Roman"/>
                <w:snapToGrid w:val="0"/>
                <w:color w:val="auto"/>
                <w:kern w:val="21"/>
                <w:szCs w:val="21"/>
                <w:highlight w:val="none"/>
              </w:rPr>
            </w:pPr>
            <w:r>
              <w:rPr>
                <w:rFonts w:ascii="Times New Roman"/>
                <w:snapToGrid w:val="0"/>
                <w:color w:val="auto"/>
                <w:kern w:val="21"/>
                <w:szCs w:val="21"/>
                <w:highlight w:val="none"/>
                <w:lang w:bidi="ar"/>
              </w:rPr>
              <w:t>废气</w:t>
            </w:r>
          </w:p>
        </w:tc>
        <w:tc>
          <w:tcPr>
            <w:tcW w:w="1764" w:type="dxa"/>
            <w:vAlign w:val="center"/>
          </w:tcPr>
          <w:p w14:paraId="42FA9F00">
            <w:pPr>
              <w:spacing w:line="280" w:lineRule="exact"/>
              <w:ind w:firstLine="0" w:firstLineChars="0"/>
              <w:jc w:val="center"/>
              <w:rPr>
                <w:snapToGrid w:val="0"/>
                <w:color w:val="auto"/>
                <w:kern w:val="21"/>
                <w:szCs w:val="21"/>
                <w:highlight w:val="none"/>
                <w:lang w:bidi="ar"/>
              </w:rPr>
            </w:pPr>
            <w:r>
              <w:rPr>
                <w:color w:val="auto"/>
                <w:szCs w:val="21"/>
                <w:highlight w:val="none"/>
              </w:rPr>
              <w:t>颗粒物</w:t>
            </w:r>
          </w:p>
        </w:tc>
        <w:tc>
          <w:tcPr>
            <w:tcW w:w="1604" w:type="dxa"/>
            <w:vAlign w:val="center"/>
          </w:tcPr>
          <w:p w14:paraId="313647AB">
            <w:pPr>
              <w:spacing w:line="280" w:lineRule="exact"/>
              <w:ind w:firstLine="0" w:firstLineChars="0"/>
              <w:jc w:val="center"/>
              <w:rPr>
                <w:rFonts w:hint="default" w:eastAsia="宋体"/>
                <w:snapToGrid w:val="0"/>
                <w:color w:val="auto"/>
                <w:kern w:val="21"/>
                <w:szCs w:val="21"/>
                <w:highlight w:val="none"/>
                <w:lang w:val="en-US" w:eastAsia="zh-CN" w:bidi="ar"/>
              </w:rPr>
            </w:pPr>
            <w:r>
              <w:rPr>
                <w:rFonts w:hint="eastAsia"/>
                <w:snapToGrid w:val="0"/>
                <w:color w:val="auto"/>
                <w:kern w:val="21"/>
                <w:szCs w:val="21"/>
                <w:highlight w:val="none"/>
                <w:lang w:val="en-US" w:eastAsia="zh-CN" w:bidi="ar"/>
              </w:rPr>
              <w:t>670.9906</w:t>
            </w:r>
          </w:p>
        </w:tc>
        <w:tc>
          <w:tcPr>
            <w:tcW w:w="1213" w:type="dxa"/>
            <w:vAlign w:val="center"/>
          </w:tcPr>
          <w:p w14:paraId="3E1DB99D">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960.291</w:t>
            </w:r>
          </w:p>
        </w:tc>
        <w:tc>
          <w:tcPr>
            <w:tcW w:w="1814" w:type="dxa"/>
            <w:vAlign w:val="center"/>
          </w:tcPr>
          <w:p w14:paraId="3E283851">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155.114</w:t>
            </w:r>
          </w:p>
        </w:tc>
        <w:tc>
          <w:tcPr>
            <w:tcW w:w="1691" w:type="dxa"/>
            <w:vAlign w:val="center"/>
          </w:tcPr>
          <w:p w14:paraId="38D474C3">
            <w:pPr>
              <w:autoSpaceDE/>
              <w:autoSpaceDN/>
              <w:adjustRightInd/>
              <w:spacing w:line="240" w:lineRule="auto"/>
              <w:ind w:firstLine="0" w:firstLineChars="0"/>
              <w:jc w:val="center"/>
              <w:rPr>
                <w:rFonts w:hint="default"/>
                <w:color w:val="auto"/>
                <w:lang w:val="en-US" w:eastAsia="zh-CN"/>
              </w:rPr>
            </w:pPr>
            <w:r>
              <w:rPr>
                <w:rFonts w:hint="eastAsia"/>
                <w:color w:val="auto"/>
                <w:szCs w:val="21"/>
                <w:highlight w:val="none"/>
                <w:lang w:val="en-US" w:eastAsia="zh-CN"/>
              </w:rPr>
              <w:t>1.54</w:t>
            </w:r>
          </w:p>
        </w:tc>
        <w:tc>
          <w:tcPr>
            <w:tcW w:w="1486" w:type="dxa"/>
            <w:vAlign w:val="center"/>
          </w:tcPr>
          <w:p w14:paraId="41D955D5">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909" w:type="dxa"/>
            <w:shd w:val="clear" w:color="auto" w:fill="auto"/>
            <w:vAlign w:val="center"/>
          </w:tcPr>
          <w:p w14:paraId="08C6ABFD">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827.6446</w:t>
            </w:r>
          </w:p>
        </w:tc>
        <w:tc>
          <w:tcPr>
            <w:tcW w:w="1317" w:type="dxa"/>
            <w:vAlign w:val="center"/>
          </w:tcPr>
          <w:p w14:paraId="5B4BCBCF">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+1.54</w:t>
            </w:r>
          </w:p>
        </w:tc>
      </w:tr>
      <w:tr w14:paraId="57CC89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90" w:type="dxa"/>
            <w:vMerge w:val="restart"/>
            <w:vAlign w:val="center"/>
          </w:tcPr>
          <w:p w14:paraId="0A813A0F">
            <w:pPr>
              <w:pStyle w:val="135"/>
              <w:spacing w:beforeLines="0" w:afterLines="0" w:line="240" w:lineRule="exact"/>
              <w:ind w:firstLine="0" w:firstLineChars="0"/>
              <w:rPr>
                <w:rFonts w:ascii="Times New Roman"/>
                <w:snapToGrid w:val="0"/>
                <w:color w:val="auto"/>
                <w:kern w:val="21"/>
                <w:szCs w:val="21"/>
                <w:highlight w:val="none"/>
              </w:rPr>
            </w:pPr>
            <w:r>
              <w:rPr>
                <w:rFonts w:ascii="Times New Roman"/>
                <w:snapToGrid w:val="0"/>
                <w:color w:val="auto"/>
                <w:kern w:val="21"/>
                <w:szCs w:val="21"/>
                <w:highlight w:val="none"/>
              </w:rPr>
              <w:t>固体废物</w:t>
            </w:r>
          </w:p>
        </w:tc>
        <w:tc>
          <w:tcPr>
            <w:tcW w:w="1764" w:type="dxa"/>
            <w:vAlign w:val="center"/>
          </w:tcPr>
          <w:p w14:paraId="52E2EC54">
            <w:pPr>
              <w:spacing w:line="280" w:lineRule="exact"/>
              <w:ind w:firstLine="0" w:firstLineChars="0"/>
              <w:jc w:val="center"/>
              <w:rPr>
                <w:color w:val="auto"/>
                <w:szCs w:val="21"/>
                <w:highlight w:val="none"/>
              </w:rPr>
            </w:pPr>
            <w:r>
              <w:rPr>
                <w:rFonts w:hint="eastAsia"/>
                <w:color w:val="auto"/>
                <w:sz w:val="21"/>
                <w:szCs w:val="21"/>
                <w:highlight w:val="none"/>
                <w:lang w:val="en-US" w:eastAsia="zh-CN"/>
              </w:rPr>
              <w:t>大粒径物料</w:t>
            </w:r>
          </w:p>
        </w:tc>
        <w:tc>
          <w:tcPr>
            <w:tcW w:w="1604" w:type="dxa"/>
            <w:vAlign w:val="center"/>
          </w:tcPr>
          <w:p w14:paraId="56CA86C3">
            <w:pPr>
              <w:spacing w:line="280" w:lineRule="exact"/>
              <w:ind w:firstLine="0" w:firstLineChars="0"/>
              <w:jc w:val="center"/>
              <w:rPr>
                <w:rFonts w:hint="default" w:eastAsia="宋体"/>
                <w:color w:val="auto"/>
                <w:szCs w:val="21"/>
                <w:highlight w:val="none"/>
                <w:lang w:val="en-US" w:eastAsia="zh-CN"/>
              </w:rPr>
            </w:pPr>
            <w:r>
              <w:rPr>
                <w:rFonts w:hint="eastAsia"/>
                <w:color w:val="auto"/>
                <w:szCs w:val="21"/>
                <w:highlight w:val="none"/>
                <w:lang w:val="en-US" w:eastAsia="zh-CN"/>
              </w:rPr>
              <w:t>0</w:t>
            </w:r>
          </w:p>
        </w:tc>
        <w:tc>
          <w:tcPr>
            <w:tcW w:w="1213" w:type="dxa"/>
            <w:vAlign w:val="center"/>
          </w:tcPr>
          <w:p w14:paraId="6E4C7A7C">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vAlign w:val="center"/>
          </w:tcPr>
          <w:p w14:paraId="027E225C">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691" w:type="dxa"/>
            <w:vAlign w:val="center"/>
          </w:tcPr>
          <w:p w14:paraId="344056C7">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1000</w:t>
            </w:r>
          </w:p>
        </w:tc>
        <w:tc>
          <w:tcPr>
            <w:tcW w:w="1486" w:type="dxa"/>
            <w:vAlign w:val="center"/>
          </w:tcPr>
          <w:p w14:paraId="1E544C82">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909" w:type="dxa"/>
            <w:vAlign w:val="center"/>
          </w:tcPr>
          <w:p w14:paraId="48BB8581">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1000</w:t>
            </w:r>
          </w:p>
        </w:tc>
        <w:tc>
          <w:tcPr>
            <w:tcW w:w="1317" w:type="dxa"/>
            <w:vAlign w:val="center"/>
          </w:tcPr>
          <w:p w14:paraId="6E093D3E">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+1000</w:t>
            </w:r>
          </w:p>
        </w:tc>
      </w:tr>
      <w:tr w14:paraId="21A0B2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32" w:hRule="atLeast"/>
          <w:jc w:val="center"/>
        </w:trPr>
        <w:tc>
          <w:tcPr>
            <w:tcW w:w="990" w:type="dxa"/>
            <w:vMerge w:val="continue"/>
            <w:vAlign w:val="center"/>
          </w:tcPr>
          <w:p w14:paraId="332E890D">
            <w:pPr>
              <w:pStyle w:val="135"/>
              <w:spacing w:beforeLines="0" w:afterLines="0" w:line="240" w:lineRule="exact"/>
              <w:ind w:firstLine="0" w:firstLineChars="0"/>
              <w:rPr>
                <w:rFonts w:ascii="Times New Roman"/>
                <w:snapToGrid w:val="0"/>
                <w:color w:val="auto"/>
                <w:kern w:val="21"/>
                <w:szCs w:val="21"/>
                <w:highlight w:val="none"/>
              </w:rPr>
            </w:pPr>
          </w:p>
        </w:tc>
        <w:tc>
          <w:tcPr>
            <w:tcW w:w="1764" w:type="dxa"/>
            <w:vAlign w:val="center"/>
          </w:tcPr>
          <w:p w14:paraId="03D13796">
            <w:pPr>
              <w:spacing w:line="280" w:lineRule="exact"/>
              <w:ind w:firstLine="0" w:firstLineChars="0"/>
              <w:jc w:val="center"/>
              <w:rPr>
                <w:rFonts w:hint="default" w:eastAsia="宋体"/>
                <w:color w:val="auto"/>
                <w:szCs w:val="21"/>
                <w:highlight w:val="none"/>
                <w:lang w:val="en-US" w:eastAsia="zh-CN"/>
              </w:rPr>
            </w:pPr>
            <w:r>
              <w:rPr>
                <w:rFonts w:hint="eastAsia" w:cs="Times New Roman"/>
                <w:color w:val="auto"/>
                <w:sz w:val="21"/>
                <w:szCs w:val="21"/>
                <w:highlight w:val="none"/>
                <w:lang w:val="en-US" w:eastAsia="zh-CN"/>
              </w:rPr>
              <w:t>除尘灰</w:t>
            </w:r>
          </w:p>
        </w:tc>
        <w:tc>
          <w:tcPr>
            <w:tcW w:w="1604" w:type="dxa"/>
            <w:vAlign w:val="center"/>
          </w:tcPr>
          <w:p w14:paraId="5993E3F3">
            <w:pPr>
              <w:spacing w:line="280" w:lineRule="exact"/>
              <w:ind w:firstLine="0" w:firstLineChars="0"/>
              <w:jc w:val="center"/>
              <w:rPr>
                <w:rFonts w:hint="default" w:eastAsia="宋体"/>
                <w:snapToGrid w:val="0"/>
                <w:color w:val="auto"/>
                <w:kern w:val="21"/>
                <w:szCs w:val="21"/>
                <w:highlight w:val="none"/>
                <w:lang w:val="en-US" w:eastAsia="zh-CN" w:bidi="ar"/>
              </w:rPr>
            </w:pPr>
            <w:r>
              <w:rPr>
                <w:rFonts w:hint="eastAsia"/>
                <w:snapToGrid w:val="0"/>
                <w:color w:val="auto"/>
                <w:kern w:val="21"/>
                <w:szCs w:val="21"/>
                <w:highlight w:val="none"/>
                <w:lang w:val="en-US" w:eastAsia="zh-CN" w:bidi="ar"/>
              </w:rPr>
              <w:t>122890</w:t>
            </w:r>
          </w:p>
        </w:tc>
        <w:tc>
          <w:tcPr>
            <w:tcW w:w="1213" w:type="dxa"/>
            <w:shd w:val="clear" w:color="auto" w:fill="auto"/>
            <w:vAlign w:val="center"/>
          </w:tcPr>
          <w:p w14:paraId="1F481832">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shd w:val="clear" w:color="auto" w:fill="auto"/>
            <w:vAlign w:val="center"/>
          </w:tcPr>
          <w:p w14:paraId="35456882">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691" w:type="dxa"/>
            <w:vAlign w:val="center"/>
          </w:tcPr>
          <w:p w14:paraId="0EE1C6DB">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70.728</w:t>
            </w:r>
          </w:p>
        </w:tc>
        <w:tc>
          <w:tcPr>
            <w:tcW w:w="1486" w:type="dxa"/>
            <w:vAlign w:val="center"/>
          </w:tcPr>
          <w:p w14:paraId="2410D482">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909" w:type="dxa"/>
            <w:shd w:val="clear" w:color="auto" w:fill="auto"/>
            <w:vAlign w:val="center"/>
          </w:tcPr>
          <w:p w14:paraId="2D20AE3D">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122960.728</w:t>
            </w:r>
          </w:p>
        </w:tc>
        <w:tc>
          <w:tcPr>
            <w:tcW w:w="1317" w:type="dxa"/>
            <w:shd w:val="clear" w:color="auto" w:fill="auto"/>
            <w:vAlign w:val="center"/>
          </w:tcPr>
          <w:p w14:paraId="07D28F60">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+70.728</w:t>
            </w:r>
          </w:p>
        </w:tc>
      </w:tr>
      <w:tr w14:paraId="0B5DB1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90" w:type="dxa"/>
            <w:vMerge w:val="continue"/>
            <w:vAlign w:val="center"/>
          </w:tcPr>
          <w:p w14:paraId="0A19C316">
            <w:pPr>
              <w:pStyle w:val="135"/>
              <w:spacing w:beforeLines="0" w:afterLines="0" w:line="240" w:lineRule="exact"/>
              <w:ind w:firstLine="0" w:firstLineChars="0"/>
              <w:rPr>
                <w:rFonts w:ascii="Times New Roman"/>
                <w:snapToGrid w:val="0"/>
                <w:color w:val="auto"/>
                <w:kern w:val="21"/>
                <w:szCs w:val="21"/>
                <w:highlight w:val="none"/>
              </w:rPr>
            </w:pPr>
          </w:p>
        </w:tc>
        <w:tc>
          <w:tcPr>
            <w:tcW w:w="1764" w:type="dxa"/>
            <w:vAlign w:val="center"/>
          </w:tcPr>
          <w:p w14:paraId="15499683">
            <w:pPr>
              <w:spacing w:line="280" w:lineRule="exact"/>
              <w:ind w:firstLine="0" w:firstLineChars="0"/>
              <w:jc w:val="center"/>
              <w:rPr>
                <w:rFonts w:hint="default" w:ascii="Times New Roman" w:hAnsi="Times New Roman" w:cs="Times New Roman"/>
                <w:color w:val="auto"/>
                <w:szCs w:val="21"/>
                <w:highlight w:val="none"/>
                <w:lang w:val="en-US" w:eastAsia="zh-CN"/>
              </w:rPr>
            </w:pPr>
            <w:r>
              <w:rPr>
                <w:rFonts w:hint="eastAsia" w:cs="Times New Roman"/>
                <w:color w:val="auto"/>
                <w:sz w:val="21"/>
                <w:szCs w:val="21"/>
                <w:highlight w:val="none"/>
                <w:lang w:val="en-US" w:eastAsia="zh-CN"/>
              </w:rPr>
              <w:t>废布袋</w:t>
            </w:r>
          </w:p>
        </w:tc>
        <w:tc>
          <w:tcPr>
            <w:tcW w:w="1604" w:type="dxa"/>
            <w:vAlign w:val="center"/>
          </w:tcPr>
          <w:p w14:paraId="0328AD60">
            <w:pPr>
              <w:spacing w:line="280" w:lineRule="exact"/>
              <w:ind w:firstLine="0" w:firstLineChars="0"/>
              <w:jc w:val="center"/>
              <w:rPr>
                <w:rFonts w:hint="eastAsia"/>
                <w:snapToGrid w:val="0"/>
                <w:color w:val="auto"/>
                <w:kern w:val="21"/>
                <w:szCs w:val="21"/>
                <w:highlight w:val="none"/>
                <w:lang w:val="en-US" w:eastAsia="zh-CN" w:bidi="ar"/>
              </w:rPr>
            </w:pPr>
            <w:r>
              <w:rPr>
                <w:rFonts w:hint="eastAsia"/>
                <w:snapToGrid w:val="0"/>
                <w:color w:val="auto"/>
                <w:kern w:val="21"/>
                <w:szCs w:val="21"/>
                <w:highlight w:val="none"/>
                <w:lang w:val="en-US" w:eastAsia="zh-CN" w:bidi="ar"/>
              </w:rPr>
              <w:t>—</w:t>
            </w:r>
          </w:p>
        </w:tc>
        <w:tc>
          <w:tcPr>
            <w:tcW w:w="1213" w:type="dxa"/>
            <w:shd w:val="clear" w:color="auto" w:fill="auto"/>
            <w:vAlign w:val="center"/>
          </w:tcPr>
          <w:p w14:paraId="7450229E">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shd w:val="clear" w:color="auto" w:fill="auto"/>
            <w:vAlign w:val="center"/>
          </w:tcPr>
          <w:p w14:paraId="04CC337A">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691" w:type="dxa"/>
            <w:vAlign w:val="center"/>
          </w:tcPr>
          <w:p w14:paraId="4C10B73E">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0.1</w:t>
            </w:r>
          </w:p>
        </w:tc>
        <w:tc>
          <w:tcPr>
            <w:tcW w:w="1486" w:type="dxa"/>
            <w:vAlign w:val="center"/>
          </w:tcPr>
          <w:p w14:paraId="394FA3CA">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w:t>
            </w:r>
          </w:p>
        </w:tc>
        <w:tc>
          <w:tcPr>
            <w:tcW w:w="1909" w:type="dxa"/>
            <w:vAlign w:val="center"/>
          </w:tcPr>
          <w:p w14:paraId="62261698">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w:t>
            </w:r>
          </w:p>
        </w:tc>
        <w:tc>
          <w:tcPr>
            <w:tcW w:w="1317" w:type="dxa"/>
            <w:vAlign w:val="center"/>
          </w:tcPr>
          <w:p w14:paraId="032BFF62">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+0.1</w:t>
            </w:r>
          </w:p>
        </w:tc>
      </w:tr>
      <w:tr w14:paraId="175524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90" w:type="dxa"/>
            <w:vMerge w:val="continue"/>
            <w:vAlign w:val="center"/>
          </w:tcPr>
          <w:p w14:paraId="7B0DC7DE">
            <w:pPr>
              <w:pStyle w:val="135"/>
              <w:spacing w:beforeLines="0" w:afterLines="0" w:line="240" w:lineRule="exact"/>
              <w:ind w:firstLine="0" w:firstLineChars="0"/>
              <w:rPr>
                <w:rFonts w:ascii="Times New Roman"/>
                <w:snapToGrid w:val="0"/>
                <w:color w:val="auto"/>
                <w:kern w:val="21"/>
                <w:szCs w:val="21"/>
                <w:highlight w:val="none"/>
              </w:rPr>
            </w:pPr>
          </w:p>
        </w:tc>
        <w:tc>
          <w:tcPr>
            <w:tcW w:w="1764" w:type="dxa"/>
            <w:vAlign w:val="center"/>
          </w:tcPr>
          <w:p w14:paraId="5DFE1993">
            <w:pPr>
              <w:spacing w:line="280" w:lineRule="exact"/>
              <w:ind w:firstLine="0" w:firstLineChars="0"/>
              <w:jc w:val="center"/>
              <w:rPr>
                <w:rFonts w:hint="default" w:ascii="Times New Roman" w:hAnsi="Times New Roman" w:cs="Times New Roman"/>
                <w:color w:val="auto"/>
                <w:szCs w:val="21"/>
                <w:highlight w:val="none"/>
                <w:lang w:val="en-US" w:eastAsia="zh-CN"/>
              </w:rPr>
            </w:pPr>
            <w:r>
              <w:rPr>
                <w:rFonts w:hint="eastAsia"/>
                <w:color w:val="auto"/>
                <w:highlight w:val="none"/>
              </w:rPr>
              <w:t>粘合剂废包装袋</w:t>
            </w:r>
          </w:p>
        </w:tc>
        <w:tc>
          <w:tcPr>
            <w:tcW w:w="1604" w:type="dxa"/>
            <w:vAlign w:val="center"/>
          </w:tcPr>
          <w:p w14:paraId="0E4868E1">
            <w:pPr>
              <w:spacing w:line="280" w:lineRule="exact"/>
              <w:ind w:firstLine="0" w:firstLineChars="0"/>
              <w:jc w:val="center"/>
              <w:rPr>
                <w:rFonts w:hint="eastAsia"/>
                <w:snapToGrid w:val="0"/>
                <w:color w:val="auto"/>
                <w:kern w:val="21"/>
                <w:szCs w:val="21"/>
                <w:highlight w:val="none"/>
                <w:lang w:val="en-US" w:eastAsia="zh-CN" w:bidi="ar"/>
              </w:rPr>
            </w:pPr>
            <w:r>
              <w:rPr>
                <w:rFonts w:hint="eastAsia"/>
                <w:snapToGrid w:val="0"/>
                <w:color w:val="auto"/>
                <w:kern w:val="21"/>
                <w:szCs w:val="21"/>
                <w:highlight w:val="none"/>
                <w:lang w:val="en-US" w:eastAsia="zh-CN" w:bidi="ar"/>
              </w:rPr>
              <w:t>—</w:t>
            </w:r>
          </w:p>
        </w:tc>
        <w:tc>
          <w:tcPr>
            <w:tcW w:w="1213" w:type="dxa"/>
            <w:shd w:val="clear" w:color="auto" w:fill="auto"/>
            <w:vAlign w:val="center"/>
          </w:tcPr>
          <w:p w14:paraId="3D667F77">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shd w:val="clear" w:color="auto" w:fill="auto"/>
            <w:vAlign w:val="center"/>
          </w:tcPr>
          <w:p w14:paraId="0CFFAE58">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691" w:type="dxa"/>
            <w:vAlign w:val="center"/>
          </w:tcPr>
          <w:p w14:paraId="76E56D16">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2</w:t>
            </w:r>
          </w:p>
        </w:tc>
        <w:tc>
          <w:tcPr>
            <w:tcW w:w="1486" w:type="dxa"/>
            <w:vAlign w:val="center"/>
          </w:tcPr>
          <w:p w14:paraId="053C6B34">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909" w:type="dxa"/>
            <w:vAlign w:val="center"/>
          </w:tcPr>
          <w:p w14:paraId="32EE1B2C">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317" w:type="dxa"/>
            <w:vAlign w:val="center"/>
          </w:tcPr>
          <w:p w14:paraId="6EF1F8DB">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+2</w:t>
            </w:r>
          </w:p>
        </w:tc>
      </w:tr>
      <w:tr w14:paraId="2147A6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90" w:type="dxa"/>
            <w:vMerge w:val="continue"/>
            <w:vAlign w:val="center"/>
          </w:tcPr>
          <w:p w14:paraId="5AAFC8B0">
            <w:pPr>
              <w:pStyle w:val="135"/>
              <w:spacing w:beforeLines="0" w:afterLines="0" w:line="240" w:lineRule="exact"/>
              <w:ind w:firstLine="0" w:firstLineChars="0"/>
              <w:rPr>
                <w:rFonts w:ascii="Times New Roman"/>
                <w:snapToGrid w:val="0"/>
                <w:color w:val="auto"/>
                <w:kern w:val="21"/>
                <w:szCs w:val="21"/>
                <w:highlight w:val="none"/>
              </w:rPr>
            </w:pPr>
          </w:p>
        </w:tc>
        <w:tc>
          <w:tcPr>
            <w:tcW w:w="1764" w:type="dxa"/>
            <w:vAlign w:val="center"/>
          </w:tcPr>
          <w:p w14:paraId="1FB4F384">
            <w:pPr>
              <w:spacing w:line="280" w:lineRule="exact"/>
              <w:ind w:firstLine="0" w:firstLineChars="0"/>
              <w:jc w:val="center"/>
              <w:rPr>
                <w:rFonts w:hint="default" w:ascii="Times New Roman" w:hAnsi="Times New Roman" w:cs="Times New Roman"/>
                <w:color w:val="auto"/>
                <w:szCs w:val="21"/>
                <w:highlight w:val="none"/>
                <w:lang w:val="en-US" w:eastAsia="zh-CN"/>
              </w:rPr>
            </w:pPr>
            <w:r>
              <w:rPr>
                <w:rFonts w:hint="eastAsia" w:cs="Times New Roman"/>
                <w:color w:val="auto"/>
                <w:sz w:val="21"/>
                <w:szCs w:val="21"/>
                <w:highlight w:val="none"/>
                <w:lang w:val="en-US" w:eastAsia="zh-CN"/>
              </w:rPr>
              <w:t>未成形的不合格品</w:t>
            </w:r>
          </w:p>
        </w:tc>
        <w:tc>
          <w:tcPr>
            <w:tcW w:w="1604" w:type="dxa"/>
            <w:vAlign w:val="center"/>
          </w:tcPr>
          <w:p w14:paraId="112CD5C3">
            <w:pPr>
              <w:spacing w:line="280" w:lineRule="exact"/>
              <w:ind w:firstLine="0" w:firstLineChars="0"/>
              <w:jc w:val="center"/>
              <w:rPr>
                <w:rFonts w:hint="eastAsia"/>
                <w:snapToGrid w:val="0"/>
                <w:color w:val="auto"/>
                <w:kern w:val="21"/>
                <w:szCs w:val="21"/>
                <w:highlight w:val="none"/>
                <w:lang w:val="en-US" w:eastAsia="zh-CN" w:bidi="ar"/>
              </w:rPr>
            </w:pPr>
            <w:r>
              <w:rPr>
                <w:rFonts w:hint="eastAsia"/>
                <w:snapToGrid w:val="0"/>
                <w:color w:val="auto"/>
                <w:kern w:val="21"/>
                <w:szCs w:val="21"/>
                <w:highlight w:val="none"/>
                <w:lang w:val="en-US" w:eastAsia="zh-CN" w:bidi="ar"/>
              </w:rPr>
              <w:t>0</w:t>
            </w:r>
          </w:p>
        </w:tc>
        <w:tc>
          <w:tcPr>
            <w:tcW w:w="1213" w:type="dxa"/>
            <w:shd w:val="clear" w:color="auto" w:fill="auto"/>
            <w:vAlign w:val="center"/>
          </w:tcPr>
          <w:p w14:paraId="3E17063F">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shd w:val="clear" w:color="auto" w:fill="auto"/>
            <w:vAlign w:val="center"/>
          </w:tcPr>
          <w:p w14:paraId="27742A9C">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691" w:type="dxa"/>
            <w:vAlign w:val="center"/>
          </w:tcPr>
          <w:p w14:paraId="1BA13A37">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10000</w:t>
            </w:r>
          </w:p>
        </w:tc>
        <w:tc>
          <w:tcPr>
            <w:tcW w:w="1486" w:type="dxa"/>
            <w:vAlign w:val="center"/>
          </w:tcPr>
          <w:p w14:paraId="7C6C335B">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909" w:type="dxa"/>
            <w:vAlign w:val="center"/>
          </w:tcPr>
          <w:p w14:paraId="24ED6350">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10000</w:t>
            </w:r>
          </w:p>
        </w:tc>
        <w:tc>
          <w:tcPr>
            <w:tcW w:w="1317" w:type="dxa"/>
            <w:vAlign w:val="center"/>
          </w:tcPr>
          <w:p w14:paraId="379CB05F">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+10000</w:t>
            </w:r>
          </w:p>
        </w:tc>
      </w:tr>
      <w:tr w14:paraId="5C0AE7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90" w:type="dxa"/>
            <w:vMerge w:val="continue"/>
            <w:vAlign w:val="center"/>
          </w:tcPr>
          <w:p w14:paraId="7BFA3999">
            <w:pPr>
              <w:pStyle w:val="135"/>
              <w:spacing w:beforeLines="0" w:afterLines="0" w:line="240" w:lineRule="exact"/>
              <w:ind w:firstLine="0" w:firstLineChars="0"/>
              <w:rPr>
                <w:rFonts w:ascii="Times New Roman"/>
                <w:snapToGrid w:val="0"/>
                <w:color w:val="auto"/>
                <w:kern w:val="21"/>
                <w:szCs w:val="21"/>
                <w:highlight w:val="none"/>
              </w:rPr>
            </w:pPr>
          </w:p>
        </w:tc>
        <w:tc>
          <w:tcPr>
            <w:tcW w:w="1764" w:type="dxa"/>
            <w:vAlign w:val="center"/>
          </w:tcPr>
          <w:p w14:paraId="51D07CB1">
            <w:pPr>
              <w:spacing w:line="280" w:lineRule="exact"/>
              <w:ind w:firstLine="0" w:firstLineChars="0"/>
              <w:jc w:val="center"/>
              <w:rPr>
                <w:rFonts w:hint="default" w:ascii="Times New Roman" w:hAnsi="Times New Roman" w:cs="Times New Roman"/>
                <w:color w:val="auto"/>
                <w:szCs w:val="21"/>
                <w:highlight w:val="none"/>
                <w:lang w:val="en-US" w:eastAsia="zh-CN"/>
              </w:rPr>
            </w:pPr>
            <w:r>
              <w:rPr>
                <w:rFonts w:hint="eastAsia" w:cs="Times New Roman"/>
                <w:color w:val="auto"/>
                <w:sz w:val="21"/>
                <w:szCs w:val="21"/>
                <w:highlight w:val="none"/>
                <w:lang w:val="en-US" w:eastAsia="zh-CN"/>
              </w:rPr>
              <w:t>半成品筛分筛下物</w:t>
            </w:r>
          </w:p>
        </w:tc>
        <w:tc>
          <w:tcPr>
            <w:tcW w:w="1604" w:type="dxa"/>
            <w:vAlign w:val="center"/>
          </w:tcPr>
          <w:p w14:paraId="11869865">
            <w:pPr>
              <w:spacing w:line="280" w:lineRule="exact"/>
              <w:ind w:firstLine="0" w:firstLineChars="0"/>
              <w:jc w:val="center"/>
              <w:rPr>
                <w:rFonts w:hint="eastAsia"/>
                <w:snapToGrid w:val="0"/>
                <w:color w:val="auto"/>
                <w:kern w:val="21"/>
                <w:szCs w:val="21"/>
                <w:highlight w:val="none"/>
                <w:lang w:val="en-US" w:eastAsia="zh-CN" w:bidi="ar"/>
              </w:rPr>
            </w:pPr>
            <w:r>
              <w:rPr>
                <w:rFonts w:hint="eastAsia"/>
                <w:snapToGrid w:val="0"/>
                <w:color w:val="auto"/>
                <w:kern w:val="21"/>
                <w:szCs w:val="21"/>
                <w:highlight w:val="none"/>
                <w:lang w:val="en-US" w:eastAsia="zh-CN" w:bidi="ar"/>
              </w:rPr>
              <w:t>0</w:t>
            </w:r>
          </w:p>
        </w:tc>
        <w:tc>
          <w:tcPr>
            <w:tcW w:w="1213" w:type="dxa"/>
            <w:shd w:val="clear" w:color="auto" w:fill="auto"/>
            <w:vAlign w:val="center"/>
          </w:tcPr>
          <w:p w14:paraId="1DA10A7C">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shd w:val="clear" w:color="auto" w:fill="auto"/>
            <w:vAlign w:val="center"/>
          </w:tcPr>
          <w:p w14:paraId="422C8618">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691" w:type="dxa"/>
            <w:vAlign w:val="center"/>
          </w:tcPr>
          <w:p w14:paraId="35F83D44">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1000</w:t>
            </w:r>
          </w:p>
        </w:tc>
        <w:tc>
          <w:tcPr>
            <w:tcW w:w="1486" w:type="dxa"/>
            <w:vAlign w:val="center"/>
          </w:tcPr>
          <w:p w14:paraId="6E14BDCB">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w:t>
            </w:r>
          </w:p>
        </w:tc>
        <w:tc>
          <w:tcPr>
            <w:tcW w:w="1909" w:type="dxa"/>
            <w:vAlign w:val="center"/>
          </w:tcPr>
          <w:p w14:paraId="6E8BF942">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1000</w:t>
            </w:r>
          </w:p>
        </w:tc>
        <w:tc>
          <w:tcPr>
            <w:tcW w:w="1317" w:type="dxa"/>
            <w:vAlign w:val="center"/>
          </w:tcPr>
          <w:p w14:paraId="2A3CAD65">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+1000</w:t>
            </w:r>
          </w:p>
        </w:tc>
      </w:tr>
      <w:tr w14:paraId="0BF25C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90" w:type="dxa"/>
            <w:vMerge w:val="continue"/>
            <w:vAlign w:val="center"/>
          </w:tcPr>
          <w:p w14:paraId="2239DFEE">
            <w:pPr>
              <w:pStyle w:val="135"/>
              <w:spacing w:beforeLines="0" w:afterLines="0" w:line="240" w:lineRule="exact"/>
              <w:ind w:firstLine="0" w:firstLineChars="0"/>
              <w:rPr>
                <w:rFonts w:ascii="Times New Roman"/>
                <w:snapToGrid w:val="0"/>
                <w:color w:val="auto"/>
                <w:kern w:val="21"/>
                <w:szCs w:val="21"/>
                <w:highlight w:val="none"/>
              </w:rPr>
            </w:pPr>
          </w:p>
        </w:tc>
        <w:tc>
          <w:tcPr>
            <w:tcW w:w="1764" w:type="dxa"/>
            <w:vAlign w:val="center"/>
          </w:tcPr>
          <w:p w14:paraId="2E43988C">
            <w:pPr>
              <w:spacing w:line="280" w:lineRule="exact"/>
              <w:ind w:firstLine="0" w:firstLineChars="0"/>
              <w:jc w:val="center"/>
              <w:rPr>
                <w:rFonts w:hint="default" w:ascii="Times New Roman" w:hAnsi="Times New Roman" w:cs="Times New Roman"/>
                <w:color w:val="auto"/>
                <w:szCs w:val="21"/>
                <w:highlight w:val="none"/>
                <w:lang w:val="en-US" w:eastAsia="zh-CN"/>
              </w:rPr>
            </w:pPr>
            <w:r>
              <w:rPr>
                <w:rFonts w:hint="eastAsia" w:cs="Times New Roman"/>
                <w:color w:val="auto"/>
                <w:szCs w:val="21"/>
                <w:highlight w:val="none"/>
                <w:lang w:val="en-US" w:eastAsia="zh-CN"/>
              </w:rPr>
              <w:t>洗车沉泥</w:t>
            </w:r>
          </w:p>
        </w:tc>
        <w:tc>
          <w:tcPr>
            <w:tcW w:w="1604" w:type="dxa"/>
            <w:vAlign w:val="center"/>
          </w:tcPr>
          <w:p w14:paraId="52196C5D">
            <w:pPr>
              <w:spacing w:line="280" w:lineRule="exact"/>
              <w:ind w:firstLine="0" w:firstLineChars="0"/>
              <w:jc w:val="center"/>
              <w:rPr>
                <w:rFonts w:hint="eastAsia"/>
                <w:snapToGrid w:val="0"/>
                <w:color w:val="auto"/>
                <w:kern w:val="21"/>
                <w:szCs w:val="21"/>
                <w:highlight w:val="none"/>
                <w:lang w:val="en-US" w:eastAsia="zh-CN" w:bidi="ar"/>
              </w:rPr>
            </w:pPr>
            <w:r>
              <w:rPr>
                <w:rFonts w:hint="eastAsia"/>
                <w:snapToGrid w:val="0"/>
                <w:color w:val="auto"/>
                <w:kern w:val="21"/>
                <w:szCs w:val="21"/>
                <w:highlight w:val="none"/>
                <w:lang w:val="en-US" w:eastAsia="zh-CN" w:bidi="ar"/>
              </w:rPr>
              <w:t>—</w:t>
            </w:r>
          </w:p>
        </w:tc>
        <w:tc>
          <w:tcPr>
            <w:tcW w:w="1213" w:type="dxa"/>
            <w:shd w:val="clear" w:color="auto" w:fill="auto"/>
            <w:vAlign w:val="center"/>
          </w:tcPr>
          <w:p w14:paraId="67DB18E9">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shd w:val="clear" w:color="auto" w:fill="auto"/>
            <w:vAlign w:val="center"/>
          </w:tcPr>
          <w:p w14:paraId="2B7F57D5">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691" w:type="dxa"/>
            <w:vAlign w:val="center"/>
          </w:tcPr>
          <w:p w14:paraId="7D33FB1C">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2</w:t>
            </w:r>
          </w:p>
        </w:tc>
        <w:tc>
          <w:tcPr>
            <w:tcW w:w="1486" w:type="dxa"/>
            <w:vAlign w:val="center"/>
          </w:tcPr>
          <w:p w14:paraId="0B9118D1">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909" w:type="dxa"/>
            <w:vAlign w:val="center"/>
          </w:tcPr>
          <w:p w14:paraId="13F67679">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317" w:type="dxa"/>
            <w:vAlign w:val="center"/>
          </w:tcPr>
          <w:p w14:paraId="4BA05C6E">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+2</w:t>
            </w:r>
          </w:p>
        </w:tc>
      </w:tr>
      <w:tr w14:paraId="6ABB5B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990" w:type="dxa"/>
            <w:vMerge w:val="restart"/>
            <w:vAlign w:val="center"/>
          </w:tcPr>
          <w:p w14:paraId="1619335A">
            <w:pPr>
              <w:pStyle w:val="135"/>
              <w:spacing w:beforeLines="0" w:afterLines="0" w:line="240" w:lineRule="exact"/>
              <w:ind w:firstLine="0" w:firstLineChars="0"/>
              <w:rPr>
                <w:rFonts w:ascii="Times New Roman"/>
                <w:snapToGrid w:val="0"/>
                <w:color w:val="auto"/>
                <w:kern w:val="21"/>
                <w:szCs w:val="21"/>
                <w:highlight w:val="none"/>
              </w:rPr>
            </w:pPr>
            <w:r>
              <w:rPr>
                <w:rFonts w:ascii="Times New Roman"/>
                <w:snapToGrid w:val="0"/>
                <w:color w:val="auto"/>
                <w:kern w:val="21"/>
                <w:szCs w:val="21"/>
                <w:highlight w:val="none"/>
              </w:rPr>
              <w:t>危险废物</w:t>
            </w:r>
          </w:p>
        </w:tc>
        <w:tc>
          <w:tcPr>
            <w:tcW w:w="1764" w:type="dxa"/>
            <w:vAlign w:val="center"/>
          </w:tcPr>
          <w:p w14:paraId="255AAE44">
            <w:pPr>
              <w:snapToGrid w:val="0"/>
              <w:spacing w:line="240" w:lineRule="auto"/>
              <w:ind w:firstLine="0" w:firstLineChars="0"/>
              <w:jc w:val="center"/>
              <w:rPr>
                <w:color w:val="auto"/>
                <w:szCs w:val="21"/>
                <w:highlight w:val="none"/>
              </w:rPr>
            </w:pPr>
            <w:r>
              <w:rPr>
                <w:snapToGrid w:val="0"/>
                <w:color w:val="auto"/>
                <w:kern w:val="21"/>
                <w:sz w:val="21"/>
                <w:szCs w:val="21"/>
                <w:highlight w:val="none"/>
                <w:lang w:bidi="ar"/>
              </w:rPr>
              <w:t>废润滑油</w:t>
            </w:r>
          </w:p>
        </w:tc>
        <w:tc>
          <w:tcPr>
            <w:tcW w:w="1604" w:type="dxa"/>
            <w:shd w:val="clear" w:color="auto" w:fill="auto"/>
            <w:vAlign w:val="center"/>
          </w:tcPr>
          <w:p w14:paraId="7156949D">
            <w:pPr>
              <w:autoSpaceDE/>
              <w:autoSpaceDN/>
              <w:adjustRightInd/>
              <w:spacing w:line="240" w:lineRule="auto"/>
              <w:ind w:firstLine="0" w:firstLineChars="0"/>
              <w:jc w:val="center"/>
              <w:rPr>
                <w:rFonts w:hint="default" w:eastAsia="宋体"/>
                <w:snapToGrid w:val="0"/>
                <w:color w:val="auto"/>
                <w:kern w:val="21"/>
                <w:szCs w:val="21"/>
                <w:highlight w:val="none"/>
                <w:lang w:val="en-US" w:eastAsia="zh-CN" w:bidi="ar"/>
              </w:rPr>
            </w:pPr>
            <w:r>
              <w:rPr>
                <w:rFonts w:hint="eastAsia"/>
                <w:snapToGrid w:val="0"/>
                <w:color w:val="auto"/>
                <w:kern w:val="21"/>
                <w:szCs w:val="21"/>
                <w:highlight w:val="none"/>
                <w:lang w:val="en-US" w:eastAsia="zh-CN" w:bidi="ar"/>
              </w:rPr>
              <w:t>11.08</w:t>
            </w:r>
          </w:p>
        </w:tc>
        <w:tc>
          <w:tcPr>
            <w:tcW w:w="1213" w:type="dxa"/>
            <w:vAlign w:val="center"/>
          </w:tcPr>
          <w:p w14:paraId="718ABA53">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vAlign w:val="center"/>
          </w:tcPr>
          <w:p w14:paraId="501CFC34">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691" w:type="dxa"/>
            <w:vAlign w:val="center"/>
          </w:tcPr>
          <w:p w14:paraId="397C8667">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0.05</w:t>
            </w:r>
          </w:p>
        </w:tc>
        <w:tc>
          <w:tcPr>
            <w:tcW w:w="1486" w:type="dxa"/>
            <w:vAlign w:val="center"/>
          </w:tcPr>
          <w:p w14:paraId="5E8AD8F5">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909" w:type="dxa"/>
            <w:shd w:val="clear" w:color="auto" w:fill="auto"/>
            <w:vAlign w:val="center"/>
          </w:tcPr>
          <w:p w14:paraId="62971CEF">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11.13</w:t>
            </w:r>
          </w:p>
        </w:tc>
        <w:tc>
          <w:tcPr>
            <w:tcW w:w="1317" w:type="dxa"/>
            <w:vAlign w:val="center"/>
          </w:tcPr>
          <w:p w14:paraId="64577782">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+0.05</w:t>
            </w:r>
          </w:p>
        </w:tc>
      </w:tr>
      <w:tr w14:paraId="4973DD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990" w:type="dxa"/>
            <w:vMerge w:val="continue"/>
            <w:vAlign w:val="center"/>
          </w:tcPr>
          <w:p w14:paraId="3E4ADB8D">
            <w:pPr>
              <w:pStyle w:val="135"/>
              <w:spacing w:beforeLines="0" w:afterLines="0" w:line="240" w:lineRule="exact"/>
              <w:ind w:firstLine="0" w:firstLineChars="0"/>
              <w:rPr>
                <w:rFonts w:ascii="Times New Roman"/>
                <w:snapToGrid w:val="0"/>
                <w:color w:val="auto"/>
                <w:kern w:val="21"/>
                <w:szCs w:val="21"/>
                <w:highlight w:val="none"/>
              </w:rPr>
            </w:pPr>
          </w:p>
        </w:tc>
        <w:tc>
          <w:tcPr>
            <w:tcW w:w="1764" w:type="dxa"/>
            <w:vAlign w:val="center"/>
          </w:tcPr>
          <w:p w14:paraId="5BAD45F5">
            <w:pPr>
              <w:snapToGrid w:val="0"/>
              <w:spacing w:line="240" w:lineRule="auto"/>
              <w:ind w:firstLine="0" w:firstLineChars="0"/>
              <w:jc w:val="center"/>
              <w:rPr>
                <w:color w:val="auto"/>
                <w:szCs w:val="21"/>
                <w:highlight w:val="none"/>
              </w:rPr>
            </w:pPr>
            <w:r>
              <w:rPr>
                <w:rFonts w:hint="eastAsia"/>
                <w:snapToGrid w:val="0"/>
                <w:color w:val="auto"/>
                <w:kern w:val="21"/>
                <w:sz w:val="21"/>
                <w:szCs w:val="21"/>
                <w:highlight w:val="none"/>
                <w:lang w:bidi="ar"/>
              </w:rPr>
              <w:t>废液压油</w:t>
            </w:r>
          </w:p>
        </w:tc>
        <w:tc>
          <w:tcPr>
            <w:tcW w:w="1604" w:type="dxa"/>
            <w:shd w:val="clear" w:color="auto" w:fill="auto"/>
            <w:vAlign w:val="center"/>
          </w:tcPr>
          <w:p w14:paraId="39A823B4">
            <w:pPr>
              <w:autoSpaceDE/>
              <w:autoSpaceDN/>
              <w:adjustRightInd/>
              <w:spacing w:line="240" w:lineRule="auto"/>
              <w:ind w:firstLine="0" w:firstLineChars="0"/>
              <w:jc w:val="center"/>
              <w:rPr>
                <w:rFonts w:hint="default" w:eastAsia="宋体"/>
                <w:color w:val="auto"/>
                <w:szCs w:val="21"/>
                <w:highlight w:val="none"/>
                <w:lang w:val="en-US" w:eastAsia="zh-CN"/>
              </w:rPr>
            </w:pPr>
            <w:r>
              <w:rPr>
                <w:rFonts w:hint="eastAsia"/>
                <w:color w:val="auto"/>
                <w:szCs w:val="21"/>
                <w:highlight w:val="none"/>
                <w:lang w:val="en-US" w:eastAsia="zh-CN"/>
              </w:rPr>
              <w:t>60.56</w:t>
            </w:r>
          </w:p>
        </w:tc>
        <w:tc>
          <w:tcPr>
            <w:tcW w:w="1213" w:type="dxa"/>
            <w:vAlign w:val="center"/>
          </w:tcPr>
          <w:p w14:paraId="7A2D5FF1">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vAlign w:val="center"/>
          </w:tcPr>
          <w:p w14:paraId="4BCF0A96">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691" w:type="dxa"/>
            <w:vAlign w:val="center"/>
          </w:tcPr>
          <w:p w14:paraId="101207A7">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0.1</w:t>
            </w:r>
          </w:p>
        </w:tc>
        <w:tc>
          <w:tcPr>
            <w:tcW w:w="1486" w:type="dxa"/>
            <w:vAlign w:val="center"/>
          </w:tcPr>
          <w:p w14:paraId="45F9C8F8">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909" w:type="dxa"/>
            <w:shd w:val="clear" w:color="auto" w:fill="auto"/>
            <w:vAlign w:val="center"/>
          </w:tcPr>
          <w:p w14:paraId="4DD093DD">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60.66</w:t>
            </w:r>
          </w:p>
        </w:tc>
        <w:tc>
          <w:tcPr>
            <w:tcW w:w="1317" w:type="dxa"/>
            <w:vAlign w:val="center"/>
          </w:tcPr>
          <w:p w14:paraId="55C39239">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+0.1</w:t>
            </w:r>
          </w:p>
        </w:tc>
      </w:tr>
      <w:tr w14:paraId="585C3B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990" w:type="dxa"/>
            <w:vMerge w:val="continue"/>
            <w:vAlign w:val="center"/>
          </w:tcPr>
          <w:p w14:paraId="6E8BB6C0">
            <w:pPr>
              <w:pStyle w:val="135"/>
              <w:spacing w:beforeLines="0" w:afterLines="0" w:line="240" w:lineRule="exact"/>
              <w:ind w:firstLine="0" w:firstLineChars="0"/>
              <w:rPr>
                <w:rFonts w:ascii="Times New Roman"/>
                <w:snapToGrid w:val="0"/>
                <w:color w:val="auto"/>
                <w:kern w:val="21"/>
                <w:szCs w:val="21"/>
                <w:highlight w:val="none"/>
              </w:rPr>
            </w:pPr>
          </w:p>
        </w:tc>
        <w:tc>
          <w:tcPr>
            <w:tcW w:w="1764" w:type="dxa"/>
            <w:vAlign w:val="center"/>
          </w:tcPr>
          <w:p w14:paraId="6074A0B9">
            <w:pPr>
              <w:snapToGrid w:val="0"/>
              <w:spacing w:line="240" w:lineRule="auto"/>
              <w:ind w:firstLine="0" w:firstLineChars="0"/>
              <w:jc w:val="center"/>
              <w:rPr>
                <w:rFonts w:hint="eastAsia" w:eastAsia="宋体"/>
                <w:snapToGrid w:val="0"/>
                <w:color w:val="auto"/>
                <w:kern w:val="21"/>
                <w:sz w:val="21"/>
                <w:szCs w:val="21"/>
                <w:highlight w:val="none"/>
                <w:lang w:val="en-US" w:eastAsia="zh-CN" w:bidi="ar"/>
              </w:rPr>
            </w:pPr>
            <w:r>
              <w:rPr>
                <w:rFonts w:hint="eastAsia"/>
                <w:snapToGrid w:val="0"/>
                <w:color w:val="auto"/>
                <w:kern w:val="21"/>
                <w:sz w:val="21"/>
                <w:szCs w:val="21"/>
                <w:highlight w:val="none"/>
                <w:lang w:val="en-US" w:eastAsia="zh-CN" w:bidi="ar"/>
              </w:rPr>
              <w:t>废电瓶</w:t>
            </w:r>
          </w:p>
        </w:tc>
        <w:tc>
          <w:tcPr>
            <w:tcW w:w="1604" w:type="dxa"/>
            <w:shd w:val="clear" w:color="auto" w:fill="auto"/>
            <w:vAlign w:val="center"/>
          </w:tcPr>
          <w:p w14:paraId="0401560B">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10.72</w:t>
            </w:r>
          </w:p>
        </w:tc>
        <w:tc>
          <w:tcPr>
            <w:tcW w:w="1213" w:type="dxa"/>
            <w:vAlign w:val="center"/>
          </w:tcPr>
          <w:p w14:paraId="300E3D73">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vAlign w:val="center"/>
          </w:tcPr>
          <w:p w14:paraId="7E00A1AF">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691" w:type="dxa"/>
            <w:vAlign w:val="center"/>
          </w:tcPr>
          <w:p w14:paraId="66FF2903">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0.05</w:t>
            </w:r>
          </w:p>
        </w:tc>
        <w:tc>
          <w:tcPr>
            <w:tcW w:w="1486" w:type="dxa"/>
            <w:vAlign w:val="center"/>
          </w:tcPr>
          <w:p w14:paraId="3DE4C697">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909" w:type="dxa"/>
            <w:shd w:val="clear" w:color="auto" w:fill="auto"/>
            <w:vAlign w:val="center"/>
          </w:tcPr>
          <w:p w14:paraId="097FF509">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10.77</w:t>
            </w:r>
          </w:p>
        </w:tc>
        <w:tc>
          <w:tcPr>
            <w:tcW w:w="1317" w:type="dxa"/>
            <w:vAlign w:val="center"/>
          </w:tcPr>
          <w:p w14:paraId="53BBAED7">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+0.05</w:t>
            </w:r>
          </w:p>
        </w:tc>
      </w:tr>
      <w:tr w14:paraId="673166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990" w:type="dxa"/>
            <w:vMerge w:val="continue"/>
            <w:vAlign w:val="center"/>
          </w:tcPr>
          <w:p w14:paraId="6F96B5A0">
            <w:pPr>
              <w:pStyle w:val="135"/>
              <w:spacing w:beforeLines="0" w:afterLines="0" w:line="240" w:lineRule="exact"/>
              <w:ind w:firstLine="0" w:firstLineChars="0"/>
              <w:rPr>
                <w:rFonts w:ascii="Times New Roman"/>
                <w:snapToGrid w:val="0"/>
                <w:color w:val="auto"/>
                <w:kern w:val="21"/>
                <w:szCs w:val="21"/>
                <w:highlight w:val="none"/>
              </w:rPr>
            </w:pPr>
          </w:p>
        </w:tc>
        <w:tc>
          <w:tcPr>
            <w:tcW w:w="1764" w:type="dxa"/>
            <w:vAlign w:val="center"/>
          </w:tcPr>
          <w:p w14:paraId="5B6DD4B1">
            <w:pPr>
              <w:snapToGrid w:val="0"/>
              <w:spacing w:line="240" w:lineRule="auto"/>
              <w:ind w:firstLine="0" w:firstLineChars="0"/>
              <w:jc w:val="center"/>
              <w:rPr>
                <w:color w:val="auto"/>
                <w:szCs w:val="21"/>
                <w:highlight w:val="none"/>
              </w:rPr>
            </w:pPr>
            <w:r>
              <w:rPr>
                <w:snapToGrid w:val="0"/>
                <w:color w:val="auto"/>
                <w:kern w:val="21"/>
                <w:sz w:val="21"/>
                <w:szCs w:val="21"/>
                <w:highlight w:val="none"/>
                <w:lang w:bidi="ar"/>
              </w:rPr>
              <w:t>废油桶</w:t>
            </w:r>
          </w:p>
        </w:tc>
        <w:tc>
          <w:tcPr>
            <w:tcW w:w="1604" w:type="dxa"/>
            <w:shd w:val="clear" w:color="auto" w:fill="auto"/>
            <w:vAlign w:val="center"/>
          </w:tcPr>
          <w:p w14:paraId="3871F82D">
            <w:pPr>
              <w:autoSpaceDE/>
              <w:autoSpaceDN/>
              <w:adjustRightInd/>
              <w:spacing w:line="240" w:lineRule="auto"/>
              <w:ind w:firstLine="0" w:firstLineChars="0"/>
              <w:jc w:val="center"/>
              <w:rPr>
                <w:rFonts w:hint="default"/>
                <w:color w:val="auto"/>
                <w:highlight w:val="none"/>
                <w:lang w:val="en-US" w:eastAsia="zh-CN"/>
              </w:rPr>
            </w:pPr>
            <w:r>
              <w:rPr>
                <w:rFonts w:hint="eastAsia"/>
                <w:color w:val="auto"/>
                <w:szCs w:val="21"/>
                <w:highlight w:val="none"/>
                <w:lang w:val="en-US" w:eastAsia="zh-CN"/>
              </w:rPr>
              <w:t>11.34</w:t>
            </w:r>
          </w:p>
        </w:tc>
        <w:tc>
          <w:tcPr>
            <w:tcW w:w="1213" w:type="dxa"/>
            <w:vAlign w:val="center"/>
          </w:tcPr>
          <w:p w14:paraId="4F60BC41">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w:t>
            </w:r>
          </w:p>
        </w:tc>
        <w:tc>
          <w:tcPr>
            <w:tcW w:w="1814" w:type="dxa"/>
            <w:vAlign w:val="center"/>
          </w:tcPr>
          <w:p w14:paraId="252EB091">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691" w:type="dxa"/>
            <w:vAlign w:val="center"/>
          </w:tcPr>
          <w:p w14:paraId="738234E2">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0.03</w:t>
            </w:r>
          </w:p>
        </w:tc>
        <w:tc>
          <w:tcPr>
            <w:tcW w:w="1486" w:type="dxa"/>
            <w:vAlign w:val="center"/>
          </w:tcPr>
          <w:p w14:paraId="36D462B4">
            <w:pPr>
              <w:autoSpaceDE/>
              <w:autoSpaceDN/>
              <w:adjustRightInd/>
              <w:spacing w:line="240" w:lineRule="auto"/>
              <w:ind w:firstLine="0" w:firstLineChars="0"/>
              <w:jc w:val="center"/>
              <w:rPr>
                <w:rFonts w:hint="eastAsia"/>
                <w:color w:val="auto"/>
                <w:szCs w:val="21"/>
                <w:highlight w:val="none"/>
                <w:lang w:val="en-US" w:eastAsia="zh-CN"/>
              </w:rPr>
            </w:pPr>
            <w:r>
              <w:rPr>
                <w:rFonts w:hint="eastAsia"/>
                <w:color w:val="auto"/>
                <w:szCs w:val="21"/>
                <w:highlight w:val="none"/>
                <w:lang w:val="en-US" w:eastAsia="zh-CN"/>
              </w:rPr>
              <w:t>0</w:t>
            </w:r>
          </w:p>
        </w:tc>
        <w:tc>
          <w:tcPr>
            <w:tcW w:w="1909" w:type="dxa"/>
            <w:shd w:val="clear" w:color="auto" w:fill="auto"/>
            <w:vAlign w:val="center"/>
          </w:tcPr>
          <w:p w14:paraId="79B9835F">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11.37</w:t>
            </w:r>
          </w:p>
        </w:tc>
        <w:tc>
          <w:tcPr>
            <w:tcW w:w="1317" w:type="dxa"/>
            <w:vAlign w:val="center"/>
          </w:tcPr>
          <w:p w14:paraId="22B3B9A0">
            <w:pPr>
              <w:autoSpaceDE/>
              <w:autoSpaceDN/>
              <w:adjustRightInd/>
              <w:spacing w:line="240" w:lineRule="auto"/>
              <w:ind w:firstLine="0" w:firstLineChars="0"/>
              <w:jc w:val="center"/>
              <w:rPr>
                <w:rFonts w:hint="default"/>
                <w:color w:val="auto"/>
                <w:szCs w:val="21"/>
                <w:highlight w:val="none"/>
                <w:lang w:val="en-US" w:eastAsia="zh-CN"/>
              </w:rPr>
            </w:pPr>
            <w:r>
              <w:rPr>
                <w:rFonts w:hint="eastAsia"/>
                <w:color w:val="auto"/>
                <w:szCs w:val="21"/>
                <w:highlight w:val="none"/>
                <w:lang w:val="en-US" w:eastAsia="zh-CN"/>
              </w:rPr>
              <w:t>+0.03</w:t>
            </w:r>
          </w:p>
        </w:tc>
      </w:tr>
    </w:tbl>
    <w:p w14:paraId="5D9FF594">
      <w:pPr>
        <w:pStyle w:val="135"/>
        <w:spacing w:beforeLines="0" w:afterLines="0" w:line="260" w:lineRule="auto"/>
        <w:ind w:firstLine="480"/>
        <w:jc w:val="left"/>
        <w:rPr>
          <w:rFonts w:ascii="Times New Roman"/>
          <w:b/>
          <w:color w:val="auto"/>
          <w:kern w:val="24"/>
          <w:sz w:val="40"/>
          <w:szCs w:val="40"/>
          <w:highlight w:val="none"/>
        </w:rPr>
      </w:pPr>
      <w:r>
        <w:rPr>
          <w:rFonts w:ascii="Times New Roman" w:eastAsiaTheme="minorEastAsia"/>
          <w:snapToGrid w:val="0"/>
          <w:color w:val="auto"/>
          <w:kern w:val="21"/>
          <w:sz w:val="24"/>
          <w:szCs w:val="24"/>
          <w:highlight w:val="none"/>
        </w:rPr>
        <w:t>注：</w:t>
      </w:r>
      <w:r>
        <w:rPr>
          <w:rFonts w:ascii="Times New Roman" w:eastAsiaTheme="minorEastAsia"/>
          <w:snapToGrid w:val="0"/>
          <w:color w:val="auto"/>
          <w:spacing w:val="-16"/>
          <w:kern w:val="21"/>
          <w:sz w:val="24"/>
          <w:szCs w:val="24"/>
          <w:highlight w:val="none"/>
        </w:rPr>
        <w:fldChar w:fldCharType="begin"/>
      </w:r>
      <w:r>
        <w:rPr>
          <w:rFonts w:ascii="Times New Roman" w:eastAsiaTheme="minorEastAsia"/>
          <w:snapToGrid w:val="0"/>
          <w:color w:val="auto"/>
          <w:spacing w:val="-16"/>
          <w:kern w:val="21"/>
          <w:sz w:val="24"/>
          <w:szCs w:val="24"/>
          <w:highlight w:val="none"/>
        </w:rPr>
        <w:instrText xml:space="preserve"> = 6 \* GB3 \* MERGEFORMAT </w:instrText>
      </w:r>
      <w:r>
        <w:rPr>
          <w:rFonts w:ascii="Times New Roman" w:eastAsiaTheme="minorEastAsia"/>
          <w:snapToGrid w:val="0"/>
          <w:color w:val="auto"/>
          <w:spacing w:val="-16"/>
          <w:kern w:val="21"/>
          <w:sz w:val="24"/>
          <w:szCs w:val="24"/>
          <w:highlight w:val="none"/>
        </w:rPr>
        <w:fldChar w:fldCharType="separate"/>
      </w:r>
      <w:r>
        <w:rPr>
          <w:rFonts w:ascii="Times New Roman" w:eastAsiaTheme="minorEastAsia"/>
          <w:color w:val="auto"/>
          <w:sz w:val="24"/>
          <w:szCs w:val="24"/>
          <w:highlight w:val="none"/>
        </w:rPr>
        <w:t>⑥</w:t>
      </w:r>
      <w:r>
        <w:rPr>
          <w:rFonts w:ascii="Times New Roman" w:eastAsiaTheme="minorEastAsia"/>
          <w:snapToGrid w:val="0"/>
          <w:color w:val="auto"/>
          <w:spacing w:val="-16"/>
          <w:kern w:val="21"/>
          <w:sz w:val="24"/>
          <w:szCs w:val="24"/>
          <w:highlight w:val="none"/>
        </w:rPr>
        <w:fldChar w:fldCharType="end"/>
      </w:r>
      <w:r>
        <w:rPr>
          <w:rFonts w:ascii="Times New Roman" w:eastAsiaTheme="minorEastAsia"/>
          <w:snapToGrid w:val="0"/>
          <w:color w:val="auto"/>
          <w:spacing w:val="-16"/>
          <w:kern w:val="21"/>
          <w:sz w:val="24"/>
          <w:szCs w:val="24"/>
          <w:highlight w:val="none"/>
        </w:rPr>
        <w:t>=</w:t>
      </w:r>
      <w:r>
        <w:rPr>
          <w:rFonts w:ascii="Times New Roman" w:eastAsiaTheme="minorEastAsia"/>
          <w:snapToGrid w:val="0"/>
          <w:color w:val="auto"/>
          <w:spacing w:val="-6"/>
          <w:kern w:val="21"/>
          <w:sz w:val="24"/>
          <w:szCs w:val="24"/>
          <w:highlight w:val="none"/>
        </w:rPr>
        <w:fldChar w:fldCharType="begin"/>
      </w:r>
      <w:r>
        <w:rPr>
          <w:rFonts w:ascii="Times New Roman" w:eastAsiaTheme="minorEastAsia"/>
          <w:snapToGrid w:val="0"/>
          <w:color w:val="auto"/>
          <w:spacing w:val="-6"/>
          <w:kern w:val="21"/>
          <w:sz w:val="24"/>
          <w:szCs w:val="24"/>
          <w:highlight w:val="none"/>
        </w:rPr>
        <w:instrText xml:space="preserve"> = 1 \* GB3 \* MERGEFORMAT </w:instrText>
      </w:r>
      <w:r>
        <w:rPr>
          <w:rFonts w:ascii="Times New Roman" w:eastAsiaTheme="minorEastAsia"/>
          <w:snapToGrid w:val="0"/>
          <w:color w:val="auto"/>
          <w:spacing w:val="-6"/>
          <w:kern w:val="21"/>
          <w:sz w:val="24"/>
          <w:szCs w:val="24"/>
          <w:highlight w:val="none"/>
        </w:rPr>
        <w:fldChar w:fldCharType="separate"/>
      </w:r>
      <w:r>
        <w:rPr>
          <w:rFonts w:ascii="Times New Roman" w:eastAsiaTheme="minorEastAsia"/>
          <w:color w:val="auto"/>
          <w:sz w:val="24"/>
          <w:szCs w:val="24"/>
          <w:highlight w:val="none"/>
        </w:rPr>
        <w:t>①</w:t>
      </w:r>
      <w:r>
        <w:rPr>
          <w:rFonts w:ascii="Times New Roman" w:eastAsiaTheme="minorEastAsia"/>
          <w:snapToGrid w:val="0"/>
          <w:color w:val="auto"/>
          <w:spacing w:val="-6"/>
          <w:kern w:val="21"/>
          <w:sz w:val="24"/>
          <w:szCs w:val="24"/>
          <w:highlight w:val="none"/>
        </w:rPr>
        <w:fldChar w:fldCharType="end"/>
      </w:r>
      <w:r>
        <w:rPr>
          <w:rFonts w:ascii="Times New Roman" w:eastAsiaTheme="minorEastAsia"/>
          <w:snapToGrid w:val="0"/>
          <w:color w:val="auto"/>
          <w:spacing w:val="-6"/>
          <w:kern w:val="21"/>
          <w:sz w:val="24"/>
          <w:szCs w:val="24"/>
          <w:highlight w:val="none"/>
        </w:rPr>
        <w:t>+</w:t>
      </w:r>
      <w:r>
        <w:rPr>
          <w:rFonts w:ascii="Times New Roman" w:eastAsiaTheme="minorEastAsia"/>
          <w:snapToGrid w:val="0"/>
          <w:color w:val="auto"/>
          <w:spacing w:val="-6"/>
          <w:kern w:val="21"/>
          <w:sz w:val="24"/>
          <w:szCs w:val="24"/>
          <w:highlight w:val="none"/>
        </w:rPr>
        <w:fldChar w:fldCharType="begin"/>
      </w:r>
      <w:r>
        <w:rPr>
          <w:rFonts w:ascii="Times New Roman" w:eastAsiaTheme="minorEastAsia"/>
          <w:snapToGrid w:val="0"/>
          <w:color w:val="auto"/>
          <w:spacing w:val="-6"/>
          <w:kern w:val="21"/>
          <w:sz w:val="24"/>
          <w:szCs w:val="24"/>
          <w:highlight w:val="none"/>
        </w:rPr>
        <w:instrText xml:space="preserve"> = 3 \* GB3 \* MERGEFORMAT </w:instrText>
      </w:r>
      <w:r>
        <w:rPr>
          <w:rFonts w:ascii="Times New Roman" w:eastAsiaTheme="minorEastAsia"/>
          <w:snapToGrid w:val="0"/>
          <w:color w:val="auto"/>
          <w:spacing w:val="-6"/>
          <w:kern w:val="21"/>
          <w:sz w:val="24"/>
          <w:szCs w:val="24"/>
          <w:highlight w:val="none"/>
        </w:rPr>
        <w:fldChar w:fldCharType="separate"/>
      </w:r>
      <w:r>
        <w:rPr>
          <w:rFonts w:ascii="Times New Roman" w:eastAsiaTheme="minorEastAsia"/>
          <w:color w:val="auto"/>
          <w:sz w:val="24"/>
          <w:szCs w:val="24"/>
          <w:highlight w:val="none"/>
        </w:rPr>
        <w:t>③</w:t>
      </w:r>
      <w:r>
        <w:rPr>
          <w:rFonts w:ascii="Times New Roman" w:eastAsiaTheme="minorEastAsia"/>
          <w:snapToGrid w:val="0"/>
          <w:color w:val="auto"/>
          <w:spacing w:val="-6"/>
          <w:kern w:val="21"/>
          <w:sz w:val="24"/>
          <w:szCs w:val="24"/>
          <w:highlight w:val="none"/>
        </w:rPr>
        <w:fldChar w:fldCharType="end"/>
      </w:r>
      <w:r>
        <w:rPr>
          <w:rFonts w:ascii="Times New Roman" w:eastAsiaTheme="minorEastAsia"/>
          <w:snapToGrid w:val="0"/>
          <w:color w:val="auto"/>
          <w:spacing w:val="-6"/>
          <w:kern w:val="21"/>
          <w:sz w:val="24"/>
          <w:szCs w:val="24"/>
          <w:highlight w:val="none"/>
        </w:rPr>
        <w:t>+</w:t>
      </w:r>
      <w:r>
        <w:rPr>
          <w:rFonts w:ascii="Times New Roman" w:eastAsiaTheme="minorEastAsia"/>
          <w:snapToGrid w:val="0"/>
          <w:color w:val="auto"/>
          <w:spacing w:val="-6"/>
          <w:kern w:val="21"/>
          <w:sz w:val="24"/>
          <w:szCs w:val="24"/>
          <w:highlight w:val="none"/>
        </w:rPr>
        <w:fldChar w:fldCharType="begin"/>
      </w:r>
      <w:r>
        <w:rPr>
          <w:rFonts w:ascii="Times New Roman" w:eastAsiaTheme="minorEastAsia"/>
          <w:snapToGrid w:val="0"/>
          <w:color w:val="auto"/>
          <w:spacing w:val="-6"/>
          <w:kern w:val="21"/>
          <w:sz w:val="24"/>
          <w:szCs w:val="24"/>
          <w:highlight w:val="none"/>
        </w:rPr>
        <w:instrText xml:space="preserve"> = 4 \* GB3 \* MERGEFORMAT </w:instrText>
      </w:r>
      <w:r>
        <w:rPr>
          <w:rFonts w:ascii="Times New Roman" w:eastAsiaTheme="minorEastAsia"/>
          <w:snapToGrid w:val="0"/>
          <w:color w:val="auto"/>
          <w:spacing w:val="-6"/>
          <w:kern w:val="21"/>
          <w:sz w:val="24"/>
          <w:szCs w:val="24"/>
          <w:highlight w:val="none"/>
        </w:rPr>
        <w:fldChar w:fldCharType="separate"/>
      </w:r>
      <w:r>
        <w:rPr>
          <w:rFonts w:ascii="Times New Roman" w:eastAsiaTheme="minorEastAsia"/>
          <w:color w:val="auto"/>
          <w:sz w:val="24"/>
          <w:szCs w:val="24"/>
          <w:highlight w:val="none"/>
        </w:rPr>
        <w:t>④</w:t>
      </w:r>
      <w:r>
        <w:rPr>
          <w:rFonts w:ascii="Times New Roman" w:eastAsiaTheme="minorEastAsia"/>
          <w:snapToGrid w:val="0"/>
          <w:color w:val="auto"/>
          <w:spacing w:val="-6"/>
          <w:kern w:val="21"/>
          <w:sz w:val="24"/>
          <w:szCs w:val="24"/>
          <w:highlight w:val="none"/>
        </w:rPr>
        <w:fldChar w:fldCharType="end"/>
      </w:r>
      <w:r>
        <w:rPr>
          <w:rFonts w:ascii="Times New Roman" w:eastAsiaTheme="minorEastAsia"/>
          <w:snapToGrid w:val="0"/>
          <w:color w:val="auto"/>
          <w:spacing w:val="-6"/>
          <w:kern w:val="21"/>
          <w:sz w:val="24"/>
          <w:szCs w:val="24"/>
          <w:highlight w:val="none"/>
        </w:rPr>
        <w:t>-</w:t>
      </w:r>
      <w:r>
        <w:rPr>
          <w:rFonts w:ascii="Times New Roman" w:eastAsiaTheme="minorEastAsia"/>
          <w:snapToGrid w:val="0"/>
          <w:color w:val="auto"/>
          <w:spacing w:val="-16"/>
          <w:kern w:val="21"/>
          <w:sz w:val="24"/>
          <w:szCs w:val="24"/>
          <w:highlight w:val="none"/>
        </w:rPr>
        <w:fldChar w:fldCharType="begin"/>
      </w:r>
      <w:r>
        <w:rPr>
          <w:rFonts w:ascii="Times New Roman" w:eastAsiaTheme="minorEastAsia"/>
          <w:snapToGrid w:val="0"/>
          <w:color w:val="auto"/>
          <w:spacing w:val="-16"/>
          <w:kern w:val="21"/>
          <w:sz w:val="24"/>
          <w:szCs w:val="24"/>
          <w:highlight w:val="none"/>
        </w:rPr>
        <w:instrText xml:space="preserve"> = 5 \* GB3 \* MERGEFORMAT </w:instrText>
      </w:r>
      <w:r>
        <w:rPr>
          <w:rFonts w:ascii="Times New Roman" w:eastAsiaTheme="minorEastAsia"/>
          <w:snapToGrid w:val="0"/>
          <w:color w:val="auto"/>
          <w:spacing w:val="-16"/>
          <w:kern w:val="21"/>
          <w:sz w:val="24"/>
          <w:szCs w:val="24"/>
          <w:highlight w:val="none"/>
        </w:rPr>
        <w:fldChar w:fldCharType="separate"/>
      </w:r>
      <w:r>
        <w:rPr>
          <w:rFonts w:ascii="Times New Roman" w:eastAsiaTheme="minorEastAsia"/>
          <w:color w:val="auto"/>
          <w:sz w:val="24"/>
          <w:szCs w:val="24"/>
          <w:highlight w:val="none"/>
        </w:rPr>
        <w:t>⑤</w:t>
      </w:r>
      <w:r>
        <w:rPr>
          <w:rFonts w:ascii="Times New Roman" w:eastAsiaTheme="minorEastAsia"/>
          <w:snapToGrid w:val="0"/>
          <w:color w:val="auto"/>
          <w:spacing w:val="-16"/>
          <w:kern w:val="21"/>
          <w:sz w:val="24"/>
          <w:szCs w:val="24"/>
          <w:highlight w:val="none"/>
        </w:rPr>
        <w:fldChar w:fldCharType="end"/>
      </w:r>
      <w:r>
        <w:rPr>
          <w:rFonts w:ascii="Times New Roman" w:eastAsiaTheme="minorEastAsia"/>
          <w:snapToGrid w:val="0"/>
          <w:color w:val="auto"/>
          <w:spacing w:val="-16"/>
          <w:kern w:val="21"/>
          <w:sz w:val="24"/>
          <w:szCs w:val="24"/>
          <w:highlight w:val="none"/>
        </w:rPr>
        <w:t>；</w:t>
      </w:r>
      <w:r>
        <w:rPr>
          <w:rFonts w:ascii="Times New Roman" w:eastAsiaTheme="minorEastAsia"/>
          <w:snapToGrid w:val="0"/>
          <w:color w:val="auto"/>
          <w:spacing w:val="-6"/>
          <w:kern w:val="21"/>
          <w:sz w:val="24"/>
          <w:szCs w:val="24"/>
          <w:highlight w:val="none"/>
        </w:rPr>
        <w:fldChar w:fldCharType="begin"/>
      </w:r>
      <w:r>
        <w:rPr>
          <w:rFonts w:ascii="Times New Roman" w:eastAsiaTheme="minorEastAsia"/>
          <w:snapToGrid w:val="0"/>
          <w:color w:val="auto"/>
          <w:spacing w:val="-6"/>
          <w:kern w:val="21"/>
          <w:sz w:val="24"/>
          <w:szCs w:val="24"/>
          <w:highlight w:val="none"/>
        </w:rPr>
        <w:instrText xml:space="preserve"> = 7 \* GB3 \* MERGEFORMAT </w:instrText>
      </w:r>
      <w:r>
        <w:rPr>
          <w:rFonts w:ascii="Times New Roman" w:eastAsiaTheme="minorEastAsia"/>
          <w:snapToGrid w:val="0"/>
          <w:color w:val="auto"/>
          <w:spacing w:val="-6"/>
          <w:kern w:val="21"/>
          <w:sz w:val="24"/>
          <w:szCs w:val="24"/>
          <w:highlight w:val="none"/>
        </w:rPr>
        <w:fldChar w:fldCharType="separate"/>
      </w:r>
      <w:r>
        <w:rPr>
          <w:rFonts w:ascii="Times New Roman" w:eastAsiaTheme="minorEastAsia"/>
          <w:color w:val="auto"/>
          <w:sz w:val="24"/>
          <w:szCs w:val="24"/>
          <w:highlight w:val="none"/>
        </w:rPr>
        <w:t>⑦</w:t>
      </w:r>
      <w:r>
        <w:rPr>
          <w:rFonts w:ascii="Times New Roman" w:eastAsiaTheme="minorEastAsia"/>
          <w:snapToGrid w:val="0"/>
          <w:color w:val="auto"/>
          <w:spacing w:val="-6"/>
          <w:kern w:val="21"/>
          <w:sz w:val="24"/>
          <w:szCs w:val="24"/>
          <w:highlight w:val="none"/>
        </w:rPr>
        <w:fldChar w:fldCharType="end"/>
      </w:r>
      <w:r>
        <w:rPr>
          <w:rFonts w:ascii="Times New Roman" w:eastAsiaTheme="minorEastAsia"/>
          <w:snapToGrid w:val="0"/>
          <w:color w:val="auto"/>
          <w:spacing w:val="-6"/>
          <w:kern w:val="21"/>
          <w:sz w:val="24"/>
          <w:szCs w:val="24"/>
          <w:highlight w:val="none"/>
        </w:rPr>
        <w:t>=</w:t>
      </w:r>
      <w:r>
        <w:rPr>
          <w:rFonts w:ascii="Times New Roman" w:eastAsiaTheme="minorEastAsia"/>
          <w:snapToGrid w:val="0"/>
          <w:color w:val="auto"/>
          <w:spacing w:val="-16"/>
          <w:kern w:val="21"/>
          <w:sz w:val="24"/>
          <w:szCs w:val="24"/>
          <w:highlight w:val="none"/>
        </w:rPr>
        <w:fldChar w:fldCharType="begin"/>
      </w:r>
      <w:r>
        <w:rPr>
          <w:rFonts w:ascii="Times New Roman" w:eastAsiaTheme="minorEastAsia"/>
          <w:snapToGrid w:val="0"/>
          <w:color w:val="auto"/>
          <w:spacing w:val="-16"/>
          <w:kern w:val="21"/>
          <w:sz w:val="24"/>
          <w:szCs w:val="24"/>
          <w:highlight w:val="none"/>
        </w:rPr>
        <w:instrText xml:space="preserve"> = 6 \* GB3 \* MERGEFORMAT </w:instrText>
      </w:r>
      <w:r>
        <w:rPr>
          <w:rFonts w:ascii="Times New Roman" w:eastAsiaTheme="minorEastAsia"/>
          <w:snapToGrid w:val="0"/>
          <w:color w:val="auto"/>
          <w:spacing w:val="-16"/>
          <w:kern w:val="21"/>
          <w:sz w:val="24"/>
          <w:szCs w:val="24"/>
          <w:highlight w:val="none"/>
        </w:rPr>
        <w:fldChar w:fldCharType="separate"/>
      </w:r>
      <w:r>
        <w:rPr>
          <w:rFonts w:ascii="Times New Roman" w:eastAsiaTheme="minorEastAsia"/>
          <w:color w:val="auto"/>
          <w:sz w:val="24"/>
          <w:szCs w:val="24"/>
          <w:highlight w:val="none"/>
        </w:rPr>
        <w:t>⑥</w:t>
      </w:r>
      <w:r>
        <w:rPr>
          <w:rFonts w:ascii="Times New Roman" w:eastAsiaTheme="minorEastAsia"/>
          <w:snapToGrid w:val="0"/>
          <w:color w:val="auto"/>
          <w:spacing w:val="-16"/>
          <w:kern w:val="21"/>
          <w:sz w:val="24"/>
          <w:szCs w:val="24"/>
          <w:highlight w:val="none"/>
        </w:rPr>
        <w:fldChar w:fldCharType="end"/>
      </w:r>
      <w:r>
        <w:rPr>
          <w:rFonts w:ascii="Times New Roman" w:eastAsiaTheme="minorEastAsia"/>
          <w:snapToGrid w:val="0"/>
          <w:color w:val="auto"/>
          <w:spacing w:val="-16"/>
          <w:kern w:val="21"/>
          <w:sz w:val="24"/>
          <w:szCs w:val="24"/>
          <w:highlight w:val="none"/>
        </w:rPr>
        <w:t>-</w:t>
      </w:r>
      <w:r>
        <w:rPr>
          <w:rFonts w:ascii="Times New Roman" w:eastAsiaTheme="minorEastAsia"/>
          <w:snapToGrid w:val="0"/>
          <w:color w:val="auto"/>
          <w:spacing w:val="-6"/>
          <w:kern w:val="21"/>
          <w:sz w:val="24"/>
          <w:szCs w:val="24"/>
          <w:highlight w:val="none"/>
        </w:rPr>
        <w:fldChar w:fldCharType="begin"/>
      </w:r>
      <w:r>
        <w:rPr>
          <w:rFonts w:ascii="Times New Roman" w:eastAsiaTheme="minorEastAsia"/>
          <w:snapToGrid w:val="0"/>
          <w:color w:val="auto"/>
          <w:spacing w:val="-6"/>
          <w:kern w:val="21"/>
          <w:sz w:val="24"/>
          <w:szCs w:val="24"/>
          <w:highlight w:val="none"/>
        </w:rPr>
        <w:instrText xml:space="preserve"> = 1 \* GB3 \* MERGEFORMAT </w:instrText>
      </w:r>
      <w:r>
        <w:rPr>
          <w:rFonts w:ascii="Times New Roman" w:eastAsiaTheme="minorEastAsia"/>
          <w:snapToGrid w:val="0"/>
          <w:color w:val="auto"/>
          <w:spacing w:val="-6"/>
          <w:kern w:val="21"/>
          <w:sz w:val="24"/>
          <w:szCs w:val="24"/>
          <w:highlight w:val="none"/>
        </w:rPr>
        <w:fldChar w:fldCharType="separate"/>
      </w:r>
      <w:r>
        <w:rPr>
          <w:rFonts w:ascii="Times New Roman" w:eastAsiaTheme="minorEastAsia"/>
          <w:color w:val="auto"/>
          <w:sz w:val="24"/>
          <w:szCs w:val="24"/>
          <w:highlight w:val="none"/>
        </w:rPr>
        <w:t>①</w:t>
      </w:r>
      <w:r>
        <w:rPr>
          <w:rFonts w:ascii="Times New Roman" w:eastAsiaTheme="minorEastAsia"/>
          <w:snapToGrid w:val="0"/>
          <w:color w:val="auto"/>
          <w:spacing w:val="-6"/>
          <w:kern w:val="21"/>
          <w:sz w:val="24"/>
          <w:szCs w:val="24"/>
          <w:highlight w:val="none"/>
        </w:rPr>
        <w:fldChar w:fldCharType="end"/>
      </w:r>
      <w:r>
        <w:rPr>
          <w:rFonts w:ascii="Times New Roman" w:eastAsiaTheme="minorEastAsia"/>
          <w:snapToGrid w:val="0"/>
          <w:color w:val="auto"/>
          <w:spacing w:val="-6"/>
          <w:kern w:val="21"/>
          <w:sz w:val="24"/>
          <w:szCs w:val="24"/>
          <w:highlight w:val="none"/>
        </w:rPr>
        <w:t>；</w:t>
      </w:r>
      <w:r>
        <w:rPr>
          <w:rFonts w:ascii="Times New Roman" w:eastAsiaTheme="minorEastAsia"/>
          <w:color w:val="auto"/>
          <w:sz w:val="24"/>
          <w:szCs w:val="22"/>
          <w:highlight w:val="none"/>
        </w:rPr>
        <w:t>单位：t/a</w:t>
      </w:r>
    </w:p>
    <w:sectPr>
      <w:footerReference r:id="rId9" w:type="default"/>
      <w:pgSz w:w="16838" w:h="11905" w:orient="landscape"/>
      <w:pgMar w:top="1531" w:right="1701" w:bottom="1531" w:left="1701" w:header="851" w:footer="850" w:gutter="0"/>
      <w:pgBorders>
        <w:top w:val="none" w:sz="0" w:space="0"/>
        <w:left w:val="none" w:sz="0" w:space="0"/>
        <w:bottom w:val="none" w:sz="0" w:space="0"/>
        <w:right w:val="none" w:sz="0" w:space="0"/>
      </w:pgBorders>
      <w:cols w:space="0" w:num="1"/>
      <w:docGrid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辣条" w:date="2026-05-12T16:20:10Z" w:initials="">
    <w:p w14:paraId="7651F2FB">
      <w:pPr>
        <w:pStyle w:val="25"/>
        <w:rPr>
          <w:rFonts w:hint="default" w:eastAsia="宋体"/>
          <w:lang w:val="en-US" w:eastAsia="zh-CN"/>
        </w:rPr>
      </w:pPr>
      <w:r>
        <w:rPr>
          <w:rFonts w:hint="eastAsia"/>
          <w:lang w:val="en-US" w:eastAsia="zh-CN"/>
        </w:rPr>
        <w:t>155</w:t>
      </w:r>
    </w:p>
  </w:comment>
  <w:comment w:id="1" w:author="辣条" w:date="2026-05-18T09:48:16Z" w:initials="">
    <w:p w14:paraId="4A204748">
      <w:pPr>
        <w:pStyle w:val="25"/>
      </w:pPr>
      <w:r>
        <w:annotationRef/>
      </w:r>
    </w:p>
  </w:comment>
  <w:comment w:id="2" w:author="辣条" w:date="2026-05-12T16:20:46Z" w:initials="">
    <w:p w14:paraId="12A78315">
      <w:pPr>
        <w:pStyle w:val="25"/>
      </w:pPr>
      <w:r>
        <w:annotationRef/>
      </w:r>
    </w:p>
  </w:comment>
  <w:comment w:id="3" w:author="辣条" w:date="2026-05-12T16:21:04Z" w:initials="">
    <w:p w14:paraId="2C68D67A">
      <w:pPr>
        <w:pStyle w:val="25"/>
        <w:rPr>
          <w:rFonts w:hint="default" w:eastAsia="宋体"/>
          <w:lang w:val="en-US" w:eastAsia="zh-CN"/>
        </w:rPr>
      </w:pPr>
      <w:r>
        <w:rPr>
          <w:rFonts w:hint="eastAsia"/>
          <w:lang w:val="en-US" w:eastAsia="zh-CN"/>
        </w:rPr>
        <w:t>具体标准</w:t>
      </w:r>
    </w:p>
  </w:comment>
  <w:comment w:id="4" w:author="辣条" w:date="2026-05-12T16:35:52Z" w:initials="">
    <w:p w14:paraId="2D60F1C5">
      <w:pPr>
        <w:pStyle w:val="25"/>
        <w:rPr>
          <w:rFonts w:hint="default" w:eastAsia="宋体"/>
          <w:lang w:val="en-US" w:eastAsia="zh-CN"/>
        </w:rPr>
      </w:pPr>
      <w:r>
        <w:rPr>
          <w:rFonts w:hint="eastAsia"/>
          <w:lang w:val="en-US" w:eastAsia="zh-CN"/>
        </w:rPr>
        <w:t>详细一点</w:t>
      </w:r>
    </w:p>
  </w:comment>
  <w:comment w:id="5" w:author="辣条" w:date="2026-05-12T16:22:47Z" w:initials="">
    <w:p w14:paraId="0D5BF62F">
      <w:pPr>
        <w:pStyle w:val="25"/>
        <w:rPr>
          <w:rFonts w:hint="eastAsia" w:eastAsia="宋体"/>
          <w:lang w:eastAsia="zh-CN"/>
        </w:rPr>
      </w:pPr>
      <w:r>
        <w:annotationRef/>
      </w:r>
    </w:p>
  </w:comment>
  <w:comment w:id="6" w:author="辣条" w:date="2026-05-12T16:31:09Z" w:initials="">
    <w:p w14:paraId="7A74CD07">
      <w:pPr>
        <w:pStyle w:val="25"/>
        <w:rPr>
          <w:rFonts w:hint="default" w:eastAsia="宋体"/>
          <w:lang w:val="en-US" w:eastAsia="zh-CN"/>
        </w:rPr>
      </w:pPr>
      <w:r>
        <w:rPr>
          <w:rFonts w:hint="eastAsia"/>
          <w:lang w:val="en-US" w:eastAsia="zh-CN"/>
        </w:rPr>
        <w:t>型号别空着</w:t>
      </w:r>
    </w:p>
  </w:comment>
  <w:comment w:id="7" w:author="辣条" w:date="2026-05-13T09:15:41Z" w:initials="">
    <w:p w14:paraId="1287C435">
      <w:pPr>
        <w:pStyle w:val="25"/>
      </w:pPr>
      <w:r>
        <w:annotationRef/>
      </w:r>
    </w:p>
  </w:comment>
  <w:comment w:id="8" w:author="辣条" w:date="2026-05-12T17:34:37Z" w:initials="">
    <w:p w14:paraId="2FECAEAE">
      <w:pPr>
        <w:pStyle w:val="25"/>
      </w:pPr>
      <w:r>
        <w:annotationRef/>
      </w:r>
    </w:p>
  </w:comment>
  <w:comment w:id="9" w:author="辣条" w:date="2026-05-12T16:29:51Z" w:initials="">
    <w:p w14:paraId="449DD610">
      <w:pPr>
        <w:pStyle w:val="25"/>
        <w:rPr>
          <w:rFonts w:hint="default" w:eastAsia="宋体"/>
          <w:lang w:val="en-US" w:eastAsia="zh-CN"/>
        </w:rPr>
      </w:pPr>
      <w:r>
        <w:rPr>
          <w:rFonts w:hint="eastAsia"/>
          <w:lang w:val="en-US" w:eastAsia="zh-CN"/>
        </w:rPr>
        <w:t>装载机的电池，废电瓶，固废</w:t>
      </w:r>
    </w:p>
  </w:comment>
  <w:comment w:id="10" w:author="辣条" w:date="2026-05-12T16:36:42Z" w:initials="">
    <w:p w14:paraId="3EBA2988">
      <w:pPr>
        <w:pStyle w:val="25"/>
        <w:jc w:val="both"/>
        <w:rPr>
          <w:rFonts w:hint="default" w:eastAsia="宋体"/>
          <w:lang w:val="en-US" w:eastAsia="zh-CN"/>
        </w:rPr>
      </w:pPr>
      <w:r>
        <w:rPr>
          <w:rFonts w:hint="eastAsia"/>
          <w:lang w:val="en-US" w:eastAsia="zh-CN"/>
        </w:rPr>
        <w:t>比例。</w:t>
      </w:r>
    </w:p>
  </w:comment>
  <w:comment w:id="11" w:author="辣条" w:date="2026-05-18T09:58:14Z" w:initials="">
    <w:p w14:paraId="76C017C6">
      <w:pPr>
        <w:pStyle w:val="25"/>
        <w:rPr>
          <w:rFonts w:hint="default" w:eastAsia="宋体"/>
          <w:lang w:val="en-US" w:eastAsia="zh-CN"/>
        </w:rPr>
      </w:pPr>
      <w:r>
        <w:rPr>
          <w:rFonts w:hint="eastAsia"/>
          <w:lang w:val="en-US" w:eastAsia="zh-CN"/>
        </w:rPr>
        <w:t>加废电瓶</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651F2FB" w15:done="0"/>
  <w15:commentEx w15:paraId="4A204748" w15:done="0"/>
  <w15:commentEx w15:paraId="12A78315" w15:done="0"/>
  <w15:commentEx w15:paraId="2C68D67A" w15:done="0"/>
  <w15:commentEx w15:paraId="2D60F1C5" w15:done="0"/>
  <w15:commentEx w15:paraId="0D5BF62F" w15:done="0"/>
  <w15:commentEx w15:paraId="7A74CD07" w15:done="0"/>
  <w15:commentEx w15:paraId="1287C435" w15:done="0"/>
  <w15:commentEx w15:paraId="2FECAEAE" w15:done="0"/>
  <w15:commentEx w15:paraId="449DD610" w15:done="0"/>
  <w15:commentEx w15:paraId="3EBA2988" w15:done="0"/>
  <w15:commentEx w15:paraId="76C017C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swiss"/>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im Sun">
    <w:altName w:val="宋体"/>
    <w:panose1 w:val="00000000000000000000"/>
    <w:charset w:val="86"/>
    <w:family w:val="swiss"/>
    <w:pitch w:val="default"/>
    <w:sig w:usb0="00000000" w:usb1="00000000" w:usb2="00000010" w:usb3="00000000" w:csb0="00040000"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ˎ̥">
    <w:altName w:val="Times New Roman"/>
    <w:panose1 w:val="00000000000000000000"/>
    <w:charset w:val="00"/>
    <w:family w:val="roman"/>
    <w:pitch w:val="default"/>
    <w:sig w:usb0="00000000" w:usb1="00000000" w:usb2="00000000" w:usb3="00000000" w:csb0="00040001" w:csb1="00000000"/>
  </w:font>
  <w:font w:name="FLGPEK+TimesNewRoman,Italic">
    <w:altName w:val="宋体"/>
    <w:panose1 w:val="00000000000000000000"/>
    <w:charset w:val="86"/>
    <w:family w:val="roma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Century Schoolbook">
    <w:panose1 w:val="02040604050505020304"/>
    <w:charset w:val="00"/>
    <w:family w:val="roman"/>
    <w:pitch w:val="default"/>
    <w:sig w:usb0="00000287" w:usb1="00000000" w:usb2="00000000" w:usb3="00000000" w:csb0="2000009F" w:csb1="DFD70000"/>
  </w:font>
  <w:font w:name="Garamond">
    <w:panose1 w:val="02020404030301010803"/>
    <w:charset w:val="00"/>
    <w:family w:val="roman"/>
    <w:pitch w:val="default"/>
    <w:sig w:usb0="00000287" w:usb1="00000000" w:usb2="00000000" w:usb3="00000000" w:csb0="0000009F" w:csb1="DFD70000"/>
  </w:font>
  <w:font w:name="Vladimir Script">
    <w:panose1 w:val="03050402040407070305"/>
    <w:charset w:val="00"/>
    <w:family w:val="script"/>
    <w:pitch w:val="default"/>
    <w:sig w:usb0="00000003" w:usb1="00000000" w:usb2="00000000" w:usb3="00000000" w:csb0="20000001" w:csb1="00000000"/>
  </w:font>
  <w:font w:name="幼圆">
    <w:panose1 w:val="02010509060101010101"/>
    <w:charset w:val="86"/>
    <w:family w:val="modern"/>
    <w:pitch w:val="default"/>
    <w:sig w:usb0="00000001" w:usb1="080E0000" w:usb2="00000000" w:usb3="00000000" w:csb0="00040000" w:csb1="00000000"/>
  </w:font>
  <w:font w:name="@幼圆">
    <w:panose1 w:val="02010509060101010101"/>
    <w:charset w:val="86"/>
    <w:family w:val="modern"/>
    <w:pitch w:val="default"/>
    <w:sig w:usb0="00000001" w:usb1="080E0000" w:usb2="00000000" w:usb3="00000000" w:csb0="00040000" w:csb1="00000000"/>
  </w:font>
  <w:font w:name="仿宋体">
    <w:altName w:val="宋体"/>
    <w:panose1 w:val="00000000000000000000"/>
    <w:charset w:val="86"/>
    <w:family w:val="roman"/>
    <w:pitch w:val="default"/>
    <w:sig w:usb0="00000000" w:usb1="00000000" w:usb2="00000010" w:usb3="00000000" w:csb0="00040000"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Chicago">
    <w:altName w:val="Arial"/>
    <w:panose1 w:val="00000000000000000000"/>
    <w:charset w:val="00"/>
    <w:family w:val="swiss"/>
    <w:pitch w:val="default"/>
    <w:sig w:usb0="00000000" w:usb1="00000000" w:usb2="00000000" w:usb3="00000000" w:csb0="00000001" w:csb1="00000000"/>
  </w:font>
  <w:font w:name="新宋体">
    <w:panose1 w:val="02010609030101010101"/>
    <w:charset w:val="86"/>
    <w:family w:val="modern"/>
    <w:pitch w:val="default"/>
    <w:sig w:usb0="00000203" w:usb1="288F0000" w:usb2="00000006" w:usb3="00000000" w:csb0="00040001" w:csb1="00000000"/>
  </w:font>
  <w:font w:name="DFKai-SB">
    <w:altName w:val="Microsoft JhengHei Light"/>
    <w:panose1 w:val="00000000000000000000"/>
    <w:charset w:val="88"/>
    <w:family w:val="script"/>
    <w:pitch w:val="default"/>
    <w:sig w:usb0="00000000" w:usb1="00000000" w:usb2="00000016" w:usb3="00000000" w:csb0="00100001" w:csb1="00000000"/>
  </w:font>
  <w:font w:name="Microsoft JhengHei Light">
    <w:panose1 w:val="020B0304030504040204"/>
    <w:charset w:val="88"/>
    <w:family w:val="auto"/>
    <w:pitch w:val="default"/>
    <w:sig w:usb0="800002A7" w:usb1="28CF4400" w:usb2="00000016" w:usb3="00000000" w:csb0="00100009" w:csb1="00000000"/>
  </w:font>
  <w:font w:name="华文中宋">
    <w:panose1 w:val="02010600040101010101"/>
    <w:charset w:val="86"/>
    <w:family w:val="auto"/>
    <w:pitch w:val="default"/>
    <w:sig w:usb0="00000287" w:usb1="080F0000" w:usb2="00000000" w:usb3="00000000" w:csb0="0004009F" w:csb1="DFD70000"/>
  </w:font>
  <w:font w:name="Arial Black">
    <w:panose1 w:val="020B0A04020102020204"/>
    <w:charset w:val="00"/>
    <w:family w:val="swiss"/>
    <w:pitch w:val="default"/>
    <w:sig w:usb0="A00002AF" w:usb1="400078FB" w:usb2="00000000" w:usb3="00000000" w:csb0="6000009F" w:csb1="DFD70000"/>
  </w:font>
  <w:font w:name="华文新魏">
    <w:panose1 w:val="02010800040101010101"/>
    <w:charset w:val="86"/>
    <w:family w:val="auto"/>
    <w:pitch w:val="default"/>
    <w:sig w:usb0="00000001" w:usb1="080F0000" w:usb2="00000000" w:usb3="00000000" w:csb0="00040000" w:csb1="00000000"/>
  </w:font>
  <w:font w:name="Verdana">
    <w:panose1 w:val="020B0604030504040204"/>
    <w:charset w:val="00"/>
    <w:family w:val="swiss"/>
    <w:pitch w:val="default"/>
    <w:sig w:usb0="A0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 w:name="MS Mincho">
    <w:altName w:val="Yu Gothic UI"/>
    <w:panose1 w:val="02020609040205080304"/>
    <w:charset w:val="80"/>
    <w:family w:val="roman"/>
    <w:pitch w:val="default"/>
    <w:sig w:usb0="00000000" w:usb1="00000000" w:usb2="00000010" w:usb3="00000000" w:csb0="00020000" w:csb1="00000000"/>
  </w:font>
  <w:font w:name="Yu Gothic UI">
    <w:panose1 w:val="020B0500000000000000"/>
    <w:charset w:val="80"/>
    <w:family w:val="auto"/>
    <w:pitch w:val="default"/>
    <w:sig w:usb0="E00002FF" w:usb1="2AC7FDFF" w:usb2="00000016" w:usb3="00000000" w:csb0="2002009F" w:csb1="00000000"/>
  </w:font>
  <w:font w:name="Tahoma">
    <w:panose1 w:val="020B0604030504040204"/>
    <w:charset w:val="00"/>
    <w:family w:val="swiss"/>
    <w:pitch w:val="default"/>
    <w:sig w:usb0="E1002EFF" w:usb1="C000605B" w:usb2="00000029" w:usb3="00000000" w:csb0="200101FF" w:csb1="20280000"/>
  </w:font>
  <w:font w:name="????">
    <w:altName w:val="Malgun Gothic"/>
    <w:panose1 w:val="00000000000000000000"/>
    <w:charset w:val="81"/>
    <w:family w:val="auto"/>
    <w:pitch w:val="default"/>
    <w:sig w:usb0="00000000" w:usb1="00000000" w:usb2="00000010" w:usb3="00000000" w:csb0="00080000" w:csb1="00000000"/>
  </w:font>
  <w:font w:name="ӗԲ">
    <w:altName w:val="Times New Roman"/>
    <w:panose1 w:val="00000000000000000000"/>
    <w:charset w:val="00"/>
    <w:family w:val="roman"/>
    <w:pitch w:val="default"/>
    <w:sig w:usb0="00000000" w:usb1="00000000" w:usb2="00000000" w:usb3="00000000" w:csb0="00040001" w:csb1="00000000"/>
  </w:font>
  <w:font w:name="长城楷体">
    <w:altName w:val="黑体"/>
    <w:panose1 w:val="00000000000000000000"/>
    <w:charset w:val="86"/>
    <w:family w:val="modern"/>
    <w:pitch w:val="default"/>
    <w:sig w:usb0="00000000" w:usb1="00000000" w:usb2="00000010" w:usb3="00000000" w:csb0="00040000" w:csb1="00000000"/>
  </w:font>
  <w:font w:name="Arial Narrow">
    <w:panose1 w:val="020B0606020202030204"/>
    <w:charset w:val="00"/>
    <w:family w:val="swiss"/>
    <w:pitch w:val="default"/>
    <w:sig w:usb0="00000287" w:usb1="00000800" w:usb2="00000000" w:usb3="00000000" w:csb0="2000009F" w:csb1="DFD70000"/>
  </w:font>
  <w:font w:name="Century">
    <w:panose1 w:val="02040604050505020304"/>
    <w:charset w:val="00"/>
    <w:family w:val="roman"/>
    <w:pitch w:val="default"/>
    <w:sig w:usb0="00000287" w:usb1="00000000" w:usb2="00000000" w:usb3="00000000" w:csb0="2000009F" w:csb1="DFD70000"/>
  </w:font>
  <w:font w:name="Gungsuh">
    <w:altName w:val="Malgun Gothic"/>
    <w:panose1 w:val="00000000000000000000"/>
    <w:charset w:val="81"/>
    <w:family w:val="roman"/>
    <w:pitch w:val="default"/>
    <w:sig w:usb0="00000000" w:usb1="00000000" w:usb2="00000030" w:usb3="00000000" w:csb0="0008009F" w:csb1="00000000"/>
  </w:font>
  <w:font w:name="Times">
    <w:altName w:val="Times New Roman"/>
    <w:panose1 w:val="02020603050405020304"/>
    <w:charset w:val="00"/>
    <w:family w:val="roman"/>
    <w:pitch w:val="default"/>
    <w:sig w:usb0="00000000" w:usb1="00000000" w:usb2="00000009" w:usb3="00000000" w:csb0="000001FF" w:csb1="00000000"/>
  </w:font>
  <w:font w:name="华文行楷">
    <w:panose1 w:val="02010800040101010101"/>
    <w:charset w:val="86"/>
    <w:family w:val="auto"/>
    <w:pitch w:val="default"/>
    <w:sig w:usb0="00000001" w:usb1="080F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EE16B7">
    <w:pPr>
      <w:tabs>
        <w:tab w:val="center" w:pos="4153"/>
        <w:tab w:val="right" w:pos="8306"/>
      </w:tabs>
      <w:ind w:right="36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3F377CEC">
                          <w:pPr>
                            <w:tabs>
                              <w:tab w:val="center" w:pos="4153"/>
                              <w:tab w:val="right" w:pos="8306"/>
                            </w:tabs>
                          </w:pPr>
                          <w:r>
                            <w:fldChar w:fldCharType="begin"/>
                          </w:r>
                          <w:r>
                            <w:instrText xml:space="preserve"> PAGE  \* MERGEFORMAT </w:instrText>
                          </w:r>
                          <w:r>
                            <w:fldChar w:fldCharType="separate"/>
                          </w:r>
                          <w:r>
                            <w:t>31</w:t>
                          </w:r>
                          <w:r>
                            <w:fldChar w:fldCharType="end"/>
                          </w:r>
                        </w:p>
                      </w:txbxContent>
                    </wps:txbx>
                    <wps:bodyPr vert="horz" wrap="none" lIns="0" tIns="0" rIns="0" bIns="0" anchor="t">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LCSp0d8BAAC8AwAADgAAAAAA&#10;AAABACAAAAAeAQAAZHJzL2Uyb0RvYy54bWxQSwUGAAAAAAYABgBZAQAAbwUAAAAA&#10;">
              <v:fill on="f" focussize="0,0"/>
              <v:stroke on="f"/>
              <v:imagedata o:title=""/>
              <o:lock v:ext="edit" aspectratio="f"/>
              <v:textbox inset="0mm,0mm,0mm,0mm" style="mso-fit-shape-to-text:t;">
                <w:txbxContent>
                  <w:p w14:paraId="3F377CEC">
                    <w:pPr>
                      <w:tabs>
                        <w:tab w:val="center" w:pos="4153"/>
                        <w:tab w:val="right" w:pos="8306"/>
                      </w:tabs>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BCADA">
    <w:pPr>
      <w:pBdr>
        <w:top w:val="single" w:color="auto" w:sz="4" w:space="1"/>
      </w:pBdr>
      <w:tabs>
        <w:tab w:val="center" w:pos="4153"/>
        <w:tab w:val="right" w:pos="8306"/>
      </w:tabs>
      <w:rPr>
        <w:szCs w:val="21"/>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0718996">
                          <w:pPr>
                            <w:tabs>
                              <w:tab w:val="center" w:pos="4153"/>
                              <w:tab w:val="right" w:pos="8306"/>
                            </w:tabs>
                            <w:rPr>
                              <w:rStyle w:val="103"/>
                            </w:rPr>
                          </w:pPr>
                          <w:r>
                            <w:fldChar w:fldCharType="begin"/>
                          </w:r>
                          <w:r>
                            <w:rPr>
                              <w:rStyle w:val="103"/>
                            </w:rPr>
                            <w:instrText xml:space="preserve">PAGE  </w:instrText>
                          </w:r>
                          <w:r>
                            <w:fldChar w:fldCharType="separate"/>
                          </w:r>
                          <w:r>
                            <w:rPr>
                              <w:rStyle w:val="103"/>
                            </w:rPr>
                            <w:t>33</w:t>
                          </w:r>
                          <w:r>
                            <w:fldChar w:fldCharType="end"/>
                          </w:r>
                        </w:p>
                      </w:txbxContent>
                    </wps:txbx>
                    <wps:bodyPr wrap="none" lIns="0" tIns="0" rIns="0" bIns="0">
                      <a:spAutoFit/>
                    </wps:bodyPr>
                  </wps:wsp>
                </a:graphicData>
              </a:graphic>
            </wp:anchor>
          </w:drawing>
        </mc:Choice>
        <mc:Fallback>
          <w:pict>
            <v:shape id="文本框 1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NvhOzIAQAAnQMAAA4AAAAAAAAAAQAgAAAAHgEAAGRycy9lMm9Eb2Mu&#10;eG1sUEsFBgAAAAAGAAYAWQEAAFgFAAAAAA==&#10;">
              <v:fill on="f" focussize="0,0"/>
              <v:stroke on="f"/>
              <v:imagedata o:title=""/>
              <o:lock v:ext="edit" aspectratio="f"/>
              <v:textbox inset="0mm,0mm,0mm,0mm" style="mso-fit-shape-to-text:t;">
                <w:txbxContent>
                  <w:p w14:paraId="50718996">
                    <w:pPr>
                      <w:tabs>
                        <w:tab w:val="center" w:pos="4153"/>
                        <w:tab w:val="right" w:pos="8306"/>
                      </w:tabs>
                      <w:rPr>
                        <w:rStyle w:val="103"/>
                      </w:rPr>
                    </w:pPr>
                    <w:r>
                      <w:fldChar w:fldCharType="begin"/>
                    </w:r>
                    <w:r>
                      <w:rPr>
                        <w:rStyle w:val="103"/>
                      </w:rPr>
                      <w:instrText xml:space="preserve">PAGE  </w:instrText>
                    </w:r>
                    <w:r>
                      <w:fldChar w:fldCharType="separate"/>
                    </w:r>
                    <w:r>
                      <w:rPr>
                        <w:rStyle w:val="103"/>
                      </w:rPr>
                      <w:t>33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79A556">
    <w:pPr>
      <w:pStyle w:val="50"/>
      <w:pBdr>
        <w:bottom w:val="none" w:color="auto" w:sz="0" w:space="1"/>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CE20E9"/>
    <w:multiLevelType w:val="singleLevel"/>
    <w:tmpl w:val="8DCE20E9"/>
    <w:lvl w:ilvl="0" w:tentative="0">
      <w:start w:val="4"/>
      <w:numFmt w:val="chineseCounting"/>
      <w:suff w:val="nothing"/>
      <w:lvlText w:val="%1、"/>
      <w:lvlJc w:val="left"/>
      <w:rPr>
        <w:rFonts w:hint="eastAsia"/>
      </w:rPr>
    </w:lvl>
  </w:abstractNum>
  <w:abstractNum w:abstractNumId="1">
    <w:nsid w:val="093FC741"/>
    <w:multiLevelType w:val="singleLevel"/>
    <w:tmpl w:val="093FC741"/>
    <w:lvl w:ilvl="0" w:tentative="0">
      <w:start w:val="1"/>
      <w:numFmt w:val="decimal"/>
      <w:suff w:val="nothing"/>
      <w:lvlText w:val="%1、"/>
      <w:lvlJc w:val="left"/>
    </w:lvl>
  </w:abstractNum>
  <w:abstractNum w:abstractNumId="2">
    <w:nsid w:val="0EEBFD2E"/>
    <w:multiLevelType w:val="singleLevel"/>
    <w:tmpl w:val="0EEBFD2E"/>
    <w:lvl w:ilvl="0" w:tentative="0">
      <w:start w:val="1"/>
      <w:numFmt w:val="decimal"/>
      <w:suff w:val="nothing"/>
      <w:lvlText w:val="%1、"/>
      <w:lvlJc w:val="left"/>
    </w:lvl>
  </w:abstractNum>
  <w:abstractNum w:abstractNumId="3">
    <w:nsid w:val="249E0376"/>
    <w:multiLevelType w:val="multilevel"/>
    <w:tmpl w:val="249E0376"/>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isLgl/>
      <w:suff w:val="space"/>
      <w:lvlText w:val="%1.%2"/>
      <w:lvlJc w:val="left"/>
      <w:pPr>
        <w:ind w:left="710" w:firstLine="0"/>
      </w:pPr>
      <w:rPr>
        <w:rFonts w:hint="default" w:ascii="Times New Roman" w:hAnsi="Times New Roman" w:eastAsia="宋体"/>
        <w:b/>
        <w:i w:val="0"/>
        <w:sz w:val="30"/>
      </w:rPr>
    </w:lvl>
    <w:lvl w:ilvl="2" w:tentative="0">
      <w:start w:val="1"/>
      <w:numFmt w:val="decimal"/>
      <w:isLgl/>
      <w:suff w:val="space"/>
      <w:lvlText w:val="%1.%2.%3"/>
      <w:lvlJc w:val="left"/>
      <w:pPr>
        <w:ind w:left="0" w:firstLine="0"/>
      </w:pPr>
      <w:rPr>
        <w:rFonts w:hint="default" w:ascii="Times New Roman" w:hAnsi="Times New Roman" w:eastAsia="宋体"/>
        <w:b/>
        <w:i w:val="0"/>
        <w:sz w:val="28"/>
      </w:rPr>
    </w:lvl>
    <w:lvl w:ilvl="3" w:tentative="0">
      <w:start w:val="1"/>
      <w:numFmt w:val="decimal"/>
      <w:isLgl/>
      <w:suff w:val="space"/>
      <w:lvlText w:val="%1.%2.%3.%4"/>
      <w:lvlJc w:val="left"/>
      <w:pPr>
        <w:ind w:left="993" w:hanging="426"/>
      </w:pPr>
      <w:rPr>
        <w:rFonts w:hint="eastAsia"/>
        <w:b w:val="0"/>
        <w:bCs w:val="0"/>
        <w:i w:val="0"/>
        <w:iCs w:val="0"/>
        <w:caps w:val="0"/>
        <w:smallCaps w:val="0"/>
        <w:strike w:val="0"/>
        <w:dstrike w:val="0"/>
        <w:vanish w:val="0"/>
        <w:color w:val="000000"/>
        <w:spacing w:val="0"/>
        <w:position w:val="0"/>
        <w:u w:val="none"/>
        <w:vertAlign w:val="baseline"/>
        <w14:ligatures w14:val="none"/>
        <w14:numForm w14:val="default"/>
        <w14:numSpacing w14:val="default"/>
      </w:rPr>
    </w:lvl>
    <w:lvl w:ilvl="4" w:tentative="0">
      <w:start w:val="1"/>
      <w:numFmt w:val="decimal"/>
      <w:lvlRestart w:val="2"/>
      <w:pStyle w:val="1726"/>
      <w:isLgl/>
      <w:lvlText w:val="表%1.%2-%5"/>
      <w:lvlJc w:val="left"/>
      <w:pPr>
        <w:tabs>
          <w:tab w:val="left" w:pos="0"/>
        </w:tabs>
        <w:ind w:left="0" w:firstLine="0"/>
      </w:pPr>
      <w:rPr>
        <w:rFonts w:hint="default" w:ascii="Times New Roman" w:hAnsi="Times New Roman" w:cs="Times New Roman"/>
        <w:b/>
        <w:bCs w:val="0"/>
        <w:i w:val="0"/>
        <w:iCs w:val="0"/>
        <w:caps w:val="0"/>
        <w:smallCaps w:val="0"/>
        <w:strike w:val="0"/>
        <w:dstrike w:val="0"/>
        <w:vanish w:val="0"/>
        <w:color w:val="000000"/>
        <w:spacing w:val="0"/>
        <w:kern w:val="0"/>
        <w:position w:val="0"/>
        <w:u w:val="none"/>
        <w:vertAlign w:val="baseline"/>
        <w14:ligatures w14:val="none"/>
        <w14:numForm w14:val="default"/>
        <w14:numSpacing w14:val="default"/>
      </w:rPr>
    </w:lvl>
    <w:lvl w:ilvl="5" w:tentative="0">
      <w:start w:val="1"/>
      <w:numFmt w:val="decimal"/>
      <w:lvlRestart w:val="2"/>
      <w:isLgl/>
      <w:lvlText w:val="图%1.%2-%6"/>
      <w:lvlJc w:val="left"/>
      <w:pPr>
        <w:ind w:left="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4">
    <w:nsid w:val="4B3D904D"/>
    <w:multiLevelType w:val="singleLevel"/>
    <w:tmpl w:val="4B3D904D"/>
    <w:lvl w:ilvl="0" w:tentative="0">
      <w:start w:val="1"/>
      <w:numFmt w:val="decimal"/>
      <w:suff w:val="nothing"/>
      <w:lvlText w:val="%1、"/>
      <w:lvlJc w:val="left"/>
    </w:lvl>
  </w:abstractNum>
  <w:abstractNum w:abstractNumId="5">
    <w:nsid w:val="689D0E82"/>
    <w:multiLevelType w:val="multilevel"/>
    <w:tmpl w:val="689D0E82"/>
    <w:lvl w:ilvl="0" w:tentative="0">
      <w:start w:val="1"/>
      <w:numFmt w:val="decimalEnclosedCircle"/>
      <w:lvlText w:val="%1"/>
      <w:lvlJc w:val="left"/>
      <w:pPr>
        <w:ind w:left="780" w:hanging="360"/>
      </w:pPr>
      <w:rPr>
        <w:rFonts w:hint="default" w:ascii="宋体" w:hAnsi="宋体" w:eastAsia="宋体" w:cs="宋体"/>
      </w:rPr>
    </w:lvl>
    <w:lvl w:ilvl="1" w:tentative="0">
      <w:start w:val="1"/>
      <w:numFmt w:val="lowerLetter"/>
      <w:lvlText w:val="%2)"/>
      <w:lvlJc w:val="left"/>
      <w:pPr>
        <w:ind w:left="1260" w:hanging="420"/>
      </w:pPr>
    </w:lvl>
    <w:lvl w:ilvl="2" w:tentative="0">
      <w:start w:val="1"/>
      <w:numFmt w:val="lowerRoman"/>
      <w:pStyle w:val="1613"/>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5"/>
  </w:num>
  <w:num w:numId="2">
    <w:abstractNumId w:val="3"/>
  </w:num>
  <w:num w:numId="3">
    <w:abstractNumId w:val="2"/>
  </w:num>
  <w:num w:numId="4">
    <w:abstractNumId w:val="4"/>
  </w:num>
  <w:num w:numId="5">
    <w:abstractNumId w:val="1"/>
  </w:num>
  <w:num w:numId="6">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辣条">
    <w15:presenceInfo w15:providerId="WPS Office" w15:userId="35051171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documentProtection w:edit="trackedChanges" w:enforcement="0"/>
  <w:defaultTabStop w:val="420"/>
  <w:doNotHyphenateCaps/>
  <w:drawingGridHorizontalSpacing w:val="240"/>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1YzFkMzQ0OTA4OTFlYjUxM2Y5ZGMzNDIwOGZmMzgifQ=="/>
  </w:docVars>
  <w:rsids>
    <w:rsidRoot w:val="00172A27"/>
    <w:rsid w:val="00001BCC"/>
    <w:rsid w:val="000060B3"/>
    <w:rsid w:val="00010FC4"/>
    <w:rsid w:val="0001224A"/>
    <w:rsid w:val="00016AFE"/>
    <w:rsid w:val="00025FDD"/>
    <w:rsid w:val="00030F0C"/>
    <w:rsid w:val="0004364B"/>
    <w:rsid w:val="000503DD"/>
    <w:rsid w:val="00050B8A"/>
    <w:rsid w:val="00055264"/>
    <w:rsid w:val="000566D4"/>
    <w:rsid w:val="00060510"/>
    <w:rsid w:val="00061B1F"/>
    <w:rsid w:val="00067B69"/>
    <w:rsid w:val="000733C4"/>
    <w:rsid w:val="00074783"/>
    <w:rsid w:val="00075A06"/>
    <w:rsid w:val="00075CAB"/>
    <w:rsid w:val="0008070B"/>
    <w:rsid w:val="000810AC"/>
    <w:rsid w:val="00081A02"/>
    <w:rsid w:val="00082231"/>
    <w:rsid w:val="00087171"/>
    <w:rsid w:val="00092D38"/>
    <w:rsid w:val="0009377B"/>
    <w:rsid w:val="000A20C9"/>
    <w:rsid w:val="000B058F"/>
    <w:rsid w:val="000B4467"/>
    <w:rsid w:val="000B4DB9"/>
    <w:rsid w:val="000B6F13"/>
    <w:rsid w:val="000B7D29"/>
    <w:rsid w:val="000C09AC"/>
    <w:rsid w:val="000C1344"/>
    <w:rsid w:val="000C5E8C"/>
    <w:rsid w:val="000C767F"/>
    <w:rsid w:val="000D2867"/>
    <w:rsid w:val="000D5A44"/>
    <w:rsid w:val="000D7CAD"/>
    <w:rsid w:val="000E0E28"/>
    <w:rsid w:val="000E1FA2"/>
    <w:rsid w:val="000E2469"/>
    <w:rsid w:val="000E3ED2"/>
    <w:rsid w:val="000F0F1B"/>
    <w:rsid w:val="000F18BD"/>
    <w:rsid w:val="000F2255"/>
    <w:rsid w:val="000F25A4"/>
    <w:rsid w:val="000F4DAC"/>
    <w:rsid w:val="000F6144"/>
    <w:rsid w:val="00110B53"/>
    <w:rsid w:val="001157E7"/>
    <w:rsid w:val="0011750B"/>
    <w:rsid w:val="00122A17"/>
    <w:rsid w:val="0013048F"/>
    <w:rsid w:val="00131F42"/>
    <w:rsid w:val="001357F1"/>
    <w:rsid w:val="001373F2"/>
    <w:rsid w:val="00140FA8"/>
    <w:rsid w:val="00142FEB"/>
    <w:rsid w:val="00143645"/>
    <w:rsid w:val="00143A2D"/>
    <w:rsid w:val="00145A41"/>
    <w:rsid w:val="00151675"/>
    <w:rsid w:val="00157435"/>
    <w:rsid w:val="00163236"/>
    <w:rsid w:val="00172A27"/>
    <w:rsid w:val="0017504D"/>
    <w:rsid w:val="0017671A"/>
    <w:rsid w:val="00177422"/>
    <w:rsid w:val="00182F70"/>
    <w:rsid w:val="00184590"/>
    <w:rsid w:val="001870D1"/>
    <w:rsid w:val="0018781E"/>
    <w:rsid w:val="0019262D"/>
    <w:rsid w:val="00192C09"/>
    <w:rsid w:val="001A1B35"/>
    <w:rsid w:val="001A48A2"/>
    <w:rsid w:val="001A6F61"/>
    <w:rsid w:val="001B0B6D"/>
    <w:rsid w:val="001B712F"/>
    <w:rsid w:val="001B72B8"/>
    <w:rsid w:val="001C69B3"/>
    <w:rsid w:val="001D0144"/>
    <w:rsid w:val="001D15F9"/>
    <w:rsid w:val="001D3910"/>
    <w:rsid w:val="001D5595"/>
    <w:rsid w:val="001D68E0"/>
    <w:rsid w:val="001D7874"/>
    <w:rsid w:val="001D7F22"/>
    <w:rsid w:val="001E69B5"/>
    <w:rsid w:val="001F0F17"/>
    <w:rsid w:val="001F3347"/>
    <w:rsid w:val="001F69E4"/>
    <w:rsid w:val="002125B4"/>
    <w:rsid w:val="002155B8"/>
    <w:rsid w:val="002158CF"/>
    <w:rsid w:val="00224839"/>
    <w:rsid w:val="002249B2"/>
    <w:rsid w:val="00226574"/>
    <w:rsid w:val="002278EC"/>
    <w:rsid w:val="0023280E"/>
    <w:rsid w:val="00233971"/>
    <w:rsid w:val="00233F91"/>
    <w:rsid w:val="002369AD"/>
    <w:rsid w:val="002377D1"/>
    <w:rsid w:val="0024285A"/>
    <w:rsid w:val="00244254"/>
    <w:rsid w:val="00246C69"/>
    <w:rsid w:val="002506BC"/>
    <w:rsid w:val="00251C31"/>
    <w:rsid w:val="00254345"/>
    <w:rsid w:val="00263567"/>
    <w:rsid w:val="00264557"/>
    <w:rsid w:val="002710FE"/>
    <w:rsid w:val="00274206"/>
    <w:rsid w:val="002805AB"/>
    <w:rsid w:val="00281ED3"/>
    <w:rsid w:val="00283F07"/>
    <w:rsid w:val="00284204"/>
    <w:rsid w:val="00285AB6"/>
    <w:rsid w:val="00291773"/>
    <w:rsid w:val="002962BE"/>
    <w:rsid w:val="002965CD"/>
    <w:rsid w:val="002A1600"/>
    <w:rsid w:val="002A168C"/>
    <w:rsid w:val="002A263A"/>
    <w:rsid w:val="002A3DC7"/>
    <w:rsid w:val="002B0848"/>
    <w:rsid w:val="002B49E2"/>
    <w:rsid w:val="002B7B00"/>
    <w:rsid w:val="002B7C44"/>
    <w:rsid w:val="002C2B17"/>
    <w:rsid w:val="002C7830"/>
    <w:rsid w:val="002D2F91"/>
    <w:rsid w:val="002D33BA"/>
    <w:rsid w:val="002D3DD0"/>
    <w:rsid w:val="002E1421"/>
    <w:rsid w:val="002E1F3A"/>
    <w:rsid w:val="002E2828"/>
    <w:rsid w:val="002E298A"/>
    <w:rsid w:val="002E52B4"/>
    <w:rsid w:val="002F16D9"/>
    <w:rsid w:val="002F50C3"/>
    <w:rsid w:val="003006A7"/>
    <w:rsid w:val="00301978"/>
    <w:rsid w:val="0030332C"/>
    <w:rsid w:val="003051C2"/>
    <w:rsid w:val="00312296"/>
    <w:rsid w:val="00313E22"/>
    <w:rsid w:val="00314F0E"/>
    <w:rsid w:val="00321D8E"/>
    <w:rsid w:val="00325928"/>
    <w:rsid w:val="00326185"/>
    <w:rsid w:val="0032661C"/>
    <w:rsid w:val="00327B73"/>
    <w:rsid w:val="00332863"/>
    <w:rsid w:val="00333740"/>
    <w:rsid w:val="003357D8"/>
    <w:rsid w:val="00335F53"/>
    <w:rsid w:val="0033684D"/>
    <w:rsid w:val="00337B42"/>
    <w:rsid w:val="00341B42"/>
    <w:rsid w:val="0034348F"/>
    <w:rsid w:val="0034736C"/>
    <w:rsid w:val="003474AD"/>
    <w:rsid w:val="00356653"/>
    <w:rsid w:val="0035743F"/>
    <w:rsid w:val="00357BE2"/>
    <w:rsid w:val="00360F2D"/>
    <w:rsid w:val="003616D1"/>
    <w:rsid w:val="0036170C"/>
    <w:rsid w:val="00366E0F"/>
    <w:rsid w:val="003710E4"/>
    <w:rsid w:val="00381A72"/>
    <w:rsid w:val="003821D8"/>
    <w:rsid w:val="00384676"/>
    <w:rsid w:val="00390857"/>
    <w:rsid w:val="00392AFB"/>
    <w:rsid w:val="003979E8"/>
    <w:rsid w:val="003A3ED1"/>
    <w:rsid w:val="003A48FC"/>
    <w:rsid w:val="003A4BF3"/>
    <w:rsid w:val="003B420D"/>
    <w:rsid w:val="003C364E"/>
    <w:rsid w:val="003C5A74"/>
    <w:rsid w:val="003C6C16"/>
    <w:rsid w:val="003D445B"/>
    <w:rsid w:val="003D50CC"/>
    <w:rsid w:val="003D794D"/>
    <w:rsid w:val="003D7C66"/>
    <w:rsid w:val="003E3058"/>
    <w:rsid w:val="003E4272"/>
    <w:rsid w:val="003E452C"/>
    <w:rsid w:val="003E63D4"/>
    <w:rsid w:val="003E708E"/>
    <w:rsid w:val="003E76A9"/>
    <w:rsid w:val="003F0809"/>
    <w:rsid w:val="003F6A8C"/>
    <w:rsid w:val="003F755C"/>
    <w:rsid w:val="00406555"/>
    <w:rsid w:val="00406F01"/>
    <w:rsid w:val="00415F85"/>
    <w:rsid w:val="00416D50"/>
    <w:rsid w:val="00416FD5"/>
    <w:rsid w:val="00417772"/>
    <w:rsid w:val="00420E6A"/>
    <w:rsid w:val="0042593E"/>
    <w:rsid w:val="00425A9E"/>
    <w:rsid w:val="00426D6B"/>
    <w:rsid w:val="00431E6C"/>
    <w:rsid w:val="00432BFC"/>
    <w:rsid w:val="0043330E"/>
    <w:rsid w:val="00433CE7"/>
    <w:rsid w:val="00435FF1"/>
    <w:rsid w:val="00441727"/>
    <w:rsid w:val="00447911"/>
    <w:rsid w:val="00451FE7"/>
    <w:rsid w:val="00452738"/>
    <w:rsid w:val="00456091"/>
    <w:rsid w:val="00456D53"/>
    <w:rsid w:val="004610B3"/>
    <w:rsid w:val="00461156"/>
    <w:rsid w:val="00464B1F"/>
    <w:rsid w:val="00466321"/>
    <w:rsid w:val="00470ACC"/>
    <w:rsid w:val="00473567"/>
    <w:rsid w:val="00484B9B"/>
    <w:rsid w:val="00484F69"/>
    <w:rsid w:val="004855F6"/>
    <w:rsid w:val="0048661E"/>
    <w:rsid w:val="00494670"/>
    <w:rsid w:val="004A17A9"/>
    <w:rsid w:val="004A3823"/>
    <w:rsid w:val="004B397C"/>
    <w:rsid w:val="004B47D8"/>
    <w:rsid w:val="004B7617"/>
    <w:rsid w:val="004C2792"/>
    <w:rsid w:val="004D19C5"/>
    <w:rsid w:val="004E16E6"/>
    <w:rsid w:val="004E4251"/>
    <w:rsid w:val="004E6946"/>
    <w:rsid w:val="004F1AD8"/>
    <w:rsid w:val="004F3051"/>
    <w:rsid w:val="005039CB"/>
    <w:rsid w:val="00504AA7"/>
    <w:rsid w:val="0050558F"/>
    <w:rsid w:val="00506286"/>
    <w:rsid w:val="00510813"/>
    <w:rsid w:val="00511990"/>
    <w:rsid w:val="00511DE0"/>
    <w:rsid w:val="00514870"/>
    <w:rsid w:val="00514B9B"/>
    <w:rsid w:val="00517F02"/>
    <w:rsid w:val="00524303"/>
    <w:rsid w:val="005258A2"/>
    <w:rsid w:val="00533E1D"/>
    <w:rsid w:val="005401AE"/>
    <w:rsid w:val="00542E07"/>
    <w:rsid w:val="005451E6"/>
    <w:rsid w:val="00545424"/>
    <w:rsid w:val="00547C9D"/>
    <w:rsid w:val="00550932"/>
    <w:rsid w:val="00552D26"/>
    <w:rsid w:val="00554A7B"/>
    <w:rsid w:val="0055572C"/>
    <w:rsid w:val="0056106A"/>
    <w:rsid w:val="005642AF"/>
    <w:rsid w:val="005712C6"/>
    <w:rsid w:val="005720AE"/>
    <w:rsid w:val="00575BED"/>
    <w:rsid w:val="00575ED3"/>
    <w:rsid w:val="00577052"/>
    <w:rsid w:val="00581F74"/>
    <w:rsid w:val="00594D77"/>
    <w:rsid w:val="005969E4"/>
    <w:rsid w:val="005A06B7"/>
    <w:rsid w:val="005A1759"/>
    <w:rsid w:val="005A1F64"/>
    <w:rsid w:val="005A68A7"/>
    <w:rsid w:val="005A699D"/>
    <w:rsid w:val="005C132C"/>
    <w:rsid w:val="005C19C3"/>
    <w:rsid w:val="005C46DA"/>
    <w:rsid w:val="005C61FE"/>
    <w:rsid w:val="005D26FA"/>
    <w:rsid w:val="005D36AB"/>
    <w:rsid w:val="005E4704"/>
    <w:rsid w:val="005E5DEC"/>
    <w:rsid w:val="005E76BD"/>
    <w:rsid w:val="005F43E6"/>
    <w:rsid w:val="00617CC3"/>
    <w:rsid w:val="00632460"/>
    <w:rsid w:val="006377A6"/>
    <w:rsid w:val="00637A3D"/>
    <w:rsid w:val="006411EF"/>
    <w:rsid w:val="006448E3"/>
    <w:rsid w:val="006632C0"/>
    <w:rsid w:val="00671EAA"/>
    <w:rsid w:val="006740C1"/>
    <w:rsid w:val="006748B8"/>
    <w:rsid w:val="006775C3"/>
    <w:rsid w:val="00683369"/>
    <w:rsid w:val="0069290A"/>
    <w:rsid w:val="0069775A"/>
    <w:rsid w:val="00697813"/>
    <w:rsid w:val="006A3EE8"/>
    <w:rsid w:val="006A72BF"/>
    <w:rsid w:val="006B03F2"/>
    <w:rsid w:val="006B37DC"/>
    <w:rsid w:val="006B48ED"/>
    <w:rsid w:val="006B4F68"/>
    <w:rsid w:val="006B52B4"/>
    <w:rsid w:val="006B7762"/>
    <w:rsid w:val="006C0592"/>
    <w:rsid w:val="006C1294"/>
    <w:rsid w:val="006C272E"/>
    <w:rsid w:val="006C5479"/>
    <w:rsid w:val="006D02C9"/>
    <w:rsid w:val="006D13B5"/>
    <w:rsid w:val="006E12FF"/>
    <w:rsid w:val="006E607E"/>
    <w:rsid w:val="006F181D"/>
    <w:rsid w:val="006F6557"/>
    <w:rsid w:val="00700949"/>
    <w:rsid w:val="00706C5D"/>
    <w:rsid w:val="00710FA1"/>
    <w:rsid w:val="00716445"/>
    <w:rsid w:val="0071665C"/>
    <w:rsid w:val="00717680"/>
    <w:rsid w:val="0071792C"/>
    <w:rsid w:val="00732922"/>
    <w:rsid w:val="00735F7E"/>
    <w:rsid w:val="0075162E"/>
    <w:rsid w:val="00751AFE"/>
    <w:rsid w:val="00754034"/>
    <w:rsid w:val="00756556"/>
    <w:rsid w:val="007618C4"/>
    <w:rsid w:val="00762FAF"/>
    <w:rsid w:val="00763347"/>
    <w:rsid w:val="00766D9B"/>
    <w:rsid w:val="00767980"/>
    <w:rsid w:val="00770B19"/>
    <w:rsid w:val="007719FA"/>
    <w:rsid w:val="00772C8F"/>
    <w:rsid w:val="0077413E"/>
    <w:rsid w:val="0077463F"/>
    <w:rsid w:val="00780920"/>
    <w:rsid w:val="007836EA"/>
    <w:rsid w:val="00784CDA"/>
    <w:rsid w:val="00785360"/>
    <w:rsid w:val="00786743"/>
    <w:rsid w:val="007906C4"/>
    <w:rsid w:val="007917FF"/>
    <w:rsid w:val="007940EA"/>
    <w:rsid w:val="00795EAA"/>
    <w:rsid w:val="007966C4"/>
    <w:rsid w:val="007967E8"/>
    <w:rsid w:val="007A2054"/>
    <w:rsid w:val="007A2170"/>
    <w:rsid w:val="007A22BF"/>
    <w:rsid w:val="007A2A1B"/>
    <w:rsid w:val="007A3293"/>
    <w:rsid w:val="007A3323"/>
    <w:rsid w:val="007A47D2"/>
    <w:rsid w:val="007A669C"/>
    <w:rsid w:val="007B2E15"/>
    <w:rsid w:val="007B4109"/>
    <w:rsid w:val="007B4EE4"/>
    <w:rsid w:val="007B72B8"/>
    <w:rsid w:val="007B7A58"/>
    <w:rsid w:val="007C21B5"/>
    <w:rsid w:val="007D5781"/>
    <w:rsid w:val="007D6468"/>
    <w:rsid w:val="007E3CA5"/>
    <w:rsid w:val="007E4BD2"/>
    <w:rsid w:val="007F1684"/>
    <w:rsid w:val="007F6186"/>
    <w:rsid w:val="00801393"/>
    <w:rsid w:val="008017C0"/>
    <w:rsid w:val="008020BB"/>
    <w:rsid w:val="00802F88"/>
    <w:rsid w:val="00806D0C"/>
    <w:rsid w:val="0081293E"/>
    <w:rsid w:val="0081322A"/>
    <w:rsid w:val="00815465"/>
    <w:rsid w:val="008177CA"/>
    <w:rsid w:val="00817E9A"/>
    <w:rsid w:val="00823E00"/>
    <w:rsid w:val="008306BD"/>
    <w:rsid w:val="00831A80"/>
    <w:rsid w:val="00833743"/>
    <w:rsid w:val="008340A4"/>
    <w:rsid w:val="008415A8"/>
    <w:rsid w:val="0084475E"/>
    <w:rsid w:val="00851674"/>
    <w:rsid w:val="008546CA"/>
    <w:rsid w:val="00857846"/>
    <w:rsid w:val="008602FB"/>
    <w:rsid w:val="00870BC9"/>
    <w:rsid w:val="0087135F"/>
    <w:rsid w:val="00871FE0"/>
    <w:rsid w:val="0087212B"/>
    <w:rsid w:val="00872D94"/>
    <w:rsid w:val="008732A6"/>
    <w:rsid w:val="00873823"/>
    <w:rsid w:val="008752CE"/>
    <w:rsid w:val="00880364"/>
    <w:rsid w:val="00885752"/>
    <w:rsid w:val="00891592"/>
    <w:rsid w:val="00891E9E"/>
    <w:rsid w:val="008A2F68"/>
    <w:rsid w:val="008A3325"/>
    <w:rsid w:val="008A48CC"/>
    <w:rsid w:val="008A68C4"/>
    <w:rsid w:val="008B031B"/>
    <w:rsid w:val="008B4FA6"/>
    <w:rsid w:val="008B5282"/>
    <w:rsid w:val="008B7C17"/>
    <w:rsid w:val="008C2D01"/>
    <w:rsid w:val="008C40E6"/>
    <w:rsid w:val="008D0F7A"/>
    <w:rsid w:val="008D68E4"/>
    <w:rsid w:val="008E0506"/>
    <w:rsid w:val="008E0CFF"/>
    <w:rsid w:val="008E3CD8"/>
    <w:rsid w:val="008E5488"/>
    <w:rsid w:val="008E5D6B"/>
    <w:rsid w:val="008E76F0"/>
    <w:rsid w:val="008F0B6E"/>
    <w:rsid w:val="008F15FE"/>
    <w:rsid w:val="008F2A76"/>
    <w:rsid w:val="008F2D29"/>
    <w:rsid w:val="008F5187"/>
    <w:rsid w:val="008F60D8"/>
    <w:rsid w:val="00902727"/>
    <w:rsid w:val="0090312B"/>
    <w:rsid w:val="00903D7F"/>
    <w:rsid w:val="00916F09"/>
    <w:rsid w:val="0091736D"/>
    <w:rsid w:val="00922F33"/>
    <w:rsid w:val="00924F53"/>
    <w:rsid w:val="0093037A"/>
    <w:rsid w:val="009313B4"/>
    <w:rsid w:val="00934A58"/>
    <w:rsid w:val="0094154D"/>
    <w:rsid w:val="0095155F"/>
    <w:rsid w:val="00954429"/>
    <w:rsid w:val="00955D59"/>
    <w:rsid w:val="009563CE"/>
    <w:rsid w:val="009666CA"/>
    <w:rsid w:val="0096727F"/>
    <w:rsid w:val="00967C68"/>
    <w:rsid w:val="00976328"/>
    <w:rsid w:val="0097680D"/>
    <w:rsid w:val="00977422"/>
    <w:rsid w:val="00982438"/>
    <w:rsid w:val="0098262F"/>
    <w:rsid w:val="0098404C"/>
    <w:rsid w:val="0098498C"/>
    <w:rsid w:val="00985283"/>
    <w:rsid w:val="00995992"/>
    <w:rsid w:val="009A03E5"/>
    <w:rsid w:val="009A0F3B"/>
    <w:rsid w:val="009A1BB4"/>
    <w:rsid w:val="009A237F"/>
    <w:rsid w:val="009A2628"/>
    <w:rsid w:val="009A3200"/>
    <w:rsid w:val="009B0897"/>
    <w:rsid w:val="009B14A2"/>
    <w:rsid w:val="009B5D16"/>
    <w:rsid w:val="009B7BD9"/>
    <w:rsid w:val="009C2089"/>
    <w:rsid w:val="009C3D5D"/>
    <w:rsid w:val="009C4DC8"/>
    <w:rsid w:val="009C53EC"/>
    <w:rsid w:val="009C564C"/>
    <w:rsid w:val="009C62BD"/>
    <w:rsid w:val="009C7DD5"/>
    <w:rsid w:val="009D3816"/>
    <w:rsid w:val="009D60D3"/>
    <w:rsid w:val="009E01C9"/>
    <w:rsid w:val="009E227D"/>
    <w:rsid w:val="009E3FB3"/>
    <w:rsid w:val="009E5019"/>
    <w:rsid w:val="009F3E0B"/>
    <w:rsid w:val="009F79FB"/>
    <w:rsid w:val="00A02443"/>
    <w:rsid w:val="00A04595"/>
    <w:rsid w:val="00A04F1B"/>
    <w:rsid w:val="00A0501B"/>
    <w:rsid w:val="00A11587"/>
    <w:rsid w:val="00A1348D"/>
    <w:rsid w:val="00A14947"/>
    <w:rsid w:val="00A16EB7"/>
    <w:rsid w:val="00A20E72"/>
    <w:rsid w:val="00A32A83"/>
    <w:rsid w:val="00A32CCE"/>
    <w:rsid w:val="00A368DB"/>
    <w:rsid w:val="00A379DD"/>
    <w:rsid w:val="00A423AA"/>
    <w:rsid w:val="00A44840"/>
    <w:rsid w:val="00A44F57"/>
    <w:rsid w:val="00A52B0A"/>
    <w:rsid w:val="00A532CD"/>
    <w:rsid w:val="00A53EC6"/>
    <w:rsid w:val="00A55C0F"/>
    <w:rsid w:val="00A74A50"/>
    <w:rsid w:val="00A74C3C"/>
    <w:rsid w:val="00A76063"/>
    <w:rsid w:val="00A82942"/>
    <w:rsid w:val="00A83BEE"/>
    <w:rsid w:val="00A84012"/>
    <w:rsid w:val="00A84112"/>
    <w:rsid w:val="00A8713F"/>
    <w:rsid w:val="00A90BA1"/>
    <w:rsid w:val="00A9111F"/>
    <w:rsid w:val="00A92AD9"/>
    <w:rsid w:val="00A94342"/>
    <w:rsid w:val="00A97A9A"/>
    <w:rsid w:val="00AA0671"/>
    <w:rsid w:val="00AA2531"/>
    <w:rsid w:val="00AA2B40"/>
    <w:rsid w:val="00AA5195"/>
    <w:rsid w:val="00AA7D7B"/>
    <w:rsid w:val="00AB0507"/>
    <w:rsid w:val="00AB1E09"/>
    <w:rsid w:val="00AB5330"/>
    <w:rsid w:val="00AB53DE"/>
    <w:rsid w:val="00AB5A42"/>
    <w:rsid w:val="00AB7312"/>
    <w:rsid w:val="00AB7747"/>
    <w:rsid w:val="00AC14CE"/>
    <w:rsid w:val="00AC2A56"/>
    <w:rsid w:val="00AC52C4"/>
    <w:rsid w:val="00AC7BDA"/>
    <w:rsid w:val="00AD055E"/>
    <w:rsid w:val="00AD0E2B"/>
    <w:rsid w:val="00AD47A7"/>
    <w:rsid w:val="00AE11C5"/>
    <w:rsid w:val="00AE5F96"/>
    <w:rsid w:val="00AE6761"/>
    <w:rsid w:val="00AE7335"/>
    <w:rsid w:val="00AF0CBF"/>
    <w:rsid w:val="00AF257F"/>
    <w:rsid w:val="00AF33CF"/>
    <w:rsid w:val="00AF4D50"/>
    <w:rsid w:val="00AF6179"/>
    <w:rsid w:val="00B1295A"/>
    <w:rsid w:val="00B1337B"/>
    <w:rsid w:val="00B15EC2"/>
    <w:rsid w:val="00B200E0"/>
    <w:rsid w:val="00B20A45"/>
    <w:rsid w:val="00B22C5C"/>
    <w:rsid w:val="00B24F30"/>
    <w:rsid w:val="00B31ABF"/>
    <w:rsid w:val="00B33BE3"/>
    <w:rsid w:val="00B42B1E"/>
    <w:rsid w:val="00B45998"/>
    <w:rsid w:val="00B52087"/>
    <w:rsid w:val="00B532C0"/>
    <w:rsid w:val="00B53B5D"/>
    <w:rsid w:val="00B574C8"/>
    <w:rsid w:val="00B6055E"/>
    <w:rsid w:val="00B61603"/>
    <w:rsid w:val="00B6317D"/>
    <w:rsid w:val="00B66AFA"/>
    <w:rsid w:val="00B7468B"/>
    <w:rsid w:val="00B74A2B"/>
    <w:rsid w:val="00B7723F"/>
    <w:rsid w:val="00B80534"/>
    <w:rsid w:val="00B80CBB"/>
    <w:rsid w:val="00B82DBA"/>
    <w:rsid w:val="00B83EA7"/>
    <w:rsid w:val="00B8433C"/>
    <w:rsid w:val="00B86D6C"/>
    <w:rsid w:val="00B87491"/>
    <w:rsid w:val="00B87A26"/>
    <w:rsid w:val="00BA0A68"/>
    <w:rsid w:val="00BA29E9"/>
    <w:rsid w:val="00BA48CC"/>
    <w:rsid w:val="00BA5E9C"/>
    <w:rsid w:val="00BA7142"/>
    <w:rsid w:val="00BB237C"/>
    <w:rsid w:val="00BB41A3"/>
    <w:rsid w:val="00BC11D8"/>
    <w:rsid w:val="00BC32DC"/>
    <w:rsid w:val="00BC35B6"/>
    <w:rsid w:val="00BD1B51"/>
    <w:rsid w:val="00BD4596"/>
    <w:rsid w:val="00BD486B"/>
    <w:rsid w:val="00BD4FA1"/>
    <w:rsid w:val="00BE0A91"/>
    <w:rsid w:val="00BE1405"/>
    <w:rsid w:val="00BE312D"/>
    <w:rsid w:val="00BF1C20"/>
    <w:rsid w:val="00BF2CB9"/>
    <w:rsid w:val="00BF7BAF"/>
    <w:rsid w:val="00C10578"/>
    <w:rsid w:val="00C11778"/>
    <w:rsid w:val="00C120ED"/>
    <w:rsid w:val="00C135BC"/>
    <w:rsid w:val="00C13759"/>
    <w:rsid w:val="00C13D2D"/>
    <w:rsid w:val="00C15C95"/>
    <w:rsid w:val="00C2596A"/>
    <w:rsid w:val="00C27537"/>
    <w:rsid w:val="00C32409"/>
    <w:rsid w:val="00C328FE"/>
    <w:rsid w:val="00C33507"/>
    <w:rsid w:val="00C4409D"/>
    <w:rsid w:val="00C44CE7"/>
    <w:rsid w:val="00C44E72"/>
    <w:rsid w:val="00C45A06"/>
    <w:rsid w:val="00C47E5B"/>
    <w:rsid w:val="00C52C02"/>
    <w:rsid w:val="00C54C50"/>
    <w:rsid w:val="00C568CE"/>
    <w:rsid w:val="00C61E4B"/>
    <w:rsid w:val="00C64B31"/>
    <w:rsid w:val="00C64BFF"/>
    <w:rsid w:val="00C661D1"/>
    <w:rsid w:val="00C704E9"/>
    <w:rsid w:val="00C763C9"/>
    <w:rsid w:val="00C80057"/>
    <w:rsid w:val="00C82232"/>
    <w:rsid w:val="00C82913"/>
    <w:rsid w:val="00C8498B"/>
    <w:rsid w:val="00C861B3"/>
    <w:rsid w:val="00C909BA"/>
    <w:rsid w:val="00C972B1"/>
    <w:rsid w:val="00CA2CCE"/>
    <w:rsid w:val="00CA43FD"/>
    <w:rsid w:val="00CA7EF8"/>
    <w:rsid w:val="00CB0CC3"/>
    <w:rsid w:val="00CC1C90"/>
    <w:rsid w:val="00CC344E"/>
    <w:rsid w:val="00CC489B"/>
    <w:rsid w:val="00CC4F42"/>
    <w:rsid w:val="00CD2BCD"/>
    <w:rsid w:val="00CD3A4C"/>
    <w:rsid w:val="00CE10E9"/>
    <w:rsid w:val="00CE2910"/>
    <w:rsid w:val="00CE2D16"/>
    <w:rsid w:val="00CE5393"/>
    <w:rsid w:val="00CE5910"/>
    <w:rsid w:val="00CE730E"/>
    <w:rsid w:val="00CF36BE"/>
    <w:rsid w:val="00CF5308"/>
    <w:rsid w:val="00CF6000"/>
    <w:rsid w:val="00D003F3"/>
    <w:rsid w:val="00D0364F"/>
    <w:rsid w:val="00D06834"/>
    <w:rsid w:val="00D12C84"/>
    <w:rsid w:val="00D178DE"/>
    <w:rsid w:val="00D212BC"/>
    <w:rsid w:val="00D23516"/>
    <w:rsid w:val="00D2602F"/>
    <w:rsid w:val="00D26D6D"/>
    <w:rsid w:val="00D308ED"/>
    <w:rsid w:val="00D3215A"/>
    <w:rsid w:val="00D3511A"/>
    <w:rsid w:val="00D36295"/>
    <w:rsid w:val="00D36D86"/>
    <w:rsid w:val="00D428AA"/>
    <w:rsid w:val="00D5046A"/>
    <w:rsid w:val="00D50A34"/>
    <w:rsid w:val="00D53EFA"/>
    <w:rsid w:val="00D60AC9"/>
    <w:rsid w:val="00D6135C"/>
    <w:rsid w:val="00D72EE5"/>
    <w:rsid w:val="00D73B4D"/>
    <w:rsid w:val="00D746A7"/>
    <w:rsid w:val="00D755DA"/>
    <w:rsid w:val="00D86314"/>
    <w:rsid w:val="00D94A7C"/>
    <w:rsid w:val="00D95896"/>
    <w:rsid w:val="00DA1259"/>
    <w:rsid w:val="00DA63B7"/>
    <w:rsid w:val="00DA78C8"/>
    <w:rsid w:val="00DB2983"/>
    <w:rsid w:val="00DB5B1A"/>
    <w:rsid w:val="00DC1257"/>
    <w:rsid w:val="00DC3DC0"/>
    <w:rsid w:val="00DC5B2B"/>
    <w:rsid w:val="00DD318D"/>
    <w:rsid w:val="00DD3F66"/>
    <w:rsid w:val="00DD4A53"/>
    <w:rsid w:val="00DE54AF"/>
    <w:rsid w:val="00DF12E2"/>
    <w:rsid w:val="00DF2E12"/>
    <w:rsid w:val="00DF514A"/>
    <w:rsid w:val="00DF5C12"/>
    <w:rsid w:val="00DF6690"/>
    <w:rsid w:val="00DF6804"/>
    <w:rsid w:val="00E011B2"/>
    <w:rsid w:val="00E0358D"/>
    <w:rsid w:val="00E04323"/>
    <w:rsid w:val="00E070A2"/>
    <w:rsid w:val="00E135E3"/>
    <w:rsid w:val="00E1781F"/>
    <w:rsid w:val="00E201A5"/>
    <w:rsid w:val="00E26311"/>
    <w:rsid w:val="00E2656A"/>
    <w:rsid w:val="00E329F1"/>
    <w:rsid w:val="00E34C1D"/>
    <w:rsid w:val="00E412D0"/>
    <w:rsid w:val="00E56322"/>
    <w:rsid w:val="00E60982"/>
    <w:rsid w:val="00E62C62"/>
    <w:rsid w:val="00E654C1"/>
    <w:rsid w:val="00E65D97"/>
    <w:rsid w:val="00E67D5A"/>
    <w:rsid w:val="00E71A70"/>
    <w:rsid w:val="00E72A5A"/>
    <w:rsid w:val="00E73354"/>
    <w:rsid w:val="00E74787"/>
    <w:rsid w:val="00E821C2"/>
    <w:rsid w:val="00E84D0C"/>
    <w:rsid w:val="00E9242D"/>
    <w:rsid w:val="00EA1124"/>
    <w:rsid w:val="00EB5255"/>
    <w:rsid w:val="00EB5C47"/>
    <w:rsid w:val="00EB6DC7"/>
    <w:rsid w:val="00ED0639"/>
    <w:rsid w:val="00EF4755"/>
    <w:rsid w:val="00EF7135"/>
    <w:rsid w:val="00F027DB"/>
    <w:rsid w:val="00F14A7A"/>
    <w:rsid w:val="00F14BF0"/>
    <w:rsid w:val="00F16CF5"/>
    <w:rsid w:val="00F17839"/>
    <w:rsid w:val="00F205D8"/>
    <w:rsid w:val="00F2257B"/>
    <w:rsid w:val="00F22985"/>
    <w:rsid w:val="00F2455E"/>
    <w:rsid w:val="00F24D7A"/>
    <w:rsid w:val="00F3383E"/>
    <w:rsid w:val="00F34869"/>
    <w:rsid w:val="00F45EC5"/>
    <w:rsid w:val="00F465A7"/>
    <w:rsid w:val="00F50B7C"/>
    <w:rsid w:val="00F550E6"/>
    <w:rsid w:val="00F672CE"/>
    <w:rsid w:val="00F67B7B"/>
    <w:rsid w:val="00F7288E"/>
    <w:rsid w:val="00F74345"/>
    <w:rsid w:val="00F80A0A"/>
    <w:rsid w:val="00F82B19"/>
    <w:rsid w:val="00F90B54"/>
    <w:rsid w:val="00F9212D"/>
    <w:rsid w:val="00F9355A"/>
    <w:rsid w:val="00F965DA"/>
    <w:rsid w:val="00F96889"/>
    <w:rsid w:val="00FA3175"/>
    <w:rsid w:val="00FA406A"/>
    <w:rsid w:val="00FA5EC7"/>
    <w:rsid w:val="00FB2C1E"/>
    <w:rsid w:val="00FB503A"/>
    <w:rsid w:val="00FB516C"/>
    <w:rsid w:val="00FC0973"/>
    <w:rsid w:val="00FC11BC"/>
    <w:rsid w:val="00FC35C8"/>
    <w:rsid w:val="00FC3EEA"/>
    <w:rsid w:val="00FC440F"/>
    <w:rsid w:val="00FC45A7"/>
    <w:rsid w:val="00FD0236"/>
    <w:rsid w:val="00FD0888"/>
    <w:rsid w:val="00FD18F4"/>
    <w:rsid w:val="00FD336E"/>
    <w:rsid w:val="00FD54DB"/>
    <w:rsid w:val="00FD619F"/>
    <w:rsid w:val="00FD772D"/>
    <w:rsid w:val="00FE18AD"/>
    <w:rsid w:val="00FE359B"/>
    <w:rsid w:val="00FE5188"/>
    <w:rsid w:val="00FF3B49"/>
    <w:rsid w:val="011A1F16"/>
    <w:rsid w:val="01243415"/>
    <w:rsid w:val="01290F7E"/>
    <w:rsid w:val="01443C24"/>
    <w:rsid w:val="015D1E09"/>
    <w:rsid w:val="016021EA"/>
    <w:rsid w:val="01910A08"/>
    <w:rsid w:val="01A87D51"/>
    <w:rsid w:val="022B53A5"/>
    <w:rsid w:val="023F3AE0"/>
    <w:rsid w:val="026959A7"/>
    <w:rsid w:val="02697903"/>
    <w:rsid w:val="0275084C"/>
    <w:rsid w:val="027762B5"/>
    <w:rsid w:val="028C6B95"/>
    <w:rsid w:val="02984DE7"/>
    <w:rsid w:val="029C0C4D"/>
    <w:rsid w:val="02E2263A"/>
    <w:rsid w:val="02F96569"/>
    <w:rsid w:val="03140366"/>
    <w:rsid w:val="03475338"/>
    <w:rsid w:val="03650F06"/>
    <w:rsid w:val="03762BC9"/>
    <w:rsid w:val="039059C7"/>
    <w:rsid w:val="03B10EED"/>
    <w:rsid w:val="03C32FF6"/>
    <w:rsid w:val="03C8788A"/>
    <w:rsid w:val="03CB78CE"/>
    <w:rsid w:val="03EA7B21"/>
    <w:rsid w:val="03EC0A3C"/>
    <w:rsid w:val="04320C02"/>
    <w:rsid w:val="043F3C02"/>
    <w:rsid w:val="04441FBD"/>
    <w:rsid w:val="044A7194"/>
    <w:rsid w:val="044F4E1E"/>
    <w:rsid w:val="04680D54"/>
    <w:rsid w:val="047810F2"/>
    <w:rsid w:val="049F2CE5"/>
    <w:rsid w:val="04A45D08"/>
    <w:rsid w:val="04A60486"/>
    <w:rsid w:val="04C66672"/>
    <w:rsid w:val="04D4099D"/>
    <w:rsid w:val="04F95F91"/>
    <w:rsid w:val="05243739"/>
    <w:rsid w:val="0543590B"/>
    <w:rsid w:val="05797ED5"/>
    <w:rsid w:val="05D24BD9"/>
    <w:rsid w:val="05EC3746"/>
    <w:rsid w:val="05F55D81"/>
    <w:rsid w:val="05F83EAE"/>
    <w:rsid w:val="05FD1B1B"/>
    <w:rsid w:val="05FE6D0E"/>
    <w:rsid w:val="06025025"/>
    <w:rsid w:val="06105DBC"/>
    <w:rsid w:val="063E7D85"/>
    <w:rsid w:val="065B7836"/>
    <w:rsid w:val="068A4ADF"/>
    <w:rsid w:val="0697634C"/>
    <w:rsid w:val="06C265B2"/>
    <w:rsid w:val="06E22BD9"/>
    <w:rsid w:val="07041364"/>
    <w:rsid w:val="07293586"/>
    <w:rsid w:val="07295285"/>
    <w:rsid w:val="074D7724"/>
    <w:rsid w:val="07636392"/>
    <w:rsid w:val="07770C56"/>
    <w:rsid w:val="078A59EC"/>
    <w:rsid w:val="07901979"/>
    <w:rsid w:val="07997851"/>
    <w:rsid w:val="07D64FA4"/>
    <w:rsid w:val="07FE0B88"/>
    <w:rsid w:val="081459DD"/>
    <w:rsid w:val="083C6D88"/>
    <w:rsid w:val="085415ED"/>
    <w:rsid w:val="08633424"/>
    <w:rsid w:val="08662676"/>
    <w:rsid w:val="090D2C61"/>
    <w:rsid w:val="090E2658"/>
    <w:rsid w:val="0910015F"/>
    <w:rsid w:val="09160EF5"/>
    <w:rsid w:val="091D32B4"/>
    <w:rsid w:val="092217DD"/>
    <w:rsid w:val="093A7294"/>
    <w:rsid w:val="093B6D3F"/>
    <w:rsid w:val="096A48FA"/>
    <w:rsid w:val="09983122"/>
    <w:rsid w:val="09D80C8F"/>
    <w:rsid w:val="09D947CF"/>
    <w:rsid w:val="09EF1AE6"/>
    <w:rsid w:val="0A1502D1"/>
    <w:rsid w:val="0A220550"/>
    <w:rsid w:val="0A263993"/>
    <w:rsid w:val="0A2D3AC2"/>
    <w:rsid w:val="0A322F94"/>
    <w:rsid w:val="0A420C71"/>
    <w:rsid w:val="0A924382"/>
    <w:rsid w:val="0A9D299C"/>
    <w:rsid w:val="0AA755DF"/>
    <w:rsid w:val="0AC534D0"/>
    <w:rsid w:val="0AC83822"/>
    <w:rsid w:val="0B120D44"/>
    <w:rsid w:val="0B154FD3"/>
    <w:rsid w:val="0B2F25C3"/>
    <w:rsid w:val="0B436D71"/>
    <w:rsid w:val="0B4C51EF"/>
    <w:rsid w:val="0B73117E"/>
    <w:rsid w:val="0B867D2C"/>
    <w:rsid w:val="0B8B4699"/>
    <w:rsid w:val="0BA33CAD"/>
    <w:rsid w:val="0BAF665A"/>
    <w:rsid w:val="0BB24D3F"/>
    <w:rsid w:val="0BD27BF6"/>
    <w:rsid w:val="0BE25541"/>
    <w:rsid w:val="0C104169"/>
    <w:rsid w:val="0C1643C1"/>
    <w:rsid w:val="0C3B3C7D"/>
    <w:rsid w:val="0C621F7C"/>
    <w:rsid w:val="0C6F752C"/>
    <w:rsid w:val="0C8E11E7"/>
    <w:rsid w:val="0CAB2EAE"/>
    <w:rsid w:val="0D2F5BCF"/>
    <w:rsid w:val="0D3A5706"/>
    <w:rsid w:val="0D3C0E45"/>
    <w:rsid w:val="0D621C7D"/>
    <w:rsid w:val="0D8E04F1"/>
    <w:rsid w:val="0D90063E"/>
    <w:rsid w:val="0DAA2641"/>
    <w:rsid w:val="0DD5780D"/>
    <w:rsid w:val="0E1A550D"/>
    <w:rsid w:val="0E1B02FE"/>
    <w:rsid w:val="0E3A1716"/>
    <w:rsid w:val="0E655042"/>
    <w:rsid w:val="0E68080B"/>
    <w:rsid w:val="0E6F1E50"/>
    <w:rsid w:val="0E73034D"/>
    <w:rsid w:val="0EA10891"/>
    <w:rsid w:val="0EB46B2E"/>
    <w:rsid w:val="0EBB03B3"/>
    <w:rsid w:val="0ED00BBE"/>
    <w:rsid w:val="0ED516D5"/>
    <w:rsid w:val="0F13775A"/>
    <w:rsid w:val="0F520700"/>
    <w:rsid w:val="0F5F45FE"/>
    <w:rsid w:val="0F9A112B"/>
    <w:rsid w:val="0FA45DAA"/>
    <w:rsid w:val="0FB941E5"/>
    <w:rsid w:val="0FD03043"/>
    <w:rsid w:val="10172039"/>
    <w:rsid w:val="104A5F16"/>
    <w:rsid w:val="106C36F6"/>
    <w:rsid w:val="106D2F64"/>
    <w:rsid w:val="10777C2C"/>
    <w:rsid w:val="107C2A7F"/>
    <w:rsid w:val="109F5629"/>
    <w:rsid w:val="10B47E7C"/>
    <w:rsid w:val="10B63710"/>
    <w:rsid w:val="10E86AC7"/>
    <w:rsid w:val="10EF7DEB"/>
    <w:rsid w:val="10F10820"/>
    <w:rsid w:val="10F40D15"/>
    <w:rsid w:val="111C2F7A"/>
    <w:rsid w:val="11356DE9"/>
    <w:rsid w:val="113F5518"/>
    <w:rsid w:val="114A1A79"/>
    <w:rsid w:val="115114BB"/>
    <w:rsid w:val="115855BF"/>
    <w:rsid w:val="11665CA1"/>
    <w:rsid w:val="116D12C6"/>
    <w:rsid w:val="11992D3C"/>
    <w:rsid w:val="11C23DF5"/>
    <w:rsid w:val="12071967"/>
    <w:rsid w:val="12296BEB"/>
    <w:rsid w:val="122F0AC1"/>
    <w:rsid w:val="1232769D"/>
    <w:rsid w:val="12650E15"/>
    <w:rsid w:val="126A21C6"/>
    <w:rsid w:val="12B205E4"/>
    <w:rsid w:val="12C575EE"/>
    <w:rsid w:val="12DF7C17"/>
    <w:rsid w:val="13050BE9"/>
    <w:rsid w:val="13165C34"/>
    <w:rsid w:val="133D556F"/>
    <w:rsid w:val="1361266E"/>
    <w:rsid w:val="13681A92"/>
    <w:rsid w:val="136F4921"/>
    <w:rsid w:val="13951726"/>
    <w:rsid w:val="13A3565D"/>
    <w:rsid w:val="13E675EB"/>
    <w:rsid w:val="140326B4"/>
    <w:rsid w:val="14396509"/>
    <w:rsid w:val="143A3673"/>
    <w:rsid w:val="145467B1"/>
    <w:rsid w:val="14586533"/>
    <w:rsid w:val="147766BC"/>
    <w:rsid w:val="14801916"/>
    <w:rsid w:val="1485084F"/>
    <w:rsid w:val="14DD2C3C"/>
    <w:rsid w:val="15267B1D"/>
    <w:rsid w:val="1536633B"/>
    <w:rsid w:val="154F1364"/>
    <w:rsid w:val="157E78C7"/>
    <w:rsid w:val="15B70179"/>
    <w:rsid w:val="16087E1D"/>
    <w:rsid w:val="165036C6"/>
    <w:rsid w:val="1656417E"/>
    <w:rsid w:val="165F7F3D"/>
    <w:rsid w:val="166010F0"/>
    <w:rsid w:val="16615E82"/>
    <w:rsid w:val="167A6B72"/>
    <w:rsid w:val="16D22CF8"/>
    <w:rsid w:val="16D248D3"/>
    <w:rsid w:val="16D51CFA"/>
    <w:rsid w:val="16DF5C75"/>
    <w:rsid w:val="17126B64"/>
    <w:rsid w:val="17222DD8"/>
    <w:rsid w:val="17701D14"/>
    <w:rsid w:val="17733D24"/>
    <w:rsid w:val="17735226"/>
    <w:rsid w:val="17750B38"/>
    <w:rsid w:val="17A2618F"/>
    <w:rsid w:val="17A84F37"/>
    <w:rsid w:val="17C77922"/>
    <w:rsid w:val="17D5265A"/>
    <w:rsid w:val="17DD4B6C"/>
    <w:rsid w:val="17F126C1"/>
    <w:rsid w:val="182E2900"/>
    <w:rsid w:val="183A1141"/>
    <w:rsid w:val="18561C0B"/>
    <w:rsid w:val="187E504F"/>
    <w:rsid w:val="189F624C"/>
    <w:rsid w:val="18D761E8"/>
    <w:rsid w:val="191C176C"/>
    <w:rsid w:val="19242DC6"/>
    <w:rsid w:val="1933702D"/>
    <w:rsid w:val="196547FC"/>
    <w:rsid w:val="198F1E7E"/>
    <w:rsid w:val="19947D9E"/>
    <w:rsid w:val="19DC083B"/>
    <w:rsid w:val="19E13FC1"/>
    <w:rsid w:val="19E42C3C"/>
    <w:rsid w:val="1A034416"/>
    <w:rsid w:val="1A1C66C0"/>
    <w:rsid w:val="1A2A7BB4"/>
    <w:rsid w:val="1A3601F4"/>
    <w:rsid w:val="1A42393B"/>
    <w:rsid w:val="1A452951"/>
    <w:rsid w:val="1A5F23D0"/>
    <w:rsid w:val="1A734B76"/>
    <w:rsid w:val="1A7466DF"/>
    <w:rsid w:val="1A8E26DF"/>
    <w:rsid w:val="1AA75592"/>
    <w:rsid w:val="1AAD45DE"/>
    <w:rsid w:val="1AC64AC5"/>
    <w:rsid w:val="1AED4F8F"/>
    <w:rsid w:val="1B046F80"/>
    <w:rsid w:val="1B174C82"/>
    <w:rsid w:val="1B1B492F"/>
    <w:rsid w:val="1B3267B5"/>
    <w:rsid w:val="1B40161D"/>
    <w:rsid w:val="1B441859"/>
    <w:rsid w:val="1B5941E5"/>
    <w:rsid w:val="1B6034CD"/>
    <w:rsid w:val="1B6606B1"/>
    <w:rsid w:val="1B6664CE"/>
    <w:rsid w:val="1B886918"/>
    <w:rsid w:val="1BAA322A"/>
    <w:rsid w:val="1BC400D9"/>
    <w:rsid w:val="1BE20386"/>
    <w:rsid w:val="1BE35EAC"/>
    <w:rsid w:val="1BFA6D3D"/>
    <w:rsid w:val="1BFE6CD8"/>
    <w:rsid w:val="1C037624"/>
    <w:rsid w:val="1C0D7D8B"/>
    <w:rsid w:val="1C2D0674"/>
    <w:rsid w:val="1C4701B0"/>
    <w:rsid w:val="1C5E3305"/>
    <w:rsid w:val="1C5E7925"/>
    <w:rsid w:val="1C9A670C"/>
    <w:rsid w:val="1CA00F80"/>
    <w:rsid w:val="1CA309A4"/>
    <w:rsid w:val="1CA66CCE"/>
    <w:rsid w:val="1CC015C4"/>
    <w:rsid w:val="1CD81D8E"/>
    <w:rsid w:val="1CFD070F"/>
    <w:rsid w:val="1D0714AA"/>
    <w:rsid w:val="1D533311"/>
    <w:rsid w:val="1D5A6A73"/>
    <w:rsid w:val="1D5C3C78"/>
    <w:rsid w:val="1D5F6196"/>
    <w:rsid w:val="1D6132A5"/>
    <w:rsid w:val="1D642250"/>
    <w:rsid w:val="1D660B43"/>
    <w:rsid w:val="1D744CC7"/>
    <w:rsid w:val="1D77790C"/>
    <w:rsid w:val="1D8E56D5"/>
    <w:rsid w:val="1DD81FE2"/>
    <w:rsid w:val="1DF1129A"/>
    <w:rsid w:val="1E4431FE"/>
    <w:rsid w:val="1E52624C"/>
    <w:rsid w:val="1E5C5D30"/>
    <w:rsid w:val="1E7A43DA"/>
    <w:rsid w:val="1E7E1E11"/>
    <w:rsid w:val="1E825C11"/>
    <w:rsid w:val="1E9E6276"/>
    <w:rsid w:val="1F080679"/>
    <w:rsid w:val="1F0A4382"/>
    <w:rsid w:val="1F0D7711"/>
    <w:rsid w:val="1F2F13E0"/>
    <w:rsid w:val="1F7532BF"/>
    <w:rsid w:val="1FE7539E"/>
    <w:rsid w:val="2004199B"/>
    <w:rsid w:val="201400DE"/>
    <w:rsid w:val="203A0AD7"/>
    <w:rsid w:val="204D12EC"/>
    <w:rsid w:val="20585DCE"/>
    <w:rsid w:val="205D7B0D"/>
    <w:rsid w:val="20671BE0"/>
    <w:rsid w:val="206A094A"/>
    <w:rsid w:val="206A26F8"/>
    <w:rsid w:val="206B19C1"/>
    <w:rsid w:val="20963CB8"/>
    <w:rsid w:val="20A81A1B"/>
    <w:rsid w:val="20B07FB6"/>
    <w:rsid w:val="20B646FB"/>
    <w:rsid w:val="20D009B9"/>
    <w:rsid w:val="20F53C32"/>
    <w:rsid w:val="20FB2DEF"/>
    <w:rsid w:val="21280C9E"/>
    <w:rsid w:val="212B00D9"/>
    <w:rsid w:val="213B74B1"/>
    <w:rsid w:val="215A2310"/>
    <w:rsid w:val="21AE081F"/>
    <w:rsid w:val="21C65C00"/>
    <w:rsid w:val="21D24E81"/>
    <w:rsid w:val="21D82037"/>
    <w:rsid w:val="21DE318A"/>
    <w:rsid w:val="21EF5B80"/>
    <w:rsid w:val="221848B8"/>
    <w:rsid w:val="2226091E"/>
    <w:rsid w:val="223B1F8B"/>
    <w:rsid w:val="223C6316"/>
    <w:rsid w:val="2240415F"/>
    <w:rsid w:val="22576990"/>
    <w:rsid w:val="229C6083"/>
    <w:rsid w:val="22BC4F54"/>
    <w:rsid w:val="22BE6D2B"/>
    <w:rsid w:val="22F47480"/>
    <w:rsid w:val="23752A5C"/>
    <w:rsid w:val="23A456C2"/>
    <w:rsid w:val="23CC07BF"/>
    <w:rsid w:val="23DE1C48"/>
    <w:rsid w:val="23F041AE"/>
    <w:rsid w:val="240210CD"/>
    <w:rsid w:val="24093863"/>
    <w:rsid w:val="24AF2353"/>
    <w:rsid w:val="24B93A81"/>
    <w:rsid w:val="24BF09F7"/>
    <w:rsid w:val="24D23ED4"/>
    <w:rsid w:val="24DC2607"/>
    <w:rsid w:val="251903EC"/>
    <w:rsid w:val="252D53FE"/>
    <w:rsid w:val="25612B37"/>
    <w:rsid w:val="25950217"/>
    <w:rsid w:val="25CB514F"/>
    <w:rsid w:val="25D237B9"/>
    <w:rsid w:val="25E35426"/>
    <w:rsid w:val="25E6319E"/>
    <w:rsid w:val="25EB7100"/>
    <w:rsid w:val="25EC2D81"/>
    <w:rsid w:val="25F570B8"/>
    <w:rsid w:val="261527DD"/>
    <w:rsid w:val="2642072C"/>
    <w:rsid w:val="264B4D7A"/>
    <w:rsid w:val="26590CE1"/>
    <w:rsid w:val="265B34B9"/>
    <w:rsid w:val="26944E2C"/>
    <w:rsid w:val="26A23821"/>
    <w:rsid w:val="26CC4B4F"/>
    <w:rsid w:val="26D219D2"/>
    <w:rsid w:val="26D846EC"/>
    <w:rsid w:val="26EA4592"/>
    <w:rsid w:val="26FD42C6"/>
    <w:rsid w:val="27433CA3"/>
    <w:rsid w:val="2748483B"/>
    <w:rsid w:val="276D19E1"/>
    <w:rsid w:val="277057A2"/>
    <w:rsid w:val="27713F5A"/>
    <w:rsid w:val="279E3B8B"/>
    <w:rsid w:val="27A70690"/>
    <w:rsid w:val="27CC4C21"/>
    <w:rsid w:val="27DD4466"/>
    <w:rsid w:val="27F020B6"/>
    <w:rsid w:val="27F73B40"/>
    <w:rsid w:val="282D29EB"/>
    <w:rsid w:val="2831731D"/>
    <w:rsid w:val="284317E7"/>
    <w:rsid w:val="285C3276"/>
    <w:rsid w:val="2873602D"/>
    <w:rsid w:val="2887248F"/>
    <w:rsid w:val="289B03EF"/>
    <w:rsid w:val="28F10445"/>
    <w:rsid w:val="290868EC"/>
    <w:rsid w:val="29206EB8"/>
    <w:rsid w:val="29296BF0"/>
    <w:rsid w:val="29595666"/>
    <w:rsid w:val="297E1720"/>
    <w:rsid w:val="29874881"/>
    <w:rsid w:val="29E325E0"/>
    <w:rsid w:val="29F67D6D"/>
    <w:rsid w:val="29FB1396"/>
    <w:rsid w:val="2A08707E"/>
    <w:rsid w:val="2A1B05EA"/>
    <w:rsid w:val="2A1B6182"/>
    <w:rsid w:val="2A366A91"/>
    <w:rsid w:val="2A452503"/>
    <w:rsid w:val="2A774A7C"/>
    <w:rsid w:val="2AB45AA4"/>
    <w:rsid w:val="2ABB0720"/>
    <w:rsid w:val="2AD67E19"/>
    <w:rsid w:val="2AF87C01"/>
    <w:rsid w:val="2B117A92"/>
    <w:rsid w:val="2B2E2829"/>
    <w:rsid w:val="2B5B134A"/>
    <w:rsid w:val="2BA936A8"/>
    <w:rsid w:val="2BD57BA4"/>
    <w:rsid w:val="2BE57E48"/>
    <w:rsid w:val="2BF82687"/>
    <w:rsid w:val="2C0D50BF"/>
    <w:rsid w:val="2C315A5A"/>
    <w:rsid w:val="2C4B1C25"/>
    <w:rsid w:val="2C532BDA"/>
    <w:rsid w:val="2C534CCF"/>
    <w:rsid w:val="2C6330AB"/>
    <w:rsid w:val="2C7E5AD0"/>
    <w:rsid w:val="2C882884"/>
    <w:rsid w:val="2C954FA0"/>
    <w:rsid w:val="2C9E04A1"/>
    <w:rsid w:val="2CB42D48"/>
    <w:rsid w:val="2CB67274"/>
    <w:rsid w:val="2D2C76B3"/>
    <w:rsid w:val="2D31051C"/>
    <w:rsid w:val="2D3B7577"/>
    <w:rsid w:val="2D451CB5"/>
    <w:rsid w:val="2D7352E2"/>
    <w:rsid w:val="2D861337"/>
    <w:rsid w:val="2D9A63D9"/>
    <w:rsid w:val="2D9E56F5"/>
    <w:rsid w:val="2DAB015F"/>
    <w:rsid w:val="2DD94E38"/>
    <w:rsid w:val="2DF25594"/>
    <w:rsid w:val="2DF82798"/>
    <w:rsid w:val="2E0B4C80"/>
    <w:rsid w:val="2E100266"/>
    <w:rsid w:val="2E331787"/>
    <w:rsid w:val="2E42420C"/>
    <w:rsid w:val="2E4823CE"/>
    <w:rsid w:val="2E5E3218"/>
    <w:rsid w:val="2E667F96"/>
    <w:rsid w:val="2E6812AD"/>
    <w:rsid w:val="2E6911F9"/>
    <w:rsid w:val="2E80169C"/>
    <w:rsid w:val="2E8226AB"/>
    <w:rsid w:val="2E864E16"/>
    <w:rsid w:val="2E875157"/>
    <w:rsid w:val="2E8A484A"/>
    <w:rsid w:val="2E917373"/>
    <w:rsid w:val="2E9A7907"/>
    <w:rsid w:val="2EFC00AF"/>
    <w:rsid w:val="2F8064AA"/>
    <w:rsid w:val="2F834474"/>
    <w:rsid w:val="2F8D0795"/>
    <w:rsid w:val="2FAA6694"/>
    <w:rsid w:val="2FB25502"/>
    <w:rsid w:val="2FD065E6"/>
    <w:rsid w:val="2FD074A5"/>
    <w:rsid w:val="2FD96870"/>
    <w:rsid w:val="2FE33801"/>
    <w:rsid w:val="30247196"/>
    <w:rsid w:val="3043140F"/>
    <w:rsid w:val="3057460E"/>
    <w:rsid w:val="30580BC9"/>
    <w:rsid w:val="307A54FB"/>
    <w:rsid w:val="307A7260"/>
    <w:rsid w:val="30864775"/>
    <w:rsid w:val="309173B1"/>
    <w:rsid w:val="30A24CD3"/>
    <w:rsid w:val="30AB4799"/>
    <w:rsid w:val="30CD664E"/>
    <w:rsid w:val="30FC3FA0"/>
    <w:rsid w:val="311E2ED7"/>
    <w:rsid w:val="315619EE"/>
    <w:rsid w:val="315C449C"/>
    <w:rsid w:val="31A9148A"/>
    <w:rsid w:val="31B82709"/>
    <w:rsid w:val="31C823BF"/>
    <w:rsid w:val="31D05482"/>
    <w:rsid w:val="32132BEF"/>
    <w:rsid w:val="323B5CA2"/>
    <w:rsid w:val="32400B34"/>
    <w:rsid w:val="324068D1"/>
    <w:rsid w:val="32796300"/>
    <w:rsid w:val="327D2225"/>
    <w:rsid w:val="32870EE7"/>
    <w:rsid w:val="329E6876"/>
    <w:rsid w:val="32B1065A"/>
    <w:rsid w:val="32D33261"/>
    <w:rsid w:val="32E429E6"/>
    <w:rsid w:val="32E56E7A"/>
    <w:rsid w:val="32F95AAB"/>
    <w:rsid w:val="332061F3"/>
    <w:rsid w:val="333015F2"/>
    <w:rsid w:val="3339351C"/>
    <w:rsid w:val="334B6320"/>
    <w:rsid w:val="33514179"/>
    <w:rsid w:val="3387267D"/>
    <w:rsid w:val="33A56D3E"/>
    <w:rsid w:val="33AD4C09"/>
    <w:rsid w:val="33AD557B"/>
    <w:rsid w:val="33B71FFA"/>
    <w:rsid w:val="33CD362C"/>
    <w:rsid w:val="33D934D4"/>
    <w:rsid w:val="33EE5E41"/>
    <w:rsid w:val="33FE2F6A"/>
    <w:rsid w:val="340E07E5"/>
    <w:rsid w:val="340E22A5"/>
    <w:rsid w:val="34235BF7"/>
    <w:rsid w:val="34273143"/>
    <w:rsid w:val="343678D6"/>
    <w:rsid w:val="3461106C"/>
    <w:rsid w:val="34613863"/>
    <w:rsid w:val="348A775A"/>
    <w:rsid w:val="34A26CE1"/>
    <w:rsid w:val="34BA3A19"/>
    <w:rsid w:val="34C424E1"/>
    <w:rsid w:val="34C56C01"/>
    <w:rsid w:val="34D820C0"/>
    <w:rsid w:val="34F25EA8"/>
    <w:rsid w:val="3518676F"/>
    <w:rsid w:val="35205A45"/>
    <w:rsid w:val="35300C41"/>
    <w:rsid w:val="35456B3F"/>
    <w:rsid w:val="35504165"/>
    <w:rsid w:val="35510553"/>
    <w:rsid w:val="35581064"/>
    <w:rsid w:val="355E0756"/>
    <w:rsid w:val="3569554F"/>
    <w:rsid w:val="35843EA3"/>
    <w:rsid w:val="358C5FA8"/>
    <w:rsid w:val="359526CE"/>
    <w:rsid w:val="359D6368"/>
    <w:rsid w:val="35C1084A"/>
    <w:rsid w:val="35C15DF1"/>
    <w:rsid w:val="35CD7559"/>
    <w:rsid w:val="35D11B70"/>
    <w:rsid w:val="36074A7F"/>
    <w:rsid w:val="36386400"/>
    <w:rsid w:val="366E4AE7"/>
    <w:rsid w:val="367D334E"/>
    <w:rsid w:val="36923549"/>
    <w:rsid w:val="36A54CCD"/>
    <w:rsid w:val="36A9599B"/>
    <w:rsid w:val="36B75FBF"/>
    <w:rsid w:val="36B806B2"/>
    <w:rsid w:val="36BD0C45"/>
    <w:rsid w:val="36D27E11"/>
    <w:rsid w:val="373D041F"/>
    <w:rsid w:val="374750E9"/>
    <w:rsid w:val="375D3D54"/>
    <w:rsid w:val="377970F6"/>
    <w:rsid w:val="379C05CA"/>
    <w:rsid w:val="37D63265"/>
    <w:rsid w:val="37D91A9F"/>
    <w:rsid w:val="37DC4FC2"/>
    <w:rsid w:val="37E00298"/>
    <w:rsid w:val="3803737C"/>
    <w:rsid w:val="380769B8"/>
    <w:rsid w:val="38080FD2"/>
    <w:rsid w:val="381F7578"/>
    <w:rsid w:val="3859375B"/>
    <w:rsid w:val="385E71DC"/>
    <w:rsid w:val="386220F1"/>
    <w:rsid w:val="386716E5"/>
    <w:rsid w:val="3869607A"/>
    <w:rsid w:val="38722E70"/>
    <w:rsid w:val="38A578D9"/>
    <w:rsid w:val="38B302F9"/>
    <w:rsid w:val="38F12CD3"/>
    <w:rsid w:val="38F94775"/>
    <w:rsid w:val="390658DB"/>
    <w:rsid w:val="390C65EA"/>
    <w:rsid w:val="392971ED"/>
    <w:rsid w:val="39325651"/>
    <w:rsid w:val="3934382B"/>
    <w:rsid w:val="397A3701"/>
    <w:rsid w:val="397F5ABD"/>
    <w:rsid w:val="398D55E4"/>
    <w:rsid w:val="39926B26"/>
    <w:rsid w:val="39BC1C49"/>
    <w:rsid w:val="39FE1CDA"/>
    <w:rsid w:val="3A124CD6"/>
    <w:rsid w:val="3A143D87"/>
    <w:rsid w:val="3A2B6F44"/>
    <w:rsid w:val="3A491C8E"/>
    <w:rsid w:val="3A4C75F6"/>
    <w:rsid w:val="3A7420BB"/>
    <w:rsid w:val="3A872856"/>
    <w:rsid w:val="3A8E0372"/>
    <w:rsid w:val="3A8F1D1B"/>
    <w:rsid w:val="3A95616C"/>
    <w:rsid w:val="3AA730A5"/>
    <w:rsid w:val="3ADE26E2"/>
    <w:rsid w:val="3AF8381E"/>
    <w:rsid w:val="3B1C5C05"/>
    <w:rsid w:val="3B28382A"/>
    <w:rsid w:val="3B3763D1"/>
    <w:rsid w:val="3B8E4358"/>
    <w:rsid w:val="3BA35A50"/>
    <w:rsid w:val="3BBC7E42"/>
    <w:rsid w:val="3BC03A53"/>
    <w:rsid w:val="3BC903DA"/>
    <w:rsid w:val="3BDA00A0"/>
    <w:rsid w:val="3BDC24FB"/>
    <w:rsid w:val="3C0009D2"/>
    <w:rsid w:val="3C081638"/>
    <w:rsid w:val="3C0A21FA"/>
    <w:rsid w:val="3C1C3581"/>
    <w:rsid w:val="3C217732"/>
    <w:rsid w:val="3C264CE8"/>
    <w:rsid w:val="3C2B4774"/>
    <w:rsid w:val="3C2F6E1E"/>
    <w:rsid w:val="3C481081"/>
    <w:rsid w:val="3C4F64BA"/>
    <w:rsid w:val="3C521861"/>
    <w:rsid w:val="3C6B5072"/>
    <w:rsid w:val="3C6F1BA2"/>
    <w:rsid w:val="3C99353E"/>
    <w:rsid w:val="3CA26EC0"/>
    <w:rsid w:val="3CB66354"/>
    <w:rsid w:val="3CDA245A"/>
    <w:rsid w:val="3CE929CE"/>
    <w:rsid w:val="3D036EC2"/>
    <w:rsid w:val="3D0D07CE"/>
    <w:rsid w:val="3D1E06B7"/>
    <w:rsid w:val="3D266F65"/>
    <w:rsid w:val="3D515E43"/>
    <w:rsid w:val="3D5233DA"/>
    <w:rsid w:val="3D7924FB"/>
    <w:rsid w:val="3D8D1761"/>
    <w:rsid w:val="3DC966EF"/>
    <w:rsid w:val="3DCE12C3"/>
    <w:rsid w:val="3DDC3F06"/>
    <w:rsid w:val="3DE3213E"/>
    <w:rsid w:val="3DE939D7"/>
    <w:rsid w:val="3E26628B"/>
    <w:rsid w:val="3E361ECC"/>
    <w:rsid w:val="3E5276C3"/>
    <w:rsid w:val="3E5763B3"/>
    <w:rsid w:val="3E816188"/>
    <w:rsid w:val="3E84285C"/>
    <w:rsid w:val="3E9C1BFF"/>
    <w:rsid w:val="3EA91C92"/>
    <w:rsid w:val="3EAD061A"/>
    <w:rsid w:val="3ED951C1"/>
    <w:rsid w:val="3EDA0523"/>
    <w:rsid w:val="3EE76DD5"/>
    <w:rsid w:val="3EF43D69"/>
    <w:rsid w:val="3F32179A"/>
    <w:rsid w:val="3F7E2D67"/>
    <w:rsid w:val="3F85610C"/>
    <w:rsid w:val="3F8630B0"/>
    <w:rsid w:val="3F8762A6"/>
    <w:rsid w:val="3F8F58C3"/>
    <w:rsid w:val="3FCC78A3"/>
    <w:rsid w:val="40030C42"/>
    <w:rsid w:val="402548EB"/>
    <w:rsid w:val="405D7272"/>
    <w:rsid w:val="4065149A"/>
    <w:rsid w:val="407A6407"/>
    <w:rsid w:val="40AC7E1D"/>
    <w:rsid w:val="40B0651F"/>
    <w:rsid w:val="40C04926"/>
    <w:rsid w:val="40CC2306"/>
    <w:rsid w:val="41127BB0"/>
    <w:rsid w:val="412520A8"/>
    <w:rsid w:val="41300F4C"/>
    <w:rsid w:val="41476BAF"/>
    <w:rsid w:val="415A0AEA"/>
    <w:rsid w:val="416E479B"/>
    <w:rsid w:val="41830AF5"/>
    <w:rsid w:val="41883DD8"/>
    <w:rsid w:val="418E1802"/>
    <w:rsid w:val="418F5288"/>
    <w:rsid w:val="41A674C0"/>
    <w:rsid w:val="41E840A7"/>
    <w:rsid w:val="4200449D"/>
    <w:rsid w:val="423A3BCC"/>
    <w:rsid w:val="424838B5"/>
    <w:rsid w:val="424D2683"/>
    <w:rsid w:val="424E57D2"/>
    <w:rsid w:val="4262727B"/>
    <w:rsid w:val="427D2B7D"/>
    <w:rsid w:val="42907656"/>
    <w:rsid w:val="42915F92"/>
    <w:rsid w:val="429D1CEC"/>
    <w:rsid w:val="429D718D"/>
    <w:rsid w:val="42B26C49"/>
    <w:rsid w:val="42E17CA9"/>
    <w:rsid w:val="42E870CB"/>
    <w:rsid w:val="42F12D9A"/>
    <w:rsid w:val="42F23522"/>
    <w:rsid w:val="433340CF"/>
    <w:rsid w:val="433A6FE6"/>
    <w:rsid w:val="43480868"/>
    <w:rsid w:val="4350713C"/>
    <w:rsid w:val="436653E0"/>
    <w:rsid w:val="43671D11"/>
    <w:rsid w:val="439353EE"/>
    <w:rsid w:val="439D076D"/>
    <w:rsid w:val="43C4431A"/>
    <w:rsid w:val="43F06423"/>
    <w:rsid w:val="43F12485"/>
    <w:rsid w:val="43FF672D"/>
    <w:rsid w:val="440F7053"/>
    <w:rsid w:val="4441558E"/>
    <w:rsid w:val="446D6D67"/>
    <w:rsid w:val="446E021C"/>
    <w:rsid w:val="44806E3E"/>
    <w:rsid w:val="44A30F87"/>
    <w:rsid w:val="44AC3599"/>
    <w:rsid w:val="44B951CC"/>
    <w:rsid w:val="44CC10C7"/>
    <w:rsid w:val="44CD14E0"/>
    <w:rsid w:val="44D33CF2"/>
    <w:rsid w:val="44ED2C8C"/>
    <w:rsid w:val="44F20B0B"/>
    <w:rsid w:val="45040F19"/>
    <w:rsid w:val="450764BE"/>
    <w:rsid w:val="45087894"/>
    <w:rsid w:val="45201838"/>
    <w:rsid w:val="452E5F4C"/>
    <w:rsid w:val="45380B8C"/>
    <w:rsid w:val="45462E84"/>
    <w:rsid w:val="454A43BE"/>
    <w:rsid w:val="455E449C"/>
    <w:rsid w:val="45612018"/>
    <w:rsid w:val="45834137"/>
    <w:rsid w:val="458946E9"/>
    <w:rsid w:val="458F31CA"/>
    <w:rsid w:val="45A47C0E"/>
    <w:rsid w:val="45B742E3"/>
    <w:rsid w:val="45D81B43"/>
    <w:rsid w:val="460100E0"/>
    <w:rsid w:val="461518EF"/>
    <w:rsid w:val="462A5E2A"/>
    <w:rsid w:val="463C5159"/>
    <w:rsid w:val="463D7163"/>
    <w:rsid w:val="46577FD6"/>
    <w:rsid w:val="466435C2"/>
    <w:rsid w:val="46685004"/>
    <w:rsid w:val="46697D0A"/>
    <w:rsid w:val="466A3088"/>
    <w:rsid w:val="466D37AF"/>
    <w:rsid w:val="468B4B66"/>
    <w:rsid w:val="468D794A"/>
    <w:rsid w:val="46BD32F7"/>
    <w:rsid w:val="46CF613A"/>
    <w:rsid w:val="46D955A7"/>
    <w:rsid w:val="47133957"/>
    <w:rsid w:val="475E44CD"/>
    <w:rsid w:val="478721CC"/>
    <w:rsid w:val="47A07E0C"/>
    <w:rsid w:val="47A33E77"/>
    <w:rsid w:val="47B7436B"/>
    <w:rsid w:val="47CB19AB"/>
    <w:rsid w:val="480570DB"/>
    <w:rsid w:val="48531B40"/>
    <w:rsid w:val="485577AA"/>
    <w:rsid w:val="485E7EB0"/>
    <w:rsid w:val="48646881"/>
    <w:rsid w:val="486E3AC9"/>
    <w:rsid w:val="4870272E"/>
    <w:rsid w:val="48876A91"/>
    <w:rsid w:val="48926903"/>
    <w:rsid w:val="48AB73D7"/>
    <w:rsid w:val="48CA190C"/>
    <w:rsid w:val="48F77BB1"/>
    <w:rsid w:val="492E096E"/>
    <w:rsid w:val="4937290C"/>
    <w:rsid w:val="49644951"/>
    <w:rsid w:val="4969114E"/>
    <w:rsid w:val="499A0A4C"/>
    <w:rsid w:val="49BE6AFB"/>
    <w:rsid w:val="49DC7715"/>
    <w:rsid w:val="49EA6CED"/>
    <w:rsid w:val="4A023139"/>
    <w:rsid w:val="4A2A7850"/>
    <w:rsid w:val="4A5B6BD6"/>
    <w:rsid w:val="4A5B6D42"/>
    <w:rsid w:val="4A5D3D79"/>
    <w:rsid w:val="4A6D5F94"/>
    <w:rsid w:val="4A7B576F"/>
    <w:rsid w:val="4AEE4E27"/>
    <w:rsid w:val="4AF4611E"/>
    <w:rsid w:val="4AF561A9"/>
    <w:rsid w:val="4B003148"/>
    <w:rsid w:val="4B172ECF"/>
    <w:rsid w:val="4B217CD3"/>
    <w:rsid w:val="4B403BD6"/>
    <w:rsid w:val="4B4B42AE"/>
    <w:rsid w:val="4B865B3C"/>
    <w:rsid w:val="4BF67659"/>
    <w:rsid w:val="4C0A1750"/>
    <w:rsid w:val="4C0F76A9"/>
    <w:rsid w:val="4C2A0083"/>
    <w:rsid w:val="4C4A0649"/>
    <w:rsid w:val="4C742B15"/>
    <w:rsid w:val="4C770EE0"/>
    <w:rsid w:val="4C7D78BC"/>
    <w:rsid w:val="4C7E5ECA"/>
    <w:rsid w:val="4C876AA5"/>
    <w:rsid w:val="4C962235"/>
    <w:rsid w:val="4C9A40FE"/>
    <w:rsid w:val="4CAA019C"/>
    <w:rsid w:val="4CB35F67"/>
    <w:rsid w:val="4CCF6B79"/>
    <w:rsid w:val="4D0E00FB"/>
    <w:rsid w:val="4D176606"/>
    <w:rsid w:val="4D4877FA"/>
    <w:rsid w:val="4D4E1E82"/>
    <w:rsid w:val="4D7D6575"/>
    <w:rsid w:val="4D8A56A8"/>
    <w:rsid w:val="4DEC4FB0"/>
    <w:rsid w:val="4E075D8A"/>
    <w:rsid w:val="4E22541C"/>
    <w:rsid w:val="4E9A172B"/>
    <w:rsid w:val="4EA053B3"/>
    <w:rsid w:val="4EB250E6"/>
    <w:rsid w:val="4EB32F1C"/>
    <w:rsid w:val="4EBA7BCE"/>
    <w:rsid w:val="4EC00FAD"/>
    <w:rsid w:val="4ED817F1"/>
    <w:rsid w:val="4EEA1516"/>
    <w:rsid w:val="4F003DF8"/>
    <w:rsid w:val="4F433CC1"/>
    <w:rsid w:val="4F6C19A9"/>
    <w:rsid w:val="4F9843DC"/>
    <w:rsid w:val="4FC62A8C"/>
    <w:rsid w:val="4FD7693E"/>
    <w:rsid w:val="4FE20F0D"/>
    <w:rsid w:val="4FE51552"/>
    <w:rsid w:val="4FF1688D"/>
    <w:rsid w:val="50504C4B"/>
    <w:rsid w:val="509C6E7C"/>
    <w:rsid w:val="50B6694B"/>
    <w:rsid w:val="50EC3644"/>
    <w:rsid w:val="50F86D82"/>
    <w:rsid w:val="50FD4D3F"/>
    <w:rsid w:val="51221AC2"/>
    <w:rsid w:val="512B33C1"/>
    <w:rsid w:val="5162104E"/>
    <w:rsid w:val="51642065"/>
    <w:rsid w:val="516C6880"/>
    <w:rsid w:val="516F1C54"/>
    <w:rsid w:val="519A28ED"/>
    <w:rsid w:val="519F7599"/>
    <w:rsid w:val="51A26F03"/>
    <w:rsid w:val="51B27C4C"/>
    <w:rsid w:val="51C6453F"/>
    <w:rsid w:val="52056663"/>
    <w:rsid w:val="52540095"/>
    <w:rsid w:val="5268132D"/>
    <w:rsid w:val="526B5698"/>
    <w:rsid w:val="527252B8"/>
    <w:rsid w:val="527C1145"/>
    <w:rsid w:val="52971741"/>
    <w:rsid w:val="52EB1AE5"/>
    <w:rsid w:val="52ED2F33"/>
    <w:rsid w:val="52FD5D22"/>
    <w:rsid w:val="53244A62"/>
    <w:rsid w:val="53446F5E"/>
    <w:rsid w:val="5360167B"/>
    <w:rsid w:val="538F2551"/>
    <w:rsid w:val="53950B2C"/>
    <w:rsid w:val="53971D3B"/>
    <w:rsid w:val="53A039CC"/>
    <w:rsid w:val="53A1505A"/>
    <w:rsid w:val="53A4288A"/>
    <w:rsid w:val="53BF19E1"/>
    <w:rsid w:val="53C37B00"/>
    <w:rsid w:val="54063E08"/>
    <w:rsid w:val="540C6E67"/>
    <w:rsid w:val="540C7F79"/>
    <w:rsid w:val="542A3876"/>
    <w:rsid w:val="543437E8"/>
    <w:rsid w:val="54486B84"/>
    <w:rsid w:val="545C1485"/>
    <w:rsid w:val="547239D0"/>
    <w:rsid w:val="547A400E"/>
    <w:rsid w:val="54B134BA"/>
    <w:rsid w:val="54C63A84"/>
    <w:rsid w:val="54E20838"/>
    <w:rsid w:val="54E423CA"/>
    <w:rsid w:val="54F73313"/>
    <w:rsid w:val="54F80955"/>
    <w:rsid w:val="54FF7A8F"/>
    <w:rsid w:val="555170A7"/>
    <w:rsid w:val="5587536D"/>
    <w:rsid w:val="55911EF9"/>
    <w:rsid w:val="55922A70"/>
    <w:rsid w:val="559B174B"/>
    <w:rsid w:val="55BA2850"/>
    <w:rsid w:val="55C40828"/>
    <w:rsid w:val="55CE0CF4"/>
    <w:rsid w:val="55CE1635"/>
    <w:rsid w:val="55D3703E"/>
    <w:rsid w:val="55E82332"/>
    <w:rsid w:val="5606129C"/>
    <w:rsid w:val="561110FD"/>
    <w:rsid w:val="563E20BC"/>
    <w:rsid w:val="56507E94"/>
    <w:rsid w:val="565A22EB"/>
    <w:rsid w:val="566800B4"/>
    <w:rsid w:val="566911E1"/>
    <w:rsid w:val="566F4D92"/>
    <w:rsid w:val="5684380C"/>
    <w:rsid w:val="568C5AA8"/>
    <w:rsid w:val="56930EAF"/>
    <w:rsid w:val="569C42AD"/>
    <w:rsid w:val="56B22127"/>
    <w:rsid w:val="56B22A9C"/>
    <w:rsid w:val="57066D7B"/>
    <w:rsid w:val="57104C35"/>
    <w:rsid w:val="57174C39"/>
    <w:rsid w:val="5737646C"/>
    <w:rsid w:val="574014E1"/>
    <w:rsid w:val="575758AA"/>
    <w:rsid w:val="576F0723"/>
    <w:rsid w:val="578F4FBA"/>
    <w:rsid w:val="57A36B04"/>
    <w:rsid w:val="57B72A76"/>
    <w:rsid w:val="57C3426C"/>
    <w:rsid w:val="57C736C1"/>
    <w:rsid w:val="57CE1F93"/>
    <w:rsid w:val="57D960A8"/>
    <w:rsid w:val="58282B97"/>
    <w:rsid w:val="583E5C4C"/>
    <w:rsid w:val="58515273"/>
    <w:rsid w:val="58533CDB"/>
    <w:rsid w:val="58547E12"/>
    <w:rsid w:val="585725C8"/>
    <w:rsid w:val="585B5325"/>
    <w:rsid w:val="586151F3"/>
    <w:rsid w:val="586C5D1F"/>
    <w:rsid w:val="58713B02"/>
    <w:rsid w:val="588743D1"/>
    <w:rsid w:val="5887701A"/>
    <w:rsid w:val="589D5958"/>
    <w:rsid w:val="58D819C5"/>
    <w:rsid w:val="58E766AC"/>
    <w:rsid w:val="58FC6136"/>
    <w:rsid w:val="59071AE2"/>
    <w:rsid w:val="592C4A2D"/>
    <w:rsid w:val="59765A55"/>
    <w:rsid w:val="59A96A7B"/>
    <w:rsid w:val="59C0439F"/>
    <w:rsid w:val="59D37D56"/>
    <w:rsid w:val="59D56ED0"/>
    <w:rsid w:val="59D83852"/>
    <w:rsid w:val="59E90FDA"/>
    <w:rsid w:val="59E9139C"/>
    <w:rsid w:val="5A1A6AEA"/>
    <w:rsid w:val="5A1D61FA"/>
    <w:rsid w:val="5A266EE6"/>
    <w:rsid w:val="5A455DA9"/>
    <w:rsid w:val="5A4C43A4"/>
    <w:rsid w:val="5A7474F3"/>
    <w:rsid w:val="5AAA410D"/>
    <w:rsid w:val="5ABE2233"/>
    <w:rsid w:val="5AE6739E"/>
    <w:rsid w:val="5AEE56F8"/>
    <w:rsid w:val="5AEF5388"/>
    <w:rsid w:val="5AF3750E"/>
    <w:rsid w:val="5B04784D"/>
    <w:rsid w:val="5B0F596C"/>
    <w:rsid w:val="5B321AB1"/>
    <w:rsid w:val="5B3D5E1A"/>
    <w:rsid w:val="5B437791"/>
    <w:rsid w:val="5B9501CE"/>
    <w:rsid w:val="5B9D1006"/>
    <w:rsid w:val="5BDF5D95"/>
    <w:rsid w:val="5BE7794A"/>
    <w:rsid w:val="5BFE7528"/>
    <w:rsid w:val="5C0471A6"/>
    <w:rsid w:val="5C3D22AA"/>
    <w:rsid w:val="5C8E0AE0"/>
    <w:rsid w:val="5CBD097B"/>
    <w:rsid w:val="5CDB3324"/>
    <w:rsid w:val="5CFF4B23"/>
    <w:rsid w:val="5D175033"/>
    <w:rsid w:val="5D4B0BE0"/>
    <w:rsid w:val="5D5348E2"/>
    <w:rsid w:val="5D6251EC"/>
    <w:rsid w:val="5D7070B2"/>
    <w:rsid w:val="5DC53CD5"/>
    <w:rsid w:val="5DCA52C6"/>
    <w:rsid w:val="5DF2325E"/>
    <w:rsid w:val="5DF40A32"/>
    <w:rsid w:val="5DF63241"/>
    <w:rsid w:val="5E232372"/>
    <w:rsid w:val="5E2467F1"/>
    <w:rsid w:val="5E26055C"/>
    <w:rsid w:val="5E4357EF"/>
    <w:rsid w:val="5E5C04E7"/>
    <w:rsid w:val="5E735A69"/>
    <w:rsid w:val="5E9D3455"/>
    <w:rsid w:val="5ED52E57"/>
    <w:rsid w:val="5EF213F3"/>
    <w:rsid w:val="5F1A2B43"/>
    <w:rsid w:val="5F1A7C4C"/>
    <w:rsid w:val="5F46227D"/>
    <w:rsid w:val="5F7162D6"/>
    <w:rsid w:val="5F825A82"/>
    <w:rsid w:val="5FA647F3"/>
    <w:rsid w:val="5FB837BB"/>
    <w:rsid w:val="5FD70E10"/>
    <w:rsid w:val="602913FE"/>
    <w:rsid w:val="604C667A"/>
    <w:rsid w:val="605920FA"/>
    <w:rsid w:val="606E67C8"/>
    <w:rsid w:val="608A02D8"/>
    <w:rsid w:val="608C2CA7"/>
    <w:rsid w:val="609B1E7E"/>
    <w:rsid w:val="60A778DC"/>
    <w:rsid w:val="60CC405A"/>
    <w:rsid w:val="60DE4FED"/>
    <w:rsid w:val="610113A9"/>
    <w:rsid w:val="610B3396"/>
    <w:rsid w:val="610D2205"/>
    <w:rsid w:val="611D7F59"/>
    <w:rsid w:val="614B37FC"/>
    <w:rsid w:val="616C5A0F"/>
    <w:rsid w:val="6180299B"/>
    <w:rsid w:val="618E75AB"/>
    <w:rsid w:val="61A31CEB"/>
    <w:rsid w:val="61AD6EEE"/>
    <w:rsid w:val="61B80F7A"/>
    <w:rsid w:val="61CB481F"/>
    <w:rsid w:val="61E215D8"/>
    <w:rsid w:val="61E93057"/>
    <w:rsid w:val="6214185F"/>
    <w:rsid w:val="62161427"/>
    <w:rsid w:val="621B3775"/>
    <w:rsid w:val="62364782"/>
    <w:rsid w:val="62750B5E"/>
    <w:rsid w:val="62771EF0"/>
    <w:rsid w:val="62843AED"/>
    <w:rsid w:val="62A96AD4"/>
    <w:rsid w:val="62AB4E05"/>
    <w:rsid w:val="62D41387"/>
    <w:rsid w:val="62EF200D"/>
    <w:rsid w:val="63130A32"/>
    <w:rsid w:val="63237168"/>
    <w:rsid w:val="635A7C45"/>
    <w:rsid w:val="635B17DB"/>
    <w:rsid w:val="63600516"/>
    <w:rsid w:val="637A5D7B"/>
    <w:rsid w:val="6394356A"/>
    <w:rsid w:val="63A84E12"/>
    <w:rsid w:val="63AF520D"/>
    <w:rsid w:val="63B215BB"/>
    <w:rsid w:val="63C61B2C"/>
    <w:rsid w:val="63D40BE9"/>
    <w:rsid w:val="6410066E"/>
    <w:rsid w:val="64102431"/>
    <w:rsid w:val="64297661"/>
    <w:rsid w:val="642A5711"/>
    <w:rsid w:val="64356063"/>
    <w:rsid w:val="64444E79"/>
    <w:rsid w:val="645F2068"/>
    <w:rsid w:val="64797711"/>
    <w:rsid w:val="64A5243A"/>
    <w:rsid w:val="64DE79C1"/>
    <w:rsid w:val="64E953CF"/>
    <w:rsid w:val="64EE2048"/>
    <w:rsid w:val="64F531DE"/>
    <w:rsid w:val="65050921"/>
    <w:rsid w:val="650E5F94"/>
    <w:rsid w:val="653249BD"/>
    <w:rsid w:val="65373578"/>
    <w:rsid w:val="65A7180E"/>
    <w:rsid w:val="65AE3B17"/>
    <w:rsid w:val="65C00460"/>
    <w:rsid w:val="65DC1927"/>
    <w:rsid w:val="66226DA2"/>
    <w:rsid w:val="66440471"/>
    <w:rsid w:val="66882EA5"/>
    <w:rsid w:val="66CF753E"/>
    <w:rsid w:val="66E27DE7"/>
    <w:rsid w:val="67114C48"/>
    <w:rsid w:val="671F124A"/>
    <w:rsid w:val="67796C42"/>
    <w:rsid w:val="677A33C6"/>
    <w:rsid w:val="67892A30"/>
    <w:rsid w:val="67910291"/>
    <w:rsid w:val="67A755AC"/>
    <w:rsid w:val="680F5027"/>
    <w:rsid w:val="681F6961"/>
    <w:rsid w:val="68610A2F"/>
    <w:rsid w:val="68805514"/>
    <w:rsid w:val="68AA02F5"/>
    <w:rsid w:val="68BE2840"/>
    <w:rsid w:val="68BE2BAE"/>
    <w:rsid w:val="68E85E7D"/>
    <w:rsid w:val="692C7AC8"/>
    <w:rsid w:val="69316E2F"/>
    <w:rsid w:val="69382EA5"/>
    <w:rsid w:val="693B3D95"/>
    <w:rsid w:val="693F2051"/>
    <w:rsid w:val="694E2071"/>
    <w:rsid w:val="69551FF2"/>
    <w:rsid w:val="69766163"/>
    <w:rsid w:val="697A3B33"/>
    <w:rsid w:val="69890E86"/>
    <w:rsid w:val="69C67F6C"/>
    <w:rsid w:val="69CA51C1"/>
    <w:rsid w:val="69D44760"/>
    <w:rsid w:val="6A152539"/>
    <w:rsid w:val="6A3B2D23"/>
    <w:rsid w:val="6A520EC7"/>
    <w:rsid w:val="6A5520D0"/>
    <w:rsid w:val="6A780DC6"/>
    <w:rsid w:val="6A7C30E1"/>
    <w:rsid w:val="6A862D99"/>
    <w:rsid w:val="6A9633B4"/>
    <w:rsid w:val="6A963E9A"/>
    <w:rsid w:val="6A9723E2"/>
    <w:rsid w:val="6AB3370A"/>
    <w:rsid w:val="6AC50223"/>
    <w:rsid w:val="6AC51B00"/>
    <w:rsid w:val="6AD008D7"/>
    <w:rsid w:val="6AEB28BA"/>
    <w:rsid w:val="6AF63218"/>
    <w:rsid w:val="6AF87E20"/>
    <w:rsid w:val="6B2E3A53"/>
    <w:rsid w:val="6B322639"/>
    <w:rsid w:val="6B3949EA"/>
    <w:rsid w:val="6B3A3CC8"/>
    <w:rsid w:val="6B531AE1"/>
    <w:rsid w:val="6B6A7964"/>
    <w:rsid w:val="6B8D5E78"/>
    <w:rsid w:val="6BA02533"/>
    <w:rsid w:val="6BC9786E"/>
    <w:rsid w:val="6BD47A7E"/>
    <w:rsid w:val="6C0C3ED0"/>
    <w:rsid w:val="6C150CE0"/>
    <w:rsid w:val="6C2639AB"/>
    <w:rsid w:val="6C5F0204"/>
    <w:rsid w:val="6C5F5F83"/>
    <w:rsid w:val="6C606189"/>
    <w:rsid w:val="6C636C38"/>
    <w:rsid w:val="6C77285E"/>
    <w:rsid w:val="6C882B7F"/>
    <w:rsid w:val="6CCE0573"/>
    <w:rsid w:val="6CEA6F45"/>
    <w:rsid w:val="6CEB20FC"/>
    <w:rsid w:val="6CEE4DA1"/>
    <w:rsid w:val="6CFA7F2C"/>
    <w:rsid w:val="6D0B207B"/>
    <w:rsid w:val="6D143D12"/>
    <w:rsid w:val="6D200C7E"/>
    <w:rsid w:val="6D393CBC"/>
    <w:rsid w:val="6D3A5B27"/>
    <w:rsid w:val="6D864D60"/>
    <w:rsid w:val="6D934609"/>
    <w:rsid w:val="6D934D10"/>
    <w:rsid w:val="6D9508E6"/>
    <w:rsid w:val="6DB34098"/>
    <w:rsid w:val="6DB545B6"/>
    <w:rsid w:val="6DD96B0E"/>
    <w:rsid w:val="6DE02517"/>
    <w:rsid w:val="6DE02FB4"/>
    <w:rsid w:val="6DFD2B85"/>
    <w:rsid w:val="6E076479"/>
    <w:rsid w:val="6E266AA1"/>
    <w:rsid w:val="6E3C05BC"/>
    <w:rsid w:val="6E514CED"/>
    <w:rsid w:val="6E991DB9"/>
    <w:rsid w:val="6EA57761"/>
    <w:rsid w:val="6EAE3DA2"/>
    <w:rsid w:val="6EAE6BB4"/>
    <w:rsid w:val="6EB563D5"/>
    <w:rsid w:val="6EC605A0"/>
    <w:rsid w:val="6ED92677"/>
    <w:rsid w:val="6EFA10EF"/>
    <w:rsid w:val="6F225983"/>
    <w:rsid w:val="6F554BF2"/>
    <w:rsid w:val="6F596853"/>
    <w:rsid w:val="6F5B0AFB"/>
    <w:rsid w:val="6F8F0E00"/>
    <w:rsid w:val="6FBB4022"/>
    <w:rsid w:val="6FDD6EB8"/>
    <w:rsid w:val="6FE67489"/>
    <w:rsid w:val="6FFC5590"/>
    <w:rsid w:val="70210C11"/>
    <w:rsid w:val="70317D61"/>
    <w:rsid w:val="70521B8C"/>
    <w:rsid w:val="706D1DD0"/>
    <w:rsid w:val="7080611E"/>
    <w:rsid w:val="70856B87"/>
    <w:rsid w:val="708F58AB"/>
    <w:rsid w:val="70C42525"/>
    <w:rsid w:val="70D527EE"/>
    <w:rsid w:val="70DB5DCB"/>
    <w:rsid w:val="70FA7137"/>
    <w:rsid w:val="7118376C"/>
    <w:rsid w:val="715B5300"/>
    <w:rsid w:val="71761D5D"/>
    <w:rsid w:val="71876217"/>
    <w:rsid w:val="71D27F8A"/>
    <w:rsid w:val="71E2790D"/>
    <w:rsid w:val="71E541FD"/>
    <w:rsid w:val="71EF202A"/>
    <w:rsid w:val="72072064"/>
    <w:rsid w:val="721D0C69"/>
    <w:rsid w:val="722E059A"/>
    <w:rsid w:val="723E0F5E"/>
    <w:rsid w:val="723F0308"/>
    <w:rsid w:val="725276B3"/>
    <w:rsid w:val="72553024"/>
    <w:rsid w:val="725E16C0"/>
    <w:rsid w:val="726158BE"/>
    <w:rsid w:val="727A7D16"/>
    <w:rsid w:val="727B204C"/>
    <w:rsid w:val="727C57D9"/>
    <w:rsid w:val="727F4C6A"/>
    <w:rsid w:val="72802C82"/>
    <w:rsid w:val="72862967"/>
    <w:rsid w:val="72916C3D"/>
    <w:rsid w:val="729C14E2"/>
    <w:rsid w:val="72A67993"/>
    <w:rsid w:val="72B52203"/>
    <w:rsid w:val="72C139C6"/>
    <w:rsid w:val="72C30DEB"/>
    <w:rsid w:val="72C3596A"/>
    <w:rsid w:val="72F370E2"/>
    <w:rsid w:val="72F47DBC"/>
    <w:rsid w:val="72FA7CE5"/>
    <w:rsid w:val="73122968"/>
    <w:rsid w:val="731F5D5E"/>
    <w:rsid w:val="734323CA"/>
    <w:rsid w:val="7366401E"/>
    <w:rsid w:val="73801BFB"/>
    <w:rsid w:val="738E0CCD"/>
    <w:rsid w:val="73C0527A"/>
    <w:rsid w:val="73C51AD5"/>
    <w:rsid w:val="73C80D84"/>
    <w:rsid w:val="73E77314"/>
    <w:rsid w:val="73EF67EE"/>
    <w:rsid w:val="74003B74"/>
    <w:rsid w:val="74052262"/>
    <w:rsid w:val="74123906"/>
    <w:rsid w:val="74174E02"/>
    <w:rsid w:val="741B0197"/>
    <w:rsid w:val="741E793C"/>
    <w:rsid w:val="745E3944"/>
    <w:rsid w:val="747213AE"/>
    <w:rsid w:val="748A32C1"/>
    <w:rsid w:val="74A31149"/>
    <w:rsid w:val="74A37AED"/>
    <w:rsid w:val="74D01C2F"/>
    <w:rsid w:val="74E54063"/>
    <w:rsid w:val="750E27C7"/>
    <w:rsid w:val="751368F1"/>
    <w:rsid w:val="752C63DB"/>
    <w:rsid w:val="75567641"/>
    <w:rsid w:val="75D31ADD"/>
    <w:rsid w:val="76326989"/>
    <w:rsid w:val="7635099D"/>
    <w:rsid w:val="763D38DF"/>
    <w:rsid w:val="7652432F"/>
    <w:rsid w:val="767C29A9"/>
    <w:rsid w:val="768F3DF2"/>
    <w:rsid w:val="76C53DE8"/>
    <w:rsid w:val="76E57B5D"/>
    <w:rsid w:val="76FE721A"/>
    <w:rsid w:val="77144946"/>
    <w:rsid w:val="77262DE2"/>
    <w:rsid w:val="77453E32"/>
    <w:rsid w:val="77495D61"/>
    <w:rsid w:val="77762421"/>
    <w:rsid w:val="77A44B1C"/>
    <w:rsid w:val="77B56B1F"/>
    <w:rsid w:val="77C13804"/>
    <w:rsid w:val="77D848E3"/>
    <w:rsid w:val="780B65A2"/>
    <w:rsid w:val="780F09F4"/>
    <w:rsid w:val="78267F75"/>
    <w:rsid w:val="782A205B"/>
    <w:rsid w:val="783877A1"/>
    <w:rsid w:val="788C2DBC"/>
    <w:rsid w:val="788C6FE8"/>
    <w:rsid w:val="78A90480"/>
    <w:rsid w:val="78B83176"/>
    <w:rsid w:val="78D602A1"/>
    <w:rsid w:val="78DD2BDC"/>
    <w:rsid w:val="78DD498A"/>
    <w:rsid w:val="78FD327E"/>
    <w:rsid w:val="793B4951"/>
    <w:rsid w:val="797C062D"/>
    <w:rsid w:val="79A03745"/>
    <w:rsid w:val="79AD05FD"/>
    <w:rsid w:val="79AE33FF"/>
    <w:rsid w:val="79BE52F3"/>
    <w:rsid w:val="79D20267"/>
    <w:rsid w:val="79DA35C0"/>
    <w:rsid w:val="79DF3C15"/>
    <w:rsid w:val="79F301DD"/>
    <w:rsid w:val="7A0E408A"/>
    <w:rsid w:val="7A364017"/>
    <w:rsid w:val="7A6135B9"/>
    <w:rsid w:val="7A6402E2"/>
    <w:rsid w:val="7A721A4A"/>
    <w:rsid w:val="7A8265E1"/>
    <w:rsid w:val="7A8772A3"/>
    <w:rsid w:val="7A99716D"/>
    <w:rsid w:val="7A9F3ABC"/>
    <w:rsid w:val="7AC3138E"/>
    <w:rsid w:val="7AD5141A"/>
    <w:rsid w:val="7ADF6716"/>
    <w:rsid w:val="7AF7472C"/>
    <w:rsid w:val="7B021CB7"/>
    <w:rsid w:val="7B1B4AB4"/>
    <w:rsid w:val="7B44400A"/>
    <w:rsid w:val="7B686D42"/>
    <w:rsid w:val="7B7527A2"/>
    <w:rsid w:val="7B75337C"/>
    <w:rsid w:val="7B841746"/>
    <w:rsid w:val="7B9B705D"/>
    <w:rsid w:val="7B9C6D7F"/>
    <w:rsid w:val="7B9D6653"/>
    <w:rsid w:val="7B9E3C4B"/>
    <w:rsid w:val="7BC6204D"/>
    <w:rsid w:val="7BE67FFA"/>
    <w:rsid w:val="7C0D5F13"/>
    <w:rsid w:val="7C6C5AC7"/>
    <w:rsid w:val="7C720FD5"/>
    <w:rsid w:val="7CBA2E72"/>
    <w:rsid w:val="7CC6544B"/>
    <w:rsid w:val="7CC92A69"/>
    <w:rsid w:val="7CCC15B6"/>
    <w:rsid w:val="7CD729B1"/>
    <w:rsid w:val="7CDA0DA3"/>
    <w:rsid w:val="7CEA3AEE"/>
    <w:rsid w:val="7D0239FF"/>
    <w:rsid w:val="7D1D7024"/>
    <w:rsid w:val="7D525D8D"/>
    <w:rsid w:val="7D5D0389"/>
    <w:rsid w:val="7D5E40CD"/>
    <w:rsid w:val="7D625272"/>
    <w:rsid w:val="7D725581"/>
    <w:rsid w:val="7D9569FD"/>
    <w:rsid w:val="7DB10888"/>
    <w:rsid w:val="7DB43C09"/>
    <w:rsid w:val="7DB91B33"/>
    <w:rsid w:val="7DBC0EFA"/>
    <w:rsid w:val="7DCD56F2"/>
    <w:rsid w:val="7DCE3739"/>
    <w:rsid w:val="7DCF030E"/>
    <w:rsid w:val="7DD547CA"/>
    <w:rsid w:val="7DDB49E9"/>
    <w:rsid w:val="7E10135E"/>
    <w:rsid w:val="7E1C1164"/>
    <w:rsid w:val="7E2C3828"/>
    <w:rsid w:val="7E585BD3"/>
    <w:rsid w:val="7E8F68D0"/>
    <w:rsid w:val="7EE35222"/>
    <w:rsid w:val="7EE55250"/>
    <w:rsid w:val="7EF435D6"/>
    <w:rsid w:val="7F001CE7"/>
    <w:rsid w:val="7F331F52"/>
    <w:rsid w:val="7F463BF8"/>
    <w:rsid w:val="7F4802C8"/>
    <w:rsid w:val="7F480CA3"/>
    <w:rsid w:val="7F5B3537"/>
    <w:rsid w:val="7F90360B"/>
    <w:rsid w:val="7F9834E6"/>
    <w:rsid w:val="7FC70142"/>
    <w:rsid w:val="7FE47E50"/>
    <w:rsid w:val="7FFB014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semiHidden="0" w:name="heading 3"/>
    <w:lsdException w:qFormat="1" w:unhideWhenUsed="0"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qFormat="1" w:unhideWhenUsed="0" w:uiPriority="0" w:name="index 2"/>
    <w:lsdException w:qFormat="1" w:unhideWhenUsed="0" w:uiPriority="0" w:name="index 3"/>
    <w:lsdException w:qFormat="1" w:unhideWhenUsed="0" w:uiPriority="0" w:name="index 4"/>
    <w:lsdException w:qFormat="1" w:unhideWhenUsed="0" w:uiPriority="0" w:name="index 5"/>
    <w:lsdException w:qFormat="1" w:unhideWhenUsed="0" w:uiPriority="0" w:semiHidden="0" w:name="index 6"/>
    <w:lsdException w:qFormat="1" w:unhideWhenUsed="0" w:uiPriority="0" w:name="index 7"/>
    <w:lsdException w:qFormat="1" w:unhideWhenUsed="0" w:uiPriority="0" w:name="index 8"/>
    <w:lsdException w:qFormat="1" w:unhideWhenUsed="0"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qFormat="1" w:unhideWhenUsed="0" w:uiPriority="99" w:semiHidden="0" w:name="Normal Indent"/>
    <w:lsdException w:qFormat="1" w:unhideWhenUsed="0" w:uiPriority="0" w:name="footnote text"/>
    <w:lsdException w:qFormat="1" w:unhideWhenUsed="0" w:uiPriority="99" w:name="annotation text"/>
    <w:lsdException w:qFormat="1" w:unhideWhenUsed="0" w:uiPriority="0" w:semiHidden="0" w:name="header"/>
    <w:lsdException w:qFormat="1" w:unhideWhenUsed="0" w:uiPriority="0" w:semiHidden="0" w:name="footer"/>
    <w:lsdException w:qFormat="1" w:unhideWhenUsed="0" w:uiPriority="0" w:name="index heading"/>
    <w:lsdException w:qFormat="1" w:unhideWhenUsed="0" w:uiPriority="0" w:semiHidden="0" w:name="caption"/>
    <w:lsdException w:qFormat="1" w:unhideWhenUsed="0" w:uiPriority="0" w:name="table of figures"/>
    <w:lsdException w:uiPriority="0" w:name="envelope address"/>
    <w:lsdException w:uiPriority="0" w:name="envelope return"/>
    <w:lsdException w:uiPriority="0" w:name="footnote reference"/>
    <w:lsdException w:qFormat="1" w:unhideWhenUsed="0" w:uiPriority="0" w:name="annotation reference"/>
    <w:lsdException w:uiPriority="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iPriority="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uiPriority="0" w:name="Closing"/>
    <w:lsdException w:qFormat="1" w:unhideWhenUsed="0" w:uiPriority="0" w:semiHidden="0" w:name="Signature"/>
    <w:lsdException w:qFormat="1" w:uiPriority="1" w:name="Default Paragraph Font"/>
    <w:lsdException w:qFormat="1" w:unhideWhenUsed="0" w:uiPriority="99" w:semiHidden="0" w:name="Body Text"/>
    <w:lsdException w:qFormat="1" w:unhideWhenUsed="0" w:uiPriority="99" w:semiHidden="0" w:name="Body Text Indent"/>
    <w:lsdException w:uiPriority="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iPriority="99" w:semiHidden="0" w:name="List Continue 5"/>
    <w:lsdException w:uiPriority="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99"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99" w:semiHidden="0" w:name="Body Text Indent 2"/>
    <w:lsdException w:qFormat="1" w:unhideWhenUsed="0" w:uiPriority="0" w:semiHidden="0" w:name="Body Text Indent 3"/>
    <w:lsdException w:qFormat="1"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iPriority="99" w:semiHidden="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iPriority="0" w:semiHidden="0" w:name="HTML Preformatted"/>
    <w:lsdException w:uiPriority="0" w:name="HTML Sample"/>
    <w:lsdException w:qFormat="1" w:unhideWhenUsed="0" w:uiPriority="0" w:semiHidden="0" w:name="HTML Typewriter"/>
    <w:lsdException w:uiPriority="0" w:name="HTML Variable"/>
    <w:lsdException w:qFormat="1" w:uiPriority="99" w:name="Normal Table"/>
    <w:lsdException w:qFormat="1" w:unhideWhenUsed="0" w:uiPriority="0" w:name="annotation subject"/>
    <w:lsdException w:qFormat="1" w:unhideWhenUsed="0" w:uiPriority="0" w:semiHidden="0" w:name="Table Simple 1"/>
    <w:lsdException w:uiPriority="0" w:name="Table Simple 2"/>
    <w:lsdException w:uiPriority="0" w:name="Table Simple 3"/>
    <w:lsdException w:qFormat="1" w:unhideWhenUsed="0" w:uiPriority="0" w:semiHidden="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qFormat="1" w:unhideWhenUsed="0" w:uiPriority="0" w:semiHidden="0" w:name="Table Grid 1"/>
    <w:lsdException w:qFormat="1" w:unhideWhenUsed="0" w:uiPriority="0" w:semiHidden="0" w:name="Table Grid 2"/>
    <w:lsdException w:uiPriority="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uiPriority="0" w:name="Table List 1"/>
    <w:lsdException w:uiPriority="0" w:name="Table List 2"/>
    <w:lsdException w:qFormat="1" w:unhideWhenUsed="0" w:uiPriority="0" w:semiHidden="0" w:name="Table List 3"/>
    <w:lsdException w:uiPriority="0" w:name="Table List 4"/>
    <w:lsdException w:qFormat="1" w:unhideWhenUsed="0" w:uiPriority="0" w:semiHidden="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qFormat="1" w:unhideWhenUsed="0" w:uiPriority="0" w:semiHidden="0" w:name="Table Elegant"/>
    <w:lsdException w:qFormat="1" w:unhideWhenUsed="0" w:uiPriority="0" w:semiHidden="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99" w:semiHidden="0" w:name="Table Grid"/>
    <w:lsdException w:qFormat="1" w:unhideWhenUsed="0" w:uiPriority="0" w:semiHidden="0"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autoSpaceDE w:val="0"/>
      <w:autoSpaceDN w:val="0"/>
      <w:bidi w:val="0"/>
      <w:adjustRightInd w:val="0"/>
      <w:snapToGrid w:val="0"/>
      <w:spacing w:line="360" w:lineRule="auto"/>
      <w:ind w:firstLine="420" w:firstLineChars="200"/>
    </w:pPr>
    <w:rPr>
      <w:rFonts w:ascii="Times New Roman" w:hAnsi="Times New Roman" w:eastAsia="宋体" w:cs="Times New Roman"/>
      <w:kern w:val="2"/>
      <w:sz w:val="21"/>
      <w:szCs w:val="21"/>
      <w:lang w:val="en-US" w:eastAsia="zh-CN" w:bidi="ar-SA"/>
    </w:rPr>
  </w:style>
  <w:style w:type="paragraph" w:styleId="5">
    <w:name w:val="heading 1"/>
    <w:basedOn w:val="1"/>
    <w:next w:val="1"/>
    <w:link w:val="114"/>
    <w:autoRedefine/>
    <w:qFormat/>
    <w:uiPriority w:val="9"/>
    <w:pPr>
      <w:keepNext/>
      <w:overflowPunct w:val="0"/>
      <w:spacing w:before="120" w:after="160" w:line="259" w:lineRule="auto"/>
      <w:ind w:left="432" w:hanging="432"/>
      <w:outlineLvl w:val="0"/>
    </w:pPr>
    <w:rPr>
      <w:rFonts w:eastAsia="黑体"/>
      <w:b/>
      <w:bCs/>
      <w:color w:val="000000"/>
      <w:kern w:val="44"/>
      <w:sz w:val="30"/>
      <w:szCs w:val="30"/>
    </w:rPr>
  </w:style>
  <w:style w:type="paragraph" w:styleId="6">
    <w:name w:val="heading 2"/>
    <w:basedOn w:val="1"/>
    <w:next w:val="1"/>
    <w:link w:val="121"/>
    <w:autoRedefine/>
    <w:qFormat/>
    <w:uiPriority w:val="0"/>
    <w:pPr>
      <w:keepNext/>
      <w:keepLines/>
      <w:spacing w:before="260" w:after="260" w:line="416" w:lineRule="auto"/>
      <w:outlineLvl w:val="1"/>
    </w:pPr>
    <w:rPr>
      <w:rFonts w:ascii="Cambria" w:hAnsi="Cambria"/>
      <w:b/>
      <w:bCs/>
      <w:sz w:val="32"/>
      <w:szCs w:val="32"/>
    </w:rPr>
  </w:style>
  <w:style w:type="paragraph" w:styleId="7">
    <w:name w:val="heading 3"/>
    <w:basedOn w:val="1"/>
    <w:next w:val="1"/>
    <w:link w:val="113"/>
    <w:autoRedefine/>
    <w:unhideWhenUsed/>
    <w:qFormat/>
    <w:uiPriority w:val="9"/>
    <w:pPr>
      <w:keepNext/>
      <w:keepLines/>
      <w:spacing w:before="260" w:after="260" w:line="416" w:lineRule="auto"/>
      <w:outlineLvl w:val="2"/>
    </w:pPr>
    <w:rPr>
      <w:b/>
      <w:bCs/>
      <w:sz w:val="32"/>
      <w:szCs w:val="32"/>
    </w:rPr>
  </w:style>
  <w:style w:type="paragraph" w:styleId="8">
    <w:name w:val="heading 4"/>
    <w:basedOn w:val="1"/>
    <w:next w:val="2"/>
    <w:link w:val="116"/>
    <w:autoRedefine/>
    <w:qFormat/>
    <w:uiPriority w:val="9"/>
    <w:pPr>
      <w:keepNext/>
      <w:keepLines/>
      <w:spacing w:line="376" w:lineRule="auto"/>
      <w:outlineLvl w:val="3"/>
    </w:pPr>
    <w:rPr>
      <w:rFonts w:ascii="Arial" w:hAnsi="Arial" w:eastAsia="黑体"/>
      <w:b/>
      <w:sz w:val="28"/>
      <w:szCs w:val="28"/>
    </w:rPr>
  </w:style>
  <w:style w:type="paragraph" w:styleId="9">
    <w:name w:val="heading 5"/>
    <w:basedOn w:val="1"/>
    <w:next w:val="1"/>
    <w:link w:val="392"/>
    <w:autoRedefine/>
    <w:qFormat/>
    <w:uiPriority w:val="0"/>
    <w:pPr>
      <w:keepNext/>
      <w:keepLines/>
      <w:tabs>
        <w:tab w:val="left" w:pos="1008"/>
      </w:tabs>
      <w:spacing w:before="280" w:after="290" w:line="376" w:lineRule="atLeast"/>
      <w:ind w:left="1008" w:hanging="1008"/>
      <w:outlineLvl w:val="4"/>
    </w:pPr>
    <w:rPr>
      <w:b/>
      <w:color w:val="000000"/>
      <w:kern w:val="24"/>
      <w:sz w:val="28"/>
      <w:szCs w:val="28"/>
    </w:rPr>
  </w:style>
  <w:style w:type="paragraph" w:styleId="10">
    <w:name w:val="heading 6"/>
    <w:basedOn w:val="1"/>
    <w:next w:val="1"/>
    <w:link w:val="393"/>
    <w:autoRedefine/>
    <w:qFormat/>
    <w:uiPriority w:val="0"/>
    <w:pPr>
      <w:keepNext/>
      <w:keepLines/>
      <w:tabs>
        <w:tab w:val="left" w:pos="1152"/>
      </w:tabs>
      <w:spacing w:before="240" w:after="64" w:line="320" w:lineRule="atLeast"/>
      <w:ind w:left="1152" w:hanging="1152"/>
      <w:outlineLvl w:val="5"/>
    </w:pPr>
    <w:rPr>
      <w:rFonts w:ascii="Arial" w:hAnsi="Arial" w:eastAsia="黑体"/>
      <w:b/>
      <w:color w:val="000000"/>
      <w:kern w:val="24"/>
    </w:rPr>
  </w:style>
  <w:style w:type="paragraph" w:styleId="11">
    <w:name w:val="heading 7"/>
    <w:basedOn w:val="1"/>
    <w:next w:val="1"/>
    <w:link w:val="394"/>
    <w:autoRedefine/>
    <w:qFormat/>
    <w:uiPriority w:val="0"/>
    <w:pPr>
      <w:keepNext/>
      <w:keepLines/>
      <w:tabs>
        <w:tab w:val="left" w:pos="1296"/>
      </w:tabs>
      <w:spacing w:before="240" w:after="64" w:line="320" w:lineRule="atLeast"/>
      <w:ind w:left="1296" w:hanging="1296"/>
      <w:outlineLvl w:val="6"/>
    </w:pPr>
    <w:rPr>
      <w:b/>
      <w:color w:val="000000"/>
      <w:kern w:val="24"/>
    </w:rPr>
  </w:style>
  <w:style w:type="paragraph" w:styleId="12">
    <w:name w:val="heading 8"/>
    <w:basedOn w:val="1"/>
    <w:next w:val="1"/>
    <w:link w:val="395"/>
    <w:autoRedefine/>
    <w:qFormat/>
    <w:uiPriority w:val="0"/>
    <w:pPr>
      <w:keepNext/>
      <w:keepLines/>
      <w:tabs>
        <w:tab w:val="left" w:pos="1440"/>
      </w:tabs>
      <w:spacing w:before="240" w:after="64" w:line="320" w:lineRule="atLeast"/>
      <w:ind w:left="1440" w:hanging="1440"/>
      <w:outlineLvl w:val="7"/>
    </w:pPr>
    <w:rPr>
      <w:rFonts w:ascii="Arial" w:hAnsi="Arial" w:eastAsia="黑体"/>
      <w:bCs/>
      <w:color w:val="000000"/>
      <w:kern w:val="24"/>
    </w:rPr>
  </w:style>
  <w:style w:type="paragraph" w:styleId="13">
    <w:name w:val="heading 9"/>
    <w:basedOn w:val="1"/>
    <w:next w:val="1"/>
    <w:link w:val="396"/>
    <w:autoRedefine/>
    <w:qFormat/>
    <w:uiPriority w:val="0"/>
    <w:pPr>
      <w:keepNext/>
      <w:keepLines/>
      <w:tabs>
        <w:tab w:val="left" w:pos="1584"/>
      </w:tabs>
      <w:spacing w:before="240" w:after="64" w:line="320" w:lineRule="atLeast"/>
      <w:ind w:left="1584" w:hanging="1584"/>
      <w:outlineLvl w:val="8"/>
    </w:pPr>
    <w:rPr>
      <w:rFonts w:ascii="Arial" w:hAnsi="Arial" w:eastAsia="黑体"/>
      <w:bCs/>
      <w:color w:val="000000"/>
      <w:kern w:val="24"/>
      <w:szCs w:val="21"/>
    </w:rPr>
  </w:style>
  <w:style w:type="character" w:default="1" w:styleId="100">
    <w:name w:val="Default Paragraph Font"/>
    <w:semiHidden/>
    <w:unhideWhenUsed/>
    <w:qFormat/>
    <w:uiPriority w:val="1"/>
  </w:style>
  <w:style w:type="table" w:default="1" w:styleId="84">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link w:val="166"/>
    <w:autoRedefine/>
    <w:qFormat/>
    <w:uiPriority w:val="99"/>
    <w:pPr>
      <w:jc w:val="both"/>
    </w:pPr>
    <w:rPr>
      <w:szCs w:val="21"/>
    </w:rPr>
  </w:style>
  <w:style w:type="paragraph" w:customStyle="1" w:styleId="3">
    <w:name w:val="Char Char Char Char Char Char Char Char Char1 Char"/>
    <w:basedOn w:val="1"/>
    <w:next w:val="4"/>
    <w:autoRedefine/>
    <w:qFormat/>
    <w:uiPriority w:val="0"/>
    <w:pPr>
      <w:ind w:firstLine="200"/>
    </w:pPr>
    <w:rPr>
      <w:rFonts w:ascii="宋体" w:hAnsi="宋体" w:cs="宋体"/>
      <w:bCs/>
      <w:color w:val="000000"/>
      <w:kern w:val="24"/>
    </w:rPr>
  </w:style>
  <w:style w:type="paragraph" w:customStyle="1" w:styleId="4">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4">
    <w:name w:val="List 3"/>
    <w:basedOn w:val="1"/>
    <w:autoRedefine/>
    <w:qFormat/>
    <w:uiPriority w:val="0"/>
    <w:pPr>
      <w:spacing w:line="480" w:lineRule="exact"/>
      <w:ind w:left="100" w:leftChars="400" w:hanging="200" w:hangingChars="200"/>
    </w:pPr>
    <w:rPr>
      <w:bCs/>
      <w:color w:val="000000"/>
      <w:kern w:val="24"/>
    </w:rPr>
  </w:style>
  <w:style w:type="paragraph" w:styleId="15">
    <w:name w:val="toc 7"/>
    <w:basedOn w:val="1"/>
    <w:next w:val="1"/>
    <w:autoRedefine/>
    <w:semiHidden/>
    <w:qFormat/>
    <w:uiPriority w:val="0"/>
    <w:pPr>
      <w:ind w:left="2520" w:leftChars="1200"/>
    </w:pPr>
    <w:rPr>
      <w:bCs/>
      <w:color w:val="000000"/>
      <w:kern w:val="24"/>
    </w:rPr>
  </w:style>
  <w:style w:type="paragraph" w:styleId="16">
    <w:name w:val="List Number 2"/>
    <w:basedOn w:val="1"/>
    <w:autoRedefine/>
    <w:qFormat/>
    <w:uiPriority w:val="0"/>
    <w:pPr>
      <w:tabs>
        <w:tab w:val="left" w:pos="780"/>
      </w:tabs>
      <w:spacing w:line="480" w:lineRule="exact"/>
      <w:ind w:left="780" w:leftChars="200" w:hanging="360" w:hangingChars="200"/>
    </w:pPr>
    <w:rPr>
      <w:bCs/>
      <w:color w:val="000000"/>
      <w:kern w:val="24"/>
    </w:rPr>
  </w:style>
  <w:style w:type="paragraph" w:styleId="17">
    <w:name w:val="Note Heading"/>
    <w:basedOn w:val="1"/>
    <w:next w:val="1"/>
    <w:link w:val="397"/>
    <w:autoRedefine/>
    <w:qFormat/>
    <w:uiPriority w:val="0"/>
    <w:pPr>
      <w:jc w:val="center"/>
    </w:pPr>
    <w:rPr>
      <w:rFonts w:ascii="Sim Sun" w:hAnsi="Batang" w:cs="Batang"/>
      <w:bCs/>
      <w:color w:val="000000"/>
      <w:kern w:val="24"/>
      <w:szCs w:val="20"/>
    </w:rPr>
  </w:style>
  <w:style w:type="paragraph" w:styleId="18">
    <w:name w:val="List Bullet 4"/>
    <w:basedOn w:val="1"/>
    <w:autoRedefine/>
    <w:qFormat/>
    <w:uiPriority w:val="0"/>
    <w:pPr>
      <w:tabs>
        <w:tab w:val="left" w:pos="1620"/>
      </w:tabs>
      <w:spacing w:line="480" w:lineRule="exact"/>
      <w:ind w:left="1620" w:leftChars="600" w:hanging="360" w:hangingChars="200"/>
    </w:pPr>
    <w:rPr>
      <w:bCs/>
      <w:color w:val="000000"/>
      <w:kern w:val="24"/>
    </w:rPr>
  </w:style>
  <w:style w:type="paragraph" w:styleId="19">
    <w:name w:val="index 8"/>
    <w:basedOn w:val="1"/>
    <w:next w:val="1"/>
    <w:autoRedefine/>
    <w:semiHidden/>
    <w:qFormat/>
    <w:uiPriority w:val="0"/>
    <w:pPr>
      <w:ind w:left="2000" w:hanging="250"/>
    </w:pPr>
    <w:rPr>
      <w:rFonts w:ascii="ˎ̥" w:hAnsi="ˎ̥" w:eastAsia="FLGPEK+TimesNewRoman,Italic" w:cs="ˎ̥"/>
      <w:bCs/>
      <w:color w:val="000000"/>
      <w:spacing w:val="5"/>
      <w:kern w:val="24"/>
      <w:sz w:val="20"/>
      <w:szCs w:val="20"/>
    </w:rPr>
  </w:style>
  <w:style w:type="paragraph" w:styleId="20">
    <w:name w:val="List Number"/>
    <w:basedOn w:val="1"/>
    <w:autoRedefine/>
    <w:qFormat/>
    <w:uiPriority w:val="0"/>
    <w:pPr>
      <w:tabs>
        <w:tab w:val="left" w:pos="360"/>
      </w:tabs>
      <w:spacing w:line="480" w:lineRule="exact"/>
      <w:ind w:left="360" w:hanging="360" w:hangingChars="200"/>
    </w:pPr>
    <w:rPr>
      <w:bCs/>
      <w:color w:val="000000"/>
      <w:kern w:val="24"/>
    </w:rPr>
  </w:style>
  <w:style w:type="paragraph" w:styleId="21">
    <w:name w:val="caption"/>
    <w:basedOn w:val="1"/>
    <w:next w:val="1"/>
    <w:link w:val="173"/>
    <w:autoRedefine/>
    <w:qFormat/>
    <w:uiPriority w:val="0"/>
    <w:pPr>
      <w:keepNext/>
      <w:tabs>
        <w:tab w:val="left" w:pos="2445"/>
        <w:tab w:val="center" w:pos="4156"/>
      </w:tabs>
      <w:ind w:firstLine="0" w:firstLineChars="0"/>
      <w:jc w:val="center"/>
    </w:pPr>
    <w:rPr>
      <w:rFonts w:ascii="Times New Roman" w:hAnsi="Times New Roman" w:eastAsia="宋体" w:cs="Arial"/>
      <w:b/>
      <w:snapToGrid w:val="0"/>
      <w:kern w:val="0"/>
    </w:rPr>
  </w:style>
  <w:style w:type="paragraph" w:styleId="22">
    <w:name w:val="index 5"/>
    <w:basedOn w:val="1"/>
    <w:next w:val="1"/>
    <w:autoRedefine/>
    <w:semiHidden/>
    <w:qFormat/>
    <w:uiPriority w:val="0"/>
    <w:pPr>
      <w:ind w:left="1250" w:hanging="250"/>
    </w:pPr>
    <w:rPr>
      <w:rFonts w:ascii="ˎ̥" w:hAnsi="ˎ̥" w:eastAsia="FLGPEK+TimesNewRoman,Italic" w:cs="ˎ̥"/>
      <w:bCs/>
      <w:color w:val="000000"/>
      <w:spacing w:val="5"/>
      <w:kern w:val="24"/>
      <w:sz w:val="20"/>
      <w:szCs w:val="20"/>
    </w:rPr>
  </w:style>
  <w:style w:type="paragraph" w:styleId="23">
    <w:name w:val="List Bullet"/>
    <w:basedOn w:val="1"/>
    <w:autoRedefine/>
    <w:qFormat/>
    <w:uiPriority w:val="0"/>
    <w:pPr>
      <w:tabs>
        <w:tab w:val="left" w:pos="360"/>
      </w:tabs>
      <w:spacing w:line="480" w:lineRule="exact"/>
      <w:ind w:left="360" w:hanging="360" w:hangingChars="200"/>
    </w:pPr>
    <w:rPr>
      <w:bCs/>
      <w:color w:val="000000"/>
      <w:kern w:val="24"/>
    </w:rPr>
  </w:style>
  <w:style w:type="paragraph" w:styleId="24">
    <w:name w:val="Document Map"/>
    <w:basedOn w:val="1"/>
    <w:link w:val="159"/>
    <w:autoRedefine/>
    <w:unhideWhenUsed/>
    <w:qFormat/>
    <w:uiPriority w:val="99"/>
    <w:rPr>
      <w:rFonts w:ascii="宋体"/>
      <w:sz w:val="18"/>
      <w:szCs w:val="18"/>
    </w:rPr>
  </w:style>
  <w:style w:type="paragraph" w:styleId="25">
    <w:name w:val="annotation text"/>
    <w:basedOn w:val="1"/>
    <w:link w:val="122"/>
    <w:autoRedefine/>
    <w:semiHidden/>
    <w:qFormat/>
    <w:uiPriority w:val="99"/>
    <w:pPr>
      <w:jc w:val="center"/>
    </w:pPr>
    <w:rPr>
      <w:kern w:val="0"/>
      <w:szCs w:val="20"/>
    </w:rPr>
  </w:style>
  <w:style w:type="paragraph" w:styleId="26">
    <w:name w:val="index 6"/>
    <w:basedOn w:val="1"/>
    <w:next w:val="1"/>
    <w:autoRedefine/>
    <w:qFormat/>
    <w:uiPriority w:val="0"/>
    <w:pPr>
      <w:ind w:left="1260" w:hanging="210"/>
    </w:pPr>
    <w:rPr>
      <w:rFonts w:ascii="ˎ̥" w:hAnsi="ˎ̥" w:eastAsia="FLGPEK+TimesNewRoman,Italic" w:cs="ˎ̥"/>
      <w:bCs/>
      <w:color w:val="000000"/>
      <w:kern w:val="24"/>
      <w:szCs w:val="20"/>
    </w:rPr>
  </w:style>
  <w:style w:type="paragraph" w:styleId="27">
    <w:name w:val="Salutation"/>
    <w:basedOn w:val="1"/>
    <w:next w:val="1"/>
    <w:link w:val="401"/>
    <w:autoRedefine/>
    <w:qFormat/>
    <w:uiPriority w:val="0"/>
    <w:rPr>
      <w:rFonts w:ascii="Batang" w:hAnsi="Batang" w:cs="Batang"/>
      <w:bCs/>
      <w:color w:val="000000"/>
      <w:kern w:val="24"/>
      <w:sz w:val="28"/>
      <w:szCs w:val="20"/>
    </w:rPr>
  </w:style>
  <w:style w:type="paragraph" w:styleId="28">
    <w:name w:val="Body Text 3"/>
    <w:basedOn w:val="1"/>
    <w:link w:val="402"/>
    <w:autoRedefine/>
    <w:qFormat/>
    <w:uiPriority w:val="0"/>
    <w:pPr>
      <w:spacing w:beforeLines="20" w:afterLines="20" w:line="0" w:lineRule="atLeast"/>
      <w:jc w:val="right"/>
    </w:pPr>
    <w:rPr>
      <w:bCs/>
      <w:color w:val="000000"/>
      <w:kern w:val="24"/>
    </w:rPr>
  </w:style>
  <w:style w:type="paragraph" w:styleId="29">
    <w:name w:val="List Bullet 3"/>
    <w:basedOn w:val="1"/>
    <w:autoRedefine/>
    <w:qFormat/>
    <w:uiPriority w:val="0"/>
    <w:pPr>
      <w:tabs>
        <w:tab w:val="left" w:pos="1200"/>
      </w:tabs>
      <w:spacing w:line="480" w:lineRule="exact"/>
      <w:ind w:left="1200" w:leftChars="400" w:hanging="360" w:hangingChars="200"/>
    </w:pPr>
    <w:rPr>
      <w:bCs/>
      <w:color w:val="000000"/>
      <w:kern w:val="24"/>
    </w:rPr>
  </w:style>
  <w:style w:type="paragraph" w:styleId="30">
    <w:name w:val="Body Text"/>
    <w:basedOn w:val="1"/>
    <w:next w:val="31"/>
    <w:link w:val="123"/>
    <w:autoRedefine/>
    <w:qFormat/>
    <w:uiPriority w:val="99"/>
    <w:pPr>
      <w:spacing w:before="60" w:after="160" w:line="259" w:lineRule="auto"/>
      <w:ind w:right="113"/>
    </w:pPr>
    <w:rPr>
      <w:kern w:val="0"/>
      <w:sz w:val="18"/>
      <w:szCs w:val="20"/>
    </w:rPr>
  </w:style>
  <w:style w:type="paragraph" w:styleId="31">
    <w:name w:val="Body Text Indent"/>
    <w:basedOn w:val="1"/>
    <w:next w:val="32"/>
    <w:link w:val="124"/>
    <w:autoRedefine/>
    <w:qFormat/>
    <w:uiPriority w:val="99"/>
    <w:pPr>
      <w:spacing w:after="120"/>
      <w:ind w:left="420" w:leftChars="200"/>
    </w:pPr>
    <w:rPr>
      <w:kern w:val="0"/>
      <w:szCs w:val="20"/>
    </w:rPr>
  </w:style>
  <w:style w:type="paragraph" w:styleId="32">
    <w:name w:val="Body Text Indent 2"/>
    <w:basedOn w:val="1"/>
    <w:next w:val="1"/>
    <w:link w:val="405"/>
    <w:autoRedefine/>
    <w:qFormat/>
    <w:uiPriority w:val="99"/>
    <w:pPr>
      <w:spacing w:line="480" w:lineRule="exact"/>
      <w:ind w:firstLine="567"/>
      <w:textAlignment w:val="baseline"/>
    </w:pPr>
    <w:rPr>
      <w:rFonts w:ascii="宋体" w:hAnsi="宋体"/>
      <w:bCs/>
      <w:color w:val="000000"/>
      <w:kern w:val="0"/>
      <w:sz w:val="28"/>
      <w:szCs w:val="28"/>
    </w:rPr>
  </w:style>
  <w:style w:type="paragraph" w:styleId="33">
    <w:name w:val="List Number 3"/>
    <w:basedOn w:val="1"/>
    <w:autoRedefine/>
    <w:qFormat/>
    <w:uiPriority w:val="0"/>
    <w:pPr>
      <w:tabs>
        <w:tab w:val="left" w:pos="1200"/>
      </w:tabs>
      <w:spacing w:line="480" w:lineRule="exact"/>
      <w:ind w:left="1200" w:leftChars="400" w:hanging="360" w:hangingChars="200"/>
    </w:pPr>
    <w:rPr>
      <w:bCs/>
      <w:color w:val="000000"/>
      <w:kern w:val="24"/>
    </w:rPr>
  </w:style>
  <w:style w:type="paragraph" w:styleId="34">
    <w:name w:val="List 2"/>
    <w:basedOn w:val="1"/>
    <w:autoRedefine/>
    <w:qFormat/>
    <w:uiPriority w:val="0"/>
    <w:pPr>
      <w:spacing w:line="480" w:lineRule="exact"/>
      <w:ind w:left="100" w:leftChars="200" w:hanging="200" w:hangingChars="200"/>
    </w:pPr>
    <w:rPr>
      <w:bCs/>
      <w:color w:val="000000"/>
      <w:kern w:val="24"/>
    </w:rPr>
  </w:style>
  <w:style w:type="paragraph" w:styleId="35">
    <w:name w:val="Block Text"/>
    <w:basedOn w:val="1"/>
    <w:next w:val="1"/>
    <w:autoRedefine/>
    <w:qFormat/>
    <w:uiPriority w:val="0"/>
    <w:pPr>
      <w:spacing w:line="320" w:lineRule="exact"/>
      <w:ind w:left="105" w:leftChars="50" w:right="105"/>
      <w:jc w:val="center"/>
    </w:pPr>
    <w:rPr>
      <w:rFonts w:ascii="宋体" w:hAnsi="宋体"/>
      <w:szCs w:val="20"/>
    </w:rPr>
  </w:style>
  <w:style w:type="paragraph" w:styleId="36">
    <w:name w:val="List Bullet 2"/>
    <w:basedOn w:val="1"/>
    <w:autoRedefine/>
    <w:qFormat/>
    <w:uiPriority w:val="0"/>
    <w:pPr>
      <w:tabs>
        <w:tab w:val="left" w:pos="780"/>
      </w:tabs>
      <w:spacing w:line="480" w:lineRule="exact"/>
      <w:ind w:left="780" w:hanging="360"/>
    </w:pPr>
    <w:rPr>
      <w:bCs/>
      <w:color w:val="000000"/>
      <w:kern w:val="24"/>
    </w:rPr>
  </w:style>
  <w:style w:type="paragraph" w:styleId="37">
    <w:name w:val="index 4"/>
    <w:basedOn w:val="1"/>
    <w:next w:val="1"/>
    <w:autoRedefine/>
    <w:semiHidden/>
    <w:qFormat/>
    <w:uiPriority w:val="0"/>
    <w:pPr>
      <w:ind w:left="1000" w:hanging="250"/>
    </w:pPr>
    <w:rPr>
      <w:rFonts w:ascii="ˎ̥" w:hAnsi="ˎ̥" w:eastAsia="FLGPEK+TimesNewRoman,Italic" w:cs="ˎ̥"/>
      <w:bCs/>
      <w:color w:val="000000"/>
      <w:spacing w:val="5"/>
      <w:kern w:val="24"/>
      <w:sz w:val="20"/>
      <w:szCs w:val="20"/>
    </w:rPr>
  </w:style>
  <w:style w:type="paragraph" w:styleId="38">
    <w:name w:val="toc 5"/>
    <w:basedOn w:val="1"/>
    <w:next w:val="1"/>
    <w:autoRedefine/>
    <w:semiHidden/>
    <w:qFormat/>
    <w:uiPriority w:val="0"/>
    <w:pPr>
      <w:ind w:left="1680" w:leftChars="800"/>
    </w:pPr>
    <w:rPr>
      <w:bCs/>
      <w:color w:val="000000"/>
      <w:kern w:val="24"/>
    </w:rPr>
  </w:style>
  <w:style w:type="paragraph" w:styleId="39">
    <w:name w:val="toc 3"/>
    <w:basedOn w:val="1"/>
    <w:next w:val="1"/>
    <w:autoRedefine/>
    <w:qFormat/>
    <w:uiPriority w:val="39"/>
    <w:pPr>
      <w:ind w:left="840" w:leftChars="400"/>
    </w:pPr>
    <w:rPr>
      <w:bCs/>
      <w:color w:val="000000"/>
      <w:kern w:val="24"/>
    </w:rPr>
  </w:style>
  <w:style w:type="paragraph" w:styleId="40">
    <w:name w:val="Plain Text"/>
    <w:basedOn w:val="1"/>
    <w:link w:val="404"/>
    <w:autoRedefine/>
    <w:qFormat/>
    <w:uiPriority w:val="0"/>
    <w:rPr>
      <w:rFonts w:ascii="宋体" w:hAnsi="Courier New"/>
      <w:bCs/>
      <w:color w:val="000000"/>
      <w:kern w:val="0"/>
      <w:szCs w:val="20"/>
    </w:rPr>
  </w:style>
  <w:style w:type="paragraph" w:styleId="41">
    <w:name w:val="List Bullet 5"/>
    <w:basedOn w:val="1"/>
    <w:autoRedefine/>
    <w:qFormat/>
    <w:uiPriority w:val="0"/>
    <w:pPr>
      <w:tabs>
        <w:tab w:val="left" w:pos="2040"/>
      </w:tabs>
      <w:spacing w:line="480" w:lineRule="exact"/>
      <w:ind w:left="2040" w:leftChars="800" w:hanging="360" w:hangingChars="200"/>
    </w:pPr>
    <w:rPr>
      <w:bCs/>
      <w:color w:val="000000"/>
      <w:kern w:val="24"/>
    </w:rPr>
  </w:style>
  <w:style w:type="paragraph" w:styleId="42">
    <w:name w:val="List Number 4"/>
    <w:basedOn w:val="1"/>
    <w:autoRedefine/>
    <w:qFormat/>
    <w:uiPriority w:val="0"/>
    <w:pPr>
      <w:tabs>
        <w:tab w:val="left" w:pos="1620"/>
      </w:tabs>
      <w:spacing w:line="480" w:lineRule="exact"/>
      <w:ind w:left="1620" w:leftChars="600" w:hanging="360" w:hangingChars="200"/>
    </w:pPr>
    <w:rPr>
      <w:bCs/>
      <w:color w:val="000000"/>
      <w:kern w:val="24"/>
    </w:rPr>
  </w:style>
  <w:style w:type="paragraph" w:styleId="43">
    <w:name w:val="toc 8"/>
    <w:basedOn w:val="1"/>
    <w:next w:val="1"/>
    <w:autoRedefine/>
    <w:semiHidden/>
    <w:qFormat/>
    <w:uiPriority w:val="0"/>
    <w:pPr>
      <w:ind w:left="2940" w:leftChars="1400"/>
    </w:pPr>
    <w:rPr>
      <w:bCs/>
      <w:color w:val="000000"/>
      <w:kern w:val="24"/>
    </w:rPr>
  </w:style>
  <w:style w:type="paragraph" w:styleId="44">
    <w:name w:val="index 3"/>
    <w:basedOn w:val="1"/>
    <w:next w:val="1"/>
    <w:autoRedefine/>
    <w:semiHidden/>
    <w:qFormat/>
    <w:uiPriority w:val="0"/>
    <w:pPr>
      <w:ind w:left="750" w:hanging="250"/>
    </w:pPr>
    <w:rPr>
      <w:rFonts w:ascii="ˎ̥" w:hAnsi="ˎ̥" w:eastAsia="FLGPEK+TimesNewRoman,Italic" w:cs="ˎ̥"/>
      <w:bCs/>
      <w:color w:val="000000"/>
      <w:spacing w:val="5"/>
      <w:kern w:val="24"/>
      <w:sz w:val="20"/>
      <w:szCs w:val="20"/>
    </w:rPr>
  </w:style>
  <w:style w:type="paragraph" w:styleId="45">
    <w:name w:val="Date"/>
    <w:basedOn w:val="1"/>
    <w:next w:val="1"/>
    <w:link w:val="125"/>
    <w:autoRedefine/>
    <w:qFormat/>
    <w:uiPriority w:val="0"/>
    <w:pPr>
      <w:ind w:left="100" w:leftChars="2500"/>
    </w:pPr>
    <w:rPr>
      <w:kern w:val="0"/>
      <w:szCs w:val="20"/>
    </w:rPr>
  </w:style>
  <w:style w:type="paragraph" w:styleId="46">
    <w:name w:val="endnote text"/>
    <w:basedOn w:val="1"/>
    <w:link w:val="406"/>
    <w:autoRedefine/>
    <w:qFormat/>
    <w:uiPriority w:val="0"/>
    <w:pPr>
      <w:spacing w:line="480" w:lineRule="exact"/>
      <w:ind w:firstLine="200"/>
    </w:pPr>
    <w:rPr>
      <w:bCs/>
      <w:color w:val="000000"/>
      <w:kern w:val="24"/>
    </w:rPr>
  </w:style>
  <w:style w:type="paragraph" w:styleId="47">
    <w:name w:val="List Continue 5"/>
    <w:basedOn w:val="1"/>
    <w:autoRedefine/>
    <w:unhideWhenUsed/>
    <w:qFormat/>
    <w:uiPriority w:val="99"/>
    <w:pPr>
      <w:spacing w:after="120"/>
      <w:ind w:left="2100" w:leftChars="1000"/>
    </w:pPr>
  </w:style>
  <w:style w:type="paragraph" w:styleId="48">
    <w:name w:val="Balloon Text"/>
    <w:basedOn w:val="1"/>
    <w:link w:val="126"/>
    <w:autoRedefine/>
    <w:qFormat/>
    <w:uiPriority w:val="99"/>
    <w:rPr>
      <w:kern w:val="0"/>
      <w:sz w:val="18"/>
      <w:szCs w:val="20"/>
    </w:rPr>
  </w:style>
  <w:style w:type="paragraph" w:styleId="49">
    <w:name w:val="footer"/>
    <w:basedOn w:val="1"/>
    <w:link w:val="1735"/>
    <w:autoRedefine/>
    <w:qFormat/>
    <w:uiPriority w:val="0"/>
    <w:pPr>
      <w:tabs>
        <w:tab w:val="center" w:pos="4153"/>
        <w:tab w:val="right" w:pos="8306"/>
      </w:tabs>
      <w:spacing w:line="240" w:lineRule="auto"/>
    </w:pPr>
    <w:rPr>
      <w:sz w:val="18"/>
      <w:szCs w:val="18"/>
    </w:rPr>
  </w:style>
  <w:style w:type="paragraph" w:styleId="50">
    <w:name w:val="header"/>
    <w:basedOn w:val="1"/>
    <w:next w:val="51"/>
    <w:link w:val="127"/>
    <w:autoRedefine/>
    <w:qFormat/>
    <w:uiPriority w:val="0"/>
    <w:pPr>
      <w:pBdr>
        <w:bottom w:val="single" w:color="auto" w:sz="6" w:space="1"/>
      </w:pBdr>
      <w:tabs>
        <w:tab w:val="center" w:pos="4153"/>
        <w:tab w:val="right" w:pos="8306"/>
      </w:tabs>
      <w:jc w:val="center"/>
    </w:pPr>
    <w:rPr>
      <w:kern w:val="0"/>
      <w:sz w:val="18"/>
      <w:szCs w:val="20"/>
    </w:rPr>
  </w:style>
  <w:style w:type="paragraph" w:customStyle="1" w:styleId="51">
    <w:name w:val="样式5"/>
    <w:basedOn w:val="52"/>
    <w:autoRedefine/>
    <w:qFormat/>
    <w:uiPriority w:val="0"/>
    <w:pPr>
      <w:tabs>
        <w:tab w:val="left" w:pos="720"/>
        <w:tab w:val="left" w:pos="780"/>
      </w:tabs>
      <w:ind w:left="200" w:leftChars="200" w:hanging="200" w:hangingChars="200"/>
    </w:pPr>
  </w:style>
  <w:style w:type="paragraph" w:customStyle="1" w:styleId="52">
    <w:name w:val="正文1"/>
    <w:basedOn w:val="53"/>
    <w:link w:val="388"/>
    <w:autoRedefine/>
    <w:qFormat/>
    <w:uiPriority w:val="0"/>
    <w:pPr>
      <w:spacing w:line="480" w:lineRule="exact"/>
      <w:ind w:firstLine="200"/>
    </w:pPr>
    <w:rPr>
      <w:bCs/>
      <w:color w:val="000000"/>
      <w:kern w:val="24"/>
    </w:rPr>
  </w:style>
  <w:style w:type="paragraph" w:customStyle="1" w:styleId="53">
    <w:name w:val="Default"/>
    <w:basedOn w:val="54"/>
    <w:next w:val="22"/>
    <w:link w:val="156"/>
    <w:autoRedefine/>
    <w:qFormat/>
    <w:uiPriority w:val="99"/>
    <w:rPr>
      <w:rFonts w:ascii="宋体" w:eastAsia="宋体"/>
      <w:color w:val="000000"/>
      <w:sz w:val="24"/>
      <w:szCs w:val="24"/>
    </w:rPr>
  </w:style>
  <w:style w:type="paragraph" w:customStyle="1" w:styleId="54">
    <w:name w:val="表格内容"/>
    <w:basedOn w:val="1"/>
    <w:link w:val="203"/>
    <w:autoRedefine/>
    <w:qFormat/>
    <w:uiPriority w:val="0"/>
    <w:pPr>
      <w:spacing w:line="320" w:lineRule="exact"/>
      <w:jc w:val="center"/>
    </w:pPr>
    <w:rPr>
      <w:rFonts w:eastAsia="楷体_GB2312"/>
      <w:spacing w:val="10"/>
      <w:sz w:val="28"/>
      <w:szCs w:val="20"/>
    </w:rPr>
  </w:style>
  <w:style w:type="paragraph" w:styleId="55">
    <w:name w:val="Signature"/>
    <w:basedOn w:val="1"/>
    <w:link w:val="407"/>
    <w:autoRedefine/>
    <w:qFormat/>
    <w:uiPriority w:val="0"/>
    <w:pPr>
      <w:ind w:left="100" w:leftChars="2100"/>
    </w:pPr>
    <w:rPr>
      <w:rFonts w:ascii="FLGPEK+TimesNewRoman,Italic" w:hAnsi="ˎ̥" w:eastAsia="FLGPEK+TimesNewRoman,Italic" w:cs="ˎ̥"/>
      <w:bCs/>
      <w:color w:val="000000"/>
      <w:spacing w:val="5"/>
      <w:kern w:val="24"/>
      <w:sz w:val="25"/>
      <w:szCs w:val="25"/>
    </w:rPr>
  </w:style>
  <w:style w:type="paragraph" w:styleId="56">
    <w:name w:val="toc 1"/>
    <w:basedOn w:val="1"/>
    <w:next w:val="1"/>
    <w:autoRedefine/>
    <w:qFormat/>
    <w:uiPriority w:val="39"/>
    <w:pPr>
      <w:jc w:val="center"/>
    </w:pPr>
    <w:rPr>
      <w:bCs/>
      <w:sz w:val="18"/>
      <w:szCs w:val="18"/>
    </w:rPr>
  </w:style>
  <w:style w:type="paragraph" w:styleId="57">
    <w:name w:val="List Continue 4"/>
    <w:basedOn w:val="1"/>
    <w:autoRedefine/>
    <w:qFormat/>
    <w:uiPriority w:val="0"/>
    <w:pPr>
      <w:spacing w:after="120"/>
      <w:ind w:left="1680" w:leftChars="800"/>
    </w:pPr>
    <w:rPr>
      <w:rFonts w:ascii="Batang" w:hAnsi="Batang" w:cs="Batang"/>
      <w:bCs/>
      <w:color w:val="000000"/>
      <w:kern w:val="24"/>
    </w:rPr>
  </w:style>
  <w:style w:type="paragraph" w:styleId="58">
    <w:name w:val="toc 4"/>
    <w:basedOn w:val="1"/>
    <w:next w:val="1"/>
    <w:autoRedefine/>
    <w:semiHidden/>
    <w:qFormat/>
    <w:uiPriority w:val="0"/>
    <w:pPr>
      <w:ind w:left="1260" w:leftChars="600"/>
    </w:pPr>
    <w:rPr>
      <w:bCs/>
      <w:color w:val="000000"/>
      <w:kern w:val="24"/>
    </w:rPr>
  </w:style>
  <w:style w:type="paragraph" w:styleId="59">
    <w:name w:val="index heading"/>
    <w:basedOn w:val="1"/>
    <w:next w:val="60"/>
    <w:autoRedefine/>
    <w:semiHidden/>
    <w:qFormat/>
    <w:uiPriority w:val="0"/>
    <w:rPr>
      <w:rFonts w:ascii="Batang" w:hAnsi="Batang" w:cs="Batang"/>
      <w:bCs/>
      <w:color w:val="000000"/>
      <w:kern w:val="24"/>
    </w:rPr>
  </w:style>
  <w:style w:type="paragraph" w:styleId="60">
    <w:name w:val="index 1"/>
    <w:basedOn w:val="1"/>
    <w:next w:val="1"/>
    <w:autoRedefine/>
    <w:semiHidden/>
    <w:qFormat/>
    <w:uiPriority w:val="0"/>
    <w:pPr>
      <w:spacing w:beforeLines="10" w:line="360" w:lineRule="exact"/>
      <w:jc w:val="center"/>
    </w:pPr>
    <w:rPr>
      <w:bCs/>
      <w:color w:val="000000"/>
      <w:kern w:val="24"/>
    </w:rPr>
  </w:style>
  <w:style w:type="paragraph" w:styleId="61">
    <w:name w:val="Subtitle"/>
    <w:basedOn w:val="1"/>
    <w:link w:val="408"/>
    <w:autoRedefine/>
    <w:qFormat/>
    <w:uiPriority w:val="0"/>
    <w:pPr>
      <w:spacing w:before="120" w:after="120" w:line="240" w:lineRule="atLeast"/>
      <w:jc w:val="center"/>
      <w:outlineLvl w:val="1"/>
    </w:pPr>
    <w:rPr>
      <w:rFonts w:ascii="Batang" w:hAnsi="Batang" w:eastAsia="FLGPEK+TimesNewRoman,Italic" w:cs="ˎ̥"/>
      <w:color w:val="000000"/>
      <w:kern w:val="28"/>
      <w:szCs w:val="32"/>
    </w:rPr>
  </w:style>
  <w:style w:type="paragraph" w:styleId="62">
    <w:name w:val="List Number 5"/>
    <w:basedOn w:val="1"/>
    <w:autoRedefine/>
    <w:qFormat/>
    <w:uiPriority w:val="0"/>
    <w:pPr>
      <w:tabs>
        <w:tab w:val="left" w:pos="2040"/>
      </w:tabs>
      <w:spacing w:line="480" w:lineRule="exact"/>
      <w:ind w:left="2040" w:leftChars="800" w:hanging="360" w:hangingChars="200"/>
    </w:pPr>
    <w:rPr>
      <w:bCs/>
      <w:color w:val="000000"/>
      <w:kern w:val="24"/>
    </w:rPr>
  </w:style>
  <w:style w:type="paragraph" w:styleId="63">
    <w:name w:val="List"/>
    <w:basedOn w:val="1"/>
    <w:autoRedefine/>
    <w:qFormat/>
    <w:uiPriority w:val="0"/>
    <w:pPr>
      <w:spacing w:line="320" w:lineRule="exact"/>
      <w:jc w:val="center"/>
    </w:pPr>
    <w:rPr>
      <w:rFonts w:ascii="仿宋_GB2312" w:eastAsia="仿宋_GB2312"/>
      <w:bCs/>
      <w:snapToGrid w:val="0"/>
      <w:color w:val="000000"/>
      <w:kern w:val="24"/>
      <w:szCs w:val="20"/>
    </w:rPr>
  </w:style>
  <w:style w:type="paragraph" w:styleId="64">
    <w:name w:val="footnote text"/>
    <w:basedOn w:val="1"/>
    <w:link w:val="409"/>
    <w:autoRedefine/>
    <w:semiHidden/>
    <w:qFormat/>
    <w:uiPriority w:val="0"/>
    <w:rPr>
      <w:bCs/>
      <w:color w:val="000000"/>
      <w:kern w:val="24"/>
      <w:sz w:val="18"/>
      <w:szCs w:val="20"/>
    </w:rPr>
  </w:style>
  <w:style w:type="paragraph" w:styleId="65">
    <w:name w:val="toc 6"/>
    <w:basedOn w:val="1"/>
    <w:next w:val="1"/>
    <w:autoRedefine/>
    <w:semiHidden/>
    <w:qFormat/>
    <w:uiPriority w:val="0"/>
    <w:pPr>
      <w:ind w:left="2100" w:leftChars="1000"/>
    </w:pPr>
    <w:rPr>
      <w:bCs/>
      <w:color w:val="000000"/>
      <w:kern w:val="24"/>
      <w:szCs w:val="20"/>
    </w:rPr>
  </w:style>
  <w:style w:type="paragraph" w:styleId="66">
    <w:name w:val="List 5"/>
    <w:basedOn w:val="1"/>
    <w:autoRedefine/>
    <w:qFormat/>
    <w:uiPriority w:val="0"/>
    <w:pPr>
      <w:ind w:left="100" w:leftChars="800" w:hanging="200" w:hangingChars="200"/>
    </w:pPr>
    <w:rPr>
      <w:rFonts w:ascii="Batang" w:hAnsi="Batang" w:cs="Batang"/>
      <w:bCs/>
      <w:color w:val="000000"/>
      <w:kern w:val="24"/>
    </w:rPr>
  </w:style>
  <w:style w:type="paragraph" w:styleId="67">
    <w:name w:val="Body Text Indent 3"/>
    <w:basedOn w:val="1"/>
    <w:link w:val="410"/>
    <w:autoRedefine/>
    <w:qFormat/>
    <w:uiPriority w:val="0"/>
    <w:pPr>
      <w:spacing w:after="120"/>
      <w:ind w:left="420" w:leftChars="200"/>
    </w:pPr>
    <w:rPr>
      <w:bCs/>
      <w:color w:val="000000"/>
      <w:kern w:val="24"/>
      <w:sz w:val="16"/>
      <w:szCs w:val="16"/>
    </w:rPr>
  </w:style>
  <w:style w:type="paragraph" w:styleId="68">
    <w:name w:val="index 7"/>
    <w:basedOn w:val="1"/>
    <w:next w:val="1"/>
    <w:autoRedefine/>
    <w:semiHidden/>
    <w:qFormat/>
    <w:uiPriority w:val="0"/>
    <w:pPr>
      <w:ind w:left="1750" w:hanging="250"/>
    </w:pPr>
    <w:rPr>
      <w:rFonts w:ascii="ˎ̥" w:hAnsi="ˎ̥" w:eastAsia="FLGPEK+TimesNewRoman,Italic" w:cs="ˎ̥"/>
      <w:bCs/>
      <w:color w:val="000000"/>
      <w:spacing w:val="5"/>
      <w:kern w:val="24"/>
      <w:sz w:val="20"/>
      <w:szCs w:val="20"/>
    </w:rPr>
  </w:style>
  <w:style w:type="paragraph" w:styleId="69">
    <w:name w:val="index 9"/>
    <w:basedOn w:val="1"/>
    <w:next w:val="1"/>
    <w:autoRedefine/>
    <w:semiHidden/>
    <w:qFormat/>
    <w:uiPriority w:val="0"/>
    <w:pPr>
      <w:ind w:left="2250" w:hanging="250"/>
    </w:pPr>
    <w:rPr>
      <w:rFonts w:ascii="ˎ̥" w:hAnsi="ˎ̥" w:eastAsia="FLGPEK+TimesNewRoman,Italic" w:cs="ˎ̥"/>
      <w:bCs/>
      <w:color w:val="000000"/>
      <w:spacing w:val="5"/>
      <w:kern w:val="24"/>
      <w:sz w:val="20"/>
      <w:szCs w:val="20"/>
    </w:rPr>
  </w:style>
  <w:style w:type="paragraph" w:styleId="70">
    <w:name w:val="table of figures"/>
    <w:basedOn w:val="1"/>
    <w:next w:val="1"/>
    <w:autoRedefine/>
    <w:semiHidden/>
    <w:qFormat/>
    <w:uiPriority w:val="0"/>
    <w:pPr>
      <w:ind w:left="840" w:leftChars="200" w:hanging="420" w:hangingChars="200"/>
    </w:pPr>
    <w:rPr>
      <w:rFonts w:ascii="FLGPEK+TimesNewRoman,Italic" w:hAnsi="ˎ̥" w:eastAsia="FLGPEK+TimesNewRoman,Italic" w:cs="ˎ̥"/>
      <w:bCs/>
      <w:color w:val="000000"/>
      <w:kern w:val="24"/>
    </w:rPr>
  </w:style>
  <w:style w:type="paragraph" w:styleId="71">
    <w:name w:val="toc 2"/>
    <w:basedOn w:val="1"/>
    <w:next w:val="1"/>
    <w:autoRedefine/>
    <w:qFormat/>
    <w:uiPriority w:val="39"/>
    <w:pPr>
      <w:ind w:left="420" w:leftChars="200"/>
    </w:pPr>
  </w:style>
  <w:style w:type="paragraph" w:styleId="72">
    <w:name w:val="toc 9"/>
    <w:basedOn w:val="1"/>
    <w:next w:val="1"/>
    <w:autoRedefine/>
    <w:semiHidden/>
    <w:qFormat/>
    <w:uiPriority w:val="0"/>
    <w:pPr>
      <w:ind w:left="3360" w:leftChars="1600"/>
    </w:pPr>
    <w:rPr>
      <w:bCs/>
      <w:color w:val="000000"/>
      <w:kern w:val="24"/>
    </w:rPr>
  </w:style>
  <w:style w:type="paragraph" w:styleId="73">
    <w:name w:val="Body Text 2"/>
    <w:basedOn w:val="1"/>
    <w:link w:val="411"/>
    <w:autoRedefine/>
    <w:qFormat/>
    <w:uiPriority w:val="0"/>
    <w:pPr>
      <w:spacing w:after="120" w:line="480" w:lineRule="auto"/>
    </w:pPr>
    <w:rPr>
      <w:bCs/>
      <w:color w:val="000000"/>
      <w:kern w:val="24"/>
    </w:rPr>
  </w:style>
  <w:style w:type="paragraph" w:styleId="74">
    <w:name w:val="List 4"/>
    <w:basedOn w:val="1"/>
    <w:autoRedefine/>
    <w:qFormat/>
    <w:uiPriority w:val="0"/>
    <w:pPr>
      <w:ind w:left="100" w:leftChars="600" w:hanging="200" w:hangingChars="200"/>
    </w:pPr>
    <w:rPr>
      <w:rFonts w:ascii="Batang" w:hAnsi="Batang" w:cs="Batang"/>
      <w:bCs/>
      <w:color w:val="000000"/>
      <w:kern w:val="24"/>
    </w:rPr>
  </w:style>
  <w:style w:type="paragraph" w:styleId="75">
    <w:name w:val="List Continue 2"/>
    <w:basedOn w:val="1"/>
    <w:autoRedefine/>
    <w:qFormat/>
    <w:uiPriority w:val="0"/>
    <w:pPr>
      <w:spacing w:after="120" w:line="480" w:lineRule="exact"/>
      <w:ind w:left="840" w:leftChars="400" w:firstLine="200"/>
    </w:pPr>
    <w:rPr>
      <w:bCs/>
      <w:color w:val="000000"/>
      <w:kern w:val="24"/>
    </w:rPr>
  </w:style>
  <w:style w:type="paragraph" w:styleId="76">
    <w:name w:val="HTML Preformatted"/>
    <w:basedOn w:val="1"/>
    <w:link w:val="128"/>
    <w:autoRedefine/>
    <w:unhideWhenUsed/>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kern w:val="0"/>
    </w:rPr>
  </w:style>
  <w:style w:type="paragraph" w:styleId="77">
    <w:name w:val="Normal (Web)"/>
    <w:basedOn w:val="1"/>
    <w:link w:val="129"/>
    <w:autoRedefine/>
    <w:qFormat/>
    <w:uiPriority w:val="99"/>
    <w:pPr>
      <w:spacing w:before="100" w:beforeAutospacing="1" w:after="100" w:afterAutospacing="1"/>
    </w:pPr>
    <w:rPr>
      <w:rFonts w:ascii="宋体" w:hAnsi="宋体"/>
      <w:kern w:val="0"/>
      <w:szCs w:val="20"/>
    </w:rPr>
  </w:style>
  <w:style w:type="paragraph" w:styleId="78">
    <w:name w:val="List Continue 3"/>
    <w:basedOn w:val="1"/>
    <w:autoRedefine/>
    <w:qFormat/>
    <w:uiPriority w:val="0"/>
    <w:pPr>
      <w:spacing w:after="120"/>
      <w:ind w:left="1260" w:leftChars="600"/>
    </w:pPr>
    <w:rPr>
      <w:rFonts w:ascii="Batang" w:hAnsi="Batang" w:cs="Batang"/>
      <w:bCs/>
      <w:color w:val="000000"/>
      <w:kern w:val="24"/>
    </w:rPr>
  </w:style>
  <w:style w:type="paragraph" w:styleId="79">
    <w:name w:val="index 2"/>
    <w:basedOn w:val="1"/>
    <w:next w:val="1"/>
    <w:autoRedefine/>
    <w:semiHidden/>
    <w:qFormat/>
    <w:uiPriority w:val="0"/>
    <w:pPr>
      <w:ind w:left="500" w:hanging="250"/>
    </w:pPr>
    <w:rPr>
      <w:rFonts w:ascii="ˎ̥" w:hAnsi="ˎ̥" w:eastAsia="FLGPEK+TimesNewRoman,Italic" w:cs="ˎ̥"/>
      <w:bCs/>
      <w:color w:val="000000"/>
      <w:spacing w:val="5"/>
      <w:kern w:val="24"/>
      <w:sz w:val="20"/>
      <w:szCs w:val="20"/>
    </w:rPr>
  </w:style>
  <w:style w:type="paragraph" w:styleId="80">
    <w:name w:val="Title"/>
    <w:basedOn w:val="1"/>
    <w:next w:val="1"/>
    <w:link w:val="130"/>
    <w:autoRedefine/>
    <w:qFormat/>
    <w:uiPriority w:val="0"/>
    <w:pPr>
      <w:jc w:val="center"/>
    </w:pPr>
    <w:rPr>
      <w:rFonts w:eastAsia="仿宋_GB2312"/>
      <w:bCs/>
      <w:kern w:val="0"/>
      <w:szCs w:val="21"/>
    </w:rPr>
  </w:style>
  <w:style w:type="paragraph" w:styleId="81">
    <w:name w:val="annotation subject"/>
    <w:basedOn w:val="25"/>
    <w:next w:val="25"/>
    <w:link w:val="131"/>
    <w:autoRedefine/>
    <w:semiHidden/>
    <w:qFormat/>
    <w:uiPriority w:val="0"/>
    <w:rPr>
      <w:b/>
      <w:kern w:val="2"/>
    </w:rPr>
  </w:style>
  <w:style w:type="paragraph" w:styleId="82">
    <w:name w:val="Body Text First Indent"/>
    <w:basedOn w:val="30"/>
    <w:link w:val="413"/>
    <w:autoRedefine/>
    <w:qFormat/>
    <w:uiPriority w:val="99"/>
    <w:pPr>
      <w:widowControl w:val="0"/>
      <w:snapToGrid/>
      <w:spacing w:before="0" w:after="0" w:line="312" w:lineRule="auto"/>
      <w:ind w:right="0" w:firstLine="567"/>
      <w:textAlignment w:val="baseline"/>
    </w:pPr>
    <w:rPr>
      <w:bCs/>
      <w:color w:val="000000"/>
      <w:kern w:val="24"/>
      <w:sz w:val="24"/>
      <w:szCs w:val="24"/>
    </w:rPr>
  </w:style>
  <w:style w:type="paragraph" w:styleId="83">
    <w:name w:val="Body Text First Indent 2"/>
    <w:basedOn w:val="31"/>
    <w:link w:val="132"/>
    <w:autoRedefine/>
    <w:qFormat/>
    <w:uiPriority w:val="0"/>
    <w:rPr>
      <w:kern w:val="2"/>
      <w:szCs w:val="24"/>
    </w:rPr>
  </w:style>
  <w:style w:type="table" w:styleId="85">
    <w:name w:val="Table Grid"/>
    <w:basedOn w:val="84"/>
    <w:autoRedefine/>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6">
    <w:name w:val="Table Theme"/>
    <w:basedOn w:val="8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7">
    <w:name w:val="Table Elegant"/>
    <w:basedOn w:val="84"/>
    <w:autoRedefine/>
    <w:qFormat/>
    <w:uiPriority w:val="0"/>
    <w:pPr>
      <w:widowControl w:val="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table" w:styleId="88">
    <w:name w:val="Table Classic 1"/>
    <w:basedOn w:val="84"/>
    <w:autoRedefine/>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tblPr/>
      <w:tcPr>
        <w:tcBorders>
          <w:top w:val="nil"/>
          <w:left w:val="nil"/>
          <w:bottom w:val="nil"/>
          <w:right w:val="single" w:color="000000" w:sz="6" w:space="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89">
    <w:name w:val="Table Simple 1"/>
    <w:basedOn w:val="84"/>
    <w:autoRedefine/>
    <w:qFormat/>
    <w:uiPriority w:val="0"/>
    <w:pPr>
      <w:widowControl w:val="0"/>
      <w:jc w:val="both"/>
    </w:pPr>
    <w:tblPr>
      <w:tblBorders>
        <w:top w:val="single" w:color="008000" w:sz="12" w:space="0"/>
        <w:bottom w:val="single" w:color="008000" w:sz="12" w:space="0"/>
      </w:tblBorders>
    </w:tblPr>
    <w:tcPr>
      <w:shd w:val="clear" w:color="auto" w:fill="auto"/>
    </w:tcPr>
    <w:tblStylePr w:type="firstRow">
      <w:tblPr/>
      <w:tcPr>
        <w:tcBorders>
          <w:top w:val="nil"/>
          <w:left w:val="single" w:color="008000" w:sz="6" w:space="0"/>
          <w:bottom w:val="nil"/>
          <w:right w:val="nil"/>
          <w:insideH w:val="nil"/>
          <w:insideV w:val="nil"/>
          <w:tl2br w:val="nil"/>
          <w:tr2bl w:val="nil"/>
        </w:tcBorders>
      </w:tcPr>
    </w:tblStylePr>
    <w:tblStylePr w:type="lastRow">
      <w:tblPr/>
      <w:tcPr>
        <w:tcBorders>
          <w:top w:val="single" w:color="008000" w:sz="6" w:space="0"/>
          <w:left w:val="nil"/>
          <w:bottom w:val="nil"/>
          <w:right w:val="nil"/>
          <w:insideH w:val="nil"/>
          <w:insideV w:val="nil"/>
          <w:tl2br w:val="nil"/>
          <w:tr2bl w:val="nil"/>
        </w:tcBorders>
      </w:tcPr>
    </w:tblStylePr>
  </w:style>
  <w:style w:type="table" w:styleId="90">
    <w:name w:val="Table List 3"/>
    <w:basedOn w:val="84"/>
    <w:autoRedefine/>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styleId="91">
    <w:name w:val="Table List 5"/>
    <w:basedOn w:val="84"/>
    <w:autoRedefine/>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styleId="92">
    <w:name w:val="Table Grid 1"/>
    <w:basedOn w:val="84"/>
    <w:autoRedefine/>
    <w:qFormat/>
    <w:uiPriority w:val="0"/>
    <w:pPr>
      <w:widowControl w:val="0"/>
      <w:spacing w:line="480" w:lineRule="exact"/>
      <w:ind w:firstLine="200" w:firstLineChars="20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3">
    <w:name w:val="Table Grid 2"/>
    <w:basedOn w:val="84"/>
    <w:autoRedefine/>
    <w:qFormat/>
    <w:uiPriority w:val="0"/>
    <w:pPr>
      <w:widowControl w:val="0"/>
      <w:spacing w:line="460" w:lineRule="exact"/>
      <w:ind w:firstLine="480" w:firstLineChars="200"/>
      <w:jc w:val="both"/>
    </w:pPr>
    <w:tblPr>
      <w:tblBorders>
        <w:insideH w:val="single" w:color="000000" w:sz="6" w:space="0"/>
        <w:insideV w:val="single" w:color="000000" w:sz="6" w:space="0"/>
      </w:tblBorders>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94">
    <w:name w:val="Table Grid 4"/>
    <w:basedOn w:val="84"/>
    <w:autoRedefine/>
    <w:qFormat/>
    <w:uiPriority w:val="0"/>
    <w:pPr>
      <w:widowControl w:val="0"/>
      <w:jc w:val="both"/>
    </w:pPr>
    <w:rPr>
      <w:rFonts w:ascii="ˎ̥" w:hAnsi="ˎ̥" w:eastAsia="FLGPEK+TimesNewRoman,Italic" w:cs="ˎ̥"/>
    </w:r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95">
    <w:name w:val="Table Grid 5"/>
    <w:basedOn w:val="84"/>
    <w:autoRedefine/>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top w:val="nil"/>
          <w:left w:val="single" w:color="000000" w:sz="12" w:space="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6">
    <w:name w:val="Table Grid 6"/>
    <w:basedOn w:val="84"/>
    <w:autoRedefine/>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7">
    <w:name w:val="Table Grid 7"/>
    <w:basedOn w:val="84"/>
    <w:autoRedefine/>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top w:val="nil"/>
          <w:left w:val="single" w:color="000000" w:sz="12" w:space="0"/>
          <w:bottom w:val="nil"/>
          <w:right w:val="nil"/>
          <w:insideH w:val="nil"/>
          <w:insideV w:val="nil"/>
          <w:tl2br w:val="nil"/>
          <w:tr2bl w:val="nil"/>
        </w:tcBorders>
      </w:tcPr>
    </w:tblStylePr>
    <w:tblStylePr w:type="lastRow">
      <w:rPr>
        <w:b w:val="0"/>
        <w:bCs w:val="0"/>
      </w:rPr>
      <w:tblPr/>
      <w:tcPr>
        <w:tcBorders>
          <w:top w:val="single" w:color="00000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8">
    <w:name w:val="Table Grid 8"/>
    <w:basedOn w:val="84"/>
    <w:autoRedefine/>
    <w:qFormat/>
    <w:uiPriority w:val="0"/>
    <w:pPr>
      <w:widowControl w:val="0"/>
      <w:jc w:val="both"/>
    </w:pPr>
    <w:rPr>
      <w:rFonts w:ascii="Batang" w:hAnsi="Batang" w:cs="Batang"/>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99">
    <w:name w:val="Table Professional"/>
    <w:basedOn w:val="84"/>
    <w:autoRedefine/>
    <w:qFormat/>
    <w:uiPriority w:val="0"/>
    <w:pPr>
      <w:widowControl w:val="0"/>
      <w:jc w:val="both"/>
    </w:pPr>
    <w:rPr>
      <w:rFonts w:ascii="Batang" w:hAnsi="Batang" w:cs="Batang"/>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character" w:styleId="101">
    <w:name w:val="Strong"/>
    <w:basedOn w:val="100"/>
    <w:autoRedefine/>
    <w:qFormat/>
    <w:uiPriority w:val="0"/>
    <w:rPr>
      <w:b/>
    </w:rPr>
  </w:style>
  <w:style w:type="character" w:styleId="102">
    <w:name w:val="endnote reference"/>
    <w:autoRedefine/>
    <w:qFormat/>
    <w:uiPriority w:val="0"/>
    <w:rPr>
      <w:vertAlign w:val="superscript"/>
    </w:rPr>
  </w:style>
  <w:style w:type="character" w:styleId="103">
    <w:name w:val="page number"/>
    <w:basedOn w:val="100"/>
    <w:autoRedefine/>
    <w:qFormat/>
    <w:uiPriority w:val="0"/>
  </w:style>
  <w:style w:type="character" w:styleId="104">
    <w:name w:val="Emphasis"/>
    <w:autoRedefine/>
    <w:qFormat/>
    <w:uiPriority w:val="0"/>
    <w:rPr>
      <w:i/>
      <w:iCs/>
    </w:rPr>
  </w:style>
  <w:style w:type="character" w:styleId="105">
    <w:name w:val="HTML Typewriter"/>
    <w:autoRedefine/>
    <w:qFormat/>
    <w:uiPriority w:val="0"/>
    <w:rPr>
      <w:rFonts w:ascii="Arial Unicode MS" w:hAnsi="Arial Unicode MS" w:eastAsia="Arial Unicode MS" w:cs="Arial Unicode MS"/>
      <w:spacing w:val="312"/>
      <w:sz w:val="24"/>
      <w:szCs w:val="24"/>
    </w:rPr>
  </w:style>
  <w:style w:type="character" w:styleId="106">
    <w:name w:val="Hyperlink"/>
    <w:autoRedefine/>
    <w:unhideWhenUsed/>
    <w:qFormat/>
    <w:uiPriority w:val="99"/>
    <w:rPr>
      <w:color w:val="0000FF"/>
      <w:u w:val="single"/>
    </w:rPr>
  </w:style>
  <w:style w:type="character" w:styleId="107">
    <w:name w:val="annotation reference"/>
    <w:autoRedefine/>
    <w:semiHidden/>
    <w:qFormat/>
    <w:uiPriority w:val="0"/>
    <w:rPr>
      <w:sz w:val="21"/>
    </w:rPr>
  </w:style>
  <w:style w:type="paragraph" w:customStyle="1" w:styleId="108">
    <w:name w:val="Block Text1"/>
    <w:basedOn w:val="1"/>
    <w:autoRedefine/>
    <w:qFormat/>
    <w:uiPriority w:val="0"/>
    <w:pPr>
      <w:spacing w:after="120" w:line="240" w:lineRule="auto"/>
      <w:ind w:left="1440" w:leftChars="700" w:right="1440" w:rightChars="700" w:firstLine="0" w:firstLineChars="0"/>
    </w:pPr>
  </w:style>
  <w:style w:type="paragraph" w:customStyle="1" w:styleId="109">
    <w:name w:val="表标题"/>
    <w:basedOn w:val="21"/>
    <w:link w:val="110"/>
    <w:autoRedefine/>
    <w:qFormat/>
    <w:uiPriority w:val="99"/>
    <w:pPr>
      <w:spacing w:line="500" w:lineRule="exact"/>
      <w:ind w:firstLine="200"/>
    </w:pPr>
    <w:rPr>
      <w:szCs w:val="20"/>
    </w:rPr>
  </w:style>
  <w:style w:type="character" w:customStyle="1" w:styleId="110">
    <w:name w:val="表标题 Char"/>
    <w:link w:val="109"/>
    <w:autoRedefine/>
    <w:qFormat/>
    <w:uiPriority w:val="99"/>
    <w:rPr>
      <w:b/>
      <w:kern w:val="2"/>
      <w:sz w:val="24"/>
    </w:rPr>
  </w:style>
  <w:style w:type="paragraph" w:customStyle="1" w:styleId="111">
    <w:name w:val="样式1"/>
    <w:basedOn w:val="1"/>
    <w:link w:val="466"/>
    <w:autoRedefine/>
    <w:qFormat/>
    <w:uiPriority w:val="0"/>
    <w:pPr>
      <w:spacing w:line="440" w:lineRule="exact"/>
      <w:ind w:firstLine="200"/>
    </w:pPr>
    <w:rPr>
      <w:bCs/>
      <w:color w:val="000000"/>
      <w:kern w:val="24"/>
    </w:rPr>
  </w:style>
  <w:style w:type="character" w:customStyle="1" w:styleId="112">
    <w:name w:val="标题 2 Char"/>
    <w:autoRedefine/>
    <w:qFormat/>
    <w:uiPriority w:val="9"/>
    <w:rPr>
      <w:rFonts w:ascii="Cambria" w:hAnsi="Cambria"/>
      <w:b/>
      <w:bCs/>
      <w:kern w:val="2"/>
      <w:sz w:val="32"/>
      <w:szCs w:val="32"/>
    </w:rPr>
  </w:style>
  <w:style w:type="character" w:customStyle="1" w:styleId="113">
    <w:name w:val="标题 3 Char"/>
    <w:basedOn w:val="100"/>
    <w:link w:val="7"/>
    <w:autoRedefine/>
    <w:qFormat/>
    <w:uiPriority w:val="9"/>
    <w:rPr>
      <w:b/>
      <w:bCs/>
      <w:kern w:val="2"/>
      <w:sz w:val="32"/>
      <w:szCs w:val="32"/>
    </w:rPr>
  </w:style>
  <w:style w:type="character" w:customStyle="1" w:styleId="114">
    <w:name w:val="标题 1 Char"/>
    <w:link w:val="5"/>
    <w:autoRedefine/>
    <w:qFormat/>
    <w:uiPriority w:val="9"/>
    <w:rPr>
      <w:rFonts w:eastAsia="黑体"/>
      <w:b/>
      <w:bCs/>
      <w:color w:val="000000"/>
      <w:kern w:val="44"/>
      <w:sz w:val="30"/>
      <w:szCs w:val="30"/>
    </w:rPr>
  </w:style>
  <w:style w:type="paragraph" w:customStyle="1" w:styleId="115">
    <w:name w:val="标题4"/>
    <w:basedOn w:val="8"/>
    <w:next w:val="1"/>
    <w:autoRedefine/>
    <w:qFormat/>
    <w:uiPriority w:val="0"/>
    <w:pPr>
      <w:spacing w:line="360" w:lineRule="auto"/>
      <w:ind w:left="119" w:firstLine="200"/>
    </w:pPr>
    <w:rPr>
      <w:rFonts w:ascii="仿宋_GB2312" w:eastAsia="仿宋_GB2312" w:cs="宋体"/>
      <w:b w:val="0"/>
      <w:sz w:val="24"/>
      <w:szCs w:val="20"/>
    </w:rPr>
  </w:style>
  <w:style w:type="character" w:customStyle="1" w:styleId="116">
    <w:name w:val="标题 4 Char"/>
    <w:basedOn w:val="100"/>
    <w:link w:val="8"/>
    <w:autoRedefine/>
    <w:qFormat/>
    <w:uiPriority w:val="9"/>
    <w:rPr>
      <w:rFonts w:ascii="Arial" w:hAnsi="Arial" w:eastAsia="黑体"/>
      <w:b/>
      <w:bCs/>
      <w:kern w:val="2"/>
      <w:sz w:val="28"/>
      <w:szCs w:val="28"/>
    </w:rPr>
  </w:style>
  <w:style w:type="paragraph" w:customStyle="1" w:styleId="117">
    <w:name w:val="style4"/>
    <w:basedOn w:val="1"/>
    <w:next w:val="118"/>
    <w:autoRedefine/>
    <w:qFormat/>
    <w:uiPriority w:val="0"/>
    <w:pPr>
      <w:spacing w:before="100" w:beforeAutospacing="1" w:after="100" w:afterAutospacing="1" w:line="450" w:lineRule="atLeast"/>
    </w:pPr>
    <w:rPr>
      <w:rFonts w:ascii="Arial Unicode MS" w:hAnsi="Arial Unicode MS" w:eastAsia="Arial Unicode MS" w:cs="Arial Unicode MS"/>
      <w:bCs/>
      <w:color w:val="000000"/>
      <w:kern w:val="0"/>
      <w:szCs w:val="21"/>
    </w:rPr>
  </w:style>
  <w:style w:type="paragraph" w:customStyle="1" w:styleId="118">
    <w:name w:val="2"/>
    <w:basedOn w:val="119"/>
    <w:next w:val="67"/>
    <w:autoRedefine/>
    <w:qFormat/>
    <w:uiPriority w:val="0"/>
    <w:pPr>
      <w:spacing w:beforeLines="20" w:afterLines="20" w:line="0" w:lineRule="atLeast"/>
      <w:jc w:val="right"/>
    </w:pPr>
    <w:rPr>
      <w:kern w:val="24"/>
    </w:rPr>
  </w:style>
  <w:style w:type="paragraph" w:customStyle="1" w:styleId="119">
    <w:name w:val="1"/>
    <w:basedOn w:val="1"/>
    <w:next w:val="40"/>
    <w:autoRedefine/>
    <w:qFormat/>
    <w:uiPriority w:val="0"/>
    <w:pPr>
      <w:ind w:firstLine="480"/>
    </w:pPr>
    <w:rPr>
      <w:rFonts w:ascii="Arial" w:hAnsi="Arial"/>
      <w:bCs/>
      <w:snapToGrid w:val="0"/>
      <w:color w:val="000000"/>
      <w:kern w:val="0"/>
      <w:szCs w:val="20"/>
    </w:rPr>
  </w:style>
  <w:style w:type="paragraph" w:customStyle="1" w:styleId="120">
    <w:name w:val="纯文本1"/>
    <w:basedOn w:val="1"/>
    <w:autoRedefine/>
    <w:qFormat/>
    <w:uiPriority w:val="0"/>
    <w:pPr>
      <w:textAlignment w:val="baseline"/>
    </w:pPr>
    <w:rPr>
      <w:rFonts w:ascii="宋体" w:hAnsi="Courier New"/>
      <w:bCs/>
      <w:color w:val="000000"/>
      <w:kern w:val="24"/>
      <w:szCs w:val="20"/>
    </w:rPr>
  </w:style>
  <w:style w:type="character" w:customStyle="1" w:styleId="121">
    <w:name w:val="标题 2 Char1"/>
    <w:link w:val="6"/>
    <w:autoRedefine/>
    <w:qFormat/>
    <w:uiPriority w:val="0"/>
    <w:rPr>
      <w:rFonts w:ascii="Cambria" w:hAnsi="Cambria"/>
      <w:b/>
      <w:bCs/>
      <w:kern w:val="2"/>
      <w:sz w:val="32"/>
      <w:szCs w:val="32"/>
    </w:rPr>
  </w:style>
  <w:style w:type="character" w:customStyle="1" w:styleId="122">
    <w:name w:val="批注文字 Char1"/>
    <w:link w:val="25"/>
    <w:autoRedefine/>
    <w:semiHidden/>
    <w:qFormat/>
    <w:uiPriority w:val="99"/>
    <w:rPr>
      <w:sz w:val="24"/>
    </w:rPr>
  </w:style>
  <w:style w:type="character" w:customStyle="1" w:styleId="123">
    <w:name w:val="正文文本 Char1"/>
    <w:link w:val="30"/>
    <w:autoRedefine/>
    <w:qFormat/>
    <w:uiPriority w:val="0"/>
    <w:rPr>
      <w:sz w:val="18"/>
    </w:rPr>
  </w:style>
  <w:style w:type="character" w:customStyle="1" w:styleId="124">
    <w:name w:val="正文文本缩进 Char1"/>
    <w:link w:val="31"/>
    <w:autoRedefine/>
    <w:qFormat/>
    <w:uiPriority w:val="0"/>
    <w:rPr>
      <w:rFonts w:ascii="Times New Roman" w:hAnsi="Times New Roman" w:eastAsia="宋体"/>
      <w:sz w:val="24"/>
    </w:rPr>
  </w:style>
  <w:style w:type="character" w:customStyle="1" w:styleId="125">
    <w:name w:val="日期 Char1"/>
    <w:link w:val="45"/>
    <w:autoRedefine/>
    <w:qFormat/>
    <w:uiPriority w:val="0"/>
    <w:rPr>
      <w:rFonts w:ascii="Times New Roman" w:hAnsi="Times New Roman" w:eastAsia="宋体"/>
      <w:sz w:val="24"/>
    </w:rPr>
  </w:style>
  <w:style w:type="character" w:customStyle="1" w:styleId="126">
    <w:name w:val="批注框文本 Char1"/>
    <w:link w:val="48"/>
    <w:autoRedefine/>
    <w:qFormat/>
    <w:uiPriority w:val="99"/>
    <w:rPr>
      <w:rFonts w:ascii="Times New Roman" w:hAnsi="Times New Roman" w:eastAsia="宋体"/>
      <w:sz w:val="18"/>
    </w:rPr>
  </w:style>
  <w:style w:type="character" w:customStyle="1" w:styleId="127">
    <w:name w:val="页眉 Char1"/>
    <w:link w:val="50"/>
    <w:autoRedefine/>
    <w:qFormat/>
    <w:uiPriority w:val="0"/>
    <w:rPr>
      <w:sz w:val="18"/>
    </w:rPr>
  </w:style>
  <w:style w:type="character" w:customStyle="1" w:styleId="128">
    <w:name w:val="HTML 预设格式 Char"/>
    <w:basedOn w:val="100"/>
    <w:link w:val="76"/>
    <w:autoRedefine/>
    <w:qFormat/>
    <w:uiPriority w:val="0"/>
    <w:rPr>
      <w:rFonts w:ascii="宋体" w:hAnsi="宋体" w:cs="宋体"/>
      <w:sz w:val="24"/>
      <w:szCs w:val="24"/>
    </w:rPr>
  </w:style>
  <w:style w:type="character" w:customStyle="1" w:styleId="129">
    <w:name w:val="普通(网站) Char1"/>
    <w:link w:val="77"/>
    <w:autoRedefine/>
    <w:qFormat/>
    <w:uiPriority w:val="0"/>
    <w:rPr>
      <w:rFonts w:ascii="宋体" w:hAnsi="宋体" w:eastAsia="宋体"/>
      <w:sz w:val="24"/>
    </w:rPr>
  </w:style>
  <w:style w:type="character" w:customStyle="1" w:styleId="130">
    <w:name w:val="标题 Char"/>
    <w:basedOn w:val="100"/>
    <w:link w:val="80"/>
    <w:autoRedefine/>
    <w:qFormat/>
    <w:uiPriority w:val="0"/>
    <w:rPr>
      <w:rFonts w:eastAsia="仿宋_GB2312"/>
      <w:bCs/>
      <w:sz w:val="21"/>
      <w:szCs w:val="21"/>
    </w:rPr>
  </w:style>
  <w:style w:type="character" w:customStyle="1" w:styleId="131">
    <w:name w:val="批注主题 Char1"/>
    <w:link w:val="81"/>
    <w:autoRedefine/>
    <w:semiHidden/>
    <w:qFormat/>
    <w:uiPriority w:val="0"/>
    <w:rPr>
      <w:rFonts w:ascii="Times New Roman" w:hAnsi="Times New Roman" w:eastAsia="宋体"/>
      <w:b/>
      <w:kern w:val="2"/>
      <w:sz w:val="24"/>
    </w:rPr>
  </w:style>
  <w:style w:type="character" w:customStyle="1" w:styleId="132">
    <w:name w:val="正文首行缩进 2 Char1"/>
    <w:link w:val="83"/>
    <w:autoRedefine/>
    <w:qFormat/>
    <w:uiPriority w:val="99"/>
    <w:rPr>
      <w:rFonts w:ascii="Times New Roman" w:hAnsi="Times New Roman" w:eastAsia="宋体"/>
      <w:kern w:val="2"/>
      <w:sz w:val="21"/>
      <w:szCs w:val="24"/>
    </w:rPr>
  </w:style>
  <w:style w:type="character" w:customStyle="1" w:styleId="133">
    <w:name w:val="正文文本 字符1"/>
    <w:autoRedefine/>
    <w:semiHidden/>
    <w:qFormat/>
    <w:uiPriority w:val="0"/>
    <w:rPr>
      <w:rFonts w:ascii="Times New Roman" w:hAnsi="Times New Roman" w:eastAsia="宋体"/>
      <w:sz w:val="24"/>
    </w:rPr>
  </w:style>
  <w:style w:type="character" w:customStyle="1" w:styleId="134">
    <w:name w:val="表格 Char"/>
    <w:link w:val="135"/>
    <w:autoRedefine/>
    <w:qFormat/>
    <w:uiPriority w:val="0"/>
    <w:rPr>
      <w:rFonts w:ascii="宋体"/>
      <w:sz w:val="21"/>
    </w:rPr>
  </w:style>
  <w:style w:type="paragraph" w:customStyle="1" w:styleId="135">
    <w:name w:val="表格"/>
    <w:basedOn w:val="2"/>
    <w:link w:val="134"/>
    <w:autoRedefine/>
    <w:qFormat/>
    <w:uiPriority w:val="0"/>
    <w:pPr>
      <w:tabs>
        <w:tab w:val="left" w:pos="0"/>
      </w:tabs>
      <w:spacing w:beforeLines="10" w:afterLines="10" w:line="259" w:lineRule="auto"/>
      <w:jc w:val="center"/>
    </w:pPr>
    <w:rPr>
      <w:rFonts w:ascii="宋体"/>
      <w:kern w:val="0"/>
      <w:szCs w:val="20"/>
    </w:rPr>
  </w:style>
  <w:style w:type="paragraph" w:customStyle="1" w:styleId="136">
    <w:name w:val="Normal Indent"/>
    <w:basedOn w:val="1"/>
    <w:qFormat/>
    <w:uiPriority w:val="0"/>
    <w:pPr>
      <w:tabs>
        <w:tab w:val="left" w:pos="0"/>
      </w:tabs>
      <w:ind w:firstLine="480"/>
      <w:jc w:val="left"/>
    </w:pPr>
    <w:rPr>
      <w:color w:val="000000"/>
      <w:sz w:val="24"/>
      <w:lang w:bidi="ar-SA"/>
    </w:rPr>
  </w:style>
  <w:style w:type="character" w:customStyle="1" w:styleId="137">
    <w:name w:val="日期 字符"/>
    <w:autoRedefine/>
    <w:semiHidden/>
    <w:qFormat/>
    <w:uiPriority w:val="0"/>
    <w:rPr>
      <w:rFonts w:ascii="Times New Roman" w:hAnsi="Times New Roman" w:eastAsia="宋体"/>
      <w:sz w:val="24"/>
    </w:rPr>
  </w:style>
  <w:style w:type="character" w:customStyle="1" w:styleId="138">
    <w:name w:val="批注文字 字符1"/>
    <w:autoRedefine/>
    <w:semiHidden/>
    <w:qFormat/>
    <w:uiPriority w:val="0"/>
    <w:rPr>
      <w:rFonts w:ascii="Times New Roman" w:hAnsi="Times New Roman" w:eastAsia="宋体"/>
      <w:sz w:val="24"/>
    </w:rPr>
  </w:style>
  <w:style w:type="paragraph" w:customStyle="1" w:styleId="139">
    <w:name w:val="正文_10"/>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40">
    <w:name w:val="普通(网站)2"/>
    <w:basedOn w:val="1"/>
    <w:autoRedefine/>
    <w:qFormat/>
    <w:uiPriority w:val="0"/>
    <w:pPr>
      <w:spacing w:before="100" w:beforeAutospacing="1" w:after="100" w:afterAutospacing="1"/>
    </w:pPr>
    <w:rPr>
      <w:rFonts w:ascii="宋体" w:hAnsi="宋体"/>
      <w:szCs w:val="20"/>
    </w:rPr>
  </w:style>
  <w:style w:type="paragraph" w:customStyle="1" w:styleId="141">
    <w:name w:val="样式 首行缩进:  2 字符1"/>
    <w:basedOn w:val="1"/>
    <w:autoRedefine/>
    <w:qFormat/>
    <w:uiPriority w:val="0"/>
    <w:pPr>
      <w:spacing w:line="480" w:lineRule="exact"/>
    </w:pPr>
    <w:rPr>
      <w:rFonts w:ascii="宋体"/>
      <w:kern w:val="0"/>
      <w:szCs w:val="20"/>
    </w:rPr>
  </w:style>
  <w:style w:type="paragraph" w:customStyle="1" w:styleId="142">
    <w:name w:val="危化正文"/>
    <w:basedOn w:val="1"/>
    <w:next w:val="1"/>
    <w:autoRedefine/>
    <w:qFormat/>
    <w:uiPriority w:val="0"/>
    <w:pPr>
      <w:ind w:firstLine="561"/>
    </w:pPr>
    <w:rPr>
      <w:rFonts w:eastAsia="仿宋_GB2312"/>
      <w:kern w:val="0"/>
      <w:sz w:val="28"/>
      <w:szCs w:val="28"/>
      <w:lang w:eastAsia="en-US"/>
    </w:rPr>
  </w:style>
  <w:style w:type="character" w:customStyle="1" w:styleId="143">
    <w:name w:val="日期 Char"/>
    <w:link w:val="144"/>
    <w:autoRedefine/>
    <w:qFormat/>
    <w:uiPriority w:val="99"/>
    <w:rPr>
      <w:rFonts w:ascii="Times New Roman" w:hAnsi="Times New Roman" w:eastAsia="宋体"/>
      <w:sz w:val="24"/>
    </w:rPr>
  </w:style>
  <w:style w:type="paragraph" w:customStyle="1" w:styleId="144">
    <w:name w:val="日期1"/>
    <w:basedOn w:val="1"/>
    <w:next w:val="1"/>
    <w:link w:val="143"/>
    <w:autoRedefine/>
    <w:qFormat/>
    <w:uiPriority w:val="99"/>
    <w:pPr>
      <w:textAlignment w:val="baseline"/>
    </w:pPr>
    <w:rPr>
      <w:kern w:val="0"/>
      <w:szCs w:val="20"/>
    </w:rPr>
  </w:style>
  <w:style w:type="character" w:customStyle="1" w:styleId="145">
    <w:name w:val="普通(网站) Char"/>
    <w:autoRedefine/>
    <w:qFormat/>
    <w:uiPriority w:val="0"/>
    <w:rPr>
      <w:rFonts w:ascii="宋体" w:hAnsi="宋体" w:eastAsia="宋体"/>
      <w:sz w:val="24"/>
    </w:rPr>
  </w:style>
  <w:style w:type="character" w:customStyle="1" w:styleId="146">
    <w:name w:val="正文文本 Char"/>
    <w:autoRedefine/>
    <w:qFormat/>
    <w:uiPriority w:val="99"/>
    <w:rPr>
      <w:sz w:val="18"/>
    </w:rPr>
  </w:style>
  <w:style w:type="character" w:customStyle="1" w:styleId="147">
    <w:name w:val="批注文字 Char"/>
    <w:autoRedefine/>
    <w:qFormat/>
    <w:uiPriority w:val="99"/>
    <w:rPr>
      <w:rFonts w:ascii="Times New Roman" w:hAnsi="Times New Roman" w:eastAsia="宋体"/>
      <w:sz w:val="24"/>
    </w:rPr>
  </w:style>
  <w:style w:type="character" w:customStyle="1" w:styleId="148">
    <w:name w:val="批注框文本 Char"/>
    <w:autoRedefine/>
    <w:qFormat/>
    <w:uiPriority w:val="99"/>
    <w:rPr>
      <w:rFonts w:ascii="Times New Roman" w:hAnsi="Times New Roman" w:eastAsia="宋体"/>
      <w:sz w:val="18"/>
    </w:rPr>
  </w:style>
  <w:style w:type="character" w:customStyle="1" w:styleId="149">
    <w:name w:val="批注主题 Char"/>
    <w:link w:val="150"/>
    <w:autoRedefine/>
    <w:qFormat/>
    <w:uiPriority w:val="0"/>
    <w:rPr>
      <w:rFonts w:ascii="Times New Roman" w:hAnsi="Times New Roman" w:eastAsia="宋体"/>
      <w:b/>
      <w:kern w:val="2"/>
      <w:sz w:val="24"/>
    </w:rPr>
  </w:style>
  <w:style w:type="paragraph" w:customStyle="1" w:styleId="150">
    <w:name w:val="批注主题1"/>
    <w:basedOn w:val="25"/>
    <w:next w:val="25"/>
    <w:link w:val="149"/>
    <w:autoRedefine/>
    <w:qFormat/>
    <w:uiPriority w:val="0"/>
    <w:pPr>
      <w:spacing w:line="440" w:lineRule="exact"/>
      <w:ind w:firstLine="200"/>
      <w:jc w:val="both"/>
    </w:pPr>
    <w:rPr>
      <w:b/>
      <w:kern w:val="2"/>
    </w:rPr>
  </w:style>
  <w:style w:type="character" w:customStyle="1" w:styleId="151">
    <w:name w:val="页眉 Char"/>
    <w:autoRedefine/>
    <w:qFormat/>
    <w:uiPriority w:val="99"/>
    <w:rPr>
      <w:sz w:val="18"/>
    </w:rPr>
  </w:style>
  <w:style w:type="character" w:customStyle="1" w:styleId="152">
    <w:name w:val="正文文本缩进 Char"/>
    <w:autoRedefine/>
    <w:semiHidden/>
    <w:qFormat/>
    <w:uiPriority w:val="99"/>
    <w:rPr>
      <w:rFonts w:ascii="Times New Roman" w:hAnsi="Times New Roman" w:eastAsia="宋体"/>
      <w:sz w:val="24"/>
    </w:rPr>
  </w:style>
  <w:style w:type="paragraph" w:customStyle="1" w:styleId="153">
    <w:name w:val="_Style 54"/>
    <w:basedOn w:val="31"/>
    <w:next w:val="83"/>
    <w:link w:val="154"/>
    <w:autoRedefine/>
    <w:qFormat/>
    <w:uiPriority w:val="0"/>
    <w:rPr>
      <w:kern w:val="2"/>
      <w:szCs w:val="24"/>
    </w:rPr>
  </w:style>
  <w:style w:type="character" w:customStyle="1" w:styleId="154">
    <w:name w:val="正文首行缩进 2 Char"/>
    <w:link w:val="153"/>
    <w:autoRedefine/>
    <w:qFormat/>
    <w:uiPriority w:val="0"/>
    <w:rPr>
      <w:rFonts w:ascii="Times New Roman" w:hAnsi="Times New Roman" w:eastAsia="宋体"/>
      <w:kern w:val="2"/>
      <w:sz w:val="21"/>
      <w:szCs w:val="24"/>
    </w:rPr>
  </w:style>
  <w:style w:type="paragraph" w:customStyle="1" w:styleId="155">
    <w:name w:val="Char Char Char Char Char Char"/>
    <w:basedOn w:val="1"/>
    <w:autoRedefine/>
    <w:qFormat/>
    <w:uiPriority w:val="0"/>
  </w:style>
  <w:style w:type="character" w:customStyle="1" w:styleId="156">
    <w:name w:val="Default Char"/>
    <w:link w:val="53"/>
    <w:autoRedefine/>
    <w:qFormat/>
    <w:uiPriority w:val="99"/>
    <w:rPr>
      <w:rFonts w:ascii="宋体"/>
      <w:color w:val="000000"/>
      <w:sz w:val="24"/>
      <w:szCs w:val="24"/>
    </w:rPr>
  </w:style>
  <w:style w:type="paragraph" w:customStyle="1" w:styleId="157">
    <w:name w:val="正文文本1"/>
    <w:basedOn w:val="1"/>
    <w:autoRedefine/>
    <w:qFormat/>
    <w:uiPriority w:val="99"/>
    <w:pPr>
      <w:shd w:val="clear" w:color="auto" w:fill="FFFFFF"/>
      <w:spacing w:line="480" w:lineRule="exact"/>
      <w:jc w:val="distribute"/>
    </w:pPr>
    <w:rPr>
      <w:rFonts w:ascii="Arial Unicode MS" w:hAnsi="Arial Unicode MS" w:eastAsia="Arial Unicode MS" w:cs="Arial Unicode MS"/>
      <w:sz w:val="23"/>
      <w:szCs w:val="23"/>
    </w:rPr>
  </w:style>
  <w:style w:type="paragraph" w:customStyle="1" w:styleId="158">
    <w:name w:val="Char Char Char Char Char Char111"/>
    <w:basedOn w:val="1"/>
    <w:autoRedefine/>
    <w:qFormat/>
    <w:uiPriority w:val="0"/>
  </w:style>
  <w:style w:type="character" w:customStyle="1" w:styleId="159">
    <w:name w:val="文档结构图 Char"/>
    <w:basedOn w:val="100"/>
    <w:link w:val="24"/>
    <w:autoRedefine/>
    <w:qFormat/>
    <w:uiPriority w:val="99"/>
    <w:rPr>
      <w:rFonts w:ascii="宋体"/>
      <w:kern w:val="2"/>
      <w:sz w:val="18"/>
      <w:szCs w:val="18"/>
    </w:rPr>
  </w:style>
  <w:style w:type="character" w:customStyle="1" w:styleId="160">
    <w:name w:val="正文233 Char Char"/>
    <w:link w:val="161"/>
    <w:autoRedefine/>
    <w:qFormat/>
    <w:uiPriority w:val="0"/>
    <w:rPr>
      <w:rFonts w:cs="宋体"/>
      <w:sz w:val="24"/>
      <w:szCs w:val="24"/>
    </w:rPr>
  </w:style>
  <w:style w:type="paragraph" w:customStyle="1" w:styleId="161">
    <w:name w:val="正文233"/>
    <w:basedOn w:val="162"/>
    <w:link w:val="160"/>
    <w:autoRedefine/>
    <w:qFormat/>
    <w:uiPriority w:val="0"/>
    <w:pPr>
      <w:ind w:firstLine="200"/>
    </w:pPr>
    <w:rPr>
      <w:kern w:val="0"/>
    </w:rPr>
  </w:style>
  <w:style w:type="paragraph" w:customStyle="1" w:styleId="162">
    <w:name w:val="样式 样式 正文 + 首行缩进:  2 字符 + 首行缩进:  2 字符"/>
    <w:basedOn w:val="163"/>
    <w:autoRedefine/>
    <w:semiHidden/>
    <w:qFormat/>
    <w:uiPriority w:val="0"/>
  </w:style>
  <w:style w:type="paragraph" w:customStyle="1" w:styleId="163">
    <w:name w:val="样式 正文 + 首行缩进:  2 字符"/>
    <w:basedOn w:val="164"/>
    <w:autoRedefine/>
    <w:semiHidden/>
    <w:qFormat/>
    <w:uiPriority w:val="0"/>
    <w:pPr>
      <w:spacing w:line="480" w:lineRule="exact"/>
    </w:pPr>
    <w:rPr>
      <w:rFonts w:cs="宋体"/>
    </w:rPr>
  </w:style>
  <w:style w:type="paragraph" w:customStyle="1" w:styleId="164">
    <w:name w:val="正文3"/>
    <w:basedOn w:val="1"/>
    <w:autoRedefine/>
    <w:qFormat/>
    <w:uiPriority w:val="99"/>
    <w:pPr>
      <w:spacing w:line="529" w:lineRule="exact"/>
    </w:pPr>
    <w:rPr>
      <w:rFonts w:ascii="Sim Sun" w:hAnsi="Sim Sun" w:cs="Sim Sun"/>
      <w:bCs/>
      <w:color w:val="000000"/>
      <w:kern w:val="24"/>
    </w:rPr>
  </w:style>
  <w:style w:type="paragraph" w:customStyle="1" w:styleId="165">
    <w:name w:val="aaa正兴泰表格"/>
    <w:basedOn w:val="1"/>
    <w:autoRedefine/>
    <w:qFormat/>
    <w:uiPriority w:val="0"/>
    <w:pPr>
      <w:spacing w:line="360" w:lineRule="exact"/>
      <w:jc w:val="center"/>
    </w:pPr>
    <w:rPr>
      <w:snapToGrid w:val="0"/>
      <w:szCs w:val="20"/>
    </w:rPr>
  </w:style>
  <w:style w:type="character" w:customStyle="1" w:styleId="166">
    <w:name w:val="正文缩进 Char"/>
    <w:link w:val="2"/>
    <w:autoRedefine/>
    <w:qFormat/>
    <w:uiPriority w:val="99"/>
    <w:rPr>
      <w:kern w:val="2"/>
      <w:sz w:val="21"/>
    </w:rPr>
  </w:style>
  <w:style w:type="paragraph" w:customStyle="1" w:styleId="167">
    <w:name w:val="中文报告书"/>
    <w:basedOn w:val="1"/>
    <w:autoRedefine/>
    <w:qFormat/>
    <w:uiPriority w:val="0"/>
    <w:pPr>
      <w:spacing w:after="80" w:line="420" w:lineRule="atLeast"/>
      <w:textAlignment w:val="baseline"/>
    </w:pPr>
    <w:rPr>
      <w:rFonts w:ascii="Calibri" w:hAnsi="Calibri"/>
      <w:kern w:val="0"/>
      <w:lang w:eastAsia="en-US" w:bidi="en-US"/>
    </w:rPr>
  </w:style>
  <w:style w:type="paragraph" w:customStyle="1" w:styleId="168">
    <w:name w:val="中文报告书样式"/>
    <w:basedOn w:val="1"/>
    <w:autoRedefine/>
    <w:qFormat/>
    <w:uiPriority w:val="99"/>
    <w:pPr>
      <w:spacing w:line="480" w:lineRule="atLeast"/>
      <w:ind w:firstLine="482"/>
      <w:textAlignment w:val="baseline"/>
    </w:pPr>
    <w:rPr>
      <w:kern w:val="24"/>
    </w:rPr>
  </w:style>
  <w:style w:type="character" w:customStyle="1" w:styleId="169">
    <w:name w:val="报告正文 Char"/>
    <w:link w:val="170"/>
    <w:autoRedefine/>
    <w:qFormat/>
    <w:uiPriority w:val="0"/>
    <w:rPr>
      <w:kern w:val="2"/>
      <w:sz w:val="24"/>
    </w:rPr>
  </w:style>
  <w:style w:type="paragraph" w:customStyle="1" w:styleId="170">
    <w:name w:val="报告正文"/>
    <w:basedOn w:val="1"/>
    <w:link w:val="169"/>
    <w:autoRedefine/>
    <w:qFormat/>
    <w:uiPriority w:val="0"/>
    <w:pPr>
      <w:spacing w:line="460" w:lineRule="atLeast"/>
      <w:ind w:firstLine="200"/>
    </w:pPr>
    <w:rPr>
      <w:szCs w:val="20"/>
    </w:rPr>
  </w:style>
  <w:style w:type="character" w:customStyle="1" w:styleId="171">
    <w:name w:val="表 Char"/>
    <w:link w:val="172"/>
    <w:autoRedefine/>
    <w:qFormat/>
    <w:uiPriority w:val="99"/>
    <w:rPr>
      <w:spacing w:val="2"/>
      <w:sz w:val="21"/>
      <w:szCs w:val="21"/>
    </w:rPr>
  </w:style>
  <w:style w:type="paragraph" w:customStyle="1" w:styleId="172">
    <w:name w:val="表"/>
    <w:basedOn w:val="1"/>
    <w:link w:val="171"/>
    <w:autoRedefine/>
    <w:qFormat/>
    <w:uiPriority w:val="99"/>
    <w:pPr>
      <w:jc w:val="center"/>
    </w:pPr>
    <w:rPr>
      <w:spacing w:val="2"/>
      <w:kern w:val="0"/>
      <w:szCs w:val="21"/>
    </w:rPr>
  </w:style>
  <w:style w:type="character" w:customStyle="1" w:styleId="173">
    <w:name w:val="题注 Char"/>
    <w:link w:val="21"/>
    <w:autoRedefine/>
    <w:qFormat/>
    <w:uiPriority w:val="0"/>
    <w:rPr>
      <w:rFonts w:ascii="Times New Roman" w:hAnsi="Times New Roman" w:eastAsia="宋体" w:cs="Arial"/>
      <w:b/>
      <w:snapToGrid w:val="0"/>
      <w:kern w:val="0"/>
      <w:sz w:val="21"/>
      <w:szCs w:val="24"/>
      <w:lang w:val="en-US" w:eastAsia="zh-CN" w:bidi="ar-SA"/>
    </w:rPr>
  </w:style>
  <w:style w:type="paragraph" w:customStyle="1" w:styleId="174">
    <w:name w:val="1表格"/>
    <w:basedOn w:val="1"/>
    <w:autoRedefine/>
    <w:qFormat/>
    <w:uiPriority w:val="0"/>
    <w:pPr>
      <w:jc w:val="center"/>
      <w:outlineLvl w:val="4"/>
    </w:pPr>
    <w:rPr>
      <w:rFonts w:ascii="Calibri" w:hAnsi="Calibri"/>
      <w:spacing w:val="4"/>
      <w:szCs w:val="22"/>
    </w:rPr>
  </w:style>
  <w:style w:type="character" w:customStyle="1" w:styleId="175">
    <w:name w:val="font51"/>
    <w:basedOn w:val="100"/>
    <w:autoRedefine/>
    <w:qFormat/>
    <w:uiPriority w:val="0"/>
    <w:rPr>
      <w:rFonts w:hint="eastAsia" w:ascii="宋体" w:hAnsi="宋体" w:eastAsia="宋体"/>
      <w:color w:val="000000"/>
      <w:sz w:val="21"/>
      <w:szCs w:val="21"/>
      <w:u w:val="none"/>
    </w:rPr>
  </w:style>
  <w:style w:type="character" w:customStyle="1" w:styleId="176">
    <w:name w:val="font21"/>
    <w:basedOn w:val="100"/>
    <w:autoRedefine/>
    <w:qFormat/>
    <w:uiPriority w:val="0"/>
    <w:rPr>
      <w:rFonts w:hint="default" w:ascii="Times New Roman" w:hAnsi="Times New Roman" w:cs="Times New Roman"/>
      <w:color w:val="000000"/>
      <w:sz w:val="21"/>
      <w:szCs w:val="21"/>
      <w:u w:val="none"/>
    </w:rPr>
  </w:style>
  <w:style w:type="character" w:customStyle="1" w:styleId="177">
    <w:name w:val="font41"/>
    <w:basedOn w:val="100"/>
    <w:autoRedefine/>
    <w:qFormat/>
    <w:uiPriority w:val="0"/>
    <w:rPr>
      <w:rFonts w:hint="default" w:ascii="Times New Roman" w:hAnsi="Times New Roman" w:cs="Times New Roman"/>
      <w:color w:val="000000"/>
      <w:sz w:val="21"/>
      <w:szCs w:val="21"/>
      <w:u w:val="none"/>
      <w:vertAlign w:val="subscript"/>
    </w:rPr>
  </w:style>
  <w:style w:type="character" w:customStyle="1" w:styleId="178">
    <w:name w:val="font61"/>
    <w:basedOn w:val="100"/>
    <w:autoRedefine/>
    <w:qFormat/>
    <w:uiPriority w:val="0"/>
    <w:rPr>
      <w:rFonts w:hint="eastAsia" w:ascii="宋体" w:hAnsi="宋体" w:eastAsia="宋体"/>
      <w:color w:val="000000"/>
      <w:sz w:val="21"/>
      <w:szCs w:val="21"/>
      <w:u w:val="none"/>
    </w:rPr>
  </w:style>
  <w:style w:type="character" w:customStyle="1" w:styleId="179">
    <w:name w:val="font31"/>
    <w:basedOn w:val="100"/>
    <w:autoRedefine/>
    <w:qFormat/>
    <w:uiPriority w:val="0"/>
    <w:rPr>
      <w:rFonts w:hint="default" w:ascii="Times New Roman" w:hAnsi="Times New Roman" w:cs="Times New Roman"/>
      <w:color w:val="000000"/>
      <w:sz w:val="21"/>
      <w:szCs w:val="21"/>
      <w:u w:val="none"/>
    </w:rPr>
  </w:style>
  <w:style w:type="character" w:customStyle="1" w:styleId="180">
    <w:name w:val="font11"/>
    <w:basedOn w:val="100"/>
    <w:autoRedefine/>
    <w:qFormat/>
    <w:uiPriority w:val="0"/>
    <w:rPr>
      <w:rFonts w:hint="default" w:ascii="Times New Roman" w:hAnsi="Times New Roman" w:cs="Times New Roman"/>
      <w:color w:val="000000"/>
      <w:sz w:val="21"/>
      <w:szCs w:val="21"/>
      <w:u w:val="none"/>
      <w:vertAlign w:val="subscript"/>
    </w:rPr>
  </w:style>
  <w:style w:type="paragraph" w:customStyle="1" w:styleId="181">
    <w:name w:val="其他"/>
    <w:basedOn w:val="135"/>
    <w:autoRedefine/>
    <w:qFormat/>
    <w:uiPriority w:val="0"/>
    <w:pPr>
      <w:tabs>
        <w:tab w:val="center" w:pos="4153"/>
        <w:tab w:val="right" w:pos="8306"/>
      </w:tabs>
      <w:spacing w:beforeLines="0" w:afterLines="0" w:line="240" w:lineRule="auto"/>
      <w:jc w:val="left"/>
      <w:textAlignment w:val="baseline"/>
    </w:pPr>
    <w:rPr>
      <w:rFonts w:ascii="Times New Roman" w:eastAsia="仿宋_GB2312"/>
      <w:sz w:val="28"/>
      <w:szCs w:val="21"/>
    </w:rPr>
  </w:style>
  <w:style w:type="paragraph" w:customStyle="1" w:styleId="182">
    <w:name w:val="图图"/>
    <w:basedOn w:val="1"/>
    <w:autoRedefine/>
    <w:qFormat/>
    <w:uiPriority w:val="99"/>
    <w:pPr>
      <w:jc w:val="center"/>
    </w:pPr>
  </w:style>
  <w:style w:type="character" w:customStyle="1" w:styleId="183">
    <w:name w:val="标题 5 Char"/>
    <w:basedOn w:val="100"/>
    <w:autoRedefine/>
    <w:qFormat/>
    <w:uiPriority w:val="0"/>
    <w:rPr>
      <w:b/>
      <w:bCs/>
      <w:kern w:val="2"/>
      <w:sz w:val="28"/>
      <w:szCs w:val="28"/>
    </w:rPr>
  </w:style>
  <w:style w:type="character" w:customStyle="1" w:styleId="184">
    <w:name w:val="标题 6 Char"/>
    <w:basedOn w:val="100"/>
    <w:autoRedefine/>
    <w:qFormat/>
    <w:uiPriority w:val="0"/>
    <w:rPr>
      <w:rFonts w:asciiTheme="majorHAnsi" w:hAnsiTheme="majorHAnsi" w:eastAsiaTheme="majorEastAsia" w:cstheme="majorBidi"/>
      <w:b/>
      <w:bCs/>
      <w:kern w:val="2"/>
      <w:sz w:val="24"/>
      <w:szCs w:val="24"/>
    </w:rPr>
  </w:style>
  <w:style w:type="character" w:customStyle="1" w:styleId="185">
    <w:name w:val="标题 7 Char"/>
    <w:basedOn w:val="100"/>
    <w:autoRedefine/>
    <w:qFormat/>
    <w:uiPriority w:val="0"/>
    <w:rPr>
      <w:b/>
      <w:bCs/>
      <w:kern w:val="2"/>
      <w:sz w:val="24"/>
      <w:szCs w:val="24"/>
    </w:rPr>
  </w:style>
  <w:style w:type="character" w:customStyle="1" w:styleId="186">
    <w:name w:val="标题 8 Char"/>
    <w:basedOn w:val="100"/>
    <w:autoRedefine/>
    <w:qFormat/>
    <w:uiPriority w:val="0"/>
    <w:rPr>
      <w:rFonts w:asciiTheme="majorHAnsi" w:hAnsiTheme="majorHAnsi" w:eastAsiaTheme="majorEastAsia" w:cstheme="majorBidi"/>
      <w:kern w:val="2"/>
      <w:sz w:val="24"/>
      <w:szCs w:val="24"/>
    </w:rPr>
  </w:style>
  <w:style w:type="character" w:customStyle="1" w:styleId="187">
    <w:name w:val="标题 9 Char"/>
    <w:basedOn w:val="100"/>
    <w:autoRedefine/>
    <w:qFormat/>
    <w:uiPriority w:val="0"/>
    <w:rPr>
      <w:rFonts w:asciiTheme="majorHAnsi" w:hAnsiTheme="majorHAnsi" w:eastAsiaTheme="majorEastAsia" w:cstheme="majorBidi"/>
      <w:kern w:val="2"/>
      <w:sz w:val="21"/>
      <w:szCs w:val="21"/>
    </w:rPr>
  </w:style>
  <w:style w:type="character" w:customStyle="1" w:styleId="188">
    <w:name w:val="t_tag"/>
    <w:basedOn w:val="100"/>
    <w:autoRedefine/>
    <w:qFormat/>
    <w:uiPriority w:val="0"/>
  </w:style>
  <w:style w:type="character" w:customStyle="1" w:styleId="189">
    <w:name w:val="标题 1 Char Char Char"/>
    <w:autoRedefine/>
    <w:qFormat/>
    <w:uiPriority w:val="0"/>
    <w:rPr>
      <w:rFonts w:eastAsia="宋体"/>
      <w:b/>
      <w:bCs/>
      <w:kern w:val="44"/>
      <w:sz w:val="44"/>
      <w:szCs w:val="44"/>
      <w:lang w:val="en-US" w:eastAsia="zh-CN" w:bidi="ar-SA"/>
    </w:rPr>
  </w:style>
  <w:style w:type="character" w:customStyle="1" w:styleId="190">
    <w:name w:val="postbody1"/>
    <w:autoRedefine/>
    <w:qFormat/>
    <w:uiPriority w:val="0"/>
    <w:rPr>
      <w:sz w:val="12"/>
      <w:szCs w:val="12"/>
    </w:rPr>
  </w:style>
  <w:style w:type="character" w:customStyle="1" w:styleId="191">
    <w:name w:val="正文缩进 Char2"/>
    <w:link w:val="192"/>
    <w:autoRedefine/>
    <w:qFormat/>
    <w:uiPriority w:val="0"/>
    <w:rPr>
      <w:color w:val="000000"/>
      <w:sz w:val="24"/>
    </w:rPr>
  </w:style>
  <w:style w:type="paragraph" w:customStyle="1" w:styleId="192">
    <w:name w:val="正文缩进3"/>
    <w:basedOn w:val="1"/>
    <w:link w:val="191"/>
    <w:autoRedefine/>
    <w:qFormat/>
    <w:uiPriority w:val="0"/>
    <w:pPr>
      <w:tabs>
        <w:tab w:val="left" w:pos="0"/>
      </w:tabs>
      <w:spacing w:line="480" w:lineRule="exact"/>
      <w:ind w:firstLine="480"/>
    </w:pPr>
    <w:rPr>
      <w:color w:val="000000"/>
      <w:kern w:val="0"/>
      <w:szCs w:val="20"/>
    </w:rPr>
  </w:style>
  <w:style w:type="character" w:customStyle="1" w:styleId="193">
    <w:name w:val="正文缩进4 Char"/>
    <w:autoRedefine/>
    <w:qFormat/>
    <w:uiPriority w:val="0"/>
    <w:rPr>
      <w:rFonts w:eastAsia="宋体"/>
      <w:kern w:val="2"/>
      <w:sz w:val="24"/>
      <w:lang w:val="en-US" w:eastAsia="zh-CN" w:bidi="ar-SA"/>
    </w:rPr>
  </w:style>
  <w:style w:type="character" w:customStyle="1" w:styleId="194">
    <w:name w:val="表格 Char Char Char Char"/>
    <w:link w:val="195"/>
    <w:autoRedefine/>
    <w:qFormat/>
    <w:uiPriority w:val="0"/>
    <w:rPr>
      <w:rFonts w:ascii="ˎ̥" w:hAnsi="ˎ̥" w:eastAsia="FLGPEK+TimesNewRoman,Italic" w:cs="ˎ̥"/>
      <w:bCs/>
      <w:color w:val="000000"/>
      <w:kern w:val="24"/>
      <w:sz w:val="21"/>
      <w:szCs w:val="21"/>
    </w:rPr>
  </w:style>
  <w:style w:type="paragraph" w:customStyle="1" w:styleId="195">
    <w:name w:val="表格 Char Char Char"/>
    <w:basedOn w:val="1"/>
    <w:next w:val="1"/>
    <w:link w:val="194"/>
    <w:autoRedefine/>
    <w:qFormat/>
    <w:uiPriority w:val="0"/>
    <w:pPr>
      <w:spacing w:line="360" w:lineRule="exact"/>
      <w:jc w:val="center"/>
    </w:pPr>
    <w:rPr>
      <w:rFonts w:ascii="ˎ̥" w:hAnsi="ˎ̥" w:eastAsia="FLGPEK+TimesNewRoman,Italic" w:cs="ˎ̥"/>
      <w:bCs/>
      <w:color w:val="000000"/>
      <w:kern w:val="24"/>
      <w:szCs w:val="21"/>
    </w:rPr>
  </w:style>
  <w:style w:type="character" w:customStyle="1" w:styleId="196">
    <w:name w:val="珠江啤酒正文 Char"/>
    <w:link w:val="197"/>
    <w:autoRedefine/>
    <w:qFormat/>
    <w:uiPriority w:val="0"/>
    <w:rPr>
      <w:rFonts w:ascii="Sim Sun" w:hAnsi="Sim Sun"/>
      <w:kern w:val="2"/>
      <w:sz w:val="21"/>
    </w:rPr>
  </w:style>
  <w:style w:type="paragraph" w:customStyle="1" w:styleId="197">
    <w:name w:val="珠江啤酒正文"/>
    <w:basedOn w:val="1"/>
    <w:link w:val="196"/>
    <w:autoRedefine/>
    <w:qFormat/>
    <w:uiPriority w:val="0"/>
    <w:pPr>
      <w:spacing w:line="440" w:lineRule="exact"/>
      <w:ind w:firstLine="200"/>
    </w:pPr>
    <w:rPr>
      <w:rFonts w:ascii="Sim Sun" w:hAnsi="Sim Sun"/>
      <w:szCs w:val="20"/>
    </w:rPr>
  </w:style>
  <w:style w:type="character" w:customStyle="1" w:styleId="198">
    <w:name w:val="Table caption_"/>
    <w:link w:val="199"/>
    <w:autoRedefine/>
    <w:qFormat/>
    <w:uiPriority w:val="99"/>
    <w:rPr>
      <w:rFonts w:ascii="MingLiU" w:eastAsia="MingLiU" w:cs="MingLiU"/>
      <w:shd w:val="clear" w:color="auto" w:fill="FFFFFF"/>
    </w:rPr>
  </w:style>
  <w:style w:type="paragraph" w:customStyle="1" w:styleId="199">
    <w:name w:val="Table caption"/>
    <w:basedOn w:val="1"/>
    <w:link w:val="198"/>
    <w:autoRedefine/>
    <w:qFormat/>
    <w:uiPriority w:val="99"/>
    <w:pPr>
      <w:shd w:val="clear" w:color="auto" w:fill="FFFFFF"/>
      <w:spacing w:line="240" w:lineRule="atLeast"/>
    </w:pPr>
    <w:rPr>
      <w:rFonts w:ascii="MingLiU" w:eastAsia="MingLiU" w:cs="MingLiU"/>
      <w:kern w:val="0"/>
      <w:sz w:val="20"/>
      <w:szCs w:val="20"/>
    </w:rPr>
  </w:style>
  <w:style w:type="character" w:customStyle="1" w:styleId="200">
    <w:name w:val="普通文字 Char Char Char Char"/>
    <w:autoRedefine/>
    <w:qFormat/>
    <w:uiPriority w:val="0"/>
    <w:rPr>
      <w:rFonts w:ascii="宋体" w:hAnsi="Courier New" w:eastAsia="宋体" w:cs="Courier New"/>
      <w:kern w:val="2"/>
      <w:sz w:val="24"/>
      <w:szCs w:val="21"/>
      <w:lang w:val="en-US" w:eastAsia="zh-CN" w:bidi="ar-SA"/>
    </w:rPr>
  </w:style>
  <w:style w:type="character" w:customStyle="1" w:styleId="201">
    <w:name w:val="Char Char Char"/>
    <w:autoRedefine/>
    <w:qFormat/>
    <w:uiPriority w:val="0"/>
    <w:rPr>
      <w:rFonts w:ascii="宋体" w:hAnsi="Arial" w:eastAsia="宋体"/>
      <w:b/>
      <w:bCs/>
      <w:kern w:val="44"/>
      <w:sz w:val="30"/>
      <w:lang w:val="en-US" w:eastAsia="zh-CN" w:bidi="ar-SA"/>
    </w:rPr>
  </w:style>
  <w:style w:type="character" w:customStyle="1" w:styleId="202">
    <w:name w:val="style41"/>
    <w:autoRedefine/>
    <w:qFormat/>
    <w:uiPriority w:val="0"/>
    <w:rPr>
      <w:b/>
      <w:bCs/>
      <w:color w:val="CC0000"/>
      <w:sz w:val="21"/>
      <w:szCs w:val="21"/>
    </w:rPr>
  </w:style>
  <w:style w:type="character" w:customStyle="1" w:styleId="203">
    <w:name w:val="表格内容 Char"/>
    <w:link w:val="54"/>
    <w:autoRedefine/>
    <w:qFormat/>
    <w:uiPriority w:val="0"/>
    <w:rPr>
      <w:rFonts w:eastAsia="楷体_GB2312"/>
      <w:spacing w:val="10"/>
      <w:kern w:val="2"/>
      <w:sz w:val="28"/>
    </w:rPr>
  </w:style>
  <w:style w:type="character" w:customStyle="1" w:styleId="204">
    <w:name w:val="Body Text Indent 3 Char Char"/>
    <w:autoRedefine/>
    <w:qFormat/>
    <w:uiPriority w:val="0"/>
    <w:rPr>
      <w:rFonts w:eastAsia="FLGPEK+TimesNewRoman,Italic"/>
      <w:kern w:val="2"/>
      <w:sz w:val="16"/>
      <w:szCs w:val="16"/>
      <w:lang w:val="en-US" w:eastAsia="zh-CN" w:bidi="ar-SA"/>
    </w:rPr>
  </w:style>
  <w:style w:type="character" w:customStyle="1" w:styleId="205">
    <w:name w:val="Char Char13"/>
    <w:autoRedefine/>
    <w:qFormat/>
    <w:uiPriority w:val="0"/>
    <w:rPr>
      <w:rFonts w:eastAsia="FLGPEK+TimesNewRoman,Italic"/>
      <w:sz w:val="24"/>
      <w:lang w:val="en-US" w:eastAsia="zh-CN"/>
    </w:rPr>
  </w:style>
  <w:style w:type="character" w:customStyle="1" w:styleId="206">
    <w:name w:val="2级标题 Char"/>
    <w:autoRedefine/>
    <w:qFormat/>
    <w:uiPriority w:val="0"/>
    <w:rPr>
      <w:rFonts w:ascii="宋体" w:hAnsi="Times New Roman" w:eastAsia="宋体"/>
      <w:bCs/>
      <w:color w:val="000000"/>
      <w:sz w:val="24"/>
      <w:szCs w:val="24"/>
      <w:lang w:val="en-US" w:eastAsia="zh-CN" w:bidi="ar-SA"/>
    </w:rPr>
  </w:style>
  <w:style w:type="character" w:customStyle="1" w:styleId="207">
    <w:name w:val="style31"/>
    <w:autoRedefine/>
    <w:qFormat/>
    <w:uiPriority w:val="0"/>
    <w:rPr>
      <w:color w:val="666666"/>
      <w:sz w:val="18"/>
      <w:szCs w:val="18"/>
    </w:rPr>
  </w:style>
  <w:style w:type="character" w:customStyle="1" w:styleId="208">
    <w:name w:val="样式 首行缩进:  2 字符 行距: 最小值 24 磅 Char Char Char"/>
    <w:autoRedefine/>
    <w:qFormat/>
    <w:uiPriority w:val="0"/>
    <w:rPr>
      <w:rFonts w:eastAsia="Sim Sun"/>
      <w:spacing w:val="6"/>
      <w:sz w:val="24"/>
      <w:lang w:val="en-US" w:eastAsia="zh-CN" w:bidi="ar-SA"/>
    </w:rPr>
  </w:style>
  <w:style w:type="character" w:customStyle="1" w:styleId="209">
    <w:name w:val="content_size_131"/>
    <w:autoRedefine/>
    <w:qFormat/>
    <w:uiPriority w:val="0"/>
    <w:rPr>
      <w:sz w:val="20"/>
      <w:szCs w:val="20"/>
    </w:rPr>
  </w:style>
  <w:style w:type="character" w:customStyle="1" w:styleId="210">
    <w:name w:val="zw1"/>
    <w:autoRedefine/>
    <w:qFormat/>
    <w:uiPriority w:val="0"/>
    <w:rPr>
      <w:rFonts w:hint="eastAsia" w:ascii="Sim Sun" w:hAnsi="Sim Sun" w:eastAsia="Sim Sun"/>
      <w:spacing w:val="400"/>
      <w:sz w:val="22"/>
      <w:szCs w:val="22"/>
    </w:rPr>
  </w:style>
  <w:style w:type="character" w:customStyle="1" w:styleId="211">
    <w:name w:val="超链接2"/>
    <w:autoRedefine/>
    <w:qFormat/>
    <w:uiPriority w:val="0"/>
    <w:rPr>
      <w:color w:val="auto"/>
      <w:sz w:val="18"/>
      <w:u w:val="none"/>
    </w:rPr>
  </w:style>
  <w:style w:type="character" w:customStyle="1" w:styleId="212">
    <w:name w:val="fr21"/>
    <w:autoRedefine/>
    <w:qFormat/>
    <w:uiPriority w:val="0"/>
    <w:rPr>
      <w:rFonts w:hint="default" w:ascii="Century Schoolbook" w:hAnsi="Century Schoolbook"/>
      <w:color w:val="333333"/>
      <w:sz w:val="18"/>
      <w:szCs w:val="18"/>
    </w:rPr>
  </w:style>
  <w:style w:type="character" w:customStyle="1" w:styleId="213">
    <w:name w:val="5文章(治) Char"/>
    <w:link w:val="214"/>
    <w:autoRedefine/>
    <w:qFormat/>
    <w:uiPriority w:val="0"/>
    <w:rPr>
      <w:bCs/>
      <w:color w:val="000000"/>
      <w:kern w:val="24"/>
      <w:sz w:val="24"/>
      <w:szCs w:val="24"/>
    </w:rPr>
  </w:style>
  <w:style w:type="paragraph" w:customStyle="1" w:styleId="214">
    <w:name w:val="5文章(治)"/>
    <w:basedOn w:val="1"/>
    <w:link w:val="213"/>
    <w:autoRedefine/>
    <w:qFormat/>
    <w:uiPriority w:val="0"/>
    <w:pPr>
      <w:ind w:firstLine="480"/>
    </w:pPr>
    <w:rPr>
      <w:bCs/>
      <w:color w:val="000000"/>
      <w:kern w:val="24"/>
    </w:rPr>
  </w:style>
  <w:style w:type="character" w:customStyle="1" w:styleId="215">
    <w:name w:val="表格 Char Char"/>
    <w:autoRedefine/>
    <w:qFormat/>
    <w:uiPriority w:val="0"/>
    <w:rPr>
      <w:rFonts w:eastAsia="宋体"/>
      <w:sz w:val="24"/>
      <w:lang w:val="en-US" w:eastAsia="zh-CN" w:bidi="ar-SA"/>
    </w:rPr>
  </w:style>
  <w:style w:type="character" w:customStyle="1" w:styleId="216">
    <w:name w:val="km Char Char"/>
    <w:link w:val="217"/>
    <w:autoRedefine/>
    <w:qFormat/>
    <w:uiPriority w:val="0"/>
    <w:rPr>
      <w:rFonts w:ascii="Sim Sun" w:hAnsi="Sim Sun" w:cs="Batang"/>
      <w:bCs/>
      <w:color w:val="000000"/>
      <w:kern w:val="24"/>
      <w:sz w:val="28"/>
      <w:szCs w:val="28"/>
    </w:rPr>
  </w:style>
  <w:style w:type="paragraph" w:customStyle="1" w:styleId="217">
    <w:name w:val="km Char"/>
    <w:basedOn w:val="1"/>
    <w:link w:val="216"/>
    <w:autoRedefine/>
    <w:qFormat/>
    <w:uiPriority w:val="0"/>
    <w:pPr>
      <w:ind w:firstLine="567"/>
    </w:pPr>
    <w:rPr>
      <w:rFonts w:ascii="Sim Sun" w:hAnsi="Sim Sun" w:cs="Batang"/>
      <w:bCs/>
      <w:color w:val="000000"/>
      <w:kern w:val="24"/>
      <w:sz w:val="28"/>
      <w:szCs w:val="28"/>
    </w:rPr>
  </w:style>
  <w:style w:type="character" w:customStyle="1" w:styleId="218">
    <w:name w:val="条标题1.1.1.1 Char"/>
    <w:autoRedefine/>
    <w:qFormat/>
    <w:uiPriority w:val="0"/>
    <w:rPr>
      <w:rFonts w:ascii="ˎ̥" w:hAnsi="ˎ̥" w:eastAsia="Sim Sun"/>
      <w:b/>
      <w:bCs/>
      <w:kern w:val="2"/>
      <w:sz w:val="28"/>
      <w:szCs w:val="28"/>
      <w:lang w:val="en-US" w:eastAsia="zh-CN" w:bidi="ar-SA"/>
    </w:rPr>
  </w:style>
  <w:style w:type="character" w:customStyle="1" w:styleId="219">
    <w:name w:val="A2 Char"/>
    <w:link w:val="220"/>
    <w:autoRedefine/>
    <w:qFormat/>
    <w:uiPriority w:val="0"/>
    <w:rPr>
      <w:rFonts w:ascii="Batang" w:hAnsi="Batang" w:cs="Batang"/>
      <w:bCs/>
      <w:color w:val="000000"/>
      <w:kern w:val="24"/>
      <w:sz w:val="30"/>
      <w:szCs w:val="24"/>
    </w:rPr>
  </w:style>
  <w:style w:type="paragraph" w:customStyle="1" w:styleId="220">
    <w:name w:val="A2"/>
    <w:basedOn w:val="1"/>
    <w:link w:val="219"/>
    <w:autoRedefine/>
    <w:qFormat/>
    <w:uiPriority w:val="0"/>
    <w:pPr>
      <w:ind w:firstLine="570"/>
    </w:pPr>
    <w:rPr>
      <w:rFonts w:ascii="Batang" w:hAnsi="Batang" w:cs="Batang"/>
      <w:bCs/>
      <w:color w:val="000000"/>
      <w:kern w:val="24"/>
      <w:sz w:val="30"/>
    </w:rPr>
  </w:style>
  <w:style w:type="character" w:customStyle="1" w:styleId="221">
    <w:name w:val="font91"/>
    <w:autoRedefine/>
    <w:qFormat/>
    <w:uiPriority w:val="0"/>
    <w:rPr>
      <w:rFonts w:hint="default" w:ascii="Times New Roman" w:hAnsi="Times New Roman" w:cs="Times New Roman"/>
      <w:color w:val="000000"/>
      <w:sz w:val="21"/>
      <w:szCs w:val="21"/>
      <w:u w:val="none"/>
    </w:rPr>
  </w:style>
  <w:style w:type="character" w:customStyle="1" w:styleId="222">
    <w:name w:val="样式 表文 + (西文) Arial (中文) 宋体 (复杂文种) Arial (西文)粗体 Char"/>
    <w:link w:val="223"/>
    <w:autoRedefine/>
    <w:qFormat/>
    <w:uiPriority w:val="0"/>
    <w:rPr>
      <w:rFonts w:ascii="ˎ̥" w:hAnsi="ˎ̥"/>
      <w:b/>
      <w:bCs/>
      <w:sz w:val="21"/>
    </w:rPr>
  </w:style>
  <w:style w:type="paragraph" w:customStyle="1" w:styleId="223">
    <w:name w:val="样式 表文 + (西文) Arial (中文) 宋体 (复杂文种) Arial (西文)粗体"/>
    <w:basedOn w:val="224"/>
    <w:link w:val="222"/>
    <w:autoRedefine/>
    <w:qFormat/>
    <w:uiPriority w:val="0"/>
    <w:rPr>
      <w:rFonts w:ascii="ˎ̥" w:hAnsi="ˎ̥"/>
      <w:b/>
      <w:bCs/>
    </w:rPr>
  </w:style>
  <w:style w:type="paragraph" w:customStyle="1" w:styleId="224">
    <w:name w:val="表文"/>
    <w:basedOn w:val="1"/>
    <w:next w:val="1"/>
    <w:link w:val="433"/>
    <w:autoRedefine/>
    <w:qFormat/>
    <w:uiPriority w:val="99"/>
    <w:pPr>
      <w:spacing w:line="360" w:lineRule="exact"/>
      <w:ind w:firstLine="200"/>
      <w:jc w:val="center"/>
    </w:pPr>
    <w:rPr>
      <w:kern w:val="0"/>
      <w:szCs w:val="20"/>
    </w:rPr>
  </w:style>
  <w:style w:type="character" w:customStyle="1" w:styleId="225">
    <w:name w:val="标题 2 Char Char Char Char Char2"/>
    <w:autoRedefine/>
    <w:qFormat/>
    <w:uiPriority w:val="0"/>
    <w:rPr>
      <w:rFonts w:hint="default" w:ascii="Arial" w:hAnsi="Arial" w:eastAsia="宋体" w:cs="Arial"/>
      <w:b/>
      <w:snapToGrid w:val="0"/>
      <w:sz w:val="32"/>
      <w:szCs w:val="32"/>
      <w:lang w:val="en-US" w:eastAsia="zh-CN" w:bidi="ar-SA"/>
    </w:rPr>
  </w:style>
  <w:style w:type="character" w:customStyle="1" w:styleId="226">
    <w:name w:val="Char Char10"/>
    <w:autoRedefine/>
    <w:qFormat/>
    <w:uiPriority w:val="0"/>
    <w:rPr>
      <w:rFonts w:ascii="宋体" w:hAnsi="宋体" w:eastAsia="FLGPEK+TimesNewRoman,Italic"/>
      <w:kern w:val="2"/>
      <w:sz w:val="18"/>
      <w:szCs w:val="18"/>
      <w:lang w:val="en-US" w:eastAsia="zh-CN" w:bidi="ar-SA"/>
    </w:rPr>
  </w:style>
  <w:style w:type="character" w:customStyle="1" w:styleId="227">
    <w:name w:val="燕山正文 Char"/>
    <w:link w:val="228"/>
    <w:autoRedefine/>
    <w:qFormat/>
    <w:uiPriority w:val="0"/>
    <w:rPr>
      <w:rFonts w:ascii="宋体" w:hAnsi="宋体"/>
      <w:color w:val="000000"/>
      <w:kern w:val="2"/>
      <w:sz w:val="24"/>
      <w:szCs w:val="28"/>
    </w:rPr>
  </w:style>
  <w:style w:type="paragraph" w:customStyle="1" w:styleId="228">
    <w:name w:val="燕山正文"/>
    <w:basedOn w:val="1"/>
    <w:link w:val="227"/>
    <w:autoRedefine/>
    <w:qFormat/>
    <w:uiPriority w:val="0"/>
    <w:pPr>
      <w:tabs>
        <w:tab w:val="left" w:pos="4680"/>
      </w:tabs>
      <w:ind w:firstLine="560"/>
    </w:pPr>
    <w:rPr>
      <w:rFonts w:ascii="宋体" w:hAnsi="宋体"/>
      <w:color w:val="000000"/>
      <w:szCs w:val="28"/>
    </w:rPr>
  </w:style>
  <w:style w:type="character" w:customStyle="1" w:styleId="229">
    <w:name w:val="Char Char18"/>
    <w:autoRedefine/>
    <w:qFormat/>
    <w:uiPriority w:val="0"/>
    <w:rPr>
      <w:rFonts w:eastAsia="FLGPEK+TimesNewRoman,Italic"/>
      <w:b/>
      <w:bCs/>
      <w:kern w:val="2"/>
      <w:sz w:val="24"/>
      <w:szCs w:val="24"/>
      <w:lang w:val="en-US" w:eastAsia="zh-CN" w:bidi="ar-SA"/>
    </w:rPr>
  </w:style>
  <w:style w:type="character" w:customStyle="1" w:styleId="230">
    <w:name w:val="标题 3 Char1 Char Char1"/>
    <w:autoRedefine/>
    <w:qFormat/>
    <w:uiPriority w:val="0"/>
    <w:rPr>
      <w:rFonts w:eastAsia="FLGPEK+TimesNewRoman,Italic"/>
      <w:b/>
      <w:bCs/>
      <w:kern w:val="2"/>
      <w:sz w:val="32"/>
      <w:szCs w:val="32"/>
      <w:lang w:val="en-US" w:eastAsia="zh-CN" w:bidi="ar-SA"/>
    </w:rPr>
  </w:style>
  <w:style w:type="character" w:customStyle="1" w:styleId="231">
    <w:name w:val="可研-正文首行缩进 Char Char1"/>
    <w:autoRedefine/>
    <w:qFormat/>
    <w:uiPriority w:val="0"/>
    <w:rPr>
      <w:rFonts w:ascii="Sim Sun" w:hAnsi="Sim Sun" w:eastAsia="Sim Sun"/>
      <w:color w:val="000000"/>
      <w:sz w:val="28"/>
      <w:szCs w:val="28"/>
      <w:lang w:val="en-US" w:eastAsia="zh-CN"/>
    </w:rPr>
  </w:style>
  <w:style w:type="character" w:customStyle="1" w:styleId="232">
    <w:name w:val="fliesstext1"/>
    <w:autoRedefine/>
    <w:qFormat/>
    <w:uiPriority w:val="0"/>
    <w:rPr>
      <w:rFonts w:hint="default" w:ascii="ˎ̥" w:hAnsi="ˎ̥" w:cs="ˎ̥"/>
      <w:color w:val="000000"/>
      <w:sz w:val="18"/>
      <w:szCs w:val="18"/>
    </w:rPr>
  </w:style>
  <w:style w:type="character" w:customStyle="1" w:styleId="233">
    <w:name w:val="Char Char161"/>
    <w:autoRedefine/>
    <w:qFormat/>
    <w:uiPriority w:val="0"/>
    <w:rPr>
      <w:rFonts w:ascii="Century Schoolbook" w:hAnsi="Century Schoolbook" w:eastAsia="Garamond"/>
      <w:kern w:val="2"/>
      <w:sz w:val="21"/>
      <w:lang w:val="en-US" w:eastAsia="zh-CN"/>
    </w:rPr>
  </w:style>
  <w:style w:type="character" w:customStyle="1" w:styleId="234">
    <w:name w:val="表头及表尾 Char"/>
    <w:link w:val="235"/>
    <w:autoRedefine/>
    <w:qFormat/>
    <w:uiPriority w:val="0"/>
    <w:rPr>
      <w:rFonts w:eastAsia="Vladimir Script"/>
      <w:b/>
      <w:bCs/>
      <w:snapToGrid w:val="0"/>
      <w:color w:val="000000"/>
      <w:sz w:val="21"/>
      <w:szCs w:val="24"/>
    </w:rPr>
  </w:style>
  <w:style w:type="paragraph" w:customStyle="1" w:styleId="235">
    <w:name w:val="表头及表尾"/>
    <w:link w:val="234"/>
    <w:autoRedefine/>
    <w:qFormat/>
    <w:uiPriority w:val="0"/>
    <w:pPr>
      <w:tabs>
        <w:tab w:val="center" w:pos="4200"/>
        <w:tab w:val="right" w:pos="8400"/>
      </w:tabs>
      <w:adjustRightInd w:val="0"/>
      <w:snapToGrid w:val="0"/>
      <w:spacing w:line="360" w:lineRule="auto"/>
      <w:jc w:val="center"/>
    </w:pPr>
    <w:rPr>
      <w:rFonts w:ascii="Times New Roman" w:hAnsi="Times New Roman" w:eastAsia="Vladimir Script" w:cs="Times New Roman"/>
      <w:b/>
      <w:bCs/>
      <w:snapToGrid w:val="0"/>
      <w:color w:val="000000"/>
      <w:sz w:val="21"/>
      <w:szCs w:val="24"/>
      <w:lang w:val="en-US" w:eastAsia="zh-CN" w:bidi="ar-SA"/>
    </w:rPr>
  </w:style>
  <w:style w:type="character" w:customStyle="1" w:styleId="236">
    <w:name w:val="链接"/>
    <w:autoRedefine/>
    <w:qFormat/>
    <w:uiPriority w:val="0"/>
    <w:rPr>
      <w:color w:val="0000FF"/>
      <w:u w:val="single" w:color="0000FF"/>
    </w:rPr>
  </w:style>
  <w:style w:type="character" w:customStyle="1" w:styleId="237">
    <w:name w:val="Char Char17"/>
    <w:autoRedefine/>
    <w:qFormat/>
    <w:uiPriority w:val="0"/>
    <w:rPr>
      <w:rFonts w:ascii="幼圆" w:hAnsi="幼圆" w:eastAsia="@幼圆"/>
      <w:kern w:val="2"/>
      <w:sz w:val="24"/>
      <w:szCs w:val="24"/>
      <w:lang w:val="en-US" w:eastAsia="zh-CN" w:bidi="ar-SA"/>
    </w:rPr>
  </w:style>
  <w:style w:type="character" w:customStyle="1" w:styleId="238">
    <w:name w:val="标5 Char Char"/>
    <w:autoRedefine/>
    <w:qFormat/>
    <w:uiPriority w:val="0"/>
    <w:rPr>
      <w:rFonts w:ascii="Sim Sun" w:hAnsi="Sim Sun" w:eastAsia="Sim Sun"/>
      <w:sz w:val="28"/>
      <w:szCs w:val="28"/>
      <w:lang w:val="en-US" w:eastAsia="zh-CN"/>
    </w:rPr>
  </w:style>
  <w:style w:type="character" w:customStyle="1" w:styleId="239">
    <w:name w:val="Char Char3"/>
    <w:autoRedefine/>
    <w:qFormat/>
    <w:uiPriority w:val="0"/>
    <w:rPr>
      <w:rFonts w:ascii="FLGPEK+TimesNewRoman,Italic" w:hAnsi="FLGPEK+TimesNewRoman,Italic" w:eastAsia="FLGPEK+TimesNewRoman,Italic"/>
      <w:sz w:val="28"/>
      <w:lang w:val="en-US" w:eastAsia="zh-CN" w:bidi="ar-SA"/>
    </w:rPr>
  </w:style>
  <w:style w:type="character" w:customStyle="1" w:styleId="240">
    <w:name w:val="Char Char19"/>
    <w:autoRedefine/>
    <w:qFormat/>
    <w:uiPriority w:val="0"/>
    <w:rPr>
      <w:rFonts w:eastAsia="FLGPEK+TimesNewRoman,Italic"/>
      <w:b/>
      <w:bCs/>
      <w:kern w:val="2"/>
      <w:sz w:val="28"/>
      <w:szCs w:val="28"/>
      <w:lang w:val="en-US" w:eastAsia="zh-CN" w:bidi="ar-SA"/>
    </w:rPr>
  </w:style>
  <w:style w:type="character" w:customStyle="1" w:styleId="241">
    <w:name w:val="Char Char1"/>
    <w:autoRedefine/>
    <w:qFormat/>
    <w:uiPriority w:val="0"/>
    <w:rPr>
      <w:rFonts w:ascii="黑体" w:hAnsi="黑体" w:eastAsia="黑体"/>
      <w:b/>
      <w:bCs/>
      <w:snapToGrid w:val="0"/>
      <w:sz w:val="24"/>
      <w:szCs w:val="32"/>
      <w:lang w:val="en-US" w:eastAsia="zh-CN" w:bidi="ar-SA"/>
    </w:rPr>
  </w:style>
  <w:style w:type="character" w:customStyle="1" w:styleId="242">
    <w:name w:val="14bv11"/>
    <w:autoRedefine/>
    <w:qFormat/>
    <w:uiPriority w:val="0"/>
    <w:rPr>
      <w:b/>
      <w:color w:val="6595D6"/>
      <w:sz w:val="21"/>
      <w:u w:val="none"/>
    </w:rPr>
  </w:style>
  <w:style w:type="character" w:customStyle="1" w:styleId="243">
    <w:name w:val="正文2 Char"/>
    <w:link w:val="244"/>
    <w:autoRedefine/>
    <w:qFormat/>
    <w:uiPriority w:val="0"/>
    <w:rPr>
      <w:rFonts w:ascii="Batang" w:hAnsi="Batang" w:cs="Batang"/>
      <w:bCs/>
      <w:color w:val="000000"/>
      <w:kern w:val="24"/>
      <w:sz w:val="24"/>
    </w:rPr>
  </w:style>
  <w:style w:type="paragraph" w:customStyle="1" w:styleId="244">
    <w:name w:val="正文2"/>
    <w:basedOn w:val="245"/>
    <w:link w:val="243"/>
    <w:autoRedefine/>
    <w:qFormat/>
    <w:uiPriority w:val="0"/>
    <w:pPr>
      <w:snapToGrid w:val="0"/>
      <w:ind w:firstLine="567"/>
    </w:pPr>
    <w:rPr>
      <w:rFonts w:ascii="Batang" w:hAnsi="Batang" w:cs="Batang"/>
      <w:bCs/>
      <w:color w:val="000000"/>
      <w:kern w:val="24"/>
      <w:szCs w:val="20"/>
    </w:rPr>
  </w:style>
  <w:style w:type="paragraph" w:customStyle="1" w:styleId="245">
    <w:name w:val="Body Text 22"/>
    <w:autoRedefine/>
    <w:qFormat/>
    <w:uiPriority w:val="0"/>
    <w:pPr>
      <w:widowControl w:val="0"/>
      <w:adjustRightInd w:val="0"/>
      <w:spacing w:line="440" w:lineRule="atLeast"/>
      <w:ind w:firstLine="480"/>
      <w:jc w:val="both"/>
      <w:textAlignment w:val="baseline"/>
    </w:pPr>
    <w:rPr>
      <w:rFonts w:ascii="Times New Roman" w:hAnsi="Times New Roman" w:eastAsia="仿宋_GB2312" w:cs="Times New Roman"/>
      <w:kern w:val="2"/>
      <w:sz w:val="24"/>
      <w:szCs w:val="22"/>
      <w:lang w:val="en-US" w:eastAsia="zh-CN" w:bidi="ar-SA"/>
    </w:rPr>
  </w:style>
  <w:style w:type="character" w:customStyle="1" w:styleId="246">
    <w:name w:val="Char Char171"/>
    <w:autoRedefine/>
    <w:qFormat/>
    <w:uiPriority w:val="0"/>
    <w:rPr>
      <w:rFonts w:ascii="Century Schoolbook" w:hAnsi="Century Schoolbook" w:eastAsia="Garamond"/>
      <w:kern w:val="2"/>
      <w:sz w:val="24"/>
      <w:lang w:val="en-US" w:eastAsia="zh-CN"/>
    </w:rPr>
  </w:style>
  <w:style w:type="character" w:customStyle="1" w:styleId="247">
    <w:name w:val="报告 Char"/>
    <w:link w:val="248"/>
    <w:autoRedefine/>
    <w:qFormat/>
    <w:uiPriority w:val="0"/>
    <w:rPr>
      <w:rFonts w:ascii="ˎ̥" w:hAnsi="ˎ̥" w:eastAsia="FLGPEK+TimesNewRoman,Italic" w:cs="ˎ̥"/>
      <w:bCs/>
      <w:color w:val="000000"/>
      <w:sz w:val="24"/>
    </w:rPr>
  </w:style>
  <w:style w:type="paragraph" w:customStyle="1" w:styleId="248">
    <w:name w:val="报告"/>
    <w:basedOn w:val="1"/>
    <w:link w:val="247"/>
    <w:autoRedefine/>
    <w:qFormat/>
    <w:uiPriority w:val="0"/>
    <w:pPr>
      <w:ind w:firstLine="505"/>
      <w:textAlignment w:val="baseline"/>
    </w:pPr>
    <w:rPr>
      <w:rFonts w:ascii="ˎ̥" w:hAnsi="ˎ̥" w:eastAsia="FLGPEK+TimesNewRoman,Italic" w:cs="ˎ̥"/>
      <w:bCs/>
      <w:color w:val="000000"/>
      <w:kern w:val="0"/>
      <w:szCs w:val="20"/>
    </w:rPr>
  </w:style>
  <w:style w:type="character" w:customStyle="1" w:styleId="249">
    <w:name w:val="表五号 Char"/>
    <w:link w:val="250"/>
    <w:autoRedefine/>
    <w:qFormat/>
    <w:uiPriority w:val="0"/>
    <w:rPr>
      <w:rFonts w:ascii="ˎ̥" w:hAnsi="Batang" w:eastAsia="FLGPEK+TimesNewRoman,Italic" w:cs="Batang"/>
      <w:bCs/>
      <w:snapToGrid w:val="0"/>
      <w:color w:val="000000"/>
      <w:spacing w:val="-20"/>
      <w:sz w:val="21"/>
      <w:szCs w:val="21"/>
    </w:rPr>
  </w:style>
  <w:style w:type="paragraph" w:customStyle="1" w:styleId="250">
    <w:name w:val="表五号"/>
    <w:basedOn w:val="135"/>
    <w:link w:val="249"/>
    <w:autoRedefine/>
    <w:qFormat/>
    <w:uiPriority w:val="0"/>
    <w:pPr>
      <w:spacing w:beforeLines="0" w:afterLines="0" w:line="240" w:lineRule="auto"/>
      <w:ind w:left="-7" w:leftChars="-3" w:right="-95" w:rightChars="-40"/>
      <w:textAlignment w:val="baseline"/>
    </w:pPr>
    <w:rPr>
      <w:rFonts w:ascii="ˎ̥" w:hAnsi="Batang" w:eastAsia="FLGPEK+TimesNewRoman,Italic" w:cs="Batang"/>
      <w:bCs/>
      <w:snapToGrid w:val="0"/>
      <w:color w:val="000000"/>
      <w:spacing w:val="-20"/>
      <w:szCs w:val="21"/>
    </w:rPr>
  </w:style>
  <w:style w:type="character" w:customStyle="1" w:styleId="251">
    <w:name w:val="1.标题 1 Char Char"/>
    <w:autoRedefine/>
    <w:qFormat/>
    <w:uiPriority w:val="0"/>
    <w:rPr>
      <w:rFonts w:eastAsia="仿宋体"/>
      <w:b/>
      <w:kern w:val="44"/>
      <w:sz w:val="28"/>
      <w:lang w:val="en-US" w:eastAsia="zh-CN"/>
    </w:rPr>
  </w:style>
  <w:style w:type="character" w:customStyle="1" w:styleId="252">
    <w:name w:val="Char Char21"/>
    <w:autoRedefine/>
    <w:qFormat/>
    <w:uiPriority w:val="0"/>
    <w:rPr>
      <w:rFonts w:ascii="仿宋体" w:hAnsi="Century Schoolbook" w:eastAsia="仿宋体" w:cs="Century Schoolbook"/>
      <w:kern w:val="2"/>
      <w:sz w:val="21"/>
      <w:lang w:val="en-US" w:eastAsia="zh-CN"/>
    </w:rPr>
  </w:style>
  <w:style w:type="character" w:customStyle="1" w:styleId="253">
    <w:name w:val="Char Char2"/>
    <w:autoRedefine/>
    <w:qFormat/>
    <w:uiPriority w:val="0"/>
    <w:rPr>
      <w:rFonts w:ascii="Sim Sun" w:hAnsi="ˎ̥" w:eastAsia="Sim Sun" w:cs="ˎ̥"/>
      <w:kern w:val="2"/>
      <w:sz w:val="21"/>
      <w:lang w:val="en-US" w:eastAsia="zh-CN"/>
    </w:rPr>
  </w:style>
  <w:style w:type="character" w:customStyle="1" w:styleId="254">
    <w:name w:val="正文文字缩进 Char Char"/>
    <w:autoRedefine/>
    <w:qFormat/>
    <w:uiPriority w:val="0"/>
    <w:rPr>
      <w:rFonts w:ascii="FLGPEK+TimesNewRoman,Italic" w:eastAsia="FLGPEK+TimesNewRoman,Italic"/>
      <w:spacing w:val="5"/>
      <w:kern w:val="2"/>
      <w:sz w:val="25"/>
      <w:szCs w:val="25"/>
      <w:lang w:val="en-US" w:eastAsia="zh-CN" w:bidi="ar-SA"/>
    </w:rPr>
  </w:style>
  <w:style w:type="character" w:customStyle="1" w:styleId="255">
    <w:name w:val="Char Char111"/>
    <w:autoRedefine/>
    <w:qFormat/>
    <w:uiPriority w:val="0"/>
    <w:rPr>
      <w:rFonts w:hint="default" w:ascii="ˎ̥" w:hAnsi="ˎ̥" w:eastAsia="FLGPEK+TimesNewRoman,Italic" w:cs="ˎ̥"/>
      <w:sz w:val="18"/>
      <w:szCs w:val="18"/>
    </w:rPr>
  </w:style>
  <w:style w:type="character" w:customStyle="1" w:styleId="256">
    <w:name w:val="Char Char141"/>
    <w:autoRedefine/>
    <w:qFormat/>
    <w:uiPriority w:val="0"/>
    <w:rPr>
      <w:rFonts w:eastAsia="FLGPEK+TimesNewRoman,Italic"/>
      <w:kern w:val="2"/>
      <w:sz w:val="18"/>
      <w:szCs w:val="18"/>
      <w:lang w:val="en-US" w:eastAsia="zh-CN" w:bidi="ar-SA"/>
    </w:rPr>
  </w:style>
  <w:style w:type="character" w:customStyle="1" w:styleId="257">
    <w:name w:val="样式 正文首行缩进 + 四号 Char"/>
    <w:link w:val="258"/>
    <w:autoRedefine/>
    <w:qFormat/>
    <w:uiPriority w:val="0"/>
    <w:rPr>
      <w:rFonts w:ascii="Sim Sun" w:hAnsi="Arial Unicode MS"/>
      <w:color w:val="000000"/>
      <w:kern w:val="24"/>
      <w:sz w:val="28"/>
      <w:szCs w:val="24"/>
    </w:rPr>
  </w:style>
  <w:style w:type="paragraph" w:customStyle="1" w:styleId="258">
    <w:name w:val="样式 正文首行缩进 + 四号"/>
    <w:basedOn w:val="259"/>
    <w:link w:val="257"/>
    <w:autoRedefine/>
    <w:qFormat/>
    <w:uiPriority w:val="0"/>
    <w:pPr>
      <w:keepLines/>
      <w:tabs>
        <w:tab w:val="left" w:pos="0"/>
        <w:tab w:val="left" w:pos="1727"/>
        <w:tab w:val="left" w:pos="1884"/>
        <w:tab w:val="left" w:pos="8480"/>
      </w:tabs>
      <w:snapToGrid w:val="0"/>
      <w:ind w:left="-15" w:leftChars="-7"/>
    </w:pPr>
    <w:rPr>
      <w:rFonts w:ascii="Sim Sun"/>
      <w:bCs w:val="0"/>
      <w:sz w:val="28"/>
    </w:rPr>
  </w:style>
  <w:style w:type="paragraph" w:customStyle="1" w:styleId="259">
    <w:name w:val="正文首行缩进1"/>
    <w:basedOn w:val="30"/>
    <w:link w:val="575"/>
    <w:autoRedefine/>
    <w:qFormat/>
    <w:uiPriority w:val="0"/>
    <w:pPr>
      <w:widowControl w:val="0"/>
      <w:snapToGrid/>
      <w:spacing w:before="0" w:after="120" w:line="440" w:lineRule="exact"/>
      <w:ind w:right="0" w:firstLineChars="100"/>
    </w:pPr>
    <w:rPr>
      <w:rFonts w:ascii="Arial Unicode MS" w:hAnsi="Arial Unicode MS"/>
      <w:bCs/>
      <w:color w:val="000000"/>
      <w:kern w:val="24"/>
      <w:sz w:val="24"/>
      <w:szCs w:val="24"/>
    </w:rPr>
  </w:style>
  <w:style w:type="character" w:customStyle="1" w:styleId="260">
    <w:name w:val="明显引用 Char"/>
    <w:link w:val="261"/>
    <w:autoRedefine/>
    <w:qFormat/>
    <w:uiPriority w:val="0"/>
    <w:rPr>
      <w:rFonts w:eastAsia="Sim Sun"/>
      <w:b/>
      <w:bCs/>
      <w:i/>
      <w:iCs/>
      <w:color w:val="4F81BD"/>
    </w:rPr>
  </w:style>
  <w:style w:type="paragraph" w:customStyle="1" w:styleId="261">
    <w:name w:val="明显引用1"/>
    <w:basedOn w:val="1"/>
    <w:next w:val="1"/>
    <w:link w:val="260"/>
    <w:autoRedefine/>
    <w:qFormat/>
    <w:uiPriority w:val="0"/>
    <w:pPr>
      <w:pBdr>
        <w:bottom w:val="single" w:color="4F81BD" w:sz="4" w:space="4"/>
      </w:pBdr>
      <w:spacing w:before="200" w:after="280" w:line="440" w:lineRule="exact"/>
      <w:ind w:left="936" w:right="936" w:firstLine="200"/>
    </w:pPr>
    <w:rPr>
      <w:rFonts w:eastAsia="Sim Sun"/>
      <w:b/>
      <w:bCs/>
      <w:i/>
      <w:iCs/>
      <w:color w:val="4F81BD"/>
      <w:kern w:val="0"/>
      <w:sz w:val="20"/>
      <w:szCs w:val="20"/>
    </w:rPr>
  </w:style>
  <w:style w:type="character" w:customStyle="1" w:styleId="262">
    <w:name w:val="样式25 Char"/>
    <w:link w:val="263"/>
    <w:autoRedefine/>
    <w:qFormat/>
    <w:uiPriority w:val="0"/>
    <w:rPr>
      <w:rFonts w:ascii="宋体" w:hAnsi="宋体"/>
      <w:kern w:val="10"/>
      <w:sz w:val="28"/>
      <w:szCs w:val="28"/>
    </w:rPr>
  </w:style>
  <w:style w:type="paragraph" w:customStyle="1" w:styleId="263">
    <w:name w:val="样式25"/>
    <w:basedOn w:val="1"/>
    <w:link w:val="262"/>
    <w:autoRedefine/>
    <w:qFormat/>
    <w:uiPriority w:val="0"/>
    <w:pPr>
      <w:outlineLvl w:val="2"/>
    </w:pPr>
    <w:rPr>
      <w:rFonts w:ascii="宋体" w:hAnsi="宋体"/>
      <w:kern w:val="10"/>
      <w:sz w:val="28"/>
      <w:szCs w:val="28"/>
    </w:rPr>
  </w:style>
  <w:style w:type="character" w:customStyle="1" w:styleId="264">
    <w:name w:val="标题5 Char"/>
    <w:link w:val="265"/>
    <w:autoRedefine/>
    <w:qFormat/>
    <w:uiPriority w:val="0"/>
    <w:rPr>
      <w:rFonts w:ascii="宋体" w:hAnsi="宋体"/>
      <w:bCs/>
      <w:color w:val="000000"/>
      <w:kern w:val="24"/>
      <w:sz w:val="24"/>
      <w:szCs w:val="24"/>
    </w:rPr>
  </w:style>
  <w:style w:type="paragraph" w:customStyle="1" w:styleId="265">
    <w:name w:val="标题5"/>
    <w:basedOn w:val="1"/>
    <w:link w:val="264"/>
    <w:autoRedefine/>
    <w:qFormat/>
    <w:uiPriority w:val="0"/>
    <w:pPr>
      <w:spacing w:line="480" w:lineRule="exact"/>
      <w:ind w:firstLine="480"/>
    </w:pPr>
    <w:rPr>
      <w:rFonts w:ascii="宋体" w:hAnsi="宋体"/>
      <w:bCs/>
      <w:color w:val="000000"/>
      <w:kern w:val="24"/>
    </w:rPr>
  </w:style>
  <w:style w:type="character" w:customStyle="1" w:styleId="266">
    <w:name w:val="hg21"/>
    <w:autoRedefine/>
    <w:qFormat/>
    <w:uiPriority w:val="0"/>
    <w:rPr>
      <w:color w:val="000000"/>
      <w:sz w:val="28"/>
      <w:szCs w:val="28"/>
    </w:rPr>
  </w:style>
  <w:style w:type="character" w:customStyle="1" w:styleId="267">
    <w:name w:val="样式 小四 Char Char"/>
    <w:autoRedefine/>
    <w:qFormat/>
    <w:uiPriority w:val="0"/>
    <w:rPr>
      <w:rFonts w:eastAsia="宋体"/>
      <w:sz w:val="24"/>
      <w:szCs w:val="21"/>
      <w:lang w:val="en-US" w:eastAsia="zh-CN" w:bidi="ar-SA"/>
    </w:rPr>
  </w:style>
  <w:style w:type="character" w:customStyle="1" w:styleId="268">
    <w:name w:val="目录 2 Char"/>
    <w:autoRedefine/>
    <w:qFormat/>
    <w:uiPriority w:val="0"/>
    <w:rPr>
      <w:b/>
      <w:bCs/>
      <w:kern w:val="2"/>
      <w:lang w:bidi="ar-SA"/>
    </w:rPr>
  </w:style>
  <w:style w:type="character" w:customStyle="1" w:styleId="269">
    <w:name w:val="表格文字统一样式 Char"/>
    <w:link w:val="270"/>
    <w:autoRedefine/>
    <w:qFormat/>
    <w:uiPriority w:val="0"/>
    <w:rPr>
      <w:rFonts w:eastAsia="Garamond"/>
      <w:sz w:val="21"/>
    </w:rPr>
  </w:style>
  <w:style w:type="paragraph" w:customStyle="1" w:styleId="270">
    <w:name w:val="表格文字统一样式"/>
    <w:basedOn w:val="1"/>
    <w:link w:val="269"/>
    <w:autoRedefine/>
    <w:qFormat/>
    <w:uiPriority w:val="0"/>
    <w:pPr>
      <w:spacing w:line="440" w:lineRule="exact"/>
      <w:ind w:firstLine="200"/>
      <w:jc w:val="center"/>
      <w:textAlignment w:val="bottom"/>
    </w:pPr>
    <w:rPr>
      <w:rFonts w:eastAsia="Garamond"/>
      <w:kern w:val="0"/>
      <w:szCs w:val="20"/>
    </w:rPr>
  </w:style>
  <w:style w:type="character" w:customStyle="1" w:styleId="271">
    <w:name w:val="样式4 Char Char Char"/>
    <w:autoRedefine/>
    <w:qFormat/>
    <w:uiPriority w:val="0"/>
    <w:rPr>
      <w:rFonts w:ascii="ˎ̥" w:hAnsi="ˎ̥" w:eastAsia="Sim Sun"/>
      <w:kern w:val="2"/>
      <w:sz w:val="24"/>
      <w:lang w:val="en-US" w:eastAsia="zh-CN"/>
    </w:rPr>
  </w:style>
  <w:style w:type="character" w:customStyle="1" w:styleId="272">
    <w:name w:val="Char Char31"/>
    <w:autoRedefine/>
    <w:qFormat/>
    <w:uiPriority w:val="0"/>
    <w:rPr>
      <w:rFonts w:ascii="仿宋体" w:hAnsi="仿宋体" w:eastAsia="仿宋体"/>
      <w:sz w:val="28"/>
      <w:lang w:val="en-US" w:eastAsia="zh-CN"/>
    </w:rPr>
  </w:style>
  <w:style w:type="character" w:customStyle="1" w:styleId="273">
    <w:name w:val="arr1"/>
    <w:basedOn w:val="100"/>
    <w:autoRedefine/>
    <w:qFormat/>
    <w:uiPriority w:val="0"/>
  </w:style>
  <w:style w:type="character" w:customStyle="1" w:styleId="274">
    <w:name w:val="样式 表格备注 Char"/>
    <w:link w:val="275"/>
    <w:autoRedefine/>
    <w:qFormat/>
    <w:uiPriority w:val="0"/>
    <w:rPr>
      <w:rFonts w:ascii="Sim Sun" w:hAnsi="Sim Sun" w:eastAsia="宋体-方正超大字符集"/>
      <w:sz w:val="24"/>
    </w:rPr>
  </w:style>
  <w:style w:type="paragraph" w:customStyle="1" w:styleId="275">
    <w:name w:val="样式 表格备注"/>
    <w:basedOn w:val="1"/>
    <w:link w:val="274"/>
    <w:autoRedefine/>
    <w:qFormat/>
    <w:uiPriority w:val="0"/>
    <w:pPr>
      <w:keepNext/>
      <w:tabs>
        <w:tab w:val="left" w:pos="628"/>
        <w:tab w:val="left" w:pos="1727"/>
        <w:tab w:val="left" w:pos="1884"/>
        <w:tab w:val="left" w:pos="4325"/>
        <w:tab w:val="left" w:pos="4900"/>
      </w:tabs>
      <w:ind w:firstLine="480"/>
    </w:pPr>
    <w:rPr>
      <w:rFonts w:ascii="Sim Sun" w:hAnsi="Sim Sun" w:eastAsia="宋体-方正超大字符集"/>
      <w:kern w:val="0"/>
      <w:szCs w:val="20"/>
    </w:rPr>
  </w:style>
  <w:style w:type="character" w:customStyle="1" w:styleId="276">
    <w:name w:val="标题1.1.1.1.1.1 Char Char"/>
    <w:autoRedefine/>
    <w:qFormat/>
    <w:uiPriority w:val="0"/>
    <w:rPr>
      <w:rFonts w:ascii="Arial" w:hAnsi="Arial" w:eastAsia="黑体"/>
      <w:b/>
      <w:bCs/>
      <w:spacing w:val="5"/>
      <w:kern w:val="2"/>
      <w:sz w:val="24"/>
      <w:szCs w:val="24"/>
      <w:lang w:val="en-US" w:eastAsia="zh-CN" w:bidi="ar-SA"/>
    </w:rPr>
  </w:style>
  <w:style w:type="character" w:customStyle="1" w:styleId="277">
    <w:name w:val="apple-converted-space"/>
    <w:basedOn w:val="100"/>
    <w:autoRedefine/>
    <w:qFormat/>
    <w:uiPriority w:val="0"/>
  </w:style>
  <w:style w:type="character" w:customStyle="1" w:styleId="278">
    <w:name w:val="样式 标题 2标题2二级 标题 2H2h2第一层条标题 2 Char节标题节11 Char标题 2 Cha...3 Char"/>
    <w:link w:val="279"/>
    <w:autoRedefine/>
    <w:qFormat/>
    <w:uiPriority w:val="0"/>
    <w:rPr>
      <w:rFonts w:ascii="ˎ̥" w:hAnsi="ˎ̥" w:eastAsia="仿宋体"/>
      <w:b/>
      <w:kern w:val="2"/>
      <w:sz w:val="21"/>
    </w:rPr>
  </w:style>
  <w:style w:type="paragraph" w:customStyle="1" w:styleId="279">
    <w:name w:val="样式 标题 2标题2二级 标题 2H2h2第一层条标题 2 Char节标题节11 Char标题 2 Cha...3"/>
    <w:basedOn w:val="6"/>
    <w:link w:val="278"/>
    <w:autoRedefine/>
    <w:qFormat/>
    <w:uiPriority w:val="0"/>
    <w:pPr>
      <w:keepNext w:val="0"/>
      <w:keepLines w:val="0"/>
      <w:spacing w:before="240" w:after="240" w:line="360" w:lineRule="exact"/>
      <w:ind w:left="578" w:hanging="578"/>
      <w:textAlignment w:val="baseline"/>
    </w:pPr>
    <w:rPr>
      <w:rFonts w:ascii="ˎ̥" w:hAnsi="ˎ̥" w:eastAsia="仿宋体"/>
      <w:bCs w:val="0"/>
      <w:sz w:val="21"/>
      <w:szCs w:val="20"/>
    </w:rPr>
  </w:style>
  <w:style w:type="character" w:customStyle="1" w:styleId="280">
    <w:name w:val="Char Char Char3"/>
    <w:autoRedefine/>
    <w:qFormat/>
    <w:uiPriority w:val="0"/>
    <w:rPr>
      <w:rFonts w:ascii="Sim Sun" w:hAnsi="ˎ̥" w:eastAsia="Sim Sun"/>
      <w:b/>
      <w:bCs/>
      <w:kern w:val="44"/>
      <w:sz w:val="30"/>
      <w:lang w:val="en-US" w:eastAsia="zh-CN"/>
    </w:rPr>
  </w:style>
  <w:style w:type="character" w:customStyle="1" w:styleId="281">
    <w:name w:val="正文正文 Char Char"/>
    <w:autoRedefine/>
    <w:qFormat/>
    <w:uiPriority w:val="0"/>
    <w:rPr>
      <w:rFonts w:eastAsia="宋体" w:cs="宋体"/>
      <w:kern w:val="2"/>
      <w:sz w:val="24"/>
      <w:lang w:val="en-US" w:eastAsia="zh-CN" w:bidi="ar-SA"/>
    </w:rPr>
  </w:style>
  <w:style w:type="character" w:customStyle="1" w:styleId="282">
    <w:name w:val="text3_blu"/>
    <w:basedOn w:val="100"/>
    <w:autoRedefine/>
    <w:qFormat/>
    <w:uiPriority w:val="0"/>
  </w:style>
  <w:style w:type="character" w:customStyle="1" w:styleId="283">
    <w:name w:val="标题 8 Char1"/>
    <w:autoRedefine/>
    <w:qFormat/>
    <w:uiPriority w:val="0"/>
    <w:rPr>
      <w:rFonts w:ascii="ˎ̥" w:hAnsi="ˎ̥" w:eastAsia="仿宋体"/>
      <w:spacing w:val="3"/>
      <w:kern w:val="24"/>
      <w:sz w:val="24"/>
      <w:lang w:val="en-US" w:eastAsia="zh-CN"/>
    </w:rPr>
  </w:style>
  <w:style w:type="character" w:customStyle="1" w:styleId="284">
    <w:name w:val="xl35 Char"/>
    <w:link w:val="285"/>
    <w:autoRedefine/>
    <w:qFormat/>
    <w:uiPriority w:val="0"/>
    <w:rPr>
      <w:rFonts w:ascii="Arial Unicode MS" w:hAnsi="Arial Unicode MS" w:eastAsia="Arial Unicode MS" w:cs="Arial Unicode MS"/>
      <w:shd w:val="clear" w:color="auto" w:fill="FFCC00"/>
    </w:rPr>
  </w:style>
  <w:style w:type="paragraph" w:customStyle="1" w:styleId="285">
    <w:name w:val="xl35"/>
    <w:basedOn w:val="1"/>
    <w:link w:val="284"/>
    <w:autoRedefine/>
    <w:qFormat/>
    <w:uiPriority w:val="0"/>
    <w:pPr>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character" w:customStyle="1" w:styleId="286">
    <w:name w:val="cn1"/>
    <w:basedOn w:val="100"/>
    <w:autoRedefine/>
    <w:semiHidden/>
    <w:qFormat/>
    <w:uiPriority w:val="0"/>
  </w:style>
  <w:style w:type="character" w:customStyle="1" w:styleId="287">
    <w:name w:val="z-窗体底端 Char"/>
    <w:link w:val="288"/>
    <w:autoRedefine/>
    <w:qFormat/>
    <w:uiPriority w:val="0"/>
    <w:rPr>
      <w:rFonts w:ascii="ˎ̥" w:hAnsi="ˎ̥"/>
      <w:vanish/>
      <w:sz w:val="16"/>
      <w:szCs w:val="16"/>
    </w:rPr>
  </w:style>
  <w:style w:type="paragraph" w:customStyle="1" w:styleId="288">
    <w:name w:val="z-窗体底端1"/>
    <w:basedOn w:val="1"/>
    <w:next w:val="1"/>
    <w:link w:val="287"/>
    <w:autoRedefine/>
    <w:qFormat/>
    <w:uiPriority w:val="0"/>
    <w:pPr>
      <w:pBdr>
        <w:top w:val="single" w:color="auto" w:sz="6" w:space="1"/>
      </w:pBdr>
      <w:spacing w:line="440" w:lineRule="exact"/>
      <w:ind w:firstLine="200"/>
      <w:jc w:val="center"/>
    </w:pPr>
    <w:rPr>
      <w:rFonts w:ascii="ˎ̥" w:hAnsi="ˎ̥"/>
      <w:vanish/>
      <w:kern w:val="0"/>
      <w:sz w:val="16"/>
      <w:szCs w:val="16"/>
    </w:rPr>
  </w:style>
  <w:style w:type="character" w:customStyle="1" w:styleId="289">
    <w:name w:val="px141"/>
    <w:autoRedefine/>
    <w:qFormat/>
    <w:uiPriority w:val="0"/>
    <w:rPr>
      <w:rFonts w:hint="default" w:ascii="ˎ̥" w:hAnsi="ˎ̥"/>
      <w:sz w:val="21"/>
    </w:rPr>
  </w:style>
  <w:style w:type="character" w:customStyle="1" w:styleId="290">
    <w:name w:val="style131"/>
    <w:autoRedefine/>
    <w:qFormat/>
    <w:uiPriority w:val="0"/>
    <w:rPr>
      <w:color w:val="2977C1"/>
      <w:sz w:val="18"/>
      <w:szCs w:val="18"/>
    </w:rPr>
  </w:style>
  <w:style w:type="character" w:customStyle="1" w:styleId="291">
    <w:name w:val="main141"/>
    <w:autoRedefine/>
    <w:qFormat/>
    <w:uiPriority w:val="0"/>
    <w:rPr>
      <w:sz w:val="22"/>
      <w:szCs w:val="22"/>
    </w:rPr>
  </w:style>
  <w:style w:type="character" w:customStyle="1" w:styleId="292">
    <w:name w:val="标题 9 Char Char Char"/>
    <w:autoRedefine/>
    <w:qFormat/>
    <w:uiPriority w:val="0"/>
    <w:rPr>
      <w:rFonts w:ascii="Arial" w:hAnsi="Arial" w:eastAsia="黑体"/>
      <w:kern w:val="2"/>
      <w:sz w:val="21"/>
      <w:szCs w:val="21"/>
      <w:lang w:val="en-US" w:eastAsia="zh-CN" w:bidi="ar-SA"/>
    </w:rPr>
  </w:style>
  <w:style w:type="character" w:customStyle="1" w:styleId="293">
    <w:name w:val="p1481"/>
    <w:autoRedefine/>
    <w:qFormat/>
    <w:uiPriority w:val="0"/>
    <w:rPr>
      <w:color w:val="515151"/>
      <w:sz w:val="22"/>
      <w:szCs w:val="22"/>
    </w:rPr>
  </w:style>
  <w:style w:type="character" w:customStyle="1" w:styleId="294">
    <w:name w:val="新标题4 Char"/>
    <w:link w:val="295"/>
    <w:autoRedefine/>
    <w:qFormat/>
    <w:uiPriority w:val="0"/>
    <w:rPr>
      <w:rFonts w:ascii="ˎ̥" w:hAnsi="ˎ̥"/>
      <w:b/>
      <w:bCs/>
      <w:spacing w:val="8"/>
      <w:sz w:val="24"/>
    </w:rPr>
  </w:style>
  <w:style w:type="paragraph" w:customStyle="1" w:styleId="295">
    <w:name w:val="新标题4"/>
    <w:basedOn w:val="8"/>
    <w:link w:val="294"/>
    <w:autoRedefine/>
    <w:qFormat/>
    <w:uiPriority w:val="0"/>
    <w:pPr>
      <w:tabs>
        <w:tab w:val="left" w:pos="512"/>
        <w:tab w:val="left" w:pos="1024"/>
        <w:tab w:val="left" w:pos="1583"/>
      </w:tabs>
      <w:overflowPunct w:val="0"/>
      <w:topLinePunct/>
      <w:spacing w:line="440" w:lineRule="exact"/>
      <w:ind w:left="1583" w:hanging="851"/>
    </w:pPr>
    <w:rPr>
      <w:rFonts w:ascii="ˎ̥" w:hAnsi="ˎ̥" w:eastAsia="宋体"/>
      <w:spacing w:val="8"/>
      <w:kern w:val="0"/>
      <w:sz w:val="24"/>
      <w:szCs w:val="20"/>
    </w:rPr>
  </w:style>
  <w:style w:type="character" w:customStyle="1" w:styleId="296">
    <w:name w:val="r1"/>
    <w:autoRedefine/>
    <w:qFormat/>
    <w:uiPriority w:val="0"/>
    <w:rPr>
      <w:spacing w:val="300"/>
      <w:sz w:val="20"/>
      <w:szCs w:val="20"/>
    </w:rPr>
  </w:style>
  <w:style w:type="character" w:customStyle="1" w:styleId="297">
    <w:name w:val="3级标题3 Char"/>
    <w:link w:val="298"/>
    <w:autoRedefine/>
    <w:qFormat/>
    <w:uiPriority w:val="0"/>
    <w:rPr>
      <w:rFonts w:ascii="宋体" w:eastAsia="仿宋_GB2312" w:cs="宋体"/>
      <w:b/>
      <w:color w:val="000000"/>
      <w:sz w:val="28"/>
      <w:szCs w:val="28"/>
    </w:rPr>
  </w:style>
  <w:style w:type="paragraph" w:customStyle="1" w:styleId="298">
    <w:name w:val="3级标题3"/>
    <w:basedOn w:val="1"/>
    <w:link w:val="297"/>
    <w:autoRedefine/>
    <w:qFormat/>
    <w:uiPriority w:val="0"/>
    <w:pPr>
      <w:outlineLvl w:val="2"/>
    </w:pPr>
    <w:rPr>
      <w:rFonts w:ascii="宋体" w:eastAsia="仿宋_GB2312" w:cs="宋体"/>
      <w:b/>
      <w:color w:val="000000"/>
      <w:kern w:val="0"/>
      <w:sz w:val="28"/>
      <w:szCs w:val="28"/>
    </w:rPr>
  </w:style>
  <w:style w:type="character" w:customStyle="1" w:styleId="299">
    <w:name w:val="headline-content2"/>
    <w:basedOn w:val="100"/>
    <w:autoRedefine/>
    <w:qFormat/>
    <w:uiPriority w:val="0"/>
  </w:style>
  <w:style w:type="character" w:customStyle="1" w:styleId="300">
    <w:name w:val="正文1 Char Char"/>
    <w:autoRedefine/>
    <w:qFormat/>
    <w:uiPriority w:val="0"/>
    <w:rPr>
      <w:rFonts w:ascii="Chicago" w:hAnsi="Chicago" w:eastAsia="Calibri" w:cs="Chicago"/>
      <w:kern w:val="2"/>
      <w:sz w:val="28"/>
      <w:lang w:val="en-US" w:eastAsia="zh-CN" w:bidi="ar-SA"/>
    </w:rPr>
  </w:style>
  <w:style w:type="character" w:customStyle="1" w:styleId="301">
    <w:name w:val="text3_blu1"/>
    <w:autoRedefine/>
    <w:qFormat/>
    <w:uiPriority w:val="0"/>
    <w:rPr>
      <w:rFonts w:hint="default" w:ascii="Arial" w:hAnsi="Arial" w:cs="Arial"/>
      <w:color w:val="000066"/>
      <w:spacing w:val="24"/>
      <w:sz w:val="20"/>
      <w:szCs w:val="20"/>
    </w:rPr>
  </w:style>
  <w:style w:type="character" w:customStyle="1" w:styleId="302">
    <w:name w:val="Char Char101"/>
    <w:autoRedefine/>
    <w:qFormat/>
    <w:uiPriority w:val="0"/>
    <w:rPr>
      <w:rFonts w:ascii="Times New Roman" w:hAnsi="Times New Roman" w:eastAsia="黑体" w:cs="Arial"/>
      <w:bCs/>
      <w:kern w:val="28"/>
      <w:sz w:val="24"/>
      <w:szCs w:val="32"/>
    </w:rPr>
  </w:style>
  <w:style w:type="character" w:customStyle="1" w:styleId="303">
    <w:name w:val="正文缩进 Char Char Char"/>
    <w:autoRedefine/>
    <w:qFormat/>
    <w:uiPriority w:val="0"/>
    <w:rPr>
      <w:rFonts w:eastAsia="宋体"/>
      <w:kern w:val="2"/>
      <w:sz w:val="21"/>
      <w:lang w:val="en-US" w:eastAsia="zh-CN" w:bidi="ar-SA"/>
    </w:rPr>
  </w:style>
  <w:style w:type="character" w:customStyle="1" w:styleId="304">
    <w:name w:val="Body text Exact"/>
    <w:autoRedefine/>
    <w:qFormat/>
    <w:uiPriority w:val="99"/>
    <w:rPr>
      <w:rFonts w:ascii="MingLiU" w:eastAsia="MingLiU" w:cs="MingLiU"/>
      <w:spacing w:val="6"/>
      <w:sz w:val="22"/>
      <w:szCs w:val="22"/>
      <w:u w:val="none"/>
    </w:rPr>
  </w:style>
  <w:style w:type="character" w:styleId="305">
    <w:name w:val="Placeholder Text"/>
    <w:autoRedefine/>
    <w:semiHidden/>
    <w:qFormat/>
    <w:uiPriority w:val="99"/>
    <w:rPr>
      <w:color w:val="808080"/>
    </w:rPr>
  </w:style>
  <w:style w:type="character" w:customStyle="1" w:styleId="306">
    <w:name w:val="text_edit editable-title"/>
    <w:basedOn w:val="100"/>
    <w:autoRedefine/>
    <w:qFormat/>
    <w:uiPriority w:val="0"/>
  </w:style>
  <w:style w:type="character" w:customStyle="1" w:styleId="307">
    <w:name w:val="Char Char Char4"/>
    <w:autoRedefine/>
    <w:qFormat/>
    <w:uiPriority w:val="0"/>
    <w:rPr>
      <w:rFonts w:hint="eastAsia" w:ascii="宋体" w:hAnsi="Arial" w:eastAsia="宋体"/>
      <w:b/>
      <w:bCs/>
      <w:kern w:val="44"/>
      <w:sz w:val="30"/>
      <w:lang w:val="en-US" w:eastAsia="zh-CN" w:bidi="ar-SA"/>
    </w:rPr>
  </w:style>
  <w:style w:type="character" w:customStyle="1" w:styleId="308">
    <w:name w:val="2级标题2 Char"/>
    <w:link w:val="309"/>
    <w:autoRedefine/>
    <w:qFormat/>
    <w:uiPriority w:val="0"/>
    <w:rPr>
      <w:rFonts w:ascii="宋体" w:eastAsia="仿宋_GB2312" w:cs="宋体"/>
      <w:b/>
      <w:color w:val="000000"/>
      <w:sz w:val="30"/>
      <w:szCs w:val="30"/>
    </w:rPr>
  </w:style>
  <w:style w:type="paragraph" w:customStyle="1" w:styleId="309">
    <w:name w:val="2级标题2"/>
    <w:basedOn w:val="1"/>
    <w:link w:val="308"/>
    <w:autoRedefine/>
    <w:qFormat/>
    <w:uiPriority w:val="0"/>
    <w:pPr>
      <w:outlineLvl w:val="1"/>
    </w:pPr>
    <w:rPr>
      <w:rFonts w:ascii="宋体" w:eastAsia="仿宋_GB2312" w:cs="宋体"/>
      <w:b/>
      <w:color w:val="000000"/>
      <w:kern w:val="0"/>
      <w:sz w:val="30"/>
      <w:szCs w:val="30"/>
    </w:rPr>
  </w:style>
  <w:style w:type="character" w:customStyle="1" w:styleId="310">
    <w:name w:val="words-outer-wrap words-outer-wrap-focus"/>
    <w:basedOn w:val="100"/>
    <w:autoRedefine/>
    <w:qFormat/>
    <w:uiPriority w:val="0"/>
  </w:style>
  <w:style w:type="character" w:customStyle="1" w:styleId="311">
    <w:name w:val="Char Char6"/>
    <w:autoRedefine/>
    <w:qFormat/>
    <w:uiPriority w:val="0"/>
    <w:rPr>
      <w:rFonts w:eastAsia="FLGPEK+TimesNewRoman,Italic"/>
      <w:kern w:val="2"/>
      <w:sz w:val="21"/>
      <w:szCs w:val="24"/>
      <w:lang w:val="en-US" w:eastAsia="zh-CN" w:bidi="ar-SA"/>
    </w:rPr>
  </w:style>
  <w:style w:type="character" w:customStyle="1" w:styleId="312">
    <w:name w:val="标题 Char1"/>
    <w:autoRedefine/>
    <w:qFormat/>
    <w:uiPriority w:val="0"/>
    <w:rPr>
      <w:rFonts w:ascii="Batang" w:hAnsi="Batang" w:cs="Arial Unicode MS"/>
      <w:b/>
      <w:bCs/>
      <w:sz w:val="32"/>
      <w:szCs w:val="32"/>
    </w:rPr>
  </w:style>
  <w:style w:type="character" w:customStyle="1" w:styleId="313">
    <w:name w:val="正文文本缩进 2 Char"/>
    <w:link w:val="314"/>
    <w:autoRedefine/>
    <w:qFormat/>
    <w:uiPriority w:val="99"/>
    <w:rPr>
      <w:bCs/>
      <w:color w:val="000000"/>
      <w:kern w:val="24"/>
      <w:sz w:val="24"/>
      <w:szCs w:val="24"/>
    </w:rPr>
  </w:style>
  <w:style w:type="paragraph" w:customStyle="1" w:styleId="314">
    <w:name w:val="正文文本缩进 21"/>
    <w:basedOn w:val="1"/>
    <w:link w:val="313"/>
    <w:autoRedefine/>
    <w:qFormat/>
    <w:uiPriority w:val="99"/>
    <w:pPr>
      <w:spacing w:after="120" w:line="480" w:lineRule="auto"/>
      <w:ind w:left="420" w:leftChars="200" w:firstLine="200"/>
    </w:pPr>
    <w:rPr>
      <w:bCs/>
      <w:color w:val="000000"/>
      <w:kern w:val="24"/>
    </w:rPr>
  </w:style>
  <w:style w:type="character" w:customStyle="1" w:styleId="315">
    <w:name w:val="title-blue1"/>
    <w:autoRedefine/>
    <w:qFormat/>
    <w:uiPriority w:val="0"/>
    <w:rPr>
      <w:rFonts w:hint="default" w:ascii="Chicago" w:hAnsi="Chicago"/>
      <w:b/>
      <w:bCs/>
      <w:color w:val="CC3300"/>
      <w:sz w:val="21"/>
      <w:szCs w:val="21"/>
      <w:u w:val="none"/>
    </w:rPr>
  </w:style>
  <w:style w:type="character" w:customStyle="1" w:styleId="316">
    <w:name w:val="题注 Char1 Char"/>
    <w:autoRedefine/>
    <w:qFormat/>
    <w:uiPriority w:val="0"/>
    <w:rPr>
      <w:rFonts w:ascii="Arial" w:hAnsi="Arial" w:eastAsia="黑体" w:cs="Arial"/>
      <w:kern w:val="2"/>
      <w:lang w:val="en-US" w:eastAsia="zh-CN" w:bidi="ar-SA"/>
    </w:rPr>
  </w:style>
  <w:style w:type="character" w:customStyle="1" w:styleId="317">
    <w:name w:val="样式 首行缩进:  2 字符 Char Char"/>
    <w:autoRedefine/>
    <w:qFormat/>
    <w:uiPriority w:val="0"/>
    <w:rPr>
      <w:rFonts w:eastAsia="宋体" w:cs="宋体"/>
      <w:kern w:val="2"/>
      <w:sz w:val="24"/>
      <w:szCs w:val="24"/>
      <w:lang w:val="en-US" w:eastAsia="zh-CN" w:bidi="ar-SA"/>
    </w:rPr>
  </w:style>
  <w:style w:type="character" w:customStyle="1" w:styleId="318">
    <w:name w:val="样式 标题 4 + 蓝色 Char"/>
    <w:link w:val="319"/>
    <w:autoRedefine/>
    <w:qFormat/>
    <w:uiPriority w:val="0"/>
    <w:rPr>
      <w:rFonts w:ascii="新宋体" w:hAnsi="Arial" w:eastAsia="新宋体"/>
      <w:b/>
      <w:bCs/>
      <w:color w:val="0000FF"/>
      <w:kern w:val="2"/>
      <w:sz w:val="28"/>
      <w:szCs w:val="28"/>
    </w:rPr>
  </w:style>
  <w:style w:type="paragraph" w:customStyle="1" w:styleId="319">
    <w:name w:val="样式 标题 4 + 蓝色"/>
    <w:basedOn w:val="8"/>
    <w:link w:val="318"/>
    <w:autoRedefine/>
    <w:qFormat/>
    <w:uiPriority w:val="0"/>
    <w:pPr>
      <w:spacing w:line="520" w:lineRule="exact"/>
    </w:pPr>
    <w:rPr>
      <w:rFonts w:ascii="新宋体" w:eastAsia="新宋体"/>
      <w:color w:val="0000FF"/>
    </w:rPr>
  </w:style>
  <w:style w:type="character" w:customStyle="1" w:styleId="320">
    <w:name w:val="sbody1"/>
    <w:autoRedefine/>
    <w:qFormat/>
    <w:uiPriority w:val="0"/>
    <w:rPr>
      <w:spacing w:val="360"/>
      <w:sz w:val="14"/>
      <w:szCs w:val="14"/>
    </w:rPr>
  </w:style>
  <w:style w:type="character" w:customStyle="1" w:styleId="321">
    <w:name w:val="样式 报告正文 + 首行缩进:  2 字符 Char"/>
    <w:link w:val="322"/>
    <w:autoRedefine/>
    <w:qFormat/>
    <w:uiPriority w:val="0"/>
    <w:rPr>
      <w:rFonts w:cs="宋体"/>
      <w:bCs/>
      <w:color w:val="000000"/>
      <w:kern w:val="24"/>
      <w:sz w:val="24"/>
    </w:rPr>
  </w:style>
  <w:style w:type="paragraph" w:customStyle="1" w:styleId="322">
    <w:name w:val="样式 报告正文 + 首行缩进:  2 字符"/>
    <w:basedOn w:val="1"/>
    <w:link w:val="321"/>
    <w:autoRedefine/>
    <w:qFormat/>
    <w:uiPriority w:val="0"/>
    <w:pPr>
      <w:ind w:firstLine="200"/>
    </w:pPr>
    <w:rPr>
      <w:rFonts w:cs="宋体"/>
      <w:bCs/>
      <w:color w:val="000000"/>
      <w:kern w:val="24"/>
      <w:szCs w:val="20"/>
    </w:rPr>
  </w:style>
  <w:style w:type="character" w:customStyle="1" w:styleId="323">
    <w:name w:val="z-窗体顶端 Char"/>
    <w:link w:val="324"/>
    <w:autoRedefine/>
    <w:qFormat/>
    <w:uiPriority w:val="0"/>
    <w:rPr>
      <w:rFonts w:ascii="ˎ̥" w:hAnsi="ˎ̥"/>
      <w:vanish/>
      <w:sz w:val="16"/>
      <w:szCs w:val="16"/>
    </w:rPr>
  </w:style>
  <w:style w:type="paragraph" w:customStyle="1" w:styleId="324">
    <w:name w:val="z-窗体顶端1"/>
    <w:basedOn w:val="1"/>
    <w:next w:val="1"/>
    <w:link w:val="323"/>
    <w:autoRedefine/>
    <w:qFormat/>
    <w:uiPriority w:val="0"/>
    <w:pPr>
      <w:pBdr>
        <w:bottom w:val="single" w:color="auto" w:sz="6" w:space="1"/>
      </w:pBdr>
      <w:spacing w:line="440" w:lineRule="exact"/>
      <w:ind w:firstLine="200"/>
      <w:jc w:val="center"/>
    </w:pPr>
    <w:rPr>
      <w:rFonts w:ascii="ˎ̥" w:hAnsi="ˎ̥"/>
      <w:vanish/>
      <w:kern w:val="0"/>
      <w:sz w:val="16"/>
      <w:szCs w:val="16"/>
    </w:rPr>
  </w:style>
  <w:style w:type="character" w:customStyle="1" w:styleId="325">
    <w:name w:val="text1411"/>
    <w:autoRedefine/>
    <w:qFormat/>
    <w:uiPriority w:val="0"/>
    <w:rPr>
      <w:rFonts w:hint="default" w:ascii="楷体_GB2312" w:hAnsi="楷体_GB2312"/>
      <w:color w:val="CA3E00"/>
      <w:sz w:val="21"/>
      <w:szCs w:val="21"/>
    </w:rPr>
  </w:style>
  <w:style w:type="character" w:customStyle="1" w:styleId="326">
    <w:name w:val="样式2 Char"/>
    <w:link w:val="327"/>
    <w:autoRedefine/>
    <w:qFormat/>
    <w:uiPriority w:val="0"/>
    <w:rPr>
      <w:rFonts w:ascii="宋体" w:hAnsi="宋体"/>
      <w:bCs/>
      <w:snapToGrid w:val="0"/>
      <w:color w:val="000000"/>
      <w:kern w:val="24"/>
      <w:sz w:val="24"/>
      <w:szCs w:val="24"/>
    </w:rPr>
  </w:style>
  <w:style w:type="paragraph" w:customStyle="1" w:styleId="327">
    <w:name w:val="样式2"/>
    <w:basedOn w:val="1"/>
    <w:link w:val="326"/>
    <w:autoRedefine/>
    <w:qFormat/>
    <w:uiPriority w:val="0"/>
    <w:pPr>
      <w:spacing w:line="440" w:lineRule="exact"/>
      <w:ind w:firstLine="200"/>
    </w:pPr>
    <w:rPr>
      <w:rFonts w:ascii="宋体" w:hAnsi="宋体"/>
      <w:bCs/>
      <w:snapToGrid w:val="0"/>
      <w:color w:val="000000"/>
      <w:kern w:val="24"/>
    </w:rPr>
  </w:style>
  <w:style w:type="character" w:customStyle="1" w:styleId="328">
    <w:name w:val="Char Char82"/>
    <w:autoRedefine/>
    <w:qFormat/>
    <w:uiPriority w:val="0"/>
    <w:rPr>
      <w:rFonts w:ascii="宋体" w:hAnsi="宋体" w:eastAsia="FLGPEK+TimesNewRoman,Italic"/>
      <w:kern w:val="2"/>
      <w:sz w:val="21"/>
      <w:szCs w:val="22"/>
      <w:lang w:val="en-US" w:eastAsia="zh-CN" w:bidi="ar-SA"/>
    </w:rPr>
  </w:style>
  <w:style w:type="character" w:customStyle="1" w:styleId="329">
    <w:name w:val="批注引用1"/>
    <w:autoRedefine/>
    <w:qFormat/>
    <w:uiPriority w:val="0"/>
    <w:rPr>
      <w:sz w:val="21"/>
      <w:szCs w:val="21"/>
    </w:rPr>
  </w:style>
  <w:style w:type="character" w:customStyle="1" w:styleId="330">
    <w:name w:val="样式 标题 1 + (中文) 宋体 小四 Char"/>
    <w:link w:val="331"/>
    <w:autoRedefine/>
    <w:qFormat/>
    <w:uiPriority w:val="0"/>
    <w:rPr>
      <w:rFonts w:ascii="Batang" w:hAnsi="Batang" w:cs="Batang"/>
      <w:b/>
      <w:bCs/>
      <w:color w:val="000000"/>
      <w:kern w:val="2"/>
      <w:sz w:val="44"/>
      <w:szCs w:val="24"/>
    </w:rPr>
  </w:style>
  <w:style w:type="paragraph" w:customStyle="1" w:styleId="331">
    <w:name w:val="样式 标题 1 + (中文) 宋体 小四"/>
    <w:basedOn w:val="5"/>
    <w:link w:val="330"/>
    <w:autoRedefine/>
    <w:qFormat/>
    <w:uiPriority w:val="0"/>
    <w:pPr>
      <w:keepLines/>
      <w:overflowPunct/>
      <w:snapToGrid/>
      <w:spacing w:before="360" w:after="0" w:line="360" w:lineRule="auto"/>
      <w:ind w:left="0" w:firstLine="0"/>
    </w:pPr>
    <w:rPr>
      <w:rFonts w:ascii="Batang" w:hAnsi="Batang" w:eastAsia="宋体" w:cs="Batang"/>
      <w:kern w:val="2"/>
      <w:sz w:val="44"/>
      <w:szCs w:val="24"/>
    </w:rPr>
  </w:style>
  <w:style w:type="character" w:customStyle="1" w:styleId="332">
    <w:name w:val="正文文字 Char Char1"/>
    <w:autoRedefine/>
    <w:qFormat/>
    <w:uiPriority w:val="0"/>
    <w:rPr>
      <w:rFonts w:ascii="Batang" w:hAnsi="Batang" w:eastAsia="宋体-方正超大字符集" w:cs="Batang"/>
      <w:kern w:val="2"/>
      <w:sz w:val="21"/>
      <w:lang w:val="en-US" w:eastAsia="zh-CN" w:bidi="ar-SA"/>
    </w:rPr>
  </w:style>
  <w:style w:type="character" w:customStyle="1" w:styleId="333">
    <w:name w:val="项标题(1) Char Char"/>
    <w:autoRedefine/>
    <w:qFormat/>
    <w:uiPriority w:val="0"/>
    <w:rPr>
      <w:rFonts w:eastAsia="宋体"/>
      <w:b/>
      <w:bCs/>
      <w:kern w:val="2"/>
      <w:sz w:val="24"/>
      <w:szCs w:val="24"/>
      <w:lang w:val="en-US" w:eastAsia="zh-CN" w:bidi="ar-SA"/>
    </w:rPr>
  </w:style>
  <w:style w:type="character" w:customStyle="1" w:styleId="334">
    <w:name w:val="正文格式 Char"/>
    <w:link w:val="335"/>
    <w:autoRedefine/>
    <w:qFormat/>
    <w:uiPriority w:val="0"/>
    <w:rPr>
      <w:rFonts w:cs="宋体"/>
      <w:bCs/>
      <w:color w:val="000000"/>
      <w:kern w:val="24"/>
      <w:sz w:val="24"/>
      <w:szCs w:val="24"/>
    </w:rPr>
  </w:style>
  <w:style w:type="paragraph" w:customStyle="1" w:styleId="335">
    <w:name w:val="正文格式"/>
    <w:basedOn w:val="1"/>
    <w:link w:val="334"/>
    <w:autoRedefine/>
    <w:qFormat/>
    <w:uiPriority w:val="0"/>
    <w:pPr>
      <w:ind w:firstLine="544"/>
    </w:pPr>
    <w:rPr>
      <w:rFonts w:cs="宋体"/>
      <w:bCs/>
      <w:color w:val="000000"/>
      <w:kern w:val="24"/>
    </w:rPr>
  </w:style>
  <w:style w:type="character" w:customStyle="1" w:styleId="336">
    <w:name w:val="正文文本缩进 Char Char"/>
    <w:autoRedefine/>
    <w:qFormat/>
    <w:uiPriority w:val="0"/>
    <w:rPr>
      <w:rFonts w:ascii="宋体" w:hAnsi="宋体" w:eastAsia="宋体"/>
      <w:color w:val="000000"/>
      <w:kern w:val="2"/>
      <w:sz w:val="21"/>
      <w:szCs w:val="21"/>
      <w:lang w:val="zh-CN" w:eastAsia="zh-CN" w:bidi="ar-SA"/>
    </w:rPr>
  </w:style>
  <w:style w:type="character" w:customStyle="1" w:styleId="337">
    <w:name w:val="正文000 Char"/>
    <w:link w:val="338"/>
    <w:autoRedefine/>
    <w:qFormat/>
    <w:uiPriority w:val="0"/>
    <w:rPr>
      <w:sz w:val="24"/>
    </w:rPr>
  </w:style>
  <w:style w:type="paragraph" w:customStyle="1" w:styleId="338">
    <w:name w:val="正文000"/>
    <w:basedOn w:val="1"/>
    <w:link w:val="337"/>
    <w:autoRedefine/>
    <w:qFormat/>
    <w:uiPriority w:val="0"/>
    <w:pPr>
      <w:spacing w:afterLines="50" w:line="288" w:lineRule="auto"/>
      <w:ind w:firstLine="480"/>
    </w:pPr>
    <w:rPr>
      <w:kern w:val="0"/>
      <w:szCs w:val="20"/>
    </w:rPr>
  </w:style>
  <w:style w:type="character" w:customStyle="1" w:styleId="339">
    <w:name w:val="样式 正文文本正文文字 + 仿宋_GB2312 四号 红色 Char"/>
    <w:autoRedefine/>
    <w:qFormat/>
    <w:uiPriority w:val="0"/>
    <w:rPr>
      <w:rFonts w:ascii="Garamond" w:hAnsi="Garamond" w:eastAsia="Garamond"/>
      <w:snapToGrid w:val="0"/>
      <w:color w:val="FF0000"/>
      <w:kern w:val="2"/>
      <w:sz w:val="24"/>
      <w:lang w:val="en-US" w:eastAsia="zh-CN"/>
    </w:rPr>
  </w:style>
  <w:style w:type="character" w:customStyle="1" w:styleId="340">
    <w:name w:val="正文文本缩进 3 Char"/>
    <w:autoRedefine/>
    <w:qFormat/>
    <w:uiPriority w:val="0"/>
    <w:rPr>
      <w:rFonts w:ascii="Times New Roman" w:hAnsi="Times New Roman" w:eastAsia="宋体" w:cs="Times New Roman"/>
      <w:bCs/>
      <w:color w:val="000000"/>
      <w:kern w:val="24"/>
      <w:sz w:val="16"/>
      <w:szCs w:val="16"/>
    </w:rPr>
  </w:style>
  <w:style w:type="character" w:customStyle="1" w:styleId="341">
    <w:name w:val="未命名51"/>
    <w:autoRedefine/>
    <w:qFormat/>
    <w:uiPriority w:val="0"/>
    <w:rPr>
      <w:sz w:val="23"/>
      <w:szCs w:val="23"/>
    </w:rPr>
  </w:style>
  <w:style w:type="character" w:customStyle="1" w:styleId="342">
    <w:name w:val="样式7 Char"/>
    <w:link w:val="343"/>
    <w:autoRedefine/>
    <w:qFormat/>
    <w:uiPriority w:val="0"/>
    <w:rPr>
      <w:rFonts w:ascii="Arial" w:hAnsi="Arial"/>
      <w:color w:val="000000"/>
      <w:kern w:val="24"/>
      <w:sz w:val="28"/>
      <w:szCs w:val="28"/>
    </w:rPr>
  </w:style>
  <w:style w:type="paragraph" w:customStyle="1" w:styleId="343">
    <w:name w:val="样式7"/>
    <w:basedOn w:val="7"/>
    <w:link w:val="342"/>
    <w:autoRedefine/>
    <w:qFormat/>
    <w:uiPriority w:val="0"/>
    <w:pPr>
      <w:tabs>
        <w:tab w:val="left" w:pos="720"/>
        <w:tab w:val="left" w:pos="900"/>
        <w:tab w:val="left" w:pos="1260"/>
        <w:tab w:val="left" w:pos="1800"/>
      </w:tabs>
      <w:spacing w:before="0" w:after="0" w:line="240" w:lineRule="auto"/>
      <w:ind w:left="720" w:hanging="720"/>
    </w:pPr>
    <w:rPr>
      <w:rFonts w:ascii="Arial" w:hAnsi="Arial"/>
      <w:b w:val="0"/>
      <w:bCs w:val="0"/>
      <w:color w:val="000000"/>
      <w:kern w:val="24"/>
      <w:sz w:val="28"/>
      <w:szCs w:val="28"/>
    </w:rPr>
  </w:style>
  <w:style w:type="character" w:customStyle="1" w:styleId="344">
    <w:name w:val="标4 Char Char"/>
    <w:autoRedefine/>
    <w:qFormat/>
    <w:uiPriority w:val="0"/>
    <w:rPr>
      <w:rFonts w:ascii="Sim Sun" w:eastAsia="Sim Sun"/>
      <w:sz w:val="28"/>
      <w:szCs w:val="28"/>
      <w:lang w:val="en-US" w:eastAsia="zh-CN"/>
    </w:rPr>
  </w:style>
  <w:style w:type="character" w:customStyle="1" w:styleId="345">
    <w:name w:val="text_l1"/>
    <w:autoRedefine/>
    <w:qFormat/>
    <w:uiPriority w:val="0"/>
    <w:rPr>
      <w:color w:val="000066"/>
      <w:sz w:val="18"/>
      <w:szCs w:val="18"/>
    </w:rPr>
  </w:style>
  <w:style w:type="character" w:customStyle="1" w:styleId="346">
    <w:name w:val="正文（首行缩进两字） Char Char6"/>
    <w:autoRedefine/>
    <w:qFormat/>
    <w:uiPriority w:val="0"/>
    <w:rPr>
      <w:rFonts w:ascii="仿宋_GB2312" w:eastAsia="仿宋_GB2312"/>
      <w:kern w:val="2"/>
      <w:sz w:val="28"/>
      <w:szCs w:val="24"/>
      <w:lang w:val="en-US" w:eastAsia="zh-CN" w:bidi="ar-SA"/>
    </w:rPr>
  </w:style>
  <w:style w:type="character" w:customStyle="1" w:styleId="347">
    <w:name w:val="unnamed31"/>
    <w:autoRedefine/>
    <w:qFormat/>
    <w:uiPriority w:val="0"/>
    <w:rPr>
      <w:sz w:val="21"/>
      <w:szCs w:val="21"/>
    </w:rPr>
  </w:style>
  <w:style w:type="character" w:customStyle="1" w:styleId="348">
    <w:name w:val="Char Char181"/>
    <w:autoRedefine/>
    <w:qFormat/>
    <w:uiPriority w:val="0"/>
    <w:rPr>
      <w:rFonts w:eastAsia="仿宋体"/>
      <w:b/>
      <w:kern w:val="2"/>
      <w:sz w:val="24"/>
      <w:lang w:val="en-US" w:eastAsia="zh-CN"/>
    </w:rPr>
  </w:style>
  <w:style w:type="character" w:customStyle="1" w:styleId="349">
    <w:name w:val="样式 正文文本缩进 2正文文字缩进 2 + 四号 蓝色 Char Char Char"/>
    <w:link w:val="350"/>
    <w:autoRedefine/>
    <w:qFormat/>
    <w:uiPriority w:val="0"/>
    <w:rPr>
      <w:bCs/>
      <w:color w:val="0000FF"/>
      <w:sz w:val="24"/>
      <w:szCs w:val="24"/>
    </w:rPr>
  </w:style>
  <w:style w:type="paragraph" w:customStyle="1" w:styleId="350">
    <w:name w:val="样式 正文文本缩进 2正文文字缩进 2 + 四号 蓝色 Char Char"/>
    <w:basedOn w:val="32"/>
    <w:link w:val="349"/>
    <w:autoRedefine/>
    <w:qFormat/>
    <w:uiPriority w:val="0"/>
    <w:pPr>
      <w:ind w:firstLine="709"/>
    </w:pPr>
    <w:rPr>
      <w:rFonts w:ascii="Times New Roman" w:hAnsi="Times New Roman"/>
      <w:color w:val="0000FF"/>
      <w:sz w:val="24"/>
      <w:szCs w:val="24"/>
    </w:rPr>
  </w:style>
  <w:style w:type="character" w:customStyle="1" w:styleId="351">
    <w:name w:val="正文文本 3 Char"/>
    <w:link w:val="352"/>
    <w:autoRedefine/>
    <w:qFormat/>
    <w:uiPriority w:val="0"/>
    <w:rPr>
      <w:bCs/>
      <w:color w:val="000000"/>
      <w:kern w:val="24"/>
      <w:sz w:val="16"/>
      <w:szCs w:val="16"/>
    </w:rPr>
  </w:style>
  <w:style w:type="paragraph" w:customStyle="1" w:styleId="352">
    <w:name w:val="正文文本 31"/>
    <w:basedOn w:val="1"/>
    <w:link w:val="351"/>
    <w:autoRedefine/>
    <w:qFormat/>
    <w:uiPriority w:val="0"/>
    <w:pPr>
      <w:spacing w:line="440" w:lineRule="exact"/>
      <w:ind w:firstLine="200"/>
    </w:pPr>
    <w:rPr>
      <w:bCs/>
      <w:color w:val="000000"/>
      <w:kern w:val="24"/>
      <w:sz w:val="16"/>
      <w:szCs w:val="16"/>
    </w:rPr>
  </w:style>
  <w:style w:type="character" w:customStyle="1" w:styleId="353">
    <w:name w:val="1级标题 Char"/>
    <w:link w:val="354"/>
    <w:autoRedefine/>
    <w:qFormat/>
    <w:uiPriority w:val="0"/>
    <w:rPr>
      <w:rFonts w:eastAsia="仿宋_GB2312"/>
      <w:b/>
      <w:bCs/>
      <w:kern w:val="44"/>
      <w:sz w:val="32"/>
      <w:szCs w:val="32"/>
    </w:rPr>
  </w:style>
  <w:style w:type="paragraph" w:customStyle="1" w:styleId="354">
    <w:name w:val="1级标题"/>
    <w:basedOn w:val="5"/>
    <w:link w:val="353"/>
    <w:autoRedefine/>
    <w:qFormat/>
    <w:uiPriority w:val="0"/>
    <w:pPr>
      <w:keepLines/>
      <w:overflowPunct/>
      <w:snapToGrid/>
      <w:spacing w:before="0" w:after="0" w:line="480" w:lineRule="auto"/>
      <w:ind w:left="0" w:firstLine="200"/>
      <w:jc w:val="center"/>
    </w:pPr>
    <w:rPr>
      <w:rFonts w:eastAsia="仿宋_GB2312"/>
      <w:color w:val="auto"/>
      <w:sz w:val="32"/>
      <w:szCs w:val="32"/>
    </w:rPr>
  </w:style>
  <w:style w:type="character" w:customStyle="1" w:styleId="355">
    <w:name w:val="样式11"/>
    <w:autoRedefine/>
    <w:qFormat/>
    <w:uiPriority w:val="0"/>
    <w:rPr>
      <w:rFonts w:hint="default" w:ascii="ˎ̥" w:hAnsi="ˎ̥" w:cs="ˎ̥"/>
      <w:sz w:val="21"/>
      <w:szCs w:val="21"/>
    </w:rPr>
  </w:style>
  <w:style w:type="character" w:customStyle="1" w:styleId="356">
    <w:name w:val="纯文本 Char1 Char1"/>
    <w:autoRedefine/>
    <w:qFormat/>
    <w:uiPriority w:val="99"/>
    <w:rPr>
      <w:rFonts w:ascii="Sim Sun" w:hAnsi="DFKai-SB" w:eastAsia="宋体-方正超大字符集" w:cs="Batang"/>
      <w:kern w:val="2"/>
      <w:sz w:val="21"/>
      <w:lang w:val="en-US" w:eastAsia="zh-CN" w:bidi="ar-SA"/>
    </w:rPr>
  </w:style>
  <w:style w:type="character" w:customStyle="1" w:styleId="357">
    <w:name w:val="style51"/>
    <w:autoRedefine/>
    <w:qFormat/>
    <w:uiPriority w:val="0"/>
    <w:rPr>
      <w:color w:val="CC0000"/>
    </w:rPr>
  </w:style>
  <w:style w:type="character" w:customStyle="1" w:styleId="358">
    <w:name w:val="无间隔 Char"/>
    <w:link w:val="359"/>
    <w:autoRedefine/>
    <w:qFormat/>
    <w:uiPriority w:val="1"/>
    <w:rPr>
      <w:bCs/>
      <w:color w:val="000000"/>
      <w:kern w:val="2"/>
      <w:sz w:val="22"/>
      <w:szCs w:val="22"/>
    </w:rPr>
  </w:style>
  <w:style w:type="paragraph" w:styleId="359">
    <w:name w:val="No Spacing"/>
    <w:link w:val="358"/>
    <w:autoRedefine/>
    <w:qFormat/>
    <w:uiPriority w:val="1"/>
    <w:rPr>
      <w:rFonts w:ascii="Times New Roman" w:hAnsi="Times New Roman" w:eastAsia="宋体" w:cs="Times New Roman"/>
      <w:bCs/>
      <w:color w:val="000000"/>
      <w:kern w:val="2"/>
      <w:sz w:val="22"/>
      <w:szCs w:val="22"/>
      <w:lang w:val="en-US" w:eastAsia="zh-CN" w:bidi="ar-SA"/>
    </w:rPr>
  </w:style>
  <w:style w:type="character" w:customStyle="1" w:styleId="360">
    <w:name w:val="样式 热电厂正文 + 首行缩进:  2 字符 Char Char"/>
    <w:link w:val="361"/>
    <w:autoRedefine/>
    <w:qFormat/>
    <w:uiPriority w:val="0"/>
    <w:rPr>
      <w:rFonts w:cs="宋体"/>
      <w:bCs/>
      <w:color w:val="000000"/>
      <w:kern w:val="24"/>
      <w:sz w:val="24"/>
    </w:rPr>
  </w:style>
  <w:style w:type="paragraph" w:customStyle="1" w:styleId="361">
    <w:name w:val="样式 热电厂正文 + 首行缩进:  2 字符 Char"/>
    <w:basedOn w:val="1"/>
    <w:link w:val="360"/>
    <w:autoRedefine/>
    <w:qFormat/>
    <w:uiPriority w:val="0"/>
    <w:pPr>
      <w:spacing w:line="480" w:lineRule="exact"/>
      <w:ind w:firstLine="480"/>
    </w:pPr>
    <w:rPr>
      <w:rFonts w:cs="宋体"/>
      <w:bCs/>
      <w:color w:val="000000"/>
      <w:kern w:val="24"/>
      <w:szCs w:val="20"/>
    </w:rPr>
  </w:style>
  <w:style w:type="character" w:customStyle="1" w:styleId="362">
    <w:name w:val="样式 首行缩进:  2 字符 行距: 最小值 24 磅 Char Char"/>
    <w:link w:val="363"/>
    <w:autoRedefine/>
    <w:semiHidden/>
    <w:qFormat/>
    <w:uiPriority w:val="0"/>
    <w:rPr>
      <w:rFonts w:cs="宋体"/>
      <w:bCs/>
      <w:color w:val="000000"/>
      <w:kern w:val="24"/>
      <w:sz w:val="24"/>
    </w:rPr>
  </w:style>
  <w:style w:type="paragraph" w:customStyle="1" w:styleId="363">
    <w:name w:val="样式 首行缩进:  2 字符 行距: 最小值 24 磅 Char"/>
    <w:basedOn w:val="1"/>
    <w:link w:val="362"/>
    <w:autoRedefine/>
    <w:semiHidden/>
    <w:qFormat/>
    <w:uiPriority w:val="0"/>
    <w:pPr>
      <w:spacing w:line="480" w:lineRule="atLeast"/>
      <w:ind w:firstLine="560"/>
    </w:pPr>
    <w:rPr>
      <w:rFonts w:cs="宋体"/>
      <w:bCs/>
      <w:color w:val="000000"/>
      <w:kern w:val="24"/>
      <w:szCs w:val="20"/>
    </w:rPr>
  </w:style>
  <w:style w:type="character" w:customStyle="1" w:styleId="364">
    <w:name w:val="普通文字1 Char"/>
    <w:autoRedefine/>
    <w:qFormat/>
    <w:uiPriority w:val="0"/>
    <w:rPr>
      <w:rFonts w:ascii="Sim Sun" w:hAnsi="DFKai-SB" w:eastAsia="Sim Sun"/>
      <w:kern w:val="2"/>
      <w:sz w:val="21"/>
      <w:lang w:val="en-US" w:eastAsia="zh-CN" w:bidi="ar-SA"/>
    </w:rPr>
  </w:style>
  <w:style w:type="character" w:customStyle="1" w:styleId="365">
    <w:name w:val="style2"/>
    <w:basedOn w:val="100"/>
    <w:autoRedefine/>
    <w:qFormat/>
    <w:uiPriority w:val="0"/>
  </w:style>
  <w:style w:type="character" w:customStyle="1" w:styleId="366">
    <w:name w:val="列表 Char"/>
    <w:link w:val="367"/>
    <w:autoRedefine/>
    <w:qFormat/>
    <w:uiPriority w:val="0"/>
    <w:rPr>
      <w:rFonts w:ascii="Garamond" w:hAnsi="Arial Unicode MS" w:eastAsia="Garamond"/>
      <w:snapToGrid w:val="0"/>
      <w:kern w:val="2"/>
      <w:sz w:val="24"/>
    </w:rPr>
  </w:style>
  <w:style w:type="paragraph" w:customStyle="1" w:styleId="367">
    <w:name w:val="列表1"/>
    <w:basedOn w:val="1"/>
    <w:link w:val="366"/>
    <w:autoRedefine/>
    <w:qFormat/>
    <w:uiPriority w:val="0"/>
    <w:pPr>
      <w:spacing w:line="320" w:lineRule="exact"/>
      <w:ind w:firstLine="200"/>
      <w:jc w:val="center"/>
    </w:pPr>
    <w:rPr>
      <w:rFonts w:ascii="Garamond" w:hAnsi="Arial Unicode MS" w:eastAsia="Garamond"/>
      <w:snapToGrid w:val="0"/>
      <w:szCs w:val="20"/>
    </w:rPr>
  </w:style>
  <w:style w:type="character" w:customStyle="1" w:styleId="368">
    <w:name w:val="样式2 Char1"/>
    <w:autoRedefine/>
    <w:qFormat/>
    <w:uiPriority w:val="0"/>
    <w:rPr>
      <w:rFonts w:ascii="幼圆" w:hAnsi="幼圆" w:eastAsia="FLGPEK+TimesNewRoman,Italic"/>
      <w:kern w:val="2"/>
      <w:sz w:val="24"/>
      <w:szCs w:val="24"/>
      <w:lang w:val="en-US" w:eastAsia="zh-CN" w:bidi="ar-SA"/>
    </w:rPr>
  </w:style>
  <w:style w:type="character" w:customStyle="1" w:styleId="369">
    <w:name w:val="fb1"/>
    <w:autoRedefine/>
    <w:qFormat/>
    <w:uiPriority w:val="0"/>
    <w:rPr>
      <w:b/>
      <w:bCs/>
    </w:rPr>
  </w:style>
  <w:style w:type="character" w:customStyle="1" w:styleId="370">
    <w:name w:val="tit2"/>
    <w:autoRedefine/>
    <w:qFormat/>
    <w:uiPriority w:val="0"/>
    <w:rPr>
      <w:b/>
      <w:bCs/>
      <w:sz w:val="48"/>
      <w:szCs w:val="48"/>
    </w:rPr>
  </w:style>
  <w:style w:type="character" w:customStyle="1" w:styleId="371">
    <w:name w:val="jianjie_index"/>
    <w:basedOn w:val="100"/>
    <w:autoRedefine/>
    <w:qFormat/>
    <w:uiPriority w:val="0"/>
  </w:style>
  <w:style w:type="character" w:customStyle="1" w:styleId="372">
    <w:name w:val="CT Char Char"/>
    <w:autoRedefine/>
    <w:qFormat/>
    <w:uiPriority w:val="0"/>
    <w:rPr>
      <w:rFonts w:eastAsia="FLGPEK+TimesNewRoman,Italic"/>
      <w:sz w:val="28"/>
      <w:szCs w:val="28"/>
      <w:lang w:val="en-US" w:eastAsia="zh-CN" w:bidi="ar-SA"/>
    </w:rPr>
  </w:style>
  <w:style w:type="character" w:customStyle="1" w:styleId="373">
    <w:name w:val="dan7-1 Char"/>
    <w:link w:val="374"/>
    <w:autoRedefine/>
    <w:qFormat/>
    <w:uiPriority w:val="0"/>
    <w:rPr>
      <w:bCs/>
      <w:color w:val="000000"/>
      <w:kern w:val="24"/>
      <w:sz w:val="24"/>
      <w:szCs w:val="24"/>
    </w:rPr>
  </w:style>
  <w:style w:type="paragraph" w:customStyle="1" w:styleId="374">
    <w:name w:val="dan7-1"/>
    <w:basedOn w:val="1"/>
    <w:link w:val="373"/>
    <w:autoRedefine/>
    <w:qFormat/>
    <w:uiPriority w:val="0"/>
    <w:pPr>
      <w:spacing w:before="40" w:after="40"/>
      <w:ind w:firstLine="200"/>
    </w:pPr>
    <w:rPr>
      <w:bCs/>
      <w:color w:val="000000"/>
      <w:kern w:val="24"/>
    </w:rPr>
  </w:style>
  <w:style w:type="character" w:customStyle="1" w:styleId="375">
    <w:name w:val="标题2 Char Char"/>
    <w:autoRedefine/>
    <w:qFormat/>
    <w:uiPriority w:val="0"/>
    <w:rPr>
      <w:rFonts w:ascii="ˎ̥" w:hAnsi="ˎ̥" w:eastAsia="FLGPEK+TimesNewRoman,Italic"/>
      <w:b/>
      <w:bCs/>
      <w:kern w:val="2"/>
      <w:sz w:val="32"/>
      <w:szCs w:val="32"/>
      <w:lang w:val="en-US" w:eastAsia="zh-CN" w:bidi="ar-SA"/>
    </w:rPr>
  </w:style>
  <w:style w:type="character" w:customStyle="1" w:styleId="376">
    <w:name w:val="加粗正文 Char"/>
    <w:autoRedefine/>
    <w:qFormat/>
    <w:uiPriority w:val="0"/>
    <w:rPr>
      <w:rFonts w:ascii="Sim Sun" w:hAnsi="DFKai-SB" w:eastAsia="Sim Sun" w:cs="DFKai-SB"/>
      <w:kern w:val="2"/>
      <w:sz w:val="21"/>
      <w:szCs w:val="21"/>
      <w:lang w:val="en-US" w:eastAsia="zh-CN" w:bidi="ar-SA"/>
    </w:rPr>
  </w:style>
  <w:style w:type="character" w:customStyle="1" w:styleId="377">
    <w:name w:val="even Char"/>
    <w:autoRedefine/>
    <w:semiHidden/>
    <w:qFormat/>
    <w:uiPriority w:val="0"/>
    <w:rPr>
      <w:rFonts w:ascii="Batang" w:hAnsi="Batang" w:eastAsia="宋体-方正超大字符集" w:cs="Batang"/>
      <w:kern w:val="2"/>
      <w:sz w:val="18"/>
      <w:lang w:val="en-US" w:eastAsia="zh-CN" w:bidi="ar-SA"/>
    </w:rPr>
  </w:style>
  <w:style w:type="character" w:customStyle="1" w:styleId="378">
    <w:name w:val="落款 Char Char"/>
    <w:autoRedefine/>
    <w:qFormat/>
    <w:uiPriority w:val="0"/>
    <w:rPr>
      <w:rFonts w:eastAsia="FLGPEK+TimesNewRoman,Italic"/>
      <w:kern w:val="2"/>
      <w:sz w:val="24"/>
      <w:lang w:val="en-US" w:eastAsia="zh-CN" w:bidi="ar-SA"/>
    </w:rPr>
  </w:style>
  <w:style w:type="character" w:customStyle="1" w:styleId="379">
    <w:name w:val="正文文本缩进 31"/>
    <w:autoRedefine/>
    <w:qFormat/>
    <w:uiPriority w:val="0"/>
    <w:rPr>
      <w:rFonts w:eastAsia="Sim Sun"/>
      <w:b/>
      <w:kern w:val="2"/>
      <w:sz w:val="24"/>
      <w:szCs w:val="24"/>
      <w:lang w:val="en-US" w:eastAsia="zh-CN" w:bidi="ar-SA"/>
    </w:rPr>
  </w:style>
  <w:style w:type="character" w:customStyle="1" w:styleId="380">
    <w:name w:val="Font Style38"/>
    <w:autoRedefine/>
    <w:qFormat/>
    <w:uiPriority w:val="0"/>
    <w:rPr>
      <w:rFonts w:ascii="Times New Roman" w:hAnsi="Times New Roman" w:cs="Times New Roman"/>
      <w:sz w:val="22"/>
      <w:szCs w:val="22"/>
    </w:rPr>
  </w:style>
  <w:style w:type="character" w:customStyle="1" w:styleId="381">
    <w:name w:val="样式 正文文本缩进 2正文文字缩进 2 + 四号 蓝色 Char Char Char Char Char Char Char Char"/>
    <w:link w:val="382"/>
    <w:autoRedefine/>
    <w:qFormat/>
    <w:uiPriority w:val="0"/>
    <w:rPr>
      <w:rFonts w:ascii="Arial Unicode MS" w:hAnsi="Arial Unicode MS"/>
      <w:color w:val="0000FF"/>
      <w:sz w:val="24"/>
      <w:szCs w:val="24"/>
    </w:rPr>
  </w:style>
  <w:style w:type="paragraph" w:customStyle="1" w:styleId="382">
    <w:name w:val="样式 正文文本缩进 2正文文字缩进 2 + 四号 蓝色 Char Char Char Char Char Char Char"/>
    <w:basedOn w:val="314"/>
    <w:link w:val="381"/>
    <w:autoRedefine/>
    <w:qFormat/>
    <w:uiPriority w:val="0"/>
    <w:pPr>
      <w:autoSpaceDE/>
      <w:autoSpaceDN/>
      <w:spacing w:after="0" w:line="480" w:lineRule="exact"/>
      <w:ind w:left="0" w:leftChars="0" w:firstLine="709"/>
      <w:jc w:val="both"/>
      <w:textAlignment w:val="baseline"/>
    </w:pPr>
    <w:rPr>
      <w:rFonts w:ascii="Arial Unicode MS" w:hAnsi="Arial Unicode MS"/>
      <w:bCs w:val="0"/>
      <w:color w:val="0000FF"/>
      <w:kern w:val="0"/>
    </w:rPr>
  </w:style>
  <w:style w:type="character" w:customStyle="1" w:styleId="383">
    <w:name w:val="Char Char152"/>
    <w:autoRedefine/>
    <w:qFormat/>
    <w:uiPriority w:val="0"/>
    <w:rPr>
      <w:rFonts w:hint="default" w:ascii="幼圆" w:hAnsi="幼圆" w:eastAsia="FLGPEK+TimesNewRoman,Italic" w:cs="ˎ̥"/>
      <w:kern w:val="24"/>
      <w:sz w:val="24"/>
      <w:szCs w:val="20"/>
    </w:rPr>
  </w:style>
  <w:style w:type="character" w:customStyle="1" w:styleId="384">
    <w:name w:val="正文文本缩进 Char2"/>
    <w:autoRedefine/>
    <w:qFormat/>
    <w:uiPriority w:val="0"/>
    <w:rPr>
      <w:rFonts w:ascii="仿宋_GB2312" w:hAnsi="Times New Roman" w:eastAsia="仿宋_GB2312" w:cs="Times New Roman"/>
      <w:bCs/>
      <w:color w:val="000000"/>
      <w:kern w:val="24"/>
      <w:sz w:val="28"/>
      <w:szCs w:val="24"/>
    </w:rPr>
  </w:style>
  <w:style w:type="character" w:customStyle="1" w:styleId="385">
    <w:name w:val="正文首行缩进 Char3"/>
    <w:autoRedefine/>
    <w:qFormat/>
    <w:uiPriority w:val="0"/>
    <w:rPr>
      <w:rFonts w:ascii="Times New Roman" w:hAnsi="Times New Roman" w:eastAsia="宋体" w:cs="Times New Roman"/>
      <w:bCs/>
      <w:color w:val="000000"/>
      <w:sz w:val="28"/>
      <w:szCs w:val="20"/>
    </w:rPr>
  </w:style>
  <w:style w:type="character" w:customStyle="1" w:styleId="386">
    <w:name w:val="正文文字缩进 2 Char2"/>
    <w:autoRedefine/>
    <w:qFormat/>
    <w:uiPriority w:val="0"/>
    <w:rPr>
      <w:rFonts w:ascii="Batang" w:hAnsi="Batang" w:eastAsia="宋体-方正超大字符集" w:cs="Batang"/>
      <w:kern w:val="2"/>
      <w:sz w:val="24"/>
      <w:lang w:val="en-US" w:eastAsia="zh-CN" w:bidi="ar-SA"/>
    </w:rPr>
  </w:style>
  <w:style w:type="character" w:customStyle="1" w:styleId="387">
    <w:name w:val="页码2"/>
    <w:basedOn w:val="100"/>
    <w:autoRedefine/>
    <w:qFormat/>
    <w:uiPriority w:val="0"/>
  </w:style>
  <w:style w:type="character" w:customStyle="1" w:styleId="388">
    <w:name w:val="正文1 Char"/>
    <w:link w:val="52"/>
    <w:autoRedefine/>
    <w:qFormat/>
    <w:uiPriority w:val="0"/>
    <w:rPr>
      <w:bCs/>
      <w:color w:val="000000"/>
      <w:kern w:val="24"/>
      <w:sz w:val="24"/>
      <w:szCs w:val="24"/>
    </w:rPr>
  </w:style>
  <w:style w:type="character" w:customStyle="1" w:styleId="389">
    <w:name w:val="标题 2 Char3"/>
    <w:autoRedefine/>
    <w:qFormat/>
    <w:uiPriority w:val="0"/>
    <w:rPr>
      <w:rFonts w:ascii="Arial" w:hAnsi="Arial" w:eastAsia="黑体" w:cs="Times New Roman"/>
      <w:b/>
      <w:color w:val="000000"/>
      <w:kern w:val="24"/>
      <w:sz w:val="32"/>
      <w:szCs w:val="32"/>
      <w:lang w:val="en-US" w:eastAsia="zh-CN" w:bidi="ar-SA"/>
    </w:rPr>
  </w:style>
  <w:style w:type="character" w:customStyle="1" w:styleId="390">
    <w:name w:val="标题 3 Char1"/>
    <w:autoRedefine/>
    <w:qFormat/>
    <w:uiPriority w:val="9"/>
    <w:rPr>
      <w:rFonts w:ascii="Times New Roman" w:hAnsi="Times New Roman" w:eastAsia="宋体" w:cs="Times New Roman"/>
      <w:b/>
      <w:color w:val="000000"/>
      <w:kern w:val="24"/>
      <w:sz w:val="32"/>
      <w:szCs w:val="32"/>
    </w:rPr>
  </w:style>
  <w:style w:type="character" w:customStyle="1" w:styleId="391">
    <w:name w:val="标题 4 Char1"/>
    <w:autoRedefine/>
    <w:qFormat/>
    <w:uiPriority w:val="9"/>
    <w:rPr>
      <w:rFonts w:ascii="Arial" w:hAnsi="Arial" w:eastAsia="黑体" w:cs="Times New Roman"/>
      <w:b/>
      <w:color w:val="000000"/>
      <w:kern w:val="24"/>
      <w:sz w:val="28"/>
      <w:szCs w:val="28"/>
    </w:rPr>
  </w:style>
  <w:style w:type="character" w:customStyle="1" w:styleId="392">
    <w:name w:val="标题 5 Char2"/>
    <w:link w:val="9"/>
    <w:autoRedefine/>
    <w:qFormat/>
    <w:uiPriority w:val="0"/>
    <w:rPr>
      <w:b/>
      <w:color w:val="000000"/>
      <w:kern w:val="24"/>
      <w:sz w:val="28"/>
      <w:szCs w:val="28"/>
    </w:rPr>
  </w:style>
  <w:style w:type="character" w:customStyle="1" w:styleId="393">
    <w:name w:val="标题 6 Char1"/>
    <w:link w:val="10"/>
    <w:autoRedefine/>
    <w:qFormat/>
    <w:uiPriority w:val="0"/>
    <w:rPr>
      <w:rFonts w:ascii="Arial" w:hAnsi="Arial" w:eastAsia="黑体"/>
      <w:b/>
      <w:color w:val="000000"/>
      <w:kern w:val="24"/>
      <w:sz w:val="24"/>
      <w:szCs w:val="24"/>
    </w:rPr>
  </w:style>
  <w:style w:type="character" w:customStyle="1" w:styleId="394">
    <w:name w:val="标题 7 Char1"/>
    <w:link w:val="11"/>
    <w:autoRedefine/>
    <w:qFormat/>
    <w:uiPriority w:val="0"/>
    <w:rPr>
      <w:b/>
      <w:color w:val="000000"/>
      <w:kern w:val="24"/>
      <w:sz w:val="24"/>
      <w:szCs w:val="24"/>
    </w:rPr>
  </w:style>
  <w:style w:type="character" w:customStyle="1" w:styleId="395">
    <w:name w:val="标题 8 Char2"/>
    <w:link w:val="12"/>
    <w:autoRedefine/>
    <w:qFormat/>
    <w:uiPriority w:val="0"/>
    <w:rPr>
      <w:rFonts w:ascii="Arial" w:hAnsi="Arial" w:eastAsia="黑体"/>
      <w:bCs/>
      <w:color w:val="000000"/>
      <w:kern w:val="24"/>
      <w:sz w:val="24"/>
      <w:szCs w:val="24"/>
    </w:rPr>
  </w:style>
  <w:style w:type="character" w:customStyle="1" w:styleId="396">
    <w:name w:val="标题 9 Char1"/>
    <w:link w:val="13"/>
    <w:autoRedefine/>
    <w:qFormat/>
    <w:uiPriority w:val="0"/>
    <w:rPr>
      <w:rFonts w:ascii="Arial" w:hAnsi="Arial" w:eastAsia="黑体"/>
      <w:bCs/>
      <w:color w:val="000000"/>
      <w:kern w:val="24"/>
      <w:sz w:val="21"/>
      <w:szCs w:val="21"/>
    </w:rPr>
  </w:style>
  <w:style w:type="character" w:customStyle="1" w:styleId="397">
    <w:name w:val="注释标题 Char"/>
    <w:link w:val="17"/>
    <w:autoRedefine/>
    <w:qFormat/>
    <w:uiPriority w:val="0"/>
    <w:rPr>
      <w:rFonts w:ascii="Sim Sun" w:hAnsi="Batang" w:cs="Batang"/>
      <w:bCs/>
      <w:color w:val="000000"/>
      <w:kern w:val="24"/>
      <w:sz w:val="21"/>
    </w:rPr>
  </w:style>
  <w:style w:type="character" w:customStyle="1" w:styleId="398">
    <w:name w:val="正文缩进 Char1"/>
    <w:autoRedefine/>
    <w:qFormat/>
    <w:uiPriority w:val="0"/>
    <w:rPr>
      <w:rFonts w:ascii="Times New Roman" w:hAnsi="Times New Roman" w:eastAsia="宋体" w:cs="Times New Roman"/>
      <w:bCs/>
      <w:color w:val="000000"/>
      <w:kern w:val="24"/>
      <w:sz w:val="24"/>
      <w:szCs w:val="24"/>
    </w:rPr>
  </w:style>
  <w:style w:type="character" w:customStyle="1" w:styleId="399">
    <w:name w:val="题注 Char1"/>
    <w:autoRedefine/>
    <w:qFormat/>
    <w:uiPriority w:val="0"/>
    <w:rPr>
      <w:rFonts w:ascii="宋体" w:hAnsi="Arial" w:eastAsia="宋体" w:cs="Arial"/>
      <w:bCs/>
      <w:color w:val="000000"/>
      <w:kern w:val="24"/>
      <w:sz w:val="21"/>
      <w:szCs w:val="20"/>
    </w:rPr>
  </w:style>
  <w:style w:type="character" w:customStyle="1" w:styleId="400">
    <w:name w:val="文档结构图 Char1"/>
    <w:autoRedefine/>
    <w:qFormat/>
    <w:uiPriority w:val="99"/>
    <w:rPr>
      <w:rFonts w:ascii="Times New Roman" w:hAnsi="Times New Roman" w:eastAsia="宋体" w:cs="Times New Roman"/>
      <w:bCs/>
      <w:color w:val="000000"/>
      <w:kern w:val="24"/>
      <w:sz w:val="24"/>
      <w:szCs w:val="24"/>
      <w:shd w:val="clear" w:color="auto" w:fill="000080"/>
    </w:rPr>
  </w:style>
  <w:style w:type="character" w:customStyle="1" w:styleId="401">
    <w:name w:val="称呼 Char"/>
    <w:link w:val="27"/>
    <w:autoRedefine/>
    <w:qFormat/>
    <w:uiPriority w:val="0"/>
    <w:rPr>
      <w:rFonts w:ascii="Batang" w:hAnsi="Batang" w:cs="Batang"/>
      <w:bCs/>
      <w:color w:val="000000"/>
      <w:kern w:val="24"/>
      <w:sz w:val="28"/>
    </w:rPr>
  </w:style>
  <w:style w:type="character" w:customStyle="1" w:styleId="402">
    <w:name w:val="正文文本 3 Char1"/>
    <w:link w:val="28"/>
    <w:autoRedefine/>
    <w:qFormat/>
    <w:uiPriority w:val="0"/>
    <w:rPr>
      <w:bCs/>
      <w:color w:val="000000"/>
      <w:kern w:val="24"/>
      <w:sz w:val="21"/>
      <w:szCs w:val="24"/>
    </w:rPr>
  </w:style>
  <w:style w:type="character" w:customStyle="1" w:styleId="403">
    <w:name w:val="正文文本 Char2"/>
    <w:autoRedefine/>
    <w:qFormat/>
    <w:uiPriority w:val="99"/>
    <w:rPr>
      <w:rFonts w:ascii="Times New Roman" w:hAnsi="Times New Roman" w:eastAsia="宋体" w:cs="Times New Roman"/>
      <w:bCs/>
      <w:color w:val="000000"/>
      <w:kern w:val="24"/>
      <w:sz w:val="24"/>
      <w:szCs w:val="24"/>
    </w:rPr>
  </w:style>
  <w:style w:type="character" w:customStyle="1" w:styleId="404">
    <w:name w:val="纯文本 Char1"/>
    <w:link w:val="40"/>
    <w:autoRedefine/>
    <w:qFormat/>
    <w:uiPriority w:val="0"/>
    <w:rPr>
      <w:rFonts w:ascii="宋体" w:hAnsi="Courier New"/>
      <w:bCs/>
      <w:color w:val="000000"/>
      <w:sz w:val="21"/>
    </w:rPr>
  </w:style>
  <w:style w:type="character" w:customStyle="1" w:styleId="405">
    <w:name w:val="正文文本缩进 2 Char1"/>
    <w:link w:val="32"/>
    <w:autoRedefine/>
    <w:qFormat/>
    <w:uiPriority w:val="99"/>
    <w:rPr>
      <w:rFonts w:ascii="宋体" w:hAnsi="宋体"/>
      <w:bCs/>
      <w:color w:val="000000"/>
      <w:sz w:val="28"/>
      <w:szCs w:val="28"/>
    </w:rPr>
  </w:style>
  <w:style w:type="character" w:customStyle="1" w:styleId="406">
    <w:name w:val="尾注文本 Char1"/>
    <w:link w:val="46"/>
    <w:autoRedefine/>
    <w:qFormat/>
    <w:uiPriority w:val="0"/>
    <w:rPr>
      <w:bCs/>
      <w:color w:val="000000"/>
      <w:kern w:val="24"/>
      <w:sz w:val="24"/>
      <w:szCs w:val="24"/>
    </w:rPr>
  </w:style>
  <w:style w:type="character" w:customStyle="1" w:styleId="407">
    <w:name w:val="签名 Char"/>
    <w:link w:val="55"/>
    <w:autoRedefine/>
    <w:qFormat/>
    <w:uiPriority w:val="0"/>
    <w:rPr>
      <w:rFonts w:ascii="FLGPEK+TimesNewRoman,Italic" w:hAnsi="ˎ̥" w:eastAsia="FLGPEK+TimesNewRoman,Italic" w:cs="ˎ̥"/>
      <w:bCs/>
      <w:color w:val="000000"/>
      <w:spacing w:val="5"/>
      <w:kern w:val="24"/>
      <w:sz w:val="25"/>
      <w:szCs w:val="25"/>
    </w:rPr>
  </w:style>
  <w:style w:type="character" w:customStyle="1" w:styleId="408">
    <w:name w:val="副标题 Char"/>
    <w:link w:val="61"/>
    <w:autoRedefine/>
    <w:qFormat/>
    <w:uiPriority w:val="0"/>
    <w:rPr>
      <w:rFonts w:ascii="Batang" w:hAnsi="Batang" w:eastAsia="FLGPEK+TimesNewRoman,Italic" w:cs="ˎ̥"/>
      <w:color w:val="000000"/>
      <w:kern w:val="28"/>
      <w:sz w:val="24"/>
      <w:szCs w:val="32"/>
    </w:rPr>
  </w:style>
  <w:style w:type="character" w:customStyle="1" w:styleId="409">
    <w:name w:val="脚注文本 Char"/>
    <w:link w:val="64"/>
    <w:autoRedefine/>
    <w:semiHidden/>
    <w:qFormat/>
    <w:uiPriority w:val="0"/>
    <w:rPr>
      <w:bCs/>
      <w:color w:val="000000"/>
      <w:kern w:val="24"/>
      <w:sz w:val="18"/>
    </w:rPr>
  </w:style>
  <w:style w:type="character" w:customStyle="1" w:styleId="410">
    <w:name w:val="正文文本缩进 3 Char1"/>
    <w:link w:val="67"/>
    <w:autoRedefine/>
    <w:qFormat/>
    <w:uiPriority w:val="0"/>
    <w:rPr>
      <w:bCs/>
      <w:color w:val="000000"/>
      <w:kern w:val="24"/>
      <w:sz w:val="16"/>
      <w:szCs w:val="16"/>
    </w:rPr>
  </w:style>
  <w:style w:type="character" w:customStyle="1" w:styleId="411">
    <w:name w:val="正文文本 2 Char1"/>
    <w:link w:val="73"/>
    <w:autoRedefine/>
    <w:qFormat/>
    <w:uiPriority w:val="0"/>
    <w:rPr>
      <w:bCs/>
      <w:color w:val="000000"/>
      <w:kern w:val="24"/>
      <w:sz w:val="21"/>
      <w:szCs w:val="24"/>
    </w:rPr>
  </w:style>
  <w:style w:type="character" w:customStyle="1" w:styleId="412">
    <w:name w:val="HTML 预设格式 Char1"/>
    <w:autoRedefine/>
    <w:qFormat/>
    <w:uiPriority w:val="0"/>
    <w:rPr>
      <w:rFonts w:ascii="Arial Unicode MS" w:hAnsi="Arial Unicode MS" w:eastAsia="Arial Unicode MS" w:cs="Arial Unicode MS"/>
      <w:bCs/>
      <w:color w:val="000000"/>
      <w:sz w:val="20"/>
      <w:szCs w:val="20"/>
    </w:rPr>
  </w:style>
  <w:style w:type="character" w:customStyle="1" w:styleId="413">
    <w:name w:val="正文首行缩进 Char"/>
    <w:link w:val="82"/>
    <w:autoRedefine/>
    <w:qFormat/>
    <w:uiPriority w:val="99"/>
    <w:rPr>
      <w:bCs/>
      <w:color w:val="000000"/>
      <w:kern w:val="24"/>
      <w:sz w:val="24"/>
      <w:szCs w:val="24"/>
    </w:rPr>
  </w:style>
  <w:style w:type="character" w:customStyle="1" w:styleId="414">
    <w:name w:val="表格中的文字 Char"/>
    <w:link w:val="415"/>
    <w:autoRedefine/>
    <w:qFormat/>
    <w:uiPriority w:val="0"/>
    <w:rPr>
      <w:rFonts w:ascii="宋体" w:hAnsi="宋体" w:cs="宋体"/>
      <w:sz w:val="21"/>
    </w:rPr>
  </w:style>
  <w:style w:type="paragraph" w:customStyle="1" w:styleId="415">
    <w:name w:val="表格中的文字"/>
    <w:basedOn w:val="1"/>
    <w:link w:val="414"/>
    <w:autoRedefine/>
    <w:qFormat/>
    <w:uiPriority w:val="0"/>
    <w:pPr>
      <w:jc w:val="center"/>
    </w:pPr>
    <w:rPr>
      <w:rFonts w:ascii="宋体" w:hAnsi="宋体" w:cs="宋体"/>
      <w:kern w:val="0"/>
      <w:szCs w:val="20"/>
    </w:rPr>
  </w:style>
  <w:style w:type="character" w:customStyle="1" w:styleId="416">
    <w:name w:val="文本 Char"/>
    <w:link w:val="417"/>
    <w:autoRedefine/>
    <w:qFormat/>
    <w:uiPriority w:val="0"/>
    <w:rPr>
      <w:rFonts w:ascii="Batang" w:hAnsi="Batang" w:cs="Batang"/>
      <w:bCs/>
      <w:color w:val="000000"/>
      <w:kern w:val="24"/>
      <w:sz w:val="28"/>
    </w:rPr>
  </w:style>
  <w:style w:type="paragraph" w:customStyle="1" w:styleId="417">
    <w:name w:val="文本"/>
    <w:basedOn w:val="1"/>
    <w:link w:val="416"/>
    <w:autoRedefine/>
    <w:qFormat/>
    <w:uiPriority w:val="0"/>
    <w:pPr>
      <w:spacing w:line="400" w:lineRule="exact"/>
      <w:textAlignment w:val="baseline"/>
    </w:pPr>
    <w:rPr>
      <w:rFonts w:ascii="Batang" w:hAnsi="Batang" w:cs="Batang"/>
      <w:bCs/>
      <w:color w:val="000000"/>
      <w:kern w:val="24"/>
      <w:sz w:val="28"/>
      <w:szCs w:val="20"/>
    </w:rPr>
  </w:style>
  <w:style w:type="character" w:customStyle="1" w:styleId="418">
    <w:name w:val="首行缩进"/>
    <w:autoRedefine/>
    <w:qFormat/>
    <w:uiPriority w:val="0"/>
    <w:rPr>
      <w:rFonts w:ascii="Arial" w:hAnsi="Arial" w:eastAsia="宋体"/>
      <w:kern w:val="2"/>
      <w:sz w:val="24"/>
      <w:szCs w:val="24"/>
      <w:lang w:val="en-US" w:eastAsia="zh-CN" w:bidi="ar-SA"/>
    </w:rPr>
  </w:style>
  <w:style w:type="character" w:customStyle="1" w:styleId="419">
    <w:name w:val="style81"/>
    <w:autoRedefine/>
    <w:qFormat/>
    <w:uiPriority w:val="0"/>
    <w:rPr>
      <w:sz w:val="24"/>
      <w:szCs w:val="24"/>
    </w:rPr>
  </w:style>
  <w:style w:type="character" w:customStyle="1" w:styleId="420">
    <w:name w:val="标题 2 Char Char Char"/>
    <w:autoRedefine/>
    <w:qFormat/>
    <w:uiPriority w:val="0"/>
    <w:rPr>
      <w:rFonts w:ascii="黑体" w:hAnsi="Arial" w:eastAsia="黑体"/>
      <w:bCs/>
      <w:sz w:val="28"/>
      <w:lang w:val="en-US" w:eastAsia="zh-CN" w:bidi="ar-SA"/>
    </w:rPr>
  </w:style>
  <w:style w:type="character" w:customStyle="1" w:styleId="421">
    <w:name w:val="标题-3 Char"/>
    <w:link w:val="422"/>
    <w:autoRedefine/>
    <w:qFormat/>
    <w:uiPriority w:val="0"/>
    <w:rPr>
      <w:rFonts w:ascii="FLGPEK+TimesNewRoman,Italic" w:hAnsi="FLGPEK+TimesNewRoman,Italic" w:eastAsia="FLGPEK+TimesNewRoman,Italic" w:cs="ˎ̥"/>
      <w:b/>
      <w:color w:val="000000"/>
      <w:sz w:val="24"/>
      <w:szCs w:val="24"/>
    </w:rPr>
  </w:style>
  <w:style w:type="paragraph" w:customStyle="1" w:styleId="422">
    <w:name w:val="标题-3"/>
    <w:basedOn w:val="7"/>
    <w:link w:val="421"/>
    <w:autoRedefine/>
    <w:qFormat/>
    <w:uiPriority w:val="0"/>
    <w:pPr>
      <w:spacing w:before="0" w:after="0" w:line="360" w:lineRule="auto"/>
    </w:pPr>
    <w:rPr>
      <w:rFonts w:ascii="FLGPEK+TimesNewRoman,Italic" w:hAnsi="FLGPEK+TimesNewRoman,Italic" w:eastAsia="FLGPEK+TimesNewRoman,Italic" w:cs="ˎ̥"/>
      <w:bCs w:val="0"/>
      <w:color w:val="000000"/>
      <w:kern w:val="0"/>
      <w:sz w:val="24"/>
      <w:szCs w:val="24"/>
    </w:rPr>
  </w:style>
  <w:style w:type="character" w:customStyle="1" w:styleId="423">
    <w:name w:val="content1"/>
    <w:autoRedefine/>
    <w:qFormat/>
    <w:uiPriority w:val="0"/>
    <w:rPr>
      <w:rFonts w:hint="eastAsia" w:ascii="宋体" w:hAnsi="宋体" w:eastAsia="宋体"/>
      <w:color w:val="333333"/>
      <w:sz w:val="21"/>
      <w:szCs w:val="21"/>
    </w:rPr>
  </w:style>
  <w:style w:type="character" w:customStyle="1" w:styleId="424">
    <w:name w:val="纯文本 Char"/>
    <w:autoRedefine/>
    <w:semiHidden/>
    <w:qFormat/>
    <w:uiPriority w:val="99"/>
    <w:rPr>
      <w:rFonts w:ascii="宋体" w:hAnsi="Courier New" w:eastAsia="宋体" w:cs="Courier New"/>
      <w:bCs/>
      <w:color w:val="000000"/>
      <w:kern w:val="24"/>
      <w:sz w:val="21"/>
      <w:szCs w:val="21"/>
    </w:rPr>
  </w:style>
  <w:style w:type="character" w:customStyle="1" w:styleId="425">
    <w:name w:val="Char Char121"/>
    <w:autoRedefine/>
    <w:qFormat/>
    <w:uiPriority w:val="0"/>
    <w:rPr>
      <w:rFonts w:ascii="宋体" w:hAnsi="Times New Roman" w:eastAsia="宋体" w:cs="Times New Roman"/>
      <w:sz w:val="28"/>
      <w:szCs w:val="20"/>
    </w:rPr>
  </w:style>
  <w:style w:type="character" w:customStyle="1" w:styleId="426">
    <w:name w:val="样式 样式 仪征正文 + 黑色 + 红色 Char"/>
    <w:link w:val="427"/>
    <w:autoRedefine/>
    <w:qFormat/>
    <w:uiPriority w:val="0"/>
    <w:rPr>
      <w:rFonts w:ascii="ˎ̥" w:hAnsi="ˎ̥" w:eastAsia="Garamond"/>
      <w:bCs/>
      <w:color w:val="000000"/>
      <w:sz w:val="24"/>
    </w:rPr>
  </w:style>
  <w:style w:type="paragraph" w:customStyle="1" w:styleId="427">
    <w:name w:val="样式 样式 仪征正文 + 黑色 + 红色"/>
    <w:basedOn w:val="428"/>
    <w:link w:val="426"/>
    <w:autoRedefine/>
    <w:qFormat/>
    <w:uiPriority w:val="0"/>
    <w:rPr>
      <w:bCs/>
    </w:rPr>
  </w:style>
  <w:style w:type="paragraph" w:customStyle="1" w:styleId="428">
    <w:name w:val="样式 仪征正文 + 黑色"/>
    <w:basedOn w:val="1"/>
    <w:link w:val="429"/>
    <w:autoRedefine/>
    <w:qFormat/>
    <w:uiPriority w:val="0"/>
    <w:pPr>
      <w:spacing w:before="120" w:after="120" w:line="360" w:lineRule="exact"/>
      <w:ind w:firstLine="480"/>
    </w:pPr>
    <w:rPr>
      <w:rFonts w:ascii="ˎ̥" w:hAnsi="ˎ̥" w:eastAsia="Garamond"/>
      <w:color w:val="000000"/>
      <w:kern w:val="0"/>
      <w:szCs w:val="20"/>
    </w:rPr>
  </w:style>
  <w:style w:type="character" w:customStyle="1" w:styleId="429">
    <w:name w:val="样式 仪征正文 + 黑色 Char"/>
    <w:link w:val="428"/>
    <w:autoRedefine/>
    <w:qFormat/>
    <w:uiPriority w:val="0"/>
    <w:rPr>
      <w:rFonts w:ascii="ˎ̥" w:hAnsi="ˎ̥" w:eastAsia="Garamond"/>
      <w:color w:val="000000"/>
      <w:sz w:val="24"/>
    </w:rPr>
  </w:style>
  <w:style w:type="character" w:customStyle="1" w:styleId="430">
    <w:name w:val="Char Char Char1"/>
    <w:autoRedefine/>
    <w:qFormat/>
    <w:uiPriority w:val="0"/>
    <w:rPr>
      <w:rFonts w:ascii="Sim Sun" w:hAnsi="DFKai-SB" w:eastAsia="Sim Sun"/>
      <w:kern w:val="2"/>
      <w:sz w:val="21"/>
      <w:lang w:val="en-US" w:eastAsia="zh-CN" w:bidi="ar-SA"/>
    </w:rPr>
  </w:style>
  <w:style w:type="character" w:customStyle="1" w:styleId="431">
    <w:name w:val="标题 6 Char Char1"/>
    <w:autoRedefine/>
    <w:qFormat/>
    <w:uiPriority w:val="0"/>
    <w:rPr>
      <w:rFonts w:ascii="黑体" w:hAnsi="Arial" w:eastAsia="黑体"/>
      <w:bCs/>
      <w:kern w:val="2"/>
      <w:sz w:val="24"/>
      <w:szCs w:val="24"/>
      <w:lang w:val="en-US" w:eastAsia="zh-CN" w:bidi="ar-SA"/>
    </w:rPr>
  </w:style>
  <w:style w:type="character" w:customStyle="1" w:styleId="432">
    <w:name w:val="尾注文本 Char"/>
    <w:autoRedefine/>
    <w:qFormat/>
    <w:uiPriority w:val="0"/>
    <w:rPr>
      <w:rFonts w:eastAsia="黑体"/>
      <w:b/>
      <w:bCs/>
      <w:snapToGrid w:val="0"/>
      <w:sz w:val="24"/>
      <w:szCs w:val="32"/>
    </w:rPr>
  </w:style>
  <w:style w:type="character" w:customStyle="1" w:styleId="433">
    <w:name w:val="表文 Char"/>
    <w:link w:val="224"/>
    <w:autoRedefine/>
    <w:qFormat/>
    <w:uiPriority w:val="99"/>
    <w:rPr>
      <w:sz w:val="21"/>
    </w:rPr>
  </w:style>
  <w:style w:type="character" w:customStyle="1" w:styleId="434">
    <w:name w:val="表格内容1 Char"/>
    <w:link w:val="435"/>
    <w:autoRedefine/>
    <w:qFormat/>
    <w:uiPriority w:val="0"/>
    <w:rPr>
      <w:rFonts w:ascii="宋体" w:hAnsi="Vladimir Script" w:cs="Vladimir Script"/>
      <w:snapToGrid w:val="0"/>
      <w:sz w:val="21"/>
      <w:szCs w:val="24"/>
    </w:rPr>
  </w:style>
  <w:style w:type="paragraph" w:customStyle="1" w:styleId="435">
    <w:name w:val="表格内容1"/>
    <w:basedOn w:val="1"/>
    <w:link w:val="434"/>
    <w:autoRedefine/>
    <w:qFormat/>
    <w:uiPriority w:val="0"/>
    <w:pPr>
      <w:spacing w:beforeLines="15" w:afterLines="15" w:line="240" w:lineRule="exact"/>
    </w:pPr>
    <w:rPr>
      <w:rFonts w:ascii="宋体" w:hAnsi="Vladimir Script" w:cs="Vladimir Script"/>
      <w:snapToGrid w:val="0"/>
      <w:kern w:val="0"/>
    </w:rPr>
  </w:style>
  <w:style w:type="character" w:customStyle="1" w:styleId="436">
    <w:name w:val="热电厂正文 Char Char"/>
    <w:autoRedefine/>
    <w:qFormat/>
    <w:uiPriority w:val="0"/>
    <w:rPr>
      <w:rFonts w:eastAsia="宋体"/>
      <w:kern w:val="2"/>
      <w:sz w:val="24"/>
      <w:szCs w:val="24"/>
      <w:lang w:val="en-US" w:eastAsia="zh-CN" w:bidi="ar-SA"/>
    </w:rPr>
  </w:style>
  <w:style w:type="character" w:customStyle="1" w:styleId="437">
    <w:name w:val="p131"/>
    <w:autoRedefine/>
    <w:qFormat/>
    <w:uiPriority w:val="0"/>
    <w:rPr>
      <w:b/>
      <w:color w:val="FF6600"/>
      <w:sz w:val="28"/>
    </w:rPr>
  </w:style>
  <w:style w:type="character" w:customStyle="1" w:styleId="438">
    <w:name w:val="show"/>
    <w:basedOn w:val="100"/>
    <w:autoRedefine/>
    <w:qFormat/>
    <w:uiPriority w:val="0"/>
  </w:style>
  <w:style w:type="character" w:customStyle="1" w:styleId="439">
    <w:name w:val="Char Char11"/>
    <w:autoRedefine/>
    <w:qFormat/>
    <w:uiPriority w:val="0"/>
    <w:rPr>
      <w:rFonts w:ascii="宋体" w:hAnsi="Courier New" w:eastAsia="宋体" w:cs="Courier New"/>
      <w:kern w:val="2"/>
      <w:sz w:val="21"/>
      <w:szCs w:val="21"/>
      <w:lang w:val="en-US" w:eastAsia="zh-CN" w:bidi="ar-SA"/>
    </w:rPr>
  </w:style>
  <w:style w:type="character" w:customStyle="1" w:styleId="440">
    <w:name w:val="标题 1 Char1"/>
    <w:autoRedefine/>
    <w:qFormat/>
    <w:uiPriority w:val="0"/>
    <w:rPr>
      <w:rFonts w:ascii="Times New Roman" w:hAnsi="Times New Roman" w:eastAsia="宋体" w:cs="Times New Roman"/>
      <w:b/>
      <w:color w:val="000000"/>
      <w:kern w:val="44"/>
      <w:sz w:val="44"/>
      <w:szCs w:val="44"/>
    </w:rPr>
  </w:style>
  <w:style w:type="character" w:customStyle="1" w:styleId="441">
    <w:name w:val="Char Char132"/>
    <w:autoRedefine/>
    <w:qFormat/>
    <w:uiPriority w:val="0"/>
    <w:rPr>
      <w:rFonts w:ascii="FLGPEK+TimesNewRoman,Italic" w:hAnsi="FLGPEK+TimesNewRoman,Italic" w:eastAsia="FLGPEK+TimesNewRoman,Italic"/>
      <w:sz w:val="24"/>
      <w:lang w:val="en-US" w:eastAsia="zh-CN" w:bidi="ar-SA"/>
    </w:rPr>
  </w:style>
  <w:style w:type="character" w:customStyle="1" w:styleId="442">
    <w:name w:val="图表 Char"/>
    <w:link w:val="443"/>
    <w:autoRedefine/>
    <w:qFormat/>
    <w:uiPriority w:val="0"/>
    <w:rPr>
      <w:bCs/>
      <w:color w:val="000000"/>
      <w:kern w:val="24"/>
      <w:sz w:val="21"/>
      <w:szCs w:val="21"/>
    </w:rPr>
  </w:style>
  <w:style w:type="paragraph" w:customStyle="1" w:styleId="443">
    <w:name w:val="图表"/>
    <w:basedOn w:val="70"/>
    <w:link w:val="442"/>
    <w:autoRedefine/>
    <w:qFormat/>
    <w:uiPriority w:val="0"/>
    <w:pPr>
      <w:ind w:left="0" w:leftChars="0" w:firstLine="0" w:firstLineChars="0"/>
      <w:jc w:val="center"/>
    </w:pPr>
    <w:rPr>
      <w:rFonts w:ascii="Times New Roman" w:hAnsi="Times New Roman" w:eastAsia="宋体" w:cs="Times New Roman"/>
      <w:szCs w:val="21"/>
    </w:rPr>
  </w:style>
  <w:style w:type="character" w:customStyle="1" w:styleId="444">
    <w:name w:val="标题 2 Char Char"/>
    <w:autoRedefine/>
    <w:qFormat/>
    <w:uiPriority w:val="0"/>
    <w:rPr>
      <w:rFonts w:ascii="Arial" w:hAnsi="Arial" w:eastAsia="黑体"/>
      <w:b/>
      <w:sz w:val="32"/>
      <w:lang w:val="en-US" w:eastAsia="zh-CN" w:bidi="ar-SA"/>
    </w:rPr>
  </w:style>
  <w:style w:type="character" w:customStyle="1" w:styleId="445">
    <w:name w:val="text_he1"/>
    <w:autoRedefine/>
    <w:qFormat/>
    <w:uiPriority w:val="0"/>
    <w:rPr>
      <w:sz w:val="24"/>
      <w:szCs w:val="24"/>
    </w:rPr>
  </w:style>
  <w:style w:type="character" w:customStyle="1" w:styleId="446">
    <w:name w:val="hang"/>
    <w:basedOn w:val="100"/>
    <w:autoRedefine/>
    <w:qFormat/>
    <w:uiPriority w:val="0"/>
  </w:style>
  <w:style w:type="character" w:customStyle="1" w:styleId="447">
    <w:name w:val="正文DG Char"/>
    <w:link w:val="448"/>
    <w:autoRedefine/>
    <w:qFormat/>
    <w:uiPriority w:val="0"/>
    <w:rPr>
      <w:rFonts w:ascii="新宋体" w:hAnsi="新宋体" w:eastAsia="新宋体"/>
      <w:kern w:val="2"/>
      <w:sz w:val="24"/>
      <w:szCs w:val="24"/>
    </w:rPr>
  </w:style>
  <w:style w:type="paragraph" w:customStyle="1" w:styleId="448">
    <w:name w:val="正文DG"/>
    <w:basedOn w:val="1"/>
    <w:link w:val="447"/>
    <w:autoRedefine/>
    <w:qFormat/>
    <w:uiPriority w:val="0"/>
    <w:pPr>
      <w:spacing w:line="520" w:lineRule="exact"/>
      <w:ind w:firstLine="480"/>
    </w:pPr>
    <w:rPr>
      <w:rFonts w:ascii="新宋体" w:hAnsi="新宋体" w:eastAsia="新宋体"/>
    </w:rPr>
  </w:style>
  <w:style w:type="character" w:customStyle="1" w:styleId="449">
    <w:name w:val="LT正文1 Char"/>
    <w:link w:val="450"/>
    <w:autoRedefine/>
    <w:qFormat/>
    <w:uiPriority w:val="0"/>
    <w:rPr>
      <w:bCs/>
      <w:color w:val="000000"/>
      <w:kern w:val="24"/>
      <w:sz w:val="24"/>
      <w:szCs w:val="24"/>
    </w:rPr>
  </w:style>
  <w:style w:type="paragraph" w:customStyle="1" w:styleId="450">
    <w:name w:val="LT正文1"/>
    <w:basedOn w:val="1"/>
    <w:next w:val="1"/>
    <w:link w:val="449"/>
    <w:autoRedefine/>
    <w:qFormat/>
    <w:uiPriority w:val="0"/>
    <w:pPr>
      <w:ind w:firstLine="200"/>
    </w:pPr>
    <w:rPr>
      <w:bCs/>
      <w:color w:val="000000"/>
      <w:kern w:val="24"/>
    </w:rPr>
  </w:style>
  <w:style w:type="character" w:customStyle="1" w:styleId="451">
    <w:name w:val="标题4 Char1"/>
    <w:autoRedefine/>
    <w:qFormat/>
    <w:uiPriority w:val="0"/>
    <w:rPr>
      <w:rFonts w:ascii="Sim Sun" w:hAnsi="Sim Sun" w:eastAsia="宋体" w:cs="Batang"/>
      <w:kern w:val="2"/>
      <w:sz w:val="24"/>
      <w:szCs w:val="24"/>
      <w:lang w:val="en-US" w:eastAsia="zh-CN" w:bidi="ar-SA"/>
    </w:rPr>
  </w:style>
  <w:style w:type="character" w:customStyle="1" w:styleId="452">
    <w:name w:val="图表注 Char4"/>
    <w:autoRedefine/>
    <w:qFormat/>
    <w:uiPriority w:val="0"/>
    <w:rPr>
      <w:rFonts w:eastAsia="宋体"/>
      <w:kern w:val="2"/>
      <w:sz w:val="24"/>
      <w:lang w:val="en-US" w:eastAsia="zh-CN" w:bidi="ar-SA"/>
    </w:rPr>
  </w:style>
  <w:style w:type="character" w:customStyle="1" w:styleId="453">
    <w:name w:val="tit"/>
    <w:basedOn w:val="100"/>
    <w:autoRedefine/>
    <w:qFormat/>
    <w:uiPriority w:val="0"/>
  </w:style>
  <w:style w:type="character" w:customStyle="1" w:styleId="454">
    <w:name w:val="Char Char71"/>
    <w:autoRedefine/>
    <w:qFormat/>
    <w:uiPriority w:val="0"/>
    <w:rPr>
      <w:rFonts w:eastAsia="仿宋体"/>
      <w:b/>
      <w:kern w:val="44"/>
      <w:sz w:val="44"/>
      <w:lang w:val="en-US" w:eastAsia="zh-CN"/>
    </w:rPr>
  </w:style>
  <w:style w:type="character" w:customStyle="1" w:styleId="455">
    <w:name w:val="正文文字缩进 3 Char Char2"/>
    <w:autoRedefine/>
    <w:qFormat/>
    <w:uiPriority w:val="0"/>
    <w:rPr>
      <w:rFonts w:ascii="Batang" w:hAnsi="Batang" w:eastAsia="宋体-方正超大字符集" w:cs="Batang"/>
      <w:kern w:val="2"/>
      <w:sz w:val="28"/>
      <w:lang w:val="en-US" w:eastAsia="zh-CN" w:bidi="ar-SA"/>
    </w:rPr>
  </w:style>
  <w:style w:type="character" w:customStyle="1" w:styleId="456">
    <w:name w:val="表格标题 Char"/>
    <w:autoRedefine/>
    <w:qFormat/>
    <w:uiPriority w:val="0"/>
    <w:rPr>
      <w:rFonts w:ascii="Arial" w:hAnsi="Arial" w:eastAsia="仿宋_GB2312"/>
      <w:b/>
      <w:sz w:val="24"/>
      <w:lang w:val="en-US" w:eastAsia="zh-CN" w:bidi="ar-SA"/>
    </w:rPr>
  </w:style>
  <w:style w:type="character" w:customStyle="1" w:styleId="457">
    <w:name w:val="Char Char191"/>
    <w:autoRedefine/>
    <w:qFormat/>
    <w:uiPriority w:val="0"/>
    <w:rPr>
      <w:rFonts w:eastAsia="仿宋体"/>
      <w:b/>
      <w:kern w:val="2"/>
      <w:sz w:val="28"/>
      <w:lang w:val="en-US" w:eastAsia="zh-CN"/>
    </w:rPr>
  </w:style>
  <w:style w:type="character" w:customStyle="1" w:styleId="458">
    <w:name w:val="图标题 Char"/>
    <w:link w:val="459"/>
    <w:autoRedefine/>
    <w:qFormat/>
    <w:uiPriority w:val="0"/>
    <w:rPr>
      <w:rFonts w:ascii="黑体" w:eastAsia="黑体"/>
      <w:bCs/>
      <w:color w:val="000000"/>
      <w:kern w:val="24"/>
      <w:sz w:val="24"/>
      <w:szCs w:val="24"/>
    </w:rPr>
  </w:style>
  <w:style w:type="paragraph" w:customStyle="1" w:styleId="459">
    <w:name w:val="图标题"/>
    <w:basedOn w:val="1"/>
    <w:link w:val="458"/>
    <w:autoRedefine/>
    <w:qFormat/>
    <w:uiPriority w:val="0"/>
    <w:pPr>
      <w:spacing w:line="520" w:lineRule="exact"/>
      <w:jc w:val="center"/>
    </w:pPr>
    <w:rPr>
      <w:rFonts w:ascii="黑体" w:eastAsia="黑体"/>
      <w:bCs/>
      <w:color w:val="000000"/>
      <w:kern w:val="24"/>
    </w:rPr>
  </w:style>
  <w:style w:type="character" w:customStyle="1" w:styleId="460">
    <w:name w:val="123YJ Char Char"/>
    <w:autoRedefine/>
    <w:qFormat/>
    <w:uiPriority w:val="0"/>
    <w:rPr>
      <w:kern w:val="2"/>
      <w:sz w:val="18"/>
      <w:szCs w:val="18"/>
    </w:rPr>
  </w:style>
  <w:style w:type="character" w:customStyle="1" w:styleId="461">
    <w:name w:val="main1"/>
    <w:autoRedefine/>
    <w:qFormat/>
    <w:uiPriority w:val="0"/>
    <w:rPr>
      <w:rFonts w:hint="default"/>
      <w:color w:val="0033CC"/>
      <w:spacing w:val="240"/>
      <w:sz w:val="18"/>
      <w:szCs w:val="18"/>
    </w:rPr>
  </w:style>
  <w:style w:type="character" w:customStyle="1" w:styleId="462">
    <w:name w:val="表格正文 Char Char"/>
    <w:autoRedefine/>
    <w:qFormat/>
    <w:uiPriority w:val="0"/>
    <w:rPr>
      <w:sz w:val="21"/>
    </w:rPr>
  </w:style>
  <w:style w:type="character" w:customStyle="1" w:styleId="463">
    <w:name w:val="Char Char4"/>
    <w:autoRedefine/>
    <w:qFormat/>
    <w:uiPriority w:val="0"/>
    <w:rPr>
      <w:rFonts w:eastAsia="仿宋体"/>
      <w:kern w:val="2"/>
      <w:sz w:val="16"/>
      <w:lang w:val="en-US" w:eastAsia="zh-CN"/>
    </w:rPr>
  </w:style>
  <w:style w:type="character" w:customStyle="1" w:styleId="464">
    <w:name w:val="样式 样式1 + (符号) 宋体 Char"/>
    <w:link w:val="465"/>
    <w:autoRedefine/>
    <w:qFormat/>
    <w:uiPriority w:val="0"/>
    <w:rPr>
      <w:rFonts w:ascii="宋体" w:hAnsi="宋体" w:cs="Batang"/>
      <w:snapToGrid w:val="0"/>
      <w:kern w:val="2"/>
      <w:sz w:val="24"/>
      <w:szCs w:val="24"/>
    </w:rPr>
  </w:style>
  <w:style w:type="paragraph" w:customStyle="1" w:styleId="465">
    <w:name w:val="样式 样式1 + (符号) 宋体"/>
    <w:basedOn w:val="111"/>
    <w:link w:val="464"/>
    <w:autoRedefine/>
    <w:qFormat/>
    <w:uiPriority w:val="0"/>
    <w:pPr>
      <w:spacing w:line="460" w:lineRule="exact"/>
    </w:pPr>
    <w:rPr>
      <w:rFonts w:ascii="宋体" w:hAnsi="宋体" w:cs="Batang"/>
      <w:bCs w:val="0"/>
      <w:snapToGrid w:val="0"/>
      <w:color w:val="auto"/>
      <w:kern w:val="2"/>
    </w:rPr>
  </w:style>
  <w:style w:type="character" w:customStyle="1" w:styleId="466">
    <w:name w:val="样式1 Char"/>
    <w:link w:val="111"/>
    <w:autoRedefine/>
    <w:qFormat/>
    <w:uiPriority w:val="0"/>
    <w:rPr>
      <w:bCs/>
      <w:color w:val="000000"/>
      <w:kern w:val="24"/>
      <w:sz w:val="24"/>
      <w:szCs w:val="24"/>
    </w:rPr>
  </w:style>
  <w:style w:type="character" w:customStyle="1" w:styleId="467">
    <w:name w:val="海港表头 Char"/>
    <w:link w:val="468"/>
    <w:autoRedefine/>
    <w:qFormat/>
    <w:uiPriority w:val="0"/>
    <w:rPr>
      <w:rFonts w:ascii="Arial Unicode MS" w:hAnsi="Arial Unicode MS" w:eastAsia="宋体-方正超大字符集" w:cs="Batang"/>
      <w:color w:val="000000"/>
      <w:kern w:val="24"/>
      <w:sz w:val="21"/>
      <w:szCs w:val="21"/>
    </w:rPr>
  </w:style>
  <w:style w:type="paragraph" w:customStyle="1" w:styleId="468">
    <w:name w:val="海港表头"/>
    <w:basedOn w:val="172"/>
    <w:link w:val="467"/>
    <w:autoRedefine/>
    <w:qFormat/>
    <w:uiPriority w:val="0"/>
    <w:pPr>
      <w:tabs>
        <w:tab w:val="left" w:pos="5040"/>
      </w:tabs>
      <w:spacing w:line="300" w:lineRule="exact"/>
      <w:ind w:left="-56" w:leftChars="-30" w:right="-63" w:rightChars="-30"/>
      <w:textAlignment w:val="baseline"/>
    </w:pPr>
    <w:rPr>
      <w:rFonts w:ascii="Arial Unicode MS" w:hAnsi="Arial Unicode MS" w:eastAsia="宋体-方正超大字符集" w:cs="Batang"/>
      <w:color w:val="000000"/>
      <w:spacing w:val="0"/>
      <w:kern w:val="24"/>
    </w:rPr>
  </w:style>
  <w:style w:type="character" w:customStyle="1" w:styleId="469">
    <w:name w:val="Char Char131"/>
    <w:autoRedefine/>
    <w:qFormat/>
    <w:uiPriority w:val="0"/>
    <w:rPr>
      <w:rFonts w:ascii="仿宋体" w:hAnsi="仿宋体" w:eastAsia="仿宋体"/>
      <w:sz w:val="24"/>
      <w:lang w:val="en-US" w:eastAsia="zh-CN"/>
    </w:rPr>
  </w:style>
  <w:style w:type="character" w:customStyle="1" w:styleId="470">
    <w:name w:val="表格头 Char Char"/>
    <w:link w:val="471"/>
    <w:autoRedefine/>
    <w:qFormat/>
    <w:uiPriority w:val="0"/>
    <w:rPr>
      <w:rFonts w:eastAsia="华文中宋"/>
      <w:bCs/>
      <w:color w:val="000000"/>
      <w:kern w:val="2"/>
      <w:sz w:val="24"/>
      <w:szCs w:val="24"/>
    </w:rPr>
  </w:style>
  <w:style w:type="paragraph" w:customStyle="1" w:styleId="471">
    <w:name w:val="表格头"/>
    <w:next w:val="1"/>
    <w:link w:val="470"/>
    <w:autoRedefine/>
    <w:qFormat/>
    <w:uiPriority w:val="0"/>
    <w:pPr>
      <w:keepNext/>
      <w:tabs>
        <w:tab w:val="center" w:pos="4620"/>
      </w:tabs>
    </w:pPr>
    <w:rPr>
      <w:rFonts w:ascii="Times New Roman" w:hAnsi="Times New Roman" w:eastAsia="华文中宋" w:cs="Times New Roman"/>
      <w:bCs/>
      <w:color w:val="000000"/>
      <w:kern w:val="2"/>
      <w:sz w:val="24"/>
      <w:szCs w:val="24"/>
      <w:lang w:val="en-US" w:eastAsia="zh-CN" w:bidi="ar-SA"/>
    </w:rPr>
  </w:style>
  <w:style w:type="character" w:customStyle="1" w:styleId="472">
    <w:name w:val="Char Char201"/>
    <w:autoRedefine/>
    <w:qFormat/>
    <w:uiPriority w:val="0"/>
    <w:rPr>
      <w:rFonts w:eastAsia="仿宋体"/>
      <w:b/>
      <w:bCs/>
      <w:sz w:val="28"/>
      <w:szCs w:val="28"/>
      <w:lang w:val="en-US" w:eastAsia="zh-CN"/>
    </w:rPr>
  </w:style>
  <w:style w:type="character" w:customStyle="1" w:styleId="473">
    <w:name w:val="正文文字 2 Char"/>
    <w:autoRedefine/>
    <w:qFormat/>
    <w:uiPriority w:val="0"/>
    <w:rPr>
      <w:rFonts w:eastAsia="宋体"/>
      <w:kern w:val="2"/>
      <w:sz w:val="21"/>
      <w:lang w:val="en-US" w:eastAsia="zh-CN" w:bidi="ar-SA"/>
    </w:rPr>
  </w:style>
  <w:style w:type="character" w:customStyle="1" w:styleId="474">
    <w:name w:val="正文（首行缩进两字） Char Char2 Char"/>
    <w:autoRedefine/>
    <w:qFormat/>
    <w:uiPriority w:val="0"/>
    <w:rPr>
      <w:b/>
      <w:bCs/>
      <w:sz w:val="21"/>
    </w:rPr>
  </w:style>
  <w:style w:type="character" w:customStyle="1" w:styleId="475">
    <w:name w:val="我的正文 Char"/>
    <w:link w:val="476"/>
    <w:autoRedefine/>
    <w:qFormat/>
    <w:uiPriority w:val="0"/>
    <w:rPr>
      <w:rFonts w:cs="宋体"/>
      <w:kern w:val="2"/>
      <w:sz w:val="24"/>
    </w:rPr>
  </w:style>
  <w:style w:type="paragraph" w:customStyle="1" w:styleId="476">
    <w:name w:val="我的正文"/>
    <w:basedOn w:val="1"/>
    <w:link w:val="475"/>
    <w:autoRedefine/>
    <w:qFormat/>
    <w:uiPriority w:val="0"/>
    <w:pPr>
      <w:ind w:firstLine="480"/>
    </w:pPr>
    <w:rPr>
      <w:rFonts w:cs="宋体"/>
      <w:szCs w:val="20"/>
    </w:rPr>
  </w:style>
  <w:style w:type="character" w:customStyle="1" w:styleId="477">
    <w:name w:val="标题 2 Char2"/>
    <w:autoRedefine/>
    <w:qFormat/>
    <w:uiPriority w:val="0"/>
    <w:rPr>
      <w:rFonts w:ascii="Batang" w:hAnsi="Batang" w:eastAsia="宋体-方正超大字符集"/>
      <w:b/>
      <w:bCs/>
      <w:kern w:val="2"/>
      <w:sz w:val="32"/>
      <w:szCs w:val="32"/>
      <w:lang w:val="en-US" w:eastAsia="zh-CN" w:bidi="ar-SA"/>
    </w:rPr>
  </w:style>
  <w:style w:type="character" w:customStyle="1" w:styleId="478">
    <w:name w:val="正文文本 2 Char"/>
    <w:link w:val="479"/>
    <w:autoRedefine/>
    <w:qFormat/>
    <w:uiPriority w:val="0"/>
    <w:rPr>
      <w:bCs/>
      <w:color w:val="000000"/>
      <w:kern w:val="24"/>
      <w:sz w:val="24"/>
      <w:szCs w:val="24"/>
    </w:rPr>
  </w:style>
  <w:style w:type="paragraph" w:customStyle="1" w:styleId="479">
    <w:name w:val="正文文本 21"/>
    <w:basedOn w:val="1"/>
    <w:link w:val="478"/>
    <w:autoRedefine/>
    <w:qFormat/>
    <w:uiPriority w:val="0"/>
    <w:pPr>
      <w:ind w:firstLine="840"/>
      <w:textAlignment w:val="baseline"/>
    </w:pPr>
    <w:rPr>
      <w:bCs/>
      <w:color w:val="000000"/>
      <w:kern w:val="24"/>
    </w:rPr>
  </w:style>
  <w:style w:type="character" w:customStyle="1" w:styleId="480">
    <w:name w:val="Char Char172"/>
    <w:autoRedefine/>
    <w:qFormat/>
    <w:uiPriority w:val="0"/>
    <w:rPr>
      <w:rFonts w:ascii="幼圆" w:hAnsi="幼圆" w:eastAsia="@幼圆"/>
      <w:kern w:val="2"/>
      <w:sz w:val="24"/>
      <w:lang w:val="en-US" w:eastAsia="zh-CN" w:bidi="ar-SA"/>
    </w:rPr>
  </w:style>
  <w:style w:type="character" w:customStyle="1" w:styleId="481">
    <w:name w:val="环评表头 Char"/>
    <w:link w:val="482"/>
    <w:autoRedefine/>
    <w:qFormat/>
    <w:uiPriority w:val="0"/>
    <w:rPr>
      <w:szCs w:val="21"/>
    </w:rPr>
  </w:style>
  <w:style w:type="paragraph" w:customStyle="1" w:styleId="482">
    <w:name w:val="环评表头"/>
    <w:basedOn w:val="52"/>
    <w:next w:val="52"/>
    <w:link w:val="481"/>
    <w:autoRedefine/>
    <w:qFormat/>
    <w:uiPriority w:val="0"/>
    <w:pPr>
      <w:tabs>
        <w:tab w:val="center" w:pos="4153"/>
        <w:tab w:val="right" w:pos="8306"/>
      </w:tabs>
      <w:adjustRightInd/>
      <w:spacing w:beforeLines="50" w:line="240" w:lineRule="auto"/>
      <w:ind w:firstLine="0" w:firstLineChars="0"/>
      <w:jc w:val="center"/>
    </w:pPr>
    <w:rPr>
      <w:bCs w:val="0"/>
      <w:color w:val="auto"/>
      <w:kern w:val="0"/>
      <w:sz w:val="20"/>
      <w:szCs w:val="21"/>
    </w:rPr>
  </w:style>
  <w:style w:type="character" w:customStyle="1" w:styleId="483">
    <w:name w:val="zhenwen14"/>
    <w:basedOn w:val="100"/>
    <w:autoRedefine/>
    <w:qFormat/>
    <w:uiPriority w:val="0"/>
  </w:style>
  <w:style w:type="character" w:customStyle="1" w:styleId="484">
    <w:name w:val="样式 居中 段前: 1.55 磅 段后: 1.55 磅 底端: (单实线 自动设置  0.75 磅 行宽)"/>
    <w:autoRedefine/>
    <w:qFormat/>
    <w:uiPriority w:val="0"/>
    <w:rPr>
      <w:sz w:val="18"/>
    </w:rPr>
  </w:style>
  <w:style w:type="character" w:customStyle="1" w:styleId="485">
    <w:name w:val="样式 正文文本 + Char"/>
    <w:link w:val="486"/>
    <w:autoRedefine/>
    <w:qFormat/>
    <w:uiPriority w:val="0"/>
    <w:rPr>
      <w:rFonts w:eastAsia="Garamond"/>
      <w:snapToGrid w:val="0"/>
      <w:spacing w:val="-6"/>
      <w:sz w:val="18"/>
    </w:rPr>
  </w:style>
  <w:style w:type="paragraph" w:customStyle="1" w:styleId="486">
    <w:name w:val="样式 正文文本 +"/>
    <w:basedOn w:val="30"/>
    <w:link w:val="485"/>
    <w:autoRedefine/>
    <w:qFormat/>
    <w:uiPriority w:val="0"/>
    <w:pPr>
      <w:widowControl w:val="0"/>
      <w:spacing w:after="60" w:line="264" w:lineRule="auto"/>
      <w:ind w:right="0" w:firstLine="200"/>
      <w:textAlignment w:val="baseline"/>
    </w:pPr>
    <w:rPr>
      <w:rFonts w:eastAsia="Garamond"/>
      <w:snapToGrid w:val="0"/>
      <w:spacing w:val="-6"/>
    </w:rPr>
  </w:style>
  <w:style w:type="character" w:customStyle="1" w:styleId="487">
    <w:name w:val="Char Char8"/>
    <w:autoRedefine/>
    <w:qFormat/>
    <w:uiPriority w:val="0"/>
    <w:rPr>
      <w:rFonts w:eastAsia="Sim Sun"/>
      <w:kern w:val="2"/>
      <w:sz w:val="21"/>
      <w:szCs w:val="24"/>
      <w:lang w:val="en-US" w:eastAsia="zh-CN" w:bidi="ar-SA"/>
    </w:rPr>
  </w:style>
  <w:style w:type="character" w:customStyle="1" w:styleId="488">
    <w:name w:val="样式4 Char"/>
    <w:link w:val="489"/>
    <w:autoRedefine/>
    <w:qFormat/>
    <w:uiPriority w:val="0"/>
    <w:rPr>
      <w:b/>
      <w:color w:val="000000"/>
      <w:kern w:val="24"/>
      <w:sz w:val="28"/>
      <w:szCs w:val="28"/>
    </w:rPr>
  </w:style>
  <w:style w:type="paragraph" w:customStyle="1" w:styleId="489">
    <w:name w:val="样式4"/>
    <w:basedOn w:val="8"/>
    <w:link w:val="488"/>
    <w:autoRedefine/>
    <w:qFormat/>
    <w:uiPriority w:val="0"/>
    <w:pPr>
      <w:tabs>
        <w:tab w:val="left" w:pos="720"/>
        <w:tab w:val="left" w:pos="780"/>
      </w:tabs>
      <w:spacing w:line="480" w:lineRule="exact"/>
      <w:ind w:left="200" w:leftChars="200" w:hanging="200" w:hangingChars="200"/>
    </w:pPr>
    <w:rPr>
      <w:rFonts w:ascii="Times New Roman" w:hAnsi="Times New Roman" w:eastAsia="宋体"/>
      <w:color w:val="000000"/>
      <w:kern w:val="24"/>
    </w:rPr>
  </w:style>
  <w:style w:type="character" w:customStyle="1" w:styleId="490">
    <w:name w:val="unnamed11"/>
    <w:autoRedefine/>
    <w:qFormat/>
    <w:uiPriority w:val="0"/>
    <w:rPr>
      <w:rFonts w:hint="eastAsia" w:ascii="FLGPEK+TimesNewRoman,Italic" w:hAnsi="FLGPEK+TimesNewRoman,Italic" w:eastAsia="FLGPEK+TimesNewRoman,Italic"/>
      <w:sz w:val="18"/>
      <w:szCs w:val="18"/>
    </w:rPr>
  </w:style>
  <w:style w:type="character" w:customStyle="1" w:styleId="491">
    <w:name w:val="题注 Char2"/>
    <w:autoRedefine/>
    <w:qFormat/>
    <w:uiPriority w:val="0"/>
    <w:rPr>
      <w:sz w:val="24"/>
      <w:lang w:bidi="ar-SA"/>
    </w:rPr>
  </w:style>
  <w:style w:type="character" w:customStyle="1" w:styleId="492">
    <w:name w:val="left2"/>
    <w:basedOn w:val="100"/>
    <w:autoRedefine/>
    <w:qFormat/>
    <w:uiPriority w:val="0"/>
  </w:style>
  <w:style w:type="character" w:customStyle="1" w:styleId="493">
    <w:name w:val="表格文字1 Char"/>
    <w:autoRedefine/>
    <w:qFormat/>
    <w:uiPriority w:val="0"/>
    <w:rPr>
      <w:rFonts w:ascii="Sim Sun" w:hAnsi="DFKai-SB" w:eastAsia="Sim Sun" w:cs="DFKai-SB"/>
      <w:kern w:val="2"/>
      <w:sz w:val="21"/>
      <w:szCs w:val="21"/>
      <w:lang w:val="en-US" w:eastAsia="zh-CN" w:bidi="ar-SA"/>
    </w:rPr>
  </w:style>
  <w:style w:type="character" w:customStyle="1" w:styleId="494">
    <w:name w:val="hang1"/>
    <w:autoRedefine/>
    <w:qFormat/>
    <w:uiPriority w:val="0"/>
    <w:rPr>
      <w:sz w:val="20"/>
      <w:szCs w:val="20"/>
    </w:rPr>
  </w:style>
  <w:style w:type="character" w:customStyle="1" w:styleId="495">
    <w:name w:val="正文文字缩进 3 Char Char Char"/>
    <w:autoRedefine/>
    <w:qFormat/>
    <w:uiPriority w:val="0"/>
    <w:rPr>
      <w:rFonts w:eastAsia="Sim Sun"/>
      <w:kern w:val="2"/>
      <w:sz w:val="28"/>
      <w:lang w:val="en-US" w:eastAsia="zh-CN" w:bidi="ar-SA"/>
    </w:rPr>
  </w:style>
  <w:style w:type="character" w:customStyle="1" w:styleId="496">
    <w:name w:val="标题 2 Char Char Char Char Char Char C"/>
    <w:autoRedefine/>
    <w:qFormat/>
    <w:uiPriority w:val="0"/>
    <w:rPr>
      <w:rFonts w:ascii="宋体" w:hAnsi="Arial"/>
      <w:b/>
      <w:sz w:val="28"/>
    </w:rPr>
  </w:style>
  <w:style w:type="character" w:customStyle="1" w:styleId="497">
    <w:name w:val="Char Char7"/>
    <w:autoRedefine/>
    <w:qFormat/>
    <w:uiPriority w:val="0"/>
    <w:rPr>
      <w:rFonts w:hint="default" w:ascii="ˎ̥" w:hAnsi="ˎ̥" w:eastAsia="FLGPEK+TimesNewRoman,Italic" w:cs="ˎ̥"/>
      <w:sz w:val="16"/>
      <w:szCs w:val="16"/>
    </w:rPr>
  </w:style>
  <w:style w:type="character" w:customStyle="1" w:styleId="498">
    <w:name w:val="样式 标题 1 + 非加宽量 / 紧缩量 Char"/>
    <w:link w:val="499"/>
    <w:autoRedefine/>
    <w:qFormat/>
    <w:uiPriority w:val="0"/>
    <w:rPr>
      <w:rFonts w:ascii="Batang" w:hAnsi="Batang" w:eastAsia="FLGPEK+TimesNewRoman,Italic" w:cs="Batang"/>
      <w:b/>
      <w:color w:val="000000"/>
      <w:kern w:val="44"/>
      <w:sz w:val="28"/>
      <w:szCs w:val="28"/>
    </w:rPr>
  </w:style>
  <w:style w:type="paragraph" w:customStyle="1" w:styleId="499">
    <w:name w:val="样式 标题 1 + 非加宽量 / 紧缩量"/>
    <w:basedOn w:val="5"/>
    <w:link w:val="498"/>
    <w:autoRedefine/>
    <w:qFormat/>
    <w:uiPriority w:val="0"/>
    <w:pPr>
      <w:keepLines/>
      <w:overflowPunct/>
      <w:snapToGrid/>
      <w:spacing w:before="360" w:after="0" w:line="360" w:lineRule="auto"/>
      <w:ind w:left="0" w:firstLine="0"/>
    </w:pPr>
    <w:rPr>
      <w:rFonts w:ascii="Batang" w:hAnsi="Batang" w:eastAsia="FLGPEK+TimesNewRoman,Italic" w:cs="Batang"/>
      <w:bCs w:val="0"/>
      <w:sz w:val="28"/>
      <w:szCs w:val="28"/>
    </w:rPr>
  </w:style>
  <w:style w:type="character" w:customStyle="1" w:styleId="500">
    <w:name w:val="Char Char Char2"/>
    <w:link w:val="501"/>
    <w:autoRedefine/>
    <w:qFormat/>
    <w:uiPriority w:val="0"/>
    <w:rPr>
      <w:rFonts w:ascii="Batang" w:hAnsi="Batang" w:eastAsia="宋体-方正超大字符集" w:cs="Batang"/>
      <w:b/>
      <w:kern w:val="44"/>
      <w:sz w:val="44"/>
    </w:rPr>
  </w:style>
  <w:style w:type="paragraph" w:customStyle="1" w:styleId="501">
    <w:name w:val="11"/>
    <w:basedOn w:val="50"/>
    <w:link w:val="500"/>
    <w:autoRedefine/>
    <w:qFormat/>
    <w:uiPriority w:val="0"/>
    <w:pPr>
      <w:pBdr>
        <w:bottom w:val="none" w:color="auto" w:sz="0" w:space="0"/>
      </w:pBdr>
      <w:tabs>
        <w:tab w:val="clear" w:pos="4153"/>
        <w:tab w:val="clear" w:pos="8306"/>
      </w:tabs>
      <w:snapToGrid/>
      <w:ind w:firstLine="560"/>
      <w:jc w:val="left"/>
      <w:textAlignment w:val="baseline"/>
    </w:pPr>
    <w:rPr>
      <w:rFonts w:ascii="Batang" w:hAnsi="Batang" w:eastAsia="宋体-方正超大字符集" w:cs="Batang"/>
      <w:b/>
      <w:kern w:val="44"/>
      <w:sz w:val="44"/>
    </w:rPr>
  </w:style>
  <w:style w:type="character" w:customStyle="1" w:styleId="502">
    <w:name w:val="3zw1"/>
    <w:autoRedefine/>
    <w:qFormat/>
    <w:uiPriority w:val="0"/>
    <w:rPr>
      <w:color w:val="000000"/>
      <w:spacing w:val="360"/>
      <w:sz w:val="21"/>
      <w:szCs w:val="21"/>
    </w:rPr>
  </w:style>
  <w:style w:type="character" w:customStyle="1" w:styleId="503">
    <w:name w:val="样式 黑色"/>
    <w:autoRedefine/>
    <w:qFormat/>
    <w:uiPriority w:val="0"/>
    <w:rPr>
      <w:color w:val="auto"/>
    </w:rPr>
  </w:style>
  <w:style w:type="character" w:customStyle="1" w:styleId="504">
    <w:name w:val="Char Char15"/>
    <w:autoRedefine/>
    <w:qFormat/>
    <w:uiPriority w:val="0"/>
    <w:rPr>
      <w:rFonts w:ascii="Arial" w:hAnsi="Arial" w:eastAsia="黑体" w:cs="Arial"/>
      <w:sz w:val="20"/>
      <w:szCs w:val="20"/>
    </w:rPr>
  </w:style>
  <w:style w:type="character" w:customStyle="1" w:styleId="505">
    <w:name w:val="Char Char16"/>
    <w:autoRedefine/>
    <w:qFormat/>
    <w:uiPriority w:val="0"/>
    <w:rPr>
      <w:rFonts w:ascii="幼圆" w:hAnsi="幼圆" w:eastAsia="@幼圆"/>
      <w:kern w:val="2"/>
      <w:sz w:val="21"/>
      <w:szCs w:val="21"/>
      <w:lang w:val="en-US" w:eastAsia="zh-CN" w:bidi="ar-SA"/>
    </w:rPr>
  </w:style>
  <w:style w:type="character" w:customStyle="1" w:styleId="506">
    <w:name w:val="style14"/>
    <w:basedOn w:val="100"/>
    <w:autoRedefine/>
    <w:qFormat/>
    <w:uiPriority w:val="0"/>
  </w:style>
  <w:style w:type="character" w:customStyle="1" w:styleId="507">
    <w:name w:val="tit02"/>
    <w:basedOn w:val="100"/>
    <w:autoRedefine/>
    <w:qFormat/>
    <w:uiPriority w:val="0"/>
  </w:style>
  <w:style w:type="character" w:customStyle="1" w:styleId="508">
    <w:name w:val="z-窗体顶端 Char1"/>
    <w:link w:val="509"/>
    <w:autoRedefine/>
    <w:qFormat/>
    <w:uiPriority w:val="0"/>
    <w:rPr>
      <w:rFonts w:ascii="Arial" w:hAnsi="Arial" w:cs="Arial"/>
      <w:bCs/>
      <w:vanish/>
      <w:color w:val="000000"/>
      <w:sz w:val="16"/>
      <w:szCs w:val="16"/>
    </w:rPr>
  </w:style>
  <w:style w:type="paragraph" w:customStyle="1" w:styleId="509">
    <w:name w:val="z-窗体顶端2"/>
    <w:basedOn w:val="1"/>
    <w:next w:val="1"/>
    <w:link w:val="508"/>
    <w:autoRedefine/>
    <w:qFormat/>
    <w:uiPriority w:val="0"/>
    <w:pPr>
      <w:pBdr>
        <w:bottom w:val="single" w:color="auto" w:sz="6" w:space="1"/>
      </w:pBdr>
      <w:jc w:val="center"/>
    </w:pPr>
    <w:rPr>
      <w:rFonts w:ascii="Arial" w:hAnsi="Arial" w:cs="Arial"/>
      <w:bCs/>
      <w:vanish/>
      <w:color w:val="000000"/>
      <w:kern w:val="0"/>
      <w:sz w:val="16"/>
      <w:szCs w:val="16"/>
    </w:rPr>
  </w:style>
  <w:style w:type="character" w:customStyle="1" w:styleId="510">
    <w:name w:val="表头文字 Char"/>
    <w:link w:val="511"/>
    <w:autoRedefine/>
    <w:qFormat/>
    <w:uiPriority w:val="0"/>
    <w:rPr>
      <w:rFonts w:eastAsia="黑体"/>
      <w:bCs/>
      <w:color w:val="000000"/>
      <w:kern w:val="24"/>
      <w:sz w:val="24"/>
    </w:rPr>
  </w:style>
  <w:style w:type="paragraph" w:customStyle="1" w:styleId="511">
    <w:name w:val="表头文字"/>
    <w:basedOn w:val="1"/>
    <w:link w:val="510"/>
    <w:autoRedefine/>
    <w:qFormat/>
    <w:uiPriority w:val="0"/>
    <w:pPr>
      <w:jc w:val="center"/>
    </w:pPr>
    <w:rPr>
      <w:rFonts w:eastAsia="黑体"/>
      <w:bCs/>
      <w:color w:val="000000"/>
      <w:kern w:val="24"/>
      <w:szCs w:val="20"/>
    </w:rPr>
  </w:style>
  <w:style w:type="character" w:customStyle="1" w:styleId="512">
    <w:name w:val="dfgdfg Char"/>
    <w:autoRedefine/>
    <w:qFormat/>
    <w:uiPriority w:val="0"/>
    <w:rPr>
      <w:rFonts w:ascii="ˎ̥" w:hAnsi="ˎ̥" w:eastAsia="仿宋体"/>
      <w:kern w:val="2"/>
      <w:sz w:val="24"/>
      <w:lang w:val="en-US" w:eastAsia="zh-CN"/>
    </w:rPr>
  </w:style>
  <w:style w:type="character" w:customStyle="1" w:styleId="513">
    <w:name w:val="标题-4 Char"/>
    <w:link w:val="514"/>
    <w:autoRedefine/>
    <w:qFormat/>
    <w:uiPriority w:val="0"/>
    <w:rPr>
      <w:rFonts w:ascii="幼圆" w:hAnsi="幼圆" w:eastAsia="FLGPEK+TimesNewRoman,Italic" w:cs="ˎ̥"/>
      <w:b/>
      <w:bCs/>
      <w:color w:val="000000"/>
      <w:sz w:val="24"/>
      <w:szCs w:val="24"/>
    </w:rPr>
  </w:style>
  <w:style w:type="paragraph" w:customStyle="1" w:styleId="514">
    <w:name w:val="标题-4"/>
    <w:basedOn w:val="8"/>
    <w:link w:val="513"/>
    <w:autoRedefine/>
    <w:qFormat/>
    <w:uiPriority w:val="0"/>
    <w:pPr>
      <w:spacing w:beforeLines="50" w:line="360" w:lineRule="auto"/>
      <w:textAlignment w:val="baseline"/>
    </w:pPr>
    <w:rPr>
      <w:rFonts w:ascii="幼圆" w:hAnsi="幼圆" w:eastAsia="FLGPEK+TimesNewRoman,Italic" w:cs="ˎ̥"/>
      <w:color w:val="000000"/>
      <w:kern w:val="0"/>
      <w:sz w:val="24"/>
      <w:szCs w:val="24"/>
    </w:rPr>
  </w:style>
  <w:style w:type="character" w:customStyle="1" w:styleId="515">
    <w:name w:val="二 Char Char"/>
    <w:autoRedefine/>
    <w:qFormat/>
    <w:uiPriority w:val="0"/>
    <w:rPr>
      <w:rFonts w:ascii="FLGPEK+TimesNewRoman,Italic" w:eastAsia="FLGPEK+TimesNewRoman,Italic"/>
      <w:b/>
      <w:kern w:val="2"/>
      <w:sz w:val="24"/>
      <w:lang w:val="en-US" w:eastAsia="zh-CN"/>
    </w:rPr>
  </w:style>
  <w:style w:type="character" w:customStyle="1" w:styleId="516">
    <w:name w:val="正文文字 2 Char Char"/>
    <w:autoRedefine/>
    <w:qFormat/>
    <w:uiPriority w:val="0"/>
    <w:rPr>
      <w:rFonts w:ascii="Batang" w:hAnsi="Batang" w:eastAsia="宋体-方正超大字符集" w:cs="Batang"/>
      <w:kern w:val="2"/>
      <w:sz w:val="21"/>
      <w:lang w:val="en-US" w:eastAsia="zh-CN" w:bidi="ar-SA"/>
    </w:rPr>
  </w:style>
  <w:style w:type="character" w:customStyle="1" w:styleId="517">
    <w:name w:val="style191"/>
    <w:autoRedefine/>
    <w:qFormat/>
    <w:uiPriority w:val="0"/>
    <w:rPr>
      <w:b/>
      <w:bCs/>
      <w:color w:val="FF0000"/>
    </w:rPr>
  </w:style>
  <w:style w:type="character" w:customStyle="1" w:styleId="518">
    <w:name w:val="武正文 Char"/>
    <w:link w:val="519"/>
    <w:autoRedefine/>
    <w:qFormat/>
    <w:uiPriority w:val="0"/>
    <w:rPr>
      <w:color w:val="000000"/>
      <w:sz w:val="24"/>
      <w:szCs w:val="24"/>
    </w:rPr>
  </w:style>
  <w:style w:type="paragraph" w:customStyle="1" w:styleId="519">
    <w:name w:val="武正文"/>
    <w:basedOn w:val="1"/>
    <w:link w:val="518"/>
    <w:autoRedefine/>
    <w:qFormat/>
    <w:uiPriority w:val="0"/>
    <w:pPr>
      <w:spacing w:line="440" w:lineRule="exact"/>
      <w:ind w:firstLine="200"/>
    </w:pPr>
    <w:rPr>
      <w:color w:val="000000"/>
      <w:kern w:val="0"/>
    </w:rPr>
  </w:style>
  <w:style w:type="character" w:customStyle="1" w:styleId="520">
    <w:name w:val="表格题注 Char"/>
    <w:link w:val="521"/>
    <w:autoRedefine/>
    <w:qFormat/>
    <w:uiPriority w:val="0"/>
    <w:rPr>
      <w:rFonts w:ascii="Sim Sun"/>
      <w:sz w:val="24"/>
      <w:szCs w:val="24"/>
    </w:rPr>
  </w:style>
  <w:style w:type="paragraph" w:customStyle="1" w:styleId="521">
    <w:name w:val="表格题注"/>
    <w:basedOn w:val="1"/>
    <w:link w:val="520"/>
    <w:autoRedefine/>
    <w:qFormat/>
    <w:uiPriority w:val="0"/>
    <w:pPr>
      <w:spacing w:line="440" w:lineRule="exact"/>
      <w:ind w:firstLine="200"/>
      <w:jc w:val="center"/>
    </w:pPr>
    <w:rPr>
      <w:rFonts w:ascii="Sim Sun"/>
      <w:kern w:val="0"/>
    </w:rPr>
  </w:style>
  <w:style w:type="character" w:customStyle="1" w:styleId="522">
    <w:name w:val="篇号"/>
    <w:autoRedefine/>
    <w:qFormat/>
    <w:uiPriority w:val="0"/>
    <w:rPr>
      <w:rFonts w:eastAsia="Sim Sun"/>
      <w:sz w:val="28"/>
      <w:szCs w:val="28"/>
    </w:rPr>
  </w:style>
  <w:style w:type="character" w:customStyle="1" w:styleId="523">
    <w:name w:val="一般正文 Char1"/>
    <w:link w:val="524"/>
    <w:autoRedefine/>
    <w:qFormat/>
    <w:uiPriority w:val="0"/>
    <w:rPr>
      <w:rFonts w:ascii="Sim Sun" w:hAnsi="Sim Sun" w:eastAsia="Sim Sun"/>
      <w:kern w:val="2"/>
      <w:sz w:val="28"/>
    </w:rPr>
  </w:style>
  <w:style w:type="paragraph" w:customStyle="1" w:styleId="524">
    <w:name w:val="一般正文"/>
    <w:basedOn w:val="1"/>
    <w:link w:val="523"/>
    <w:autoRedefine/>
    <w:qFormat/>
    <w:uiPriority w:val="0"/>
    <w:pPr>
      <w:spacing w:before="120" w:after="120"/>
      <w:ind w:right="1" w:rightChars="1" w:firstLine="560"/>
    </w:pPr>
    <w:rPr>
      <w:rFonts w:ascii="Sim Sun" w:hAnsi="Sim Sun" w:eastAsia="Sim Sun"/>
      <w:sz w:val="28"/>
      <w:szCs w:val="20"/>
    </w:rPr>
  </w:style>
  <w:style w:type="character" w:customStyle="1" w:styleId="525">
    <w:name w:val="标题 5 Char1"/>
    <w:autoRedefine/>
    <w:qFormat/>
    <w:uiPriority w:val="0"/>
    <w:rPr>
      <w:rFonts w:ascii="Arial Unicode MS" w:hAnsi="Arial Unicode MS" w:eastAsia="Arial Unicode MS"/>
      <w:b/>
      <w:bCs/>
      <w:kern w:val="2"/>
      <w:sz w:val="24"/>
      <w:szCs w:val="28"/>
      <w:lang w:val="en-US" w:eastAsia="zh-CN" w:bidi="ar-SA"/>
    </w:rPr>
  </w:style>
  <w:style w:type="character" w:customStyle="1" w:styleId="526">
    <w:name w:val="font_21"/>
    <w:autoRedefine/>
    <w:qFormat/>
    <w:uiPriority w:val="0"/>
    <w:rPr>
      <w:b/>
      <w:bCs/>
      <w:sz w:val="21"/>
      <w:szCs w:val="21"/>
    </w:rPr>
  </w:style>
  <w:style w:type="character" w:customStyle="1" w:styleId="527">
    <w:name w:val="正文内容 Char"/>
    <w:link w:val="528"/>
    <w:autoRedefine/>
    <w:qFormat/>
    <w:uiPriority w:val="0"/>
    <w:rPr>
      <w:rFonts w:ascii="FLGPEK+TimesNewRoman,Italic" w:hAnsi="ˎ̥" w:eastAsia="FLGPEK+TimesNewRoman,Italic" w:cs="ˎ̥"/>
      <w:bCs/>
      <w:color w:val="000000"/>
      <w:kern w:val="24"/>
      <w:sz w:val="24"/>
    </w:rPr>
  </w:style>
  <w:style w:type="paragraph" w:customStyle="1" w:styleId="528">
    <w:name w:val="正文内容"/>
    <w:basedOn w:val="1"/>
    <w:link w:val="527"/>
    <w:autoRedefine/>
    <w:qFormat/>
    <w:uiPriority w:val="0"/>
    <w:pPr>
      <w:ind w:firstLine="200"/>
    </w:pPr>
    <w:rPr>
      <w:rFonts w:ascii="FLGPEK+TimesNewRoman,Italic" w:hAnsi="ˎ̥" w:eastAsia="FLGPEK+TimesNewRoman,Italic" w:cs="ˎ̥"/>
      <w:bCs/>
      <w:color w:val="000000"/>
      <w:kern w:val="24"/>
      <w:szCs w:val="20"/>
    </w:rPr>
  </w:style>
  <w:style w:type="character" w:customStyle="1" w:styleId="529">
    <w:name w:val="题注 Char1 Char1"/>
    <w:autoRedefine/>
    <w:qFormat/>
    <w:uiPriority w:val="0"/>
    <w:rPr>
      <w:rFonts w:ascii="Batang" w:hAnsi="Batang" w:eastAsia="宋体-方正超大字符集" w:cs="ˎ̥"/>
      <w:kern w:val="2"/>
      <w:sz w:val="24"/>
      <w:lang w:val="en-US" w:eastAsia="zh-CN" w:bidi="ar-SA"/>
    </w:rPr>
  </w:style>
  <w:style w:type="character" w:customStyle="1" w:styleId="530">
    <w:name w:val="正文1 Char Char Char Char"/>
    <w:link w:val="531"/>
    <w:autoRedefine/>
    <w:qFormat/>
    <w:uiPriority w:val="0"/>
    <w:rPr>
      <w:rFonts w:ascii="ˎ̥" w:hAnsi="ˎ̥" w:eastAsia="FLGPEK+TimesNewRoman,Italic" w:cs="ˎ̥"/>
      <w:bCs/>
      <w:color w:val="000000"/>
      <w:kern w:val="24"/>
      <w:sz w:val="24"/>
      <w:szCs w:val="24"/>
    </w:rPr>
  </w:style>
  <w:style w:type="paragraph" w:customStyle="1" w:styleId="531">
    <w:name w:val="正文1 Char Char Char"/>
    <w:basedOn w:val="1"/>
    <w:next w:val="1"/>
    <w:link w:val="530"/>
    <w:autoRedefine/>
    <w:qFormat/>
    <w:uiPriority w:val="0"/>
    <w:pPr>
      <w:spacing w:line="480" w:lineRule="exact"/>
      <w:ind w:firstLine="200"/>
    </w:pPr>
    <w:rPr>
      <w:rFonts w:ascii="ˎ̥" w:hAnsi="ˎ̥" w:eastAsia="FLGPEK+TimesNewRoman,Italic" w:cs="ˎ̥"/>
      <w:bCs/>
      <w:color w:val="000000"/>
      <w:kern w:val="24"/>
    </w:rPr>
  </w:style>
  <w:style w:type="character" w:customStyle="1" w:styleId="532">
    <w:name w:val="blue1"/>
    <w:autoRedefine/>
    <w:qFormat/>
    <w:uiPriority w:val="0"/>
    <w:rPr>
      <w:color w:val="626E83"/>
    </w:rPr>
  </w:style>
  <w:style w:type="character" w:customStyle="1" w:styleId="533">
    <w:name w:val="样式 正文（首行缩进两字） + 行距: 固定值 20 磅 Char"/>
    <w:link w:val="534"/>
    <w:autoRedefine/>
    <w:qFormat/>
    <w:uiPriority w:val="0"/>
    <w:rPr>
      <w:rFonts w:eastAsia="Garamond"/>
      <w:bCs/>
      <w:sz w:val="24"/>
    </w:rPr>
  </w:style>
  <w:style w:type="paragraph" w:customStyle="1" w:styleId="534">
    <w:name w:val="样式 正文（首行缩进两字） + 行距: 固定值 20 磅"/>
    <w:basedOn w:val="192"/>
    <w:link w:val="533"/>
    <w:autoRedefine/>
    <w:qFormat/>
    <w:uiPriority w:val="0"/>
    <w:pPr>
      <w:spacing w:afterLines="20" w:line="400" w:lineRule="exact"/>
      <w:jc w:val="both"/>
    </w:pPr>
    <w:rPr>
      <w:rFonts w:eastAsia="Garamond"/>
      <w:bCs/>
      <w:color w:val="auto"/>
    </w:rPr>
  </w:style>
  <w:style w:type="character" w:customStyle="1" w:styleId="535">
    <w:name w:val="通用正文 Char"/>
    <w:link w:val="536"/>
    <w:autoRedefine/>
    <w:qFormat/>
    <w:uiPriority w:val="0"/>
    <w:rPr>
      <w:rFonts w:ascii="新宋体" w:hAnsi="新宋体" w:eastAsia="新宋体"/>
      <w:kern w:val="2"/>
      <w:sz w:val="24"/>
      <w:szCs w:val="24"/>
    </w:rPr>
  </w:style>
  <w:style w:type="paragraph" w:customStyle="1" w:styleId="536">
    <w:name w:val="通用正文"/>
    <w:basedOn w:val="1"/>
    <w:link w:val="535"/>
    <w:autoRedefine/>
    <w:qFormat/>
    <w:uiPriority w:val="0"/>
    <w:pPr>
      <w:spacing w:line="600" w:lineRule="exact"/>
      <w:ind w:firstLine="200"/>
    </w:pPr>
    <w:rPr>
      <w:rFonts w:ascii="新宋体" w:hAnsi="新宋体" w:eastAsia="新宋体"/>
    </w:rPr>
  </w:style>
  <w:style w:type="character" w:customStyle="1" w:styleId="537">
    <w:name w:val="kait"/>
    <w:basedOn w:val="100"/>
    <w:autoRedefine/>
    <w:qFormat/>
    <w:uiPriority w:val="0"/>
  </w:style>
  <w:style w:type="character" w:customStyle="1" w:styleId="538">
    <w:name w:val="表格正文 Char"/>
    <w:link w:val="539"/>
    <w:autoRedefine/>
    <w:qFormat/>
    <w:uiPriority w:val="0"/>
    <w:rPr>
      <w:bCs/>
      <w:color w:val="000000"/>
      <w:kern w:val="24"/>
      <w:sz w:val="24"/>
      <w:szCs w:val="24"/>
    </w:rPr>
  </w:style>
  <w:style w:type="paragraph" w:customStyle="1" w:styleId="539">
    <w:name w:val="表格正文"/>
    <w:basedOn w:val="1"/>
    <w:link w:val="538"/>
    <w:autoRedefine/>
    <w:qFormat/>
    <w:uiPriority w:val="0"/>
    <w:pPr>
      <w:jc w:val="center"/>
    </w:pPr>
    <w:rPr>
      <w:bCs/>
      <w:color w:val="000000"/>
      <w:kern w:val="24"/>
    </w:rPr>
  </w:style>
  <w:style w:type="character" w:customStyle="1" w:styleId="540">
    <w:name w:val="行号1"/>
    <w:basedOn w:val="100"/>
    <w:autoRedefine/>
    <w:qFormat/>
    <w:uiPriority w:val="0"/>
  </w:style>
  <w:style w:type="character" w:customStyle="1" w:styleId="541">
    <w:name w:val="Char Char24"/>
    <w:autoRedefine/>
    <w:qFormat/>
    <w:uiPriority w:val="0"/>
    <w:rPr>
      <w:rFonts w:eastAsia="宋体"/>
      <w:kern w:val="2"/>
      <w:sz w:val="24"/>
      <w:lang w:val="en-US" w:eastAsia="zh-CN" w:bidi="ar-SA"/>
    </w:rPr>
  </w:style>
  <w:style w:type="character" w:customStyle="1" w:styleId="542">
    <w:name w:val="表头 Char"/>
    <w:link w:val="543"/>
    <w:autoRedefine/>
    <w:qFormat/>
    <w:uiPriority w:val="0"/>
    <w:rPr>
      <w:b/>
      <w:bCs/>
      <w:color w:val="000000"/>
      <w:kern w:val="24"/>
      <w:sz w:val="24"/>
      <w:szCs w:val="24"/>
    </w:rPr>
  </w:style>
  <w:style w:type="paragraph" w:customStyle="1" w:styleId="543">
    <w:name w:val="表头"/>
    <w:basedOn w:val="52"/>
    <w:next w:val="52"/>
    <w:link w:val="542"/>
    <w:autoRedefine/>
    <w:qFormat/>
    <w:uiPriority w:val="0"/>
    <w:pPr>
      <w:ind w:firstLine="0" w:firstLineChars="0"/>
      <w:jc w:val="center"/>
    </w:pPr>
    <w:rPr>
      <w:b/>
    </w:rPr>
  </w:style>
  <w:style w:type="character" w:customStyle="1" w:styleId="544">
    <w:name w:val="表1 Char"/>
    <w:link w:val="545"/>
    <w:autoRedefine/>
    <w:qFormat/>
    <w:uiPriority w:val="0"/>
    <w:rPr>
      <w:bCs/>
      <w:color w:val="000000"/>
      <w:sz w:val="21"/>
      <w:szCs w:val="24"/>
    </w:rPr>
  </w:style>
  <w:style w:type="paragraph" w:customStyle="1" w:styleId="545">
    <w:name w:val="表1"/>
    <w:next w:val="1"/>
    <w:link w:val="544"/>
    <w:autoRedefine/>
    <w:qFormat/>
    <w:uiPriority w:val="0"/>
    <w:pPr>
      <w:adjustRightInd w:val="0"/>
      <w:snapToGrid w:val="0"/>
      <w:jc w:val="center"/>
    </w:pPr>
    <w:rPr>
      <w:rFonts w:ascii="Times New Roman" w:hAnsi="Times New Roman" w:eastAsia="宋体" w:cs="Times New Roman"/>
      <w:bCs/>
      <w:color w:val="000000"/>
      <w:sz w:val="21"/>
      <w:szCs w:val="24"/>
      <w:lang w:val="en-US" w:eastAsia="zh-CN" w:bidi="ar-SA"/>
    </w:rPr>
  </w:style>
  <w:style w:type="character" w:customStyle="1" w:styleId="546">
    <w:name w:val="亚行正文 Char"/>
    <w:autoRedefine/>
    <w:qFormat/>
    <w:uiPriority w:val="0"/>
    <w:rPr>
      <w:rFonts w:eastAsia="Sim Sun"/>
      <w:kern w:val="2"/>
      <w:sz w:val="24"/>
      <w:szCs w:val="24"/>
      <w:lang w:val="en-US" w:eastAsia="zh-CN" w:bidi="ar-SA"/>
    </w:rPr>
  </w:style>
  <w:style w:type="character" w:customStyle="1" w:styleId="547">
    <w:name w:val="标题1"/>
    <w:basedOn w:val="100"/>
    <w:autoRedefine/>
    <w:qFormat/>
    <w:uiPriority w:val="0"/>
  </w:style>
  <w:style w:type="character" w:customStyle="1" w:styleId="548">
    <w:name w:val="段落 Char"/>
    <w:link w:val="549"/>
    <w:autoRedefine/>
    <w:qFormat/>
    <w:uiPriority w:val="0"/>
    <w:rPr>
      <w:rFonts w:ascii="宋体"/>
      <w:bCs/>
      <w:color w:val="000000"/>
      <w:sz w:val="21"/>
    </w:rPr>
  </w:style>
  <w:style w:type="paragraph" w:customStyle="1" w:styleId="549">
    <w:name w:val="段落"/>
    <w:basedOn w:val="1"/>
    <w:link w:val="548"/>
    <w:autoRedefine/>
    <w:qFormat/>
    <w:uiPriority w:val="0"/>
    <w:pPr>
      <w:spacing w:beforeLines="100" w:line="288" w:lineRule="auto"/>
    </w:pPr>
    <w:rPr>
      <w:rFonts w:ascii="宋体"/>
      <w:bCs/>
      <w:color w:val="000000"/>
      <w:kern w:val="0"/>
      <w:szCs w:val="20"/>
    </w:rPr>
  </w:style>
  <w:style w:type="character" w:customStyle="1" w:styleId="550">
    <w:name w:val="一 Char Char"/>
    <w:autoRedefine/>
    <w:qFormat/>
    <w:uiPriority w:val="0"/>
    <w:rPr>
      <w:rFonts w:ascii="@幼圆" w:eastAsia="@幼圆"/>
      <w:b/>
      <w:kern w:val="2"/>
      <w:sz w:val="28"/>
      <w:lang w:val="en-US" w:eastAsia="zh-CN" w:bidi="ar-SA"/>
    </w:rPr>
  </w:style>
  <w:style w:type="character" w:customStyle="1" w:styleId="551">
    <w:name w:val="标题 4＋小四 Char Char"/>
    <w:autoRedefine/>
    <w:qFormat/>
    <w:uiPriority w:val="0"/>
    <w:rPr>
      <w:rFonts w:eastAsia="宋体"/>
      <w:b/>
      <w:bCs/>
      <w:kern w:val="2"/>
      <w:sz w:val="21"/>
      <w:szCs w:val="24"/>
      <w:lang w:val="en-US" w:eastAsia="zh-CN" w:bidi="ar-SA"/>
    </w:rPr>
  </w:style>
  <w:style w:type="character" w:customStyle="1" w:styleId="552">
    <w:name w:val="表头1 Char"/>
    <w:link w:val="553"/>
    <w:autoRedefine/>
    <w:qFormat/>
    <w:uiPriority w:val="0"/>
    <w:rPr>
      <w:rFonts w:eastAsia="黑体"/>
      <w:bCs/>
      <w:color w:val="000000"/>
      <w:sz w:val="21"/>
      <w:szCs w:val="28"/>
    </w:rPr>
  </w:style>
  <w:style w:type="paragraph" w:customStyle="1" w:styleId="553">
    <w:name w:val="表头1"/>
    <w:basedOn w:val="1"/>
    <w:next w:val="1"/>
    <w:link w:val="552"/>
    <w:autoRedefine/>
    <w:qFormat/>
    <w:uiPriority w:val="0"/>
    <w:pPr>
      <w:tabs>
        <w:tab w:val="left" w:pos="605"/>
      </w:tabs>
      <w:jc w:val="center"/>
    </w:pPr>
    <w:rPr>
      <w:rFonts w:eastAsia="黑体"/>
      <w:bCs/>
      <w:color w:val="000000"/>
      <w:kern w:val="0"/>
      <w:szCs w:val="28"/>
    </w:rPr>
  </w:style>
  <w:style w:type="character" w:customStyle="1" w:styleId="554">
    <w:name w:val="正文（首行缩进两字） Char Char1 Char"/>
    <w:link w:val="555"/>
    <w:autoRedefine/>
    <w:qFormat/>
    <w:uiPriority w:val="0"/>
    <w:rPr>
      <w:rFonts w:ascii="Arial" w:hAnsi="Arial" w:cs="Arial"/>
      <w:bCs/>
      <w:color w:val="000000"/>
      <w:kern w:val="24"/>
      <w:sz w:val="24"/>
      <w:szCs w:val="24"/>
    </w:rPr>
  </w:style>
  <w:style w:type="paragraph" w:customStyle="1" w:styleId="555">
    <w:name w:val="正文（首行缩进两字） Char Char Char2"/>
    <w:basedOn w:val="1"/>
    <w:next w:val="2"/>
    <w:link w:val="554"/>
    <w:autoRedefine/>
    <w:qFormat/>
    <w:uiPriority w:val="0"/>
    <w:pPr>
      <w:spacing w:line="440" w:lineRule="exact"/>
      <w:ind w:firstLine="200"/>
    </w:pPr>
    <w:rPr>
      <w:rFonts w:ascii="Arial" w:hAnsi="Arial" w:cs="Arial"/>
      <w:bCs/>
      <w:color w:val="000000"/>
      <w:kern w:val="24"/>
    </w:rPr>
  </w:style>
  <w:style w:type="character" w:customStyle="1" w:styleId="556">
    <w:name w:val="duanluo1"/>
    <w:basedOn w:val="100"/>
    <w:autoRedefine/>
    <w:qFormat/>
    <w:uiPriority w:val="0"/>
  </w:style>
  <w:style w:type="character" w:customStyle="1" w:styleId="557">
    <w:name w:val="样式 首行缩进:  2 字符 Char"/>
    <w:link w:val="558"/>
    <w:autoRedefine/>
    <w:qFormat/>
    <w:uiPriority w:val="0"/>
    <w:rPr>
      <w:rFonts w:cs="宋体"/>
      <w:bCs/>
      <w:color w:val="000000"/>
      <w:kern w:val="24"/>
      <w:sz w:val="24"/>
      <w:szCs w:val="24"/>
    </w:rPr>
  </w:style>
  <w:style w:type="paragraph" w:customStyle="1" w:styleId="558">
    <w:name w:val="样式 首行缩进:  2 字符"/>
    <w:basedOn w:val="1"/>
    <w:link w:val="557"/>
    <w:autoRedefine/>
    <w:qFormat/>
    <w:uiPriority w:val="0"/>
    <w:pPr>
      <w:spacing w:line="460" w:lineRule="exact"/>
      <w:ind w:firstLine="471"/>
    </w:pPr>
    <w:rPr>
      <w:rFonts w:cs="宋体"/>
      <w:bCs/>
      <w:color w:val="000000"/>
      <w:kern w:val="24"/>
    </w:rPr>
  </w:style>
  <w:style w:type="character" w:customStyle="1" w:styleId="559">
    <w:name w:val="正文（首行缩进两字） Char Char Char3"/>
    <w:autoRedefine/>
    <w:qFormat/>
    <w:uiPriority w:val="0"/>
    <w:rPr>
      <w:rFonts w:ascii="Arial" w:hAnsi="Arial" w:eastAsia="宋体"/>
      <w:snapToGrid w:val="0"/>
      <w:sz w:val="24"/>
      <w:lang w:val="en-US" w:eastAsia="zh-CN" w:bidi="ar-SA"/>
    </w:rPr>
  </w:style>
  <w:style w:type="character" w:customStyle="1" w:styleId="560">
    <w:name w:val="正文文字 Char1"/>
    <w:autoRedefine/>
    <w:qFormat/>
    <w:uiPriority w:val="0"/>
    <w:rPr>
      <w:rFonts w:ascii="Arial" w:hAnsi="Arial" w:eastAsia="宋体"/>
      <w:kern w:val="2"/>
      <w:sz w:val="24"/>
      <w:lang w:val="en-US" w:eastAsia="zh-CN" w:bidi="ar-SA"/>
    </w:rPr>
  </w:style>
  <w:style w:type="character" w:customStyle="1" w:styleId="561">
    <w:name w:val="表 Char1"/>
    <w:autoRedefine/>
    <w:qFormat/>
    <w:uiPriority w:val="0"/>
    <w:rPr>
      <w:rFonts w:eastAsia="Garamond"/>
      <w:color w:val="FF0000"/>
      <w:kern w:val="2"/>
      <w:sz w:val="21"/>
      <w:lang w:val="en-US" w:eastAsia="zh-CN"/>
    </w:rPr>
  </w:style>
  <w:style w:type="character" w:customStyle="1" w:styleId="562">
    <w:name w:val="超链接1"/>
    <w:autoRedefine/>
    <w:qFormat/>
    <w:uiPriority w:val="0"/>
    <w:rPr>
      <w:color w:val="auto"/>
      <w:sz w:val="18"/>
      <w:u w:val="none"/>
    </w:rPr>
  </w:style>
  <w:style w:type="character" w:customStyle="1" w:styleId="563">
    <w:name w:val="c91"/>
    <w:autoRedefine/>
    <w:qFormat/>
    <w:uiPriority w:val="0"/>
    <w:rPr>
      <w:color w:val="414141"/>
      <w:spacing w:val="432"/>
      <w:sz w:val="18"/>
      <w:szCs w:val="18"/>
    </w:rPr>
  </w:style>
  <w:style w:type="character" w:customStyle="1" w:styleId="564">
    <w:name w:val="标题 41"/>
    <w:autoRedefine/>
    <w:qFormat/>
    <w:uiPriority w:val="0"/>
    <w:rPr>
      <w:rFonts w:ascii="Arial" w:hAnsi="Arial" w:eastAsia="宋体"/>
      <w:b/>
      <w:bCs/>
      <w:kern w:val="2"/>
      <w:sz w:val="28"/>
      <w:szCs w:val="28"/>
      <w:lang w:val="en-US" w:eastAsia="zh-CN" w:bidi="ar-SA"/>
    </w:rPr>
  </w:style>
  <w:style w:type="character" w:customStyle="1" w:styleId="565">
    <w:name w:val="样式 样式 首行缩进:  2 字符 行距: 最小值 24 磅 + 首行缩进:  2 字符 Char Char"/>
    <w:link w:val="566"/>
    <w:autoRedefine/>
    <w:qFormat/>
    <w:uiPriority w:val="0"/>
    <w:rPr>
      <w:rFonts w:cs="宋体"/>
      <w:bCs/>
      <w:color w:val="000000"/>
      <w:kern w:val="24"/>
      <w:sz w:val="24"/>
    </w:rPr>
  </w:style>
  <w:style w:type="paragraph" w:customStyle="1" w:styleId="566">
    <w:name w:val="样式 样式 首行缩进:  2 字符 行距: 最小值 24 磅 + 首行缩进:  2 字符 Char"/>
    <w:basedOn w:val="1"/>
    <w:link w:val="565"/>
    <w:autoRedefine/>
    <w:qFormat/>
    <w:uiPriority w:val="0"/>
    <w:pPr>
      <w:spacing w:line="480" w:lineRule="atLeast"/>
      <w:ind w:firstLine="480"/>
    </w:pPr>
    <w:rPr>
      <w:rFonts w:cs="宋体"/>
      <w:bCs/>
      <w:color w:val="000000"/>
      <w:kern w:val="24"/>
      <w:szCs w:val="20"/>
    </w:rPr>
  </w:style>
  <w:style w:type="character" w:customStyle="1" w:styleId="567">
    <w:name w:val="ht091"/>
    <w:autoRedefine/>
    <w:qFormat/>
    <w:uiPriority w:val="0"/>
    <w:rPr>
      <w:rFonts w:hint="eastAsia" w:ascii="Sim Sun" w:hAnsi="Sim Sun" w:eastAsia="Sim Sun"/>
      <w:spacing w:val="360"/>
      <w:sz w:val="18"/>
      <w:szCs w:val="18"/>
    </w:rPr>
  </w:style>
  <w:style w:type="character" w:customStyle="1" w:styleId="568">
    <w:name w:val="1-正文 Char"/>
    <w:link w:val="569"/>
    <w:autoRedefine/>
    <w:qFormat/>
    <w:uiPriority w:val="0"/>
    <w:rPr>
      <w:rFonts w:ascii="Sim Sun" w:hAnsi="Sim Sun" w:cs="Batang"/>
      <w:bCs/>
      <w:color w:val="000000"/>
      <w:kern w:val="24"/>
      <w:sz w:val="24"/>
      <w:szCs w:val="24"/>
    </w:rPr>
  </w:style>
  <w:style w:type="paragraph" w:customStyle="1" w:styleId="569">
    <w:name w:val="1-正文"/>
    <w:basedOn w:val="1"/>
    <w:link w:val="568"/>
    <w:autoRedefine/>
    <w:qFormat/>
    <w:uiPriority w:val="0"/>
    <w:pPr>
      <w:ind w:firstLine="480"/>
    </w:pPr>
    <w:rPr>
      <w:rFonts w:ascii="Sim Sun" w:hAnsi="Sim Sun" w:cs="Batang"/>
      <w:bCs/>
      <w:color w:val="000000"/>
      <w:kern w:val="24"/>
    </w:rPr>
  </w:style>
  <w:style w:type="character" w:customStyle="1" w:styleId="570">
    <w:name w:val="font201"/>
    <w:basedOn w:val="100"/>
    <w:autoRedefine/>
    <w:qFormat/>
    <w:uiPriority w:val="0"/>
  </w:style>
  <w:style w:type="character" w:customStyle="1" w:styleId="571">
    <w:name w:val="apple-style-span"/>
    <w:basedOn w:val="100"/>
    <w:autoRedefine/>
    <w:qFormat/>
    <w:uiPriority w:val="0"/>
  </w:style>
  <w:style w:type="character" w:customStyle="1" w:styleId="572">
    <w:name w:val="曹文本 Char Char"/>
    <w:link w:val="573"/>
    <w:autoRedefine/>
    <w:qFormat/>
    <w:uiPriority w:val="0"/>
    <w:rPr>
      <w:rFonts w:ascii="宋体" w:hAnsi="宋体"/>
      <w:kern w:val="2"/>
      <w:sz w:val="24"/>
    </w:rPr>
  </w:style>
  <w:style w:type="paragraph" w:customStyle="1" w:styleId="573">
    <w:name w:val="曹文本"/>
    <w:basedOn w:val="1"/>
    <w:link w:val="572"/>
    <w:autoRedefine/>
    <w:qFormat/>
    <w:uiPriority w:val="0"/>
    <w:pPr>
      <w:ind w:firstLine="200"/>
    </w:pPr>
    <w:rPr>
      <w:rFonts w:ascii="宋体" w:hAnsi="宋体"/>
      <w:szCs w:val="20"/>
    </w:rPr>
  </w:style>
  <w:style w:type="character" w:customStyle="1" w:styleId="574">
    <w:name w:val="0031"/>
    <w:autoRedefine/>
    <w:qFormat/>
    <w:uiPriority w:val="0"/>
    <w:rPr>
      <w:spacing w:val="432"/>
      <w:sz w:val="21"/>
      <w:szCs w:val="21"/>
    </w:rPr>
  </w:style>
  <w:style w:type="character" w:customStyle="1" w:styleId="575">
    <w:name w:val="正文首行缩进 Char2"/>
    <w:link w:val="259"/>
    <w:autoRedefine/>
    <w:qFormat/>
    <w:uiPriority w:val="0"/>
    <w:rPr>
      <w:rFonts w:ascii="Arial Unicode MS" w:hAnsi="Arial Unicode MS"/>
      <w:bCs/>
      <w:color w:val="000000"/>
      <w:kern w:val="24"/>
      <w:sz w:val="24"/>
      <w:szCs w:val="24"/>
    </w:rPr>
  </w:style>
  <w:style w:type="character" w:customStyle="1" w:styleId="576">
    <w:name w:val="文本条款 Char"/>
    <w:autoRedefine/>
    <w:qFormat/>
    <w:uiPriority w:val="0"/>
    <w:rPr>
      <w:rFonts w:ascii="仿宋_GB2312" w:hAnsi="Arial Black" w:eastAsia="仿宋_GB2312"/>
      <w:kern w:val="2"/>
      <w:sz w:val="28"/>
      <w:lang w:val="en-US" w:eastAsia="zh-CN" w:bidi="ar-SA"/>
    </w:rPr>
  </w:style>
  <w:style w:type="character" w:customStyle="1" w:styleId="577">
    <w:name w:val="Char Char20"/>
    <w:autoRedefine/>
    <w:qFormat/>
    <w:uiPriority w:val="0"/>
    <w:rPr>
      <w:rFonts w:ascii="Batang" w:hAnsi="Batang"/>
      <w:smallCaps/>
      <w:kern w:val="2"/>
    </w:rPr>
  </w:style>
  <w:style w:type="character" w:customStyle="1" w:styleId="578">
    <w:name w:val="style11"/>
    <w:autoRedefine/>
    <w:qFormat/>
    <w:uiPriority w:val="0"/>
    <w:rPr>
      <w:color w:val="FF0000"/>
    </w:rPr>
  </w:style>
  <w:style w:type="character" w:customStyle="1" w:styleId="579">
    <w:name w:val="a0021"/>
    <w:autoRedefine/>
    <w:qFormat/>
    <w:uiPriority w:val="0"/>
    <w:rPr>
      <w:color w:val="333333"/>
      <w:sz w:val="20"/>
      <w:szCs w:val="20"/>
    </w:rPr>
  </w:style>
  <w:style w:type="character" w:customStyle="1" w:styleId="580">
    <w:name w:val="search_content1"/>
    <w:autoRedefine/>
    <w:qFormat/>
    <w:uiPriority w:val="0"/>
    <w:rPr>
      <w:sz w:val="24"/>
      <w:szCs w:val="24"/>
    </w:rPr>
  </w:style>
  <w:style w:type="character" w:customStyle="1" w:styleId="581">
    <w:name w:val="h31"/>
    <w:autoRedefine/>
    <w:qFormat/>
    <w:uiPriority w:val="0"/>
    <w:rPr>
      <w:sz w:val="23"/>
      <w:szCs w:val="23"/>
    </w:rPr>
  </w:style>
  <w:style w:type="character" w:customStyle="1" w:styleId="582">
    <w:name w:val="正文qrz Char Char"/>
    <w:link w:val="583"/>
    <w:autoRedefine/>
    <w:qFormat/>
    <w:uiPriority w:val="0"/>
    <w:rPr>
      <w:rFonts w:ascii="宋体" w:hAnsi="宋体" w:cs="宋体"/>
      <w:kern w:val="2"/>
      <w:sz w:val="24"/>
      <w:szCs w:val="21"/>
    </w:rPr>
  </w:style>
  <w:style w:type="paragraph" w:customStyle="1" w:styleId="583">
    <w:name w:val="正文qrz"/>
    <w:basedOn w:val="1"/>
    <w:link w:val="582"/>
    <w:autoRedefine/>
    <w:qFormat/>
    <w:uiPriority w:val="0"/>
    <w:pPr>
      <w:spacing w:beforeLines="50"/>
      <w:ind w:firstLine="480"/>
    </w:pPr>
    <w:rPr>
      <w:rFonts w:ascii="宋体" w:hAnsi="宋体" w:cs="宋体"/>
      <w:szCs w:val="21"/>
    </w:rPr>
  </w:style>
  <w:style w:type="character" w:customStyle="1" w:styleId="584">
    <w:name w:val="style12"/>
    <w:basedOn w:val="100"/>
    <w:autoRedefine/>
    <w:qFormat/>
    <w:uiPriority w:val="0"/>
  </w:style>
  <w:style w:type="character" w:customStyle="1" w:styleId="585">
    <w:name w:val="nota"/>
    <w:autoRedefine/>
    <w:qFormat/>
    <w:uiPriority w:val="0"/>
    <w:rPr>
      <w:i/>
      <w:iCs/>
      <w:sz w:val="20"/>
    </w:rPr>
  </w:style>
  <w:style w:type="character" w:customStyle="1" w:styleId="586">
    <w:name w:val="表格文字 Char1"/>
    <w:autoRedefine/>
    <w:qFormat/>
    <w:uiPriority w:val="0"/>
    <w:rPr>
      <w:rFonts w:ascii="Sim Sun" w:hAnsi="DFKai-SB" w:eastAsia="Sim Sun" w:cs="DFKai-SB"/>
      <w:kern w:val="2"/>
      <w:sz w:val="21"/>
      <w:szCs w:val="21"/>
      <w:lang w:val="en-US" w:eastAsia="zh-CN" w:bidi="ar-SA"/>
    </w:rPr>
  </w:style>
  <w:style w:type="character" w:customStyle="1" w:styleId="587">
    <w:name w:val="jiu"/>
    <w:basedOn w:val="100"/>
    <w:autoRedefine/>
    <w:qFormat/>
    <w:uiPriority w:val="0"/>
  </w:style>
  <w:style w:type="character" w:customStyle="1" w:styleId="588">
    <w:name w:val="样式 正文A + (中文) PMingLiU Char Char"/>
    <w:autoRedefine/>
    <w:qFormat/>
    <w:uiPriority w:val="0"/>
    <w:rPr>
      <w:rFonts w:hint="eastAsia" w:ascii="Sim Sun" w:hAnsi="Sim Sun" w:eastAsia="Sim Sun" w:cs="Sim Sun"/>
      <w:kern w:val="2"/>
      <w:sz w:val="24"/>
      <w:szCs w:val="24"/>
      <w:lang w:val="en-US" w:eastAsia="zh-CN" w:bidi="ar-SA"/>
    </w:rPr>
  </w:style>
  <w:style w:type="character" w:customStyle="1" w:styleId="589">
    <w:name w:val="word221"/>
    <w:basedOn w:val="100"/>
    <w:autoRedefine/>
    <w:qFormat/>
    <w:uiPriority w:val="0"/>
  </w:style>
  <w:style w:type="character" w:customStyle="1" w:styleId="590">
    <w:name w:val="hei141"/>
    <w:autoRedefine/>
    <w:qFormat/>
    <w:uiPriority w:val="0"/>
    <w:rPr>
      <w:rFonts w:hint="default" w:ascii="华文新魏" w:hAnsi="华文新魏"/>
      <w:color w:val="000000"/>
      <w:sz w:val="21"/>
      <w:szCs w:val="21"/>
      <w:u w:val="none"/>
    </w:rPr>
  </w:style>
  <w:style w:type="character" w:customStyle="1" w:styleId="591">
    <w:name w:val="一级条 Char2"/>
    <w:autoRedefine/>
    <w:qFormat/>
    <w:uiPriority w:val="0"/>
    <w:rPr>
      <w:rFonts w:ascii="ˎ̥" w:hAnsi="ˎ̥" w:eastAsia="Sim Sun"/>
      <w:b/>
      <w:bCs/>
      <w:kern w:val="2"/>
      <w:sz w:val="28"/>
      <w:szCs w:val="32"/>
      <w:lang w:val="en-US" w:eastAsia="zh-CN" w:bidi="ar-SA"/>
    </w:rPr>
  </w:style>
  <w:style w:type="character" w:customStyle="1" w:styleId="592">
    <w:name w:val="content"/>
    <w:basedOn w:val="100"/>
    <w:autoRedefine/>
    <w:qFormat/>
    <w:uiPriority w:val="0"/>
  </w:style>
  <w:style w:type="character" w:customStyle="1" w:styleId="593">
    <w:name w:val="标题3 Char Char Char"/>
    <w:link w:val="594"/>
    <w:autoRedefine/>
    <w:qFormat/>
    <w:uiPriority w:val="0"/>
    <w:rPr>
      <w:rFonts w:ascii="Sim Sun" w:hAnsi="Sim Sun" w:eastAsia="Sim Sun" w:cs="Batang"/>
      <w:b/>
      <w:bCs/>
      <w:color w:val="000000"/>
      <w:sz w:val="24"/>
      <w:szCs w:val="24"/>
    </w:rPr>
  </w:style>
  <w:style w:type="paragraph" w:customStyle="1" w:styleId="594">
    <w:name w:val="标题3 Char Char"/>
    <w:basedOn w:val="7"/>
    <w:next w:val="1"/>
    <w:link w:val="593"/>
    <w:autoRedefine/>
    <w:qFormat/>
    <w:uiPriority w:val="0"/>
    <w:pPr>
      <w:spacing w:before="80" w:after="80" w:line="440" w:lineRule="atLeast"/>
    </w:pPr>
    <w:rPr>
      <w:rFonts w:ascii="Sim Sun" w:hAnsi="Sim Sun" w:eastAsia="Sim Sun" w:cs="Batang"/>
      <w:color w:val="000000"/>
      <w:kern w:val="0"/>
      <w:sz w:val="24"/>
      <w:szCs w:val="24"/>
    </w:rPr>
  </w:style>
  <w:style w:type="character" w:customStyle="1" w:styleId="595">
    <w:name w:val="报告书正文 Char"/>
    <w:link w:val="596"/>
    <w:autoRedefine/>
    <w:semiHidden/>
    <w:qFormat/>
    <w:uiPriority w:val="0"/>
    <w:rPr>
      <w:rFonts w:ascii="Batang" w:hAnsi="Batang" w:cs="Batang"/>
      <w:bCs/>
      <w:color w:val="000000"/>
      <w:kern w:val="24"/>
      <w:sz w:val="24"/>
      <w:szCs w:val="24"/>
    </w:rPr>
  </w:style>
  <w:style w:type="paragraph" w:customStyle="1" w:styleId="596">
    <w:name w:val="报告书正文"/>
    <w:basedOn w:val="1"/>
    <w:link w:val="595"/>
    <w:autoRedefine/>
    <w:semiHidden/>
    <w:qFormat/>
    <w:uiPriority w:val="0"/>
    <w:pPr>
      <w:ind w:firstLine="480"/>
    </w:pPr>
    <w:rPr>
      <w:rFonts w:ascii="Batang" w:hAnsi="Batang" w:cs="Batang"/>
      <w:bCs/>
      <w:color w:val="000000"/>
      <w:kern w:val="24"/>
    </w:rPr>
  </w:style>
  <w:style w:type="character" w:customStyle="1" w:styleId="597">
    <w:name w:val="四号 正文 Char1"/>
    <w:link w:val="598"/>
    <w:autoRedefine/>
    <w:qFormat/>
    <w:uiPriority w:val="0"/>
    <w:rPr>
      <w:rFonts w:ascii="Batang" w:hAnsi="Batang" w:cs="Sim Sun"/>
      <w:bCs/>
      <w:color w:val="000000"/>
      <w:spacing w:val="6"/>
      <w:kern w:val="24"/>
      <w:sz w:val="28"/>
    </w:rPr>
  </w:style>
  <w:style w:type="paragraph" w:customStyle="1" w:styleId="598">
    <w:name w:val="四号 正文"/>
    <w:basedOn w:val="1"/>
    <w:link w:val="597"/>
    <w:autoRedefine/>
    <w:qFormat/>
    <w:uiPriority w:val="0"/>
    <w:pPr>
      <w:ind w:firstLine="584"/>
    </w:pPr>
    <w:rPr>
      <w:rFonts w:ascii="Batang" w:hAnsi="Batang" w:cs="Sim Sun"/>
      <w:bCs/>
      <w:color w:val="000000"/>
      <w:spacing w:val="6"/>
      <w:kern w:val="24"/>
      <w:sz w:val="28"/>
      <w:szCs w:val="20"/>
    </w:rPr>
  </w:style>
  <w:style w:type="character" w:customStyle="1" w:styleId="599">
    <w:name w:val="Char Char9"/>
    <w:autoRedefine/>
    <w:qFormat/>
    <w:uiPriority w:val="0"/>
    <w:rPr>
      <w:rFonts w:ascii="FLGPEK+TimesNewRoman,Italic" w:hAnsi="ˎ̥" w:eastAsia="FLGPEK+TimesNewRoman,Italic"/>
      <w:sz w:val="18"/>
    </w:rPr>
  </w:style>
  <w:style w:type="character" w:customStyle="1" w:styleId="600">
    <w:name w:val="example2"/>
    <w:basedOn w:val="100"/>
    <w:autoRedefine/>
    <w:qFormat/>
    <w:uiPriority w:val="0"/>
  </w:style>
  <w:style w:type="character" w:customStyle="1" w:styleId="601">
    <w:name w:val="新正文样式 Char"/>
    <w:link w:val="602"/>
    <w:autoRedefine/>
    <w:qFormat/>
    <w:uiPriority w:val="0"/>
    <w:rPr>
      <w:rFonts w:ascii="Batang" w:hAnsi="Batang" w:cs="Batang"/>
      <w:bCs/>
      <w:color w:val="000000"/>
      <w:spacing w:val="20"/>
      <w:kern w:val="24"/>
      <w:sz w:val="24"/>
    </w:rPr>
  </w:style>
  <w:style w:type="paragraph" w:customStyle="1" w:styleId="602">
    <w:name w:val="新正文样式"/>
    <w:basedOn w:val="1"/>
    <w:link w:val="601"/>
    <w:autoRedefine/>
    <w:qFormat/>
    <w:uiPriority w:val="0"/>
    <w:pPr>
      <w:tabs>
        <w:tab w:val="left" w:pos="567"/>
      </w:tabs>
      <w:ind w:firstLine="567"/>
    </w:pPr>
    <w:rPr>
      <w:rFonts w:ascii="Batang" w:hAnsi="Batang" w:cs="Batang"/>
      <w:bCs/>
      <w:color w:val="000000"/>
      <w:spacing w:val="20"/>
      <w:kern w:val="24"/>
      <w:szCs w:val="20"/>
    </w:rPr>
  </w:style>
  <w:style w:type="character" w:customStyle="1" w:styleId="603">
    <w:name w:val="heading1"/>
    <w:autoRedefine/>
    <w:qFormat/>
    <w:uiPriority w:val="0"/>
    <w:rPr>
      <w:rFonts w:hint="default" w:ascii="Sim Sun" w:hAnsi="Sim Sun"/>
      <w:b/>
      <w:i/>
      <w:color w:val="000000"/>
      <w:sz w:val="32"/>
    </w:rPr>
  </w:style>
  <w:style w:type="character" w:customStyle="1" w:styleId="604">
    <w:name w:val="char"/>
    <w:basedOn w:val="100"/>
    <w:autoRedefine/>
    <w:qFormat/>
    <w:uiPriority w:val="0"/>
  </w:style>
  <w:style w:type="character" w:customStyle="1" w:styleId="605">
    <w:name w:val="正文文本缩进 3 Char Char Char"/>
    <w:autoRedefine/>
    <w:qFormat/>
    <w:uiPriority w:val="0"/>
    <w:rPr>
      <w:rFonts w:eastAsia="FLGPEK+TimesNewRoman,Italic"/>
      <w:kern w:val="2"/>
      <w:sz w:val="16"/>
      <w:lang w:val="en-US" w:eastAsia="zh-CN"/>
    </w:rPr>
  </w:style>
  <w:style w:type="character" w:customStyle="1" w:styleId="606">
    <w:name w:val="题注 Char1 Char2"/>
    <w:autoRedefine/>
    <w:qFormat/>
    <w:uiPriority w:val="0"/>
    <w:rPr>
      <w:rFonts w:ascii="宋体" w:hAnsi="Arial" w:eastAsia="宋体" w:cs="Arial"/>
      <w:kern w:val="2"/>
      <w:sz w:val="21"/>
      <w:lang w:val="en-US" w:eastAsia="zh-CN" w:bidi="ar-SA"/>
    </w:rPr>
  </w:style>
  <w:style w:type="character" w:customStyle="1" w:styleId="607">
    <w:name w:val="Char Char14"/>
    <w:autoRedefine/>
    <w:qFormat/>
    <w:uiPriority w:val="0"/>
    <w:rPr>
      <w:rFonts w:ascii="ˎ̥" w:hAnsi="ˎ̥" w:eastAsia="FLGPEK+TimesNewRoman,Italic" w:cs="ˎ̥"/>
      <w:kern w:val="2"/>
      <w:sz w:val="21"/>
      <w:lang w:val="en-US" w:eastAsia="zh-CN" w:bidi="ar-SA"/>
    </w:rPr>
  </w:style>
  <w:style w:type="character" w:customStyle="1" w:styleId="608">
    <w:name w:val="Char Char12"/>
    <w:autoRedefine/>
    <w:qFormat/>
    <w:uiPriority w:val="0"/>
    <w:rPr>
      <w:rFonts w:eastAsia="FLGPEK+TimesNewRoman,Italic"/>
      <w:kern w:val="2"/>
      <w:sz w:val="21"/>
      <w:szCs w:val="24"/>
      <w:lang w:val="en-US" w:eastAsia="zh-CN" w:bidi="ar-SA"/>
    </w:rPr>
  </w:style>
  <w:style w:type="character" w:customStyle="1" w:styleId="609">
    <w:name w:val="Char Char5"/>
    <w:autoRedefine/>
    <w:qFormat/>
    <w:uiPriority w:val="0"/>
    <w:rPr>
      <w:rFonts w:eastAsia="FLGPEK+TimesNewRoman,Italic"/>
      <w:kern w:val="2"/>
      <w:sz w:val="21"/>
      <w:szCs w:val="24"/>
      <w:lang w:val="en-US" w:eastAsia="zh-CN" w:bidi="ar-SA"/>
    </w:rPr>
  </w:style>
  <w:style w:type="character" w:customStyle="1" w:styleId="610">
    <w:name w:val="f241"/>
    <w:autoRedefine/>
    <w:qFormat/>
    <w:uiPriority w:val="0"/>
    <w:rPr>
      <w:sz w:val="24"/>
      <w:szCs w:val="24"/>
    </w:rPr>
  </w:style>
  <w:style w:type="character" w:customStyle="1" w:styleId="611">
    <w:name w:val="Char Char92"/>
    <w:autoRedefine/>
    <w:qFormat/>
    <w:uiPriority w:val="0"/>
    <w:rPr>
      <w:rFonts w:hint="eastAsia" w:ascii="FLGPEK+TimesNewRoman,Italic" w:hAnsi="ˎ̥" w:eastAsia="FLGPEK+TimesNewRoman,Italic" w:cs="ˎ̥"/>
      <w:sz w:val="18"/>
      <w:szCs w:val="18"/>
    </w:rPr>
  </w:style>
  <w:style w:type="character" w:customStyle="1" w:styleId="612">
    <w:name w:val="content3"/>
    <w:basedOn w:val="100"/>
    <w:autoRedefine/>
    <w:qFormat/>
    <w:uiPriority w:val="0"/>
  </w:style>
  <w:style w:type="character" w:customStyle="1" w:styleId="613">
    <w:name w:val="Char Char192"/>
    <w:autoRedefine/>
    <w:qFormat/>
    <w:uiPriority w:val="0"/>
    <w:rPr>
      <w:rFonts w:eastAsia="FLGPEK+TimesNewRoman,Italic"/>
      <w:b/>
      <w:kern w:val="2"/>
      <w:sz w:val="28"/>
      <w:lang w:val="en-US" w:eastAsia="zh-CN" w:bidi="ar-SA"/>
    </w:rPr>
  </w:style>
  <w:style w:type="character" w:customStyle="1" w:styleId="614">
    <w:name w:val="Char Char182"/>
    <w:autoRedefine/>
    <w:qFormat/>
    <w:uiPriority w:val="0"/>
    <w:rPr>
      <w:rFonts w:eastAsia="FLGPEK+TimesNewRoman,Italic"/>
      <w:b/>
      <w:kern w:val="2"/>
      <w:sz w:val="24"/>
      <w:lang w:val="en-US" w:eastAsia="zh-CN" w:bidi="ar-SA"/>
    </w:rPr>
  </w:style>
  <w:style w:type="character" w:customStyle="1" w:styleId="615">
    <w:name w:val="纯文本1 Char"/>
    <w:autoRedefine/>
    <w:qFormat/>
    <w:uiPriority w:val="0"/>
    <w:rPr>
      <w:rFonts w:ascii="宋体" w:hAnsi="Courier New" w:eastAsia="宋体"/>
      <w:kern w:val="2"/>
      <w:sz w:val="21"/>
      <w:lang w:val="en-US" w:eastAsia="zh-CN"/>
    </w:rPr>
  </w:style>
  <w:style w:type="character" w:customStyle="1" w:styleId="616">
    <w:name w:val="Char Char162"/>
    <w:autoRedefine/>
    <w:qFormat/>
    <w:uiPriority w:val="0"/>
    <w:rPr>
      <w:rFonts w:ascii="幼圆" w:hAnsi="幼圆" w:eastAsia="@幼圆"/>
      <w:kern w:val="2"/>
      <w:sz w:val="21"/>
      <w:lang w:val="en-US" w:eastAsia="zh-CN" w:bidi="ar-SA"/>
    </w:rPr>
  </w:style>
  <w:style w:type="character" w:customStyle="1" w:styleId="617">
    <w:name w:val="正文文字缩进 Char Char Char Char"/>
    <w:autoRedefine/>
    <w:qFormat/>
    <w:uiPriority w:val="0"/>
    <w:rPr>
      <w:rFonts w:ascii="FLGPEK+TimesNewRoman,Italic" w:eastAsia="FLGPEK+TimesNewRoman,Italic"/>
      <w:spacing w:val="5"/>
      <w:kern w:val="2"/>
      <w:sz w:val="25"/>
      <w:szCs w:val="25"/>
      <w:lang w:val="en-US" w:eastAsia="zh-CN" w:bidi="ar-SA"/>
    </w:rPr>
  </w:style>
  <w:style w:type="character" w:customStyle="1" w:styleId="618">
    <w:name w:val="visited style1"/>
    <w:basedOn w:val="100"/>
    <w:autoRedefine/>
    <w:qFormat/>
    <w:uiPriority w:val="0"/>
  </w:style>
  <w:style w:type="character" w:customStyle="1" w:styleId="619">
    <w:name w:val="表格文字居中 Char"/>
    <w:link w:val="620"/>
    <w:autoRedefine/>
    <w:qFormat/>
    <w:uiPriority w:val="0"/>
    <w:rPr>
      <w:rFonts w:ascii="Arial Unicode MS" w:hAnsi="Arial Unicode MS"/>
      <w:sz w:val="21"/>
      <w:szCs w:val="24"/>
    </w:rPr>
  </w:style>
  <w:style w:type="paragraph" w:customStyle="1" w:styleId="620">
    <w:name w:val="表格文字居中"/>
    <w:basedOn w:val="1"/>
    <w:link w:val="619"/>
    <w:autoRedefine/>
    <w:qFormat/>
    <w:uiPriority w:val="0"/>
    <w:pPr>
      <w:tabs>
        <w:tab w:val="left" w:pos="-1843"/>
        <w:tab w:val="left" w:pos="1458"/>
        <w:tab w:val="left" w:pos="1727"/>
        <w:tab w:val="left" w:pos="1884"/>
      </w:tabs>
      <w:spacing w:line="360" w:lineRule="exact"/>
      <w:ind w:firstLine="200"/>
      <w:jc w:val="center"/>
      <w:textAlignment w:val="bottom"/>
      <w:outlineLvl w:val="0"/>
    </w:pPr>
    <w:rPr>
      <w:rFonts w:ascii="Arial Unicode MS" w:hAnsi="Arial Unicode MS"/>
      <w:kern w:val="0"/>
    </w:rPr>
  </w:style>
  <w:style w:type="character" w:customStyle="1" w:styleId="621">
    <w:name w:val="样式 正文文字 + Char1"/>
    <w:autoRedefine/>
    <w:qFormat/>
    <w:uiPriority w:val="0"/>
    <w:rPr>
      <w:rFonts w:eastAsia="Garamond"/>
      <w:sz w:val="24"/>
      <w:lang w:val="en-US" w:eastAsia="zh-CN"/>
    </w:rPr>
  </w:style>
  <w:style w:type="character" w:customStyle="1" w:styleId="622">
    <w:name w:val="正文首行缩进 Char1"/>
    <w:autoRedefine/>
    <w:qFormat/>
    <w:uiPriority w:val="0"/>
    <w:rPr>
      <w:rFonts w:eastAsia="仿宋体"/>
      <w:kern w:val="2"/>
      <w:sz w:val="24"/>
      <w:lang w:val="en-US" w:eastAsia="zh-CN"/>
    </w:rPr>
  </w:style>
  <w:style w:type="character" w:customStyle="1" w:styleId="623">
    <w:name w:val="tpc_content1"/>
    <w:autoRedefine/>
    <w:qFormat/>
    <w:uiPriority w:val="0"/>
    <w:rPr>
      <w:sz w:val="18"/>
      <w:szCs w:val="18"/>
    </w:rPr>
  </w:style>
  <w:style w:type="character" w:customStyle="1" w:styleId="624">
    <w:name w:val="Job"/>
    <w:basedOn w:val="100"/>
    <w:autoRedefine/>
    <w:qFormat/>
    <w:uiPriority w:val="0"/>
  </w:style>
  <w:style w:type="character" w:customStyle="1" w:styleId="625">
    <w:name w:val="Char Char151"/>
    <w:autoRedefine/>
    <w:qFormat/>
    <w:uiPriority w:val="0"/>
    <w:rPr>
      <w:rFonts w:ascii="Century Schoolbook" w:hAnsi="Century Schoolbook" w:eastAsia="Garamond" w:cs="Century Schoolbook"/>
      <w:kern w:val="2"/>
      <w:lang w:val="en-US" w:eastAsia="zh-CN"/>
    </w:rPr>
  </w:style>
  <w:style w:type="character" w:customStyle="1" w:styleId="626">
    <w:name w:val="Font Style18"/>
    <w:autoRedefine/>
    <w:qFormat/>
    <w:uiPriority w:val="0"/>
    <w:rPr>
      <w:rFonts w:ascii="黑体" w:eastAsia="黑体" w:cs="黑体"/>
      <w:sz w:val="22"/>
      <w:szCs w:val="22"/>
    </w:rPr>
  </w:style>
  <w:style w:type="character" w:customStyle="1" w:styleId="627">
    <w:name w:val="样式 标题 11.标题 1一、标题 1 Char Char Char Char1 南陵标题 1标题 1 Char标题...1 Char"/>
    <w:link w:val="628"/>
    <w:autoRedefine/>
    <w:qFormat/>
    <w:uiPriority w:val="0"/>
    <w:rPr>
      <w:rFonts w:eastAsia="Garamond"/>
      <w:b/>
      <w:sz w:val="28"/>
    </w:rPr>
  </w:style>
  <w:style w:type="paragraph" w:customStyle="1" w:styleId="628">
    <w:name w:val="样式 标题 11.标题 1一、标题 1 Char Char Char Char1 南陵标题 1标题 1 Char标题...1"/>
    <w:basedOn w:val="5"/>
    <w:link w:val="627"/>
    <w:autoRedefine/>
    <w:qFormat/>
    <w:uiPriority w:val="0"/>
    <w:pPr>
      <w:overflowPunct/>
      <w:snapToGrid/>
      <w:spacing w:after="62" w:line="440" w:lineRule="exact"/>
      <w:ind w:left="0" w:firstLine="200"/>
      <w:textAlignment w:val="baseline"/>
    </w:pPr>
    <w:rPr>
      <w:rFonts w:eastAsia="Garamond"/>
      <w:bCs w:val="0"/>
      <w:color w:val="auto"/>
      <w:kern w:val="0"/>
      <w:sz w:val="28"/>
      <w:szCs w:val="20"/>
    </w:rPr>
  </w:style>
  <w:style w:type="character" w:customStyle="1" w:styleId="629">
    <w:name w:val="标题6 Char"/>
    <w:link w:val="630"/>
    <w:autoRedefine/>
    <w:qFormat/>
    <w:uiPriority w:val="0"/>
    <w:rPr>
      <w:rFonts w:ascii="Arial Unicode MS" w:hAnsi="Arial Unicode MS"/>
      <w:kern w:val="2"/>
      <w:sz w:val="28"/>
      <w:szCs w:val="21"/>
    </w:rPr>
  </w:style>
  <w:style w:type="paragraph" w:customStyle="1" w:styleId="630">
    <w:name w:val="标题6"/>
    <w:basedOn w:val="1"/>
    <w:next w:val="259"/>
    <w:link w:val="629"/>
    <w:autoRedefine/>
    <w:qFormat/>
    <w:uiPriority w:val="0"/>
    <w:pPr>
      <w:keepNext/>
      <w:ind w:firstLine="567"/>
      <w:outlineLvl w:val="5"/>
    </w:pPr>
    <w:rPr>
      <w:rFonts w:ascii="Arial Unicode MS" w:hAnsi="Arial Unicode MS"/>
      <w:sz w:val="28"/>
      <w:szCs w:val="21"/>
    </w:rPr>
  </w:style>
  <w:style w:type="character" w:customStyle="1" w:styleId="631">
    <w:name w:val="正文文本 Char Char"/>
    <w:autoRedefine/>
    <w:qFormat/>
    <w:uiPriority w:val="0"/>
    <w:rPr>
      <w:rFonts w:eastAsia="Garamond"/>
      <w:snapToGrid w:val="0"/>
      <w:kern w:val="2"/>
      <w:sz w:val="24"/>
      <w:lang w:val="en-US" w:eastAsia="zh-CN"/>
    </w:rPr>
  </w:style>
  <w:style w:type="character" w:customStyle="1" w:styleId="632">
    <w:name w:val="title011"/>
    <w:autoRedefine/>
    <w:qFormat/>
    <w:uiPriority w:val="0"/>
    <w:rPr>
      <w:rFonts w:eastAsia="Sim Sun"/>
      <w:kern w:val="2"/>
      <w:sz w:val="38"/>
      <w:u w:val="none"/>
      <w:lang w:val="en-US" w:eastAsia="zh-CN"/>
    </w:rPr>
  </w:style>
  <w:style w:type="character" w:customStyle="1" w:styleId="633">
    <w:name w:val="表粗 Char Char"/>
    <w:autoRedefine/>
    <w:qFormat/>
    <w:uiPriority w:val="0"/>
    <w:rPr>
      <w:rFonts w:ascii="ˎ̥" w:hAnsi="ˎ̥" w:eastAsia="Garamond"/>
      <w:b/>
      <w:kern w:val="2"/>
      <w:sz w:val="21"/>
      <w:lang w:val="en-US" w:eastAsia="zh-CN"/>
    </w:rPr>
  </w:style>
  <w:style w:type="character" w:customStyle="1" w:styleId="634">
    <w:name w:val="Lead-in Emphasis"/>
    <w:autoRedefine/>
    <w:qFormat/>
    <w:uiPriority w:val="0"/>
    <w:rPr>
      <w:rFonts w:ascii="ˎ̥" w:hAnsi="ˎ̥"/>
      <w:b/>
      <w:spacing w:val="-8"/>
      <w:sz w:val="18"/>
    </w:rPr>
  </w:style>
  <w:style w:type="character" w:customStyle="1" w:styleId="635">
    <w:name w:val="样式 正文文字缩进 + 左侧:  -0.05 字符 悬挂缩进: 0.05 字符"/>
    <w:autoRedefine/>
    <w:qFormat/>
    <w:uiPriority w:val="0"/>
    <w:rPr>
      <w:rFonts w:hint="eastAsia" w:ascii="Sim Sun" w:hAnsi="Sim Sun" w:eastAsia="Sim Sun"/>
      <w:b/>
      <w:sz w:val="24"/>
    </w:rPr>
  </w:style>
  <w:style w:type="character" w:customStyle="1" w:styleId="636">
    <w:name w:val="正文缩进2 Char"/>
    <w:autoRedefine/>
    <w:qFormat/>
    <w:uiPriority w:val="0"/>
    <w:rPr>
      <w:rFonts w:ascii="Sim Sun" w:hAnsi="Sim Sun" w:eastAsia="Sim Sun"/>
      <w:kern w:val="2"/>
      <w:sz w:val="24"/>
      <w:lang w:val="en-US" w:eastAsia="zh-CN"/>
    </w:rPr>
  </w:style>
  <w:style w:type="character" w:customStyle="1" w:styleId="637">
    <w:name w:val="mn_school"/>
    <w:basedOn w:val="100"/>
    <w:autoRedefine/>
    <w:qFormat/>
    <w:uiPriority w:val="0"/>
  </w:style>
  <w:style w:type="character" w:customStyle="1" w:styleId="638">
    <w:name w:val="题注+ Char Char"/>
    <w:autoRedefine/>
    <w:qFormat/>
    <w:uiPriority w:val="0"/>
    <w:rPr>
      <w:rFonts w:ascii="仿宋体" w:hAnsi="ˎ̥" w:eastAsia="仿宋体"/>
      <w:sz w:val="24"/>
      <w:szCs w:val="24"/>
      <w:lang w:val="en-US" w:eastAsia="zh-CN"/>
    </w:rPr>
  </w:style>
  <w:style w:type="character" w:customStyle="1" w:styleId="639">
    <w:name w:val="Char Char81"/>
    <w:autoRedefine/>
    <w:qFormat/>
    <w:uiPriority w:val="0"/>
    <w:rPr>
      <w:rFonts w:eastAsia="仿宋体"/>
      <w:kern w:val="2"/>
      <w:sz w:val="21"/>
      <w:szCs w:val="24"/>
      <w:lang w:val="en-US" w:eastAsia="zh-CN"/>
    </w:rPr>
  </w:style>
  <w:style w:type="character" w:customStyle="1" w:styleId="640">
    <w:name w:val="正文文字 Char Char Char Char Char"/>
    <w:autoRedefine/>
    <w:qFormat/>
    <w:uiPriority w:val="0"/>
    <w:rPr>
      <w:rFonts w:eastAsia="Sim Sun"/>
      <w:kern w:val="2"/>
      <w:sz w:val="24"/>
      <w:lang w:val="en-US" w:eastAsia="zh-CN"/>
    </w:rPr>
  </w:style>
  <w:style w:type="character" w:customStyle="1" w:styleId="641">
    <w:name w:val="Char Char91"/>
    <w:autoRedefine/>
    <w:qFormat/>
    <w:uiPriority w:val="0"/>
    <w:rPr>
      <w:rFonts w:hint="eastAsia" w:ascii="仿宋体" w:hAnsi="ˎ̥" w:eastAsia="仿宋体" w:cs="ˎ̥"/>
      <w:sz w:val="18"/>
      <w:szCs w:val="18"/>
    </w:rPr>
  </w:style>
  <w:style w:type="character" w:customStyle="1" w:styleId="642">
    <w:name w:val="content_normal_bold_title1"/>
    <w:autoRedefine/>
    <w:qFormat/>
    <w:uiPriority w:val="0"/>
    <w:rPr>
      <w:rFonts w:hint="default" w:ascii="ˎ̥" w:hAnsi="ˎ̥" w:eastAsia="Sim Sun" w:cs="ˎ̥"/>
      <w:b/>
      <w:bCs/>
      <w:color w:val="000000"/>
      <w:sz w:val="36"/>
      <w:szCs w:val="36"/>
      <w:u w:val="none"/>
    </w:rPr>
  </w:style>
  <w:style w:type="character" w:customStyle="1" w:styleId="643">
    <w:name w:val="样式 题注 + 首行缩进:  2 字符2 Char"/>
    <w:link w:val="644"/>
    <w:autoRedefine/>
    <w:qFormat/>
    <w:uiPriority w:val="0"/>
    <w:rPr>
      <w:rFonts w:ascii="Arial Unicode MS" w:hAnsi="Arial Unicode MS"/>
      <w:kern w:val="2"/>
      <w:sz w:val="24"/>
    </w:rPr>
  </w:style>
  <w:style w:type="paragraph" w:customStyle="1" w:styleId="644">
    <w:name w:val="样式 题注 + 首行缩进:  2 字符2"/>
    <w:basedOn w:val="21"/>
    <w:link w:val="643"/>
    <w:autoRedefine/>
    <w:qFormat/>
    <w:uiPriority w:val="0"/>
    <w:pPr>
      <w:tabs>
        <w:tab w:val="clear" w:pos="2445"/>
        <w:tab w:val="clear" w:pos="4156"/>
      </w:tabs>
      <w:ind w:firstLine="480"/>
      <w:jc w:val="both"/>
    </w:pPr>
    <w:rPr>
      <w:rFonts w:ascii="Arial Unicode MS" w:hAnsi="Arial Unicode MS" w:cs="Times New Roman"/>
      <w:b w:val="0"/>
      <w:snapToGrid/>
      <w:kern w:val="2"/>
      <w:szCs w:val="20"/>
    </w:rPr>
  </w:style>
  <w:style w:type="character" w:customStyle="1" w:styleId="645">
    <w:name w:val="style21 style24"/>
    <w:basedOn w:val="100"/>
    <w:autoRedefine/>
    <w:qFormat/>
    <w:uiPriority w:val="0"/>
  </w:style>
  <w:style w:type="character" w:customStyle="1" w:styleId="646">
    <w:name w:val="f12 fgy"/>
    <w:basedOn w:val="100"/>
    <w:autoRedefine/>
    <w:qFormat/>
    <w:uiPriority w:val="0"/>
  </w:style>
  <w:style w:type="character" w:customStyle="1" w:styleId="647">
    <w:name w:val="td71"/>
    <w:autoRedefine/>
    <w:qFormat/>
    <w:uiPriority w:val="0"/>
    <w:rPr>
      <w:color w:val="3B3B3B"/>
      <w:sz w:val="21"/>
      <w:szCs w:val="21"/>
    </w:rPr>
  </w:style>
  <w:style w:type="character" w:customStyle="1" w:styleId="648">
    <w:name w:val="Char Char211"/>
    <w:autoRedefine/>
    <w:semiHidden/>
    <w:qFormat/>
    <w:uiPriority w:val="0"/>
    <w:rPr>
      <w:rFonts w:ascii="Batang" w:hAnsi="Batang" w:eastAsia="宋体-方正超大字符集" w:cs="Batang"/>
      <w:kern w:val="2"/>
      <w:sz w:val="21"/>
      <w:lang w:val="en-US" w:eastAsia="zh-CN" w:bidi="ar-SA"/>
    </w:rPr>
  </w:style>
  <w:style w:type="character" w:customStyle="1" w:styleId="649">
    <w:name w:val="z-窗体底端 Char1"/>
    <w:link w:val="650"/>
    <w:autoRedefine/>
    <w:qFormat/>
    <w:uiPriority w:val="0"/>
    <w:rPr>
      <w:rFonts w:ascii="Arial" w:hAnsi="Arial" w:cs="Arial"/>
      <w:bCs/>
      <w:vanish/>
      <w:color w:val="000000"/>
      <w:sz w:val="16"/>
      <w:szCs w:val="16"/>
    </w:rPr>
  </w:style>
  <w:style w:type="paragraph" w:customStyle="1" w:styleId="650">
    <w:name w:val="z-窗体底端2"/>
    <w:basedOn w:val="1"/>
    <w:next w:val="1"/>
    <w:link w:val="649"/>
    <w:autoRedefine/>
    <w:qFormat/>
    <w:uiPriority w:val="0"/>
    <w:pPr>
      <w:pBdr>
        <w:top w:val="single" w:color="auto" w:sz="6" w:space="1"/>
      </w:pBdr>
      <w:jc w:val="center"/>
    </w:pPr>
    <w:rPr>
      <w:rFonts w:ascii="Arial" w:hAnsi="Arial" w:cs="Arial"/>
      <w:bCs/>
      <w:vanish/>
      <w:color w:val="000000"/>
      <w:kern w:val="0"/>
      <w:sz w:val="16"/>
      <w:szCs w:val="16"/>
    </w:rPr>
  </w:style>
  <w:style w:type="character" w:customStyle="1" w:styleId="651">
    <w:name w:val="line11"/>
    <w:autoRedefine/>
    <w:qFormat/>
    <w:uiPriority w:val="0"/>
    <w:rPr>
      <w:color w:val="993333"/>
    </w:rPr>
  </w:style>
  <w:style w:type="character" w:customStyle="1" w:styleId="652">
    <w:name w:val="even Char1"/>
    <w:autoRedefine/>
    <w:qFormat/>
    <w:uiPriority w:val="0"/>
    <w:rPr>
      <w:rFonts w:eastAsia="宋体"/>
      <w:kern w:val="2"/>
      <w:sz w:val="18"/>
      <w:lang w:val="en-US" w:eastAsia="zh-CN" w:bidi="ar-SA"/>
    </w:rPr>
  </w:style>
  <w:style w:type="character" w:customStyle="1" w:styleId="653">
    <w:name w:val="正文文字 2 Char Char1"/>
    <w:autoRedefine/>
    <w:qFormat/>
    <w:uiPriority w:val="0"/>
    <w:rPr>
      <w:rFonts w:ascii="Batang" w:hAnsi="Batang" w:eastAsia="宋体-方正超大字符集" w:cs="Batang"/>
      <w:kern w:val="2"/>
      <w:sz w:val="21"/>
      <w:lang w:val="en-US" w:eastAsia="zh-CN" w:bidi="ar-SA"/>
    </w:rPr>
  </w:style>
  <w:style w:type="character" w:customStyle="1" w:styleId="654">
    <w:name w:val="标题 5 Char Char"/>
    <w:autoRedefine/>
    <w:qFormat/>
    <w:uiPriority w:val="0"/>
    <w:rPr>
      <w:rFonts w:eastAsia="宋体"/>
      <w:b/>
      <w:bCs/>
      <w:kern w:val="2"/>
      <w:sz w:val="21"/>
      <w:szCs w:val="24"/>
      <w:lang w:val="en-US" w:eastAsia="zh-CN" w:bidi="ar-SA"/>
    </w:rPr>
  </w:style>
  <w:style w:type="character" w:customStyle="1" w:styleId="655">
    <w:name w:val="标题33 Char"/>
    <w:link w:val="656"/>
    <w:autoRedefine/>
    <w:qFormat/>
    <w:uiPriority w:val="0"/>
    <w:rPr>
      <w:rFonts w:ascii="Arial" w:hAnsi="Arial" w:eastAsia="楷体_GB2312" w:cs="宋体"/>
      <w:b/>
      <w:bCs/>
      <w:kern w:val="2"/>
      <w:sz w:val="24"/>
      <w:szCs w:val="24"/>
    </w:rPr>
  </w:style>
  <w:style w:type="paragraph" w:customStyle="1" w:styleId="656">
    <w:name w:val="标题33"/>
    <w:basedOn w:val="1"/>
    <w:link w:val="655"/>
    <w:autoRedefine/>
    <w:qFormat/>
    <w:uiPriority w:val="0"/>
    <w:pPr>
      <w:tabs>
        <w:tab w:val="left" w:pos="1247"/>
        <w:tab w:val="left" w:pos="1808"/>
      </w:tabs>
      <w:spacing w:beforeLines="50"/>
      <w:ind w:left="1808" w:hanging="420"/>
    </w:pPr>
    <w:rPr>
      <w:rFonts w:ascii="Arial" w:hAnsi="Arial" w:eastAsia="楷体_GB2312" w:cs="宋体"/>
      <w:b/>
      <w:bCs/>
    </w:rPr>
  </w:style>
  <w:style w:type="character" w:customStyle="1" w:styleId="657">
    <w:name w:val="样式11 Char"/>
    <w:autoRedefine/>
    <w:qFormat/>
    <w:uiPriority w:val="0"/>
    <w:rPr>
      <w:rFonts w:ascii="宋体" w:hAnsi="宋体" w:eastAsia="宋体"/>
      <w:kern w:val="2"/>
      <w:sz w:val="28"/>
      <w:szCs w:val="28"/>
      <w:lang w:val="en-US" w:eastAsia="zh-CN" w:bidi="ar-SA"/>
    </w:rPr>
  </w:style>
  <w:style w:type="character" w:customStyle="1" w:styleId="658">
    <w:name w:val="正文文字缩进 2 Char Char1"/>
    <w:autoRedefine/>
    <w:qFormat/>
    <w:uiPriority w:val="0"/>
    <w:rPr>
      <w:rFonts w:eastAsia="宋体"/>
      <w:kern w:val="2"/>
      <w:sz w:val="28"/>
      <w:lang w:val="en-US" w:eastAsia="zh-CN" w:bidi="ar-SA"/>
    </w:rPr>
  </w:style>
  <w:style w:type="character" w:customStyle="1" w:styleId="659">
    <w:name w:val="样式 标题 1 + 宋体 小四 加粗 Char"/>
    <w:link w:val="660"/>
    <w:autoRedefine/>
    <w:qFormat/>
    <w:uiPriority w:val="0"/>
    <w:rPr>
      <w:rFonts w:ascii="黑体" w:eastAsia="黑体"/>
      <w:b/>
      <w:bCs/>
      <w:kern w:val="2"/>
      <w:sz w:val="28"/>
      <w:szCs w:val="28"/>
    </w:rPr>
  </w:style>
  <w:style w:type="paragraph" w:customStyle="1" w:styleId="660">
    <w:name w:val="样式 标题 1 + 宋体 小四 加粗"/>
    <w:basedOn w:val="5"/>
    <w:link w:val="659"/>
    <w:autoRedefine/>
    <w:qFormat/>
    <w:uiPriority w:val="0"/>
    <w:pPr>
      <w:overflowPunct/>
      <w:snapToGrid/>
      <w:spacing w:before="180" w:after="180" w:line="440" w:lineRule="exact"/>
      <w:ind w:left="0" w:firstLine="0"/>
    </w:pPr>
    <w:rPr>
      <w:rFonts w:ascii="黑体"/>
      <w:color w:val="auto"/>
      <w:kern w:val="2"/>
      <w:sz w:val="28"/>
      <w:szCs w:val="28"/>
    </w:rPr>
  </w:style>
  <w:style w:type="character" w:customStyle="1" w:styleId="661">
    <w:name w:val="p4"/>
    <w:basedOn w:val="100"/>
    <w:autoRedefine/>
    <w:qFormat/>
    <w:uiPriority w:val="0"/>
  </w:style>
  <w:style w:type="character" w:customStyle="1" w:styleId="662">
    <w:name w:val="1正文 Char"/>
    <w:link w:val="663"/>
    <w:autoRedefine/>
    <w:qFormat/>
    <w:uiPriority w:val="0"/>
    <w:rPr>
      <w:rFonts w:ascii="宋体" w:hAnsi="宋体" w:cs="Vladimir Script"/>
      <w:kern w:val="2"/>
      <w:sz w:val="28"/>
      <w:szCs w:val="28"/>
    </w:rPr>
  </w:style>
  <w:style w:type="paragraph" w:customStyle="1" w:styleId="663">
    <w:name w:val="1正文"/>
    <w:basedOn w:val="1"/>
    <w:link w:val="662"/>
    <w:autoRedefine/>
    <w:qFormat/>
    <w:uiPriority w:val="0"/>
    <w:pPr>
      <w:spacing w:line="520" w:lineRule="exact"/>
      <w:ind w:firstLine="200"/>
    </w:pPr>
    <w:rPr>
      <w:rFonts w:ascii="宋体" w:hAnsi="宋体" w:cs="Vladimir Script"/>
      <w:sz w:val="28"/>
      <w:szCs w:val="28"/>
    </w:rPr>
  </w:style>
  <w:style w:type="character" w:customStyle="1" w:styleId="664">
    <w:name w:val="表头 Char Char"/>
    <w:autoRedefine/>
    <w:qFormat/>
    <w:uiPriority w:val="0"/>
    <w:rPr>
      <w:rFonts w:eastAsia="宋体"/>
      <w:b/>
      <w:spacing w:val="9"/>
      <w:kern w:val="2"/>
      <w:sz w:val="24"/>
      <w:lang w:val="en-US" w:eastAsia="zh-CN"/>
    </w:rPr>
  </w:style>
  <w:style w:type="character" w:customStyle="1" w:styleId="665">
    <w:name w:val="split-word"/>
    <w:basedOn w:val="100"/>
    <w:autoRedefine/>
    <w:qFormat/>
    <w:uiPriority w:val="0"/>
  </w:style>
  <w:style w:type="character" w:customStyle="1" w:styleId="666">
    <w:name w:val="words-outer-wrap"/>
    <w:basedOn w:val="100"/>
    <w:autoRedefine/>
    <w:qFormat/>
    <w:uiPriority w:val="0"/>
  </w:style>
  <w:style w:type="character" w:customStyle="1" w:styleId="667">
    <w:name w:val="流程图 Char"/>
    <w:link w:val="668"/>
    <w:autoRedefine/>
    <w:qFormat/>
    <w:uiPriority w:val="0"/>
    <w:rPr>
      <w:kern w:val="2"/>
      <w:sz w:val="18"/>
      <w:szCs w:val="24"/>
    </w:rPr>
  </w:style>
  <w:style w:type="paragraph" w:customStyle="1" w:styleId="668">
    <w:name w:val="流程图"/>
    <w:basedOn w:val="30"/>
    <w:link w:val="667"/>
    <w:autoRedefine/>
    <w:qFormat/>
    <w:uiPriority w:val="0"/>
    <w:pPr>
      <w:widowControl w:val="0"/>
      <w:snapToGrid/>
      <w:spacing w:before="0" w:after="120" w:line="360" w:lineRule="auto"/>
      <w:ind w:right="0" w:firstLine="480"/>
    </w:pPr>
    <w:rPr>
      <w:kern w:val="2"/>
      <w:szCs w:val="24"/>
    </w:rPr>
  </w:style>
  <w:style w:type="character" w:customStyle="1" w:styleId="669">
    <w:name w:val="Char Char Char11"/>
    <w:autoRedefine/>
    <w:qFormat/>
    <w:uiPriority w:val="0"/>
    <w:rPr>
      <w:rFonts w:hint="eastAsia" w:ascii="Sim Sun" w:hAnsi="DFKai-SB" w:eastAsia="Sim Sun"/>
      <w:kern w:val="2"/>
      <w:sz w:val="21"/>
      <w:lang w:val="en-US" w:eastAsia="zh-CN" w:bidi="ar-SA"/>
    </w:rPr>
  </w:style>
  <w:style w:type="character" w:customStyle="1" w:styleId="670">
    <w:name w:val="Char Char241"/>
    <w:autoRedefine/>
    <w:qFormat/>
    <w:uiPriority w:val="0"/>
    <w:rPr>
      <w:rFonts w:hint="eastAsia" w:ascii="宋体" w:hAnsi="宋体" w:eastAsia="宋体"/>
      <w:kern w:val="2"/>
      <w:sz w:val="24"/>
      <w:lang w:val="en-US" w:eastAsia="zh-CN" w:bidi="ar-SA"/>
    </w:rPr>
  </w:style>
  <w:style w:type="character" w:customStyle="1" w:styleId="671">
    <w:name w:val="样式 宋体"/>
    <w:autoRedefine/>
    <w:qFormat/>
    <w:uiPriority w:val="0"/>
    <w:rPr>
      <w:rFonts w:hint="default" w:ascii="Times New Roman" w:hAnsi="Times New Roman" w:eastAsia="宋体" w:cs="Times New Roman"/>
    </w:rPr>
  </w:style>
  <w:style w:type="character" w:customStyle="1" w:styleId="672">
    <w:name w:val="2级标题 Char1"/>
    <w:link w:val="673"/>
    <w:autoRedefine/>
    <w:qFormat/>
    <w:uiPriority w:val="0"/>
    <w:rPr>
      <w:rFonts w:ascii="宋体"/>
      <w:b/>
      <w:bCs/>
      <w:color w:val="000000"/>
      <w:sz w:val="30"/>
      <w:szCs w:val="30"/>
    </w:rPr>
  </w:style>
  <w:style w:type="paragraph" w:customStyle="1" w:styleId="673">
    <w:name w:val="2级标题"/>
    <w:basedOn w:val="53"/>
    <w:link w:val="672"/>
    <w:autoRedefine/>
    <w:qFormat/>
    <w:uiPriority w:val="0"/>
    <w:pPr>
      <w:spacing w:line="360" w:lineRule="auto"/>
    </w:pPr>
    <w:rPr>
      <w:b/>
      <w:sz w:val="30"/>
      <w:szCs w:val="30"/>
    </w:rPr>
  </w:style>
  <w:style w:type="character" w:customStyle="1" w:styleId="674">
    <w:name w:val="oblog_text1"/>
    <w:autoRedefine/>
    <w:qFormat/>
    <w:uiPriority w:val="0"/>
    <w:rPr>
      <w:rFonts w:ascii="Verdana" w:hAnsi="Verdana"/>
      <w:sz w:val="18"/>
      <w:szCs w:val="18"/>
      <w:lang w:val="en-US" w:eastAsia="en-US" w:bidi="ar-SA"/>
    </w:rPr>
  </w:style>
  <w:style w:type="character" w:customStyle="1" w:styleId="675">
    <w:name w:val="3级标题 Char"/>
    <w:link w:val="676"/>
    <w:autoRedefine/>
    <w:qFormat/>
    <w:uiPriority w:val="0"/>
    <w:rPr>
      <w:rFonts w:ascii="宋体"/>
      <w:b/>
      <w:bCs/>
      <w:color w:val="000000"/>
      <w:sz w:val="28"/>
      <w:szCs w:val="28"/>
    </w:rPr>
  </w:style>
  <w:style w:type="paragraph" w:customStyle="1" w:styleId="676">
    <w:name w:val="3级标题"/>
    <w:basedOn w:val="53"/>
    <w:link w:val="675"/>
    <w:autoRedefine/>
    <w:qFormat/>
    <w:uiPriority w:val="0"/>
    <w:pPr>
      <w:spacing w:line="360" w:lineRule="auto"/>
    </w:pPr>
    <w:rPr>
      <w:b/>
      <w:sz w:val="28"/>
      <w:szCs w:val="28"/>
    </w:rPr>
  </w:style>
  <w:style w:type="character" w:customStyle="1" w:styleId="677">
    <w:name w:val="环评表格 Char"/>
    <w:link w:val="678"/>
    <w:autoRedefine/>
    <w:qFormat/>
    <w:uiPriority w:val="0"/>
    <w:rPr>
      <w:sz w:val="22"/>
      <w:szCs w:val="21"/>
    </w:rPr>
  </w:style>
  <w:style w:type="paragraph" w:customStyle="1" w:styleId="678">
    <w:name w:val="环评表格"/>
    <w:next w:val="1"/>
    <w:link w:val="677"/>
    <w:autoRedefine/>
    <w:qFormat/>
    <w:uiPriority w:val="0"/>
    <w:pPr>
      <w:jc w:val="center"/>
    </w:pPr>
    <w:rPr>
      <w:rFonts w:ascii="Times New Roman" w:hAnsi="Times New Roman" w:eastAsia="宋体" w:cs="Times New Roman"/>
      <w:sz w:val="22"/>
      <w:szCs w:val="21"/>
      <w:lang w:val="en-US" w:eastAsia="zh-CN" w:bidi="ar-SA"/>
    </w:rPr>
  </w:style>
  <w:style w:type="character" w:customStyle="1" w:styleId="679">
    <w:name w:val="正文小四首缩1.3行距 Char"/>
    <w:link w:val="680"/>
    <w:autoRedefine/>
    <w:qFormat/>
    <w:uiPriority w:val="0"/>
    <w:rPr>
      <w:bCs/>
      <w:sz w:val="24"/>
      <w:szCs w:val="24"/>
    </w:rPr>
  </w:style>
  <w:style w:type="paragraph" w:customStyle="1" w:styleId="680">
    <w:name w:val="正文小四首缩1.3行距"/>
    <w:basedOn w:val="1"/>
    <w:link w:val="679"/>
    <w:autoRedefine/>
    <w:qFormat/>
    <w:uiPriority w:val="0"/>
    <w:pPr>
      <w:ind w:firstLine="480"/>
    </w:pPr>
    <w:rPr>
      <w:bCs/>
      <w:kern w:val="0"/>
    </w:rPr>
  </w:style>
  <w:style w:type="character" w:customStyle="1" w:styleId="681">
    <w:name w:val="Body text_"/>
    <w:link w:val="682"/>
    <w:autoRedefine/>
    <w:qFormat/>
    <w:uiPriority w:val="99"/>
    <w:rPr>
      <w:rFonts w:ascii="MingLiU" w:eastAsia="MingLiU" w:cs="MingLiU"/>
      <w:shd w:val="clear" w:color="auto" w:fill="FFFFFF"/>
    </w:rPr>
  </w:style>
  <w:style w:type="paragraph" w:customStyle="1" w:styleId="682">
    <w:name w:val="Body text1"/>
    <w:basedOn w:val="1"/>
    <w:link w:val="681"/>
    <w:autoRedefine/>
    <w:qFormat/>
    <w:uiPriority w:val="99"/>
    <w:pPr>
      <w:shd w:val="clear" w:color="auto" w:fill="FFFFFF"/>
      <w:spacing w:before="420" w:after="900" w:line="475" w:lineRule="exact"/>
    </w:pPr>
    <w:rPr>
      <w:rFonts w:ascii="MingLiU" w:eastAsia="MingLiU" w:cs="MingLiU"/>
      <w:kern w:val="0"/>
      <w:sz w:val="20"/>
      <w:szCs w:val="20"/>
    </w:rPr>
  </w:style>
  <w:style w:type="character" w:customStyle="1" w:styleId="683">
    <w:name w:val="Body text + Spacing 0 pt Exact1"/>
    <w:autoRedefine/>
    <w:qFormat/>
    <w:uiPriority w:val="99"/>
    <w:rPr>
      <w:rFonts w:ascii="MingLiU" w:eastAsia="MingLiU" w:cs="MingLiU"/>
      <w:spacing w:val="-10"/>
      <w:sz w:val="22"/>
      <w:szCs w:val="22"/>
      <w:u w:val="none"/>
      <w:shd w:val="clear" w:color="auto" w:fill="FFFFFF"/>
    </w:rPr>
  </w:style>
  <w:style w:type="character" w:customStyle="1" w:styleId="684">
    <w:name w:val="Table caption Exact"/>
    <w:autoRedefine/>
    <w:qFormat/>
    <w:uiPriority w:val="99"/>
    <w:rPr>
      <w:rFonts w:ascii="MingLiU" w:eastAsia="MingLiU" w:cs="MingLiU"/>
      <w:spacing w:val="6"/>
      <w:sz w:val="22"/>
      <w:szCs w:val="22"/>
      <w:u w:val="none"/>
    </w:rPr>
  </w:style>
  <w:style w:type="character" w:customStyle="1" w:styleId="685">
    <w:name w:val="Table caption + Spacing 0 pt Exact"/>
    <w:autoRedefine/>
    <w:qFormat/>
    <w:uiPriority w:val="99"/>
    <w:rPr>
      <w:rFonts w:ascii="MingLiU" w:eastAsia="MingLiU" w:cs="MingLiU"/>
      <w:spacing w:val="-10"/>
      <w:sz w:val="22"/>
      <w:szCs w:val="22"/>
      <w:u w:val="none"/>
      <w:shd w:val="clear" w:color="auto" w:fill="FFFFFF"/>
      <w:lang w:val="en-US" w:eastAsia="en-US"/>
    </w:rPr>
  </w:style>
  <w:style w:type="character" w:customStyle="1" w:styleId="686">
    <w:name w:val="font01"/>
    <w:autoRedefine/>
    <w:qFormat/>
    <w:uiPriority w:val="0"/>
    <w:rPr>
      <w:rFonts w:hint="default" w:ascii="Times New Roman" w:hAnsi="Times New Roman" w:cs="Times New Roman"/>
      <w:color w:val="000000"/>
      <w:sz w:val="18"/>
      <w:szCs w:val="18"/>
      <w:u w:val="none"/>
    </w:rPr>
  </w:style>
  <w:style w:type="character" w:customStyle="1" w:styleId="687">
    <w:name w:val="正文文本 3 Char2"/>
    <w:basedOn w:val="100"/>
    <w:autoRedefine/>
    <w:semiHidden/>
    <w:qFormat/>
    <w:uiPriority w:val="0"/>
    <w:rPr>
      <w:kern w:val="2"/>
      <w:sz w:val="16"/>
      <w:szCs w:val="16"/>
    </w:rPr>
  </w:style>
  <w:style w:type="character" w:customStyle="1" w:styleId="688">
    <w:name w:val="称呼 Char1"/>
    <w:basedOn w:val="100"/>
    <w:autoRedefine/>
    <w:semiHidden/>
    <w:qFormat/>
    <w:uiPriority w:val="0"/>
    <w:rPr>
      <w:kern w:val="2"/>
      <w:sz w:val="21"/>
      <w:szCs w:val="24"/>
    </w:rPr>
  </w:style>
  <w:style w:type="character" w:customStyle="1" w:styleId="689">
    <w:name w:val="注释标题 Char1"/>
    <w:basedOn w:val="100"/>
    <w:autoRedefine/>
    <w:semiHidden/>
    <w:qFormat/>
    <w:uiPriority w:val="0"/>
    <w:rPr>
      <w:kern w:val="2"/>
      <w:sz w:val="21"/>
      <w:szCs w:val="24"/>
    </w:rPr>
  </w:style>
  <w:style w:type="paragraph" w:customStyle="1" w:styleId="690">
    <w:name w:val="Char Char Char Char Char Char Char Char Char Char Char Char Char Char Char"/>
    <w:basedOn w:val="1"/>
    <w:autoRedefine/>
    <w:qFormat/>
    <w:uiPriority w:val="0"/>
    <w:rPr>
      <w:rFonts w:ascii="Batang" w:hAnsi="Batang" w:cs="Batang"/>
      <w:bCs/>
      <w:color w:val="000000"/>
      <w:kern w:val="24"/>
    </w:rPr>
  </w:style>
  <w:style w:type="paragraph" w:customStyle="1" w:styleId="691">
    <w:name w:val="Char Char Char Char Char Char Char Char Char Char Char Char Char Char Char Char Char Char Char Char Char Char Char Char1"/>
    <w:basedOn w:val="1"/>
    <w:autoRedefine/>
    <w:qFormat/>
    <w:uiPriority w:val="0"/>
    <w:rPr>
      <w:rFonts w:ascii="Batang" w:hAnsi="Batang" w:cs="Batang"/>
      <w:bCs/>
      <w:color w:val="000000"/>
      <w:kern w:val="24"/>
    </w:rPr>
  </w:style>
  <w:style w:type="paragraph" w:customStyle="1" w:styleId="692">
    <w:name w:val="2 Char Char Char"/>
    <w:basedOn w:val="1"/>
    <w:autoRedefine/>
    <w:qFormat/>
    <w:uiPriority w:val="0"/>
    <w:rPr>
      <w:rFonts w:ascii="Batang" w:hAnsi="Batang" w:cs="Batang"/>
      <w:bCs/>
      <w:color w:val="000000"/>
      <w:kern w:val="24"/>
    </w:rPr>
  </w:style>
  <w:style w:type="character" w:customStyle="1" w:styleId="693">
    <w:name w:val="纯文本 Char2"/>
    <w:basedOn w:val="100"/>
    <w:autoRedefine/>
    <w:semiHidden/>
    <w:qFormat/>
    <w:uiPriority w:val="0"/>
    <w:rPr>
      <w:rFonts w:ascii="宋体" w:hAnsi="Courier New" w:cs="Courier New"/>
      <w:kern w:val="2"/>
      <w:sz w:val="21"/>
      <w:szCs w:val="21"/>
    </w:rPr>
  </w:style>
  <w:style w:type="character" w:customStyle="1" w:styleId="694">
    <w:name w:val="正文文本缩进 2 Char2"/>
    <w:basedOn w:val="100"/>
    <w:autoRedefine/>
    <w:semiHidden/>
    <w:qFormat/>
    <w:uiPriority w:val="0"/>
    <w:rPr>
      <w:kern w:val="2"/>
      <w:sz w:val="21"/>
      <w:szCs w:val="24"/>
    </w:rPr>
  </w:style>
  <w:style w:type="character" w:customStyle="1" w:styleId="695">
    <w:name w:val="正文文本缩进 3 Char2"/>
    <w:basedOn w:val="100"/>
    <w:autoRedefine/>
    <w:semiHidden/>
    <w:qFormat/>
    <w:uiPriority w:val="0"/>
    <w:rPr>
      <w:kern w:val="2"/>
      <w:sz w:val="16"/>
      <w:szCs w:val="16"/>
    </w:rPr>
  </w:style>
  <w:style w:type="character" w:customStyle="1" w:styleId="696">
    <w:name w:val="尾注文本 Char2"/>
    <w:basedOn w:val="100"/>
    <w:autoRedefine/>
    <w:semiHidden/>
    <w:qFormat/>
    <w:uiPriority w:val="0"/>
    <w:rPr>
      <w:kern w:val="2"/>
      <w:sz w:val="21"/>
      <w:szCs w:val="24"/>
    </w:rPr>
  </w:style>
  <w:style w:type="paragraph" w:customStyle="1" w:styleId="697">
    <w:name w:val="表内宋5"/>
    <w:basedOn w:val="140"/>
    <w:autoRedefine/>
    <w:qFormat/>
    <w:uiPriority w:val="0"/>
    <w:pPr>
      <w:spacing w:line="440" w:lineRule="exact"/>
      <w:ind w:firstLine="200"/>
      <w:jc w:val="both"/>
    </w:pPr>
    <w:rPr>
      <w:rFonts w:ascii="Sim Sun" w:hAnsi="Sim Sun" w:eastAsia="Sim Sun"/>
      <w:kern w:val="0"/>
      <w:szCs w:val="24"/>
    </w:rPr>
  </w:style>
  <w:style w:type="character" w:customStyle="1" w:styleId="698">
    <w:name w:val="签名 Char1"/>
    <w:basedOn w:val="100"/>
    <w:autoRedefine/>
    <w:semiHidden/>
    <w:qFormat/>
    <w:uiPriority w:val="0"/>
    <w:rPr>
      <w:kern w:val="2"/>
      <w:sz w:val="21"/>
      <w:szCs w:val="24"/>
    </w:rPr>
  </w:style>
  <w:style w:type="paragraph" w:customStyle="1" w:styleId="699">
    <w:name w:val="xl76"/>
    <w:basedOn w:val="1"/>
    <w:autoRedefine/>
    <w:qFormat/>
    <w:uiPriority w:val="0"/>
    <w:pPr>
      <w:spacing w:before="100" w:after="100"/>
      <w:jc w:val="center"/>
      <w:textAlignment w:val="center"/>
    </w:pPr>
    <w:rPr>
      <w:rFonts w:ascii="Batang" w:hAnsi="Batang" w:cs="Batang"/>
      <w:bCs/>
      <w:color w:val="000000"/>
      <w:kern w:val="0"/>
    </w:rPr>
  </w:style>
  <w:style w:type="paragraph" w:customStyle="1" w:styleId="700">
    <w:name w:val="Char Char Char Char Char Char Char Char Char3"/>
    <w:basedOn w:val="1"/>
    <w:autoRedefine/>
    <w:qFormat/>
    <w:uiPriority w:val="0"/>
    <w:rPr>
      <w:rFonts w:ascii="Batang" w:hAnsi="Batang" w:cs="Batang"/>
      <w:bCs/>
      <w:color w:val="000000"/>
      <w:kern w:val="24"/>
    </w:rPr>
  </w:style>
  <w:style w:type="character" w:customStyle="1" w:styleId="701">
    <w:name w:val="脚注文本 Char1"/>
    <w:basedOn w:val="100"/>
    <w:autoRedefine/>
    <w:semiHidden/>
    <w:qFormat/>
    <w:uiPriority w:val="0"/>
    <w:rPr>
      <w:kern w:val="2"/>
      <w:sz w:val="18"/>
      <w:szCs w:val="18"/>
    </w:rPr>
  </w:style>
  <w:style w:type="paragraph" w:customStyle="1" w:styleId="702">
    <w:name w:val="正文样式一"/>
    <w:basedOn w:val="1"/>
    <w:autoRedefine/>
    <w:qFormat/>
    <w:uiPriority w:val="0"/>
    <w:pPr>
      <w:spacing w:line="400" w:lineRule="atLeast"/>
      <w:ind w:firstLine="510"/>
      <w:textAlignment w:val="baseline"/>
    </w:pPr>
    <w:rPr>
      <w:bCs/>
      <w:color w:val="000000"/>
      <w:kern w:val="0"/>
    </w:rPr>
  </w:style>
  <w:style w:type="character" w:customStyle="1" w:styleId="703">
    <w:name w:val="副标题 Char1"/>
    <w:basedOn w:val="100"/>
    <w:autoRedefine/>
    <w:qFormat/>
    <w:uiPriority w:val="0"/>
    <w:rPr>
      <w:rFonts w:asciiTheme="majorHAnsi" w:hAnsiTheme="majorHAnsi" w:cstheme="majorBidi"/>
      <w:b/>
      <w:bCs/>
      <w:kern w:val="28"/>
      <w:sz w:val="32"/>
      <w:szCs w:val="32"/>
    </w:rPr>
  </w:style>
  <w:style w:type="character" w:customStyle="1" w:styleId="704">
    <w:name w:val="正文文本 2 Char2"/>
    <w:basedOn w:val="100"/>
    <w:autoRedefine/>
    <w:semiHidden/>
    <w:qFormat/>
    <w:uiPriority w:val="0"/>
    <w:rPr>
      <w:kern w:val="2"/>
      <w:sz w:val="21"/>
      <w:szCs w:val="24"/>
    </w:rPr>
  </w:style>
  <w:style w:type="character" w:customStyle="1" w:styleId="705">
    <w:name w:val="正文首行缩进 Char4"/>
    <w:basedOn w:val="123"/>
    <w:autoRedefine/>
    <w:semiHidden/>
    <w:qFormat/>
    <w:uiPriority w:val="0"/>
    <w:rPr>
      <w:kern w:val="2"/>
      <w:sz w:val="21"/>
      <w:szCs w:val="24"/>
    </w:rPr>
  </w:style>
  <w:style w:type="paragraph" w:customStyle="1" w:styleId="706">
    <w:name w:val="表头4"/>
    <w:basedOn w:val="707"/>
    <w:autoRedefine/>
    <w:qFormat/>
    <w:uiPriority w:val="0"/>
    <w:pPr>
      <w:tabs>
        <w:tab w:val="left" w:pos="360"/>
        <w:tab w:val="left" w:pos="625"/>
      </w:tabs>
      <w:ind w:left="0" w:firstLine="0"/>
    </w:pPr>
  </w:style>
  <w:style w:type="paragraph" w:customStyle="1" w:styleId="707">
    <w:name w:val="表头5"/>
    <w:basedOn w:val="1"/>
    <w:autoRedefine/>
    <w:qFormat/>
    <w:uiPriority w:val="0"/>
    <w:pPr>
      <w:tabs>
        <w:tab w:val="left" w:pos="625"/>
      </w:tabs>
      <w:spacing w:beforeLines="100" w:afterLines="50" w:line="240" w:lineRule="atLeast"/>
      <w:ind w:left="950" w:leftChars="250" w:hanging="425"/>
    </w:pPr>
    <w:rPr>
      <w:b/>
      <w:bCs/>
      <w:color w:val="000000"/>
      <w:kern w:val="24"/>
    </w:rPr>
  </w:style>
  <w:style w:type="paragraph" w:customStyle="1" w:styleId="708">
    <w:name w:val="Char1 Char Char Char3"/>
    <w:basedOn w:val="1"/>
    <w:autoRedefine/>
    <w:qFormat/>
    <w:uiPriority w:val="0"/>
    <w:pPr>
      <w:spacing w:after="160" w:line="240" w:lineRule="exact"/>
      <w:ind w:firstLine="200"/>
    </w:pPr>
    <w:rPr>
      <w:rFonts w:ascii="华文仿宋" w:hAnsi="华文仿宋" w:eastAsia="仿宋体" w:cs="ˎ̥"/>
      <w:bCs/>
      <w:color w:val="000000"/>
      <w:kern w:val="0"/>
      <w:sz w:val="20"/>
      <w:szCs w:val="20"/>
      <w:lang w:eastAsia="en-US"/>
    </w:rPr>
  </w:style>
  <w:style w:type="paragraph" w:customStyle="1" w:styleId="709">
    <w:name w:val="副标题3"/>
    <w:basedOn w:val="1"/>
    <w:autoRedefine/>
    <w:qFormat/>
    <w:uiPriority w:val="0"/>
    <w:pPr>
      <w:keepLines/>
      <w:tabs>
        <w:tab w:val="left" w:pos="672"/>
        <w:tab w:val="left" w:pos="720"/>
        <w:tab w:val="left" w:pos="2160"/>
      </w:tabs>
      <w:spacing w:line="400" w:lineRule="atLeast"/>
      <w:ind w:left="672" w:hanging="348"/>
      <w:outlineLvl w:val="3"/>
    </w:pPr>
    <w:rPr>
      <w:rFonts w:ascii="Sim Sun" w:hAnsi="Batang" w:cs="Batang"/>
      <w:bCs/>
      <w:snapToGrid w:val="0"/>
      <w:color w:val="000000"/>
      <w:kern w:val="0"/>
    </w:rPr>
  </w:style>
  <w:style w:type="paragraph" w:customStyle="1" w:styleId="710">
    <w:name w:val="xl47"/>
    <w:basedOn w:val="1"/>
    <w:autoRedefine/>
    <w:qFormat/>
    <w:uiPriority w:val="0"/>
    <w:pPr>
      <w:pBdr>
        <w:top w:val="single" w:color="auto" w:sz="4" w:space="0"/>
        <w:left w:val="single" w:color="auto" w:sz="4" w:space="0"/>
        <w:bottom w:val="single" w:color="auto" w:sz="4" w:space="0"/>
      </w:pBdr>
      <w:spacing w:before="100" w:beforeAutospacing="1" w:after="100" w:afterAutospacing="1"/>
      <w:jc w:val="center"/>
    </w:pPr>
    <w:rPr>
      <w:rFonts w:ascii="黑体" w:hAnsi="黑体" w:eastAsia="黑体" w:cs="黑体"/>
      <w:bCs/>
      <w:color w:val="000000"/>
      <w:kern w:val="0"/>
      <w:sz w:val="18"/>
      <w:szCs w:val="18"/>
    </w:rPr>
  </w:style>
  <w:style w:type="paragraph" w:customStyle="1" w:styleId="711">
    <w:name w:val="样式 样式 标题 4 + 首行缩进:  2 字符1 + 首行缩进:  2 字符"/>
    <w:basedOn w:val="712"/>
    <w:autoRedefine/>
    <w:qFormat/>
    <w:uiPriority w:val="0"/>
    <w:pPr>
      <w:tabs>
        <w:tab w:val="left" w:pos="720"/>
      </w:tabs>
      <w:ind w:firstLine="482"/>
    </w:pPr>
    <w:rPr>
      <w:rFonts w:ascii="Times New Roman" w:hAnsi="Times New Roman"/>
    </w:rPr>
  </w:style>
  <w:style w:type="paragraph" w:customStyle="1" w:styleId="712">
    <w:name w:val="样式 标题 4 + 首行缩进:  2 字符1"/>
    <w:basedOn w:val="8"/>
    <w:autoRedefine/>
    <w:qFormat/>
    <w:uiPriority w:val="0"/>
    <w:pPr>
      <w:tabs>
        <w:tab w:val="left" w:pos="720"/>
      </w:tabs>
      <w:spacing w:line="480" w:lineRule="atLeast"/>
      <w:ind w:firstLine="480"/>
    </w:pPr>
    <w:rPr>
      <w:rFonts w:eastAsia="宋体"/>
      <w:color w:val="000000"/>
      <w:kern w:val="24"/>
      <w:sz w:val="24"/>
      <w:szCs w:val="24"/>
    </w:rPr>
  </w:style>
  <w:style w:type="paragraph" w:customStyle="1" w:styleId="713">
    <w:name w:val="Char22"/>
    <w:basedOn w:val="1"/>
    <w:autoRedefine/>
    <w:qFormat/>
    <w:uiPriority w:val="0"/>
    <w:pPr>
      <w:spacing w:after="160" w:line="240" w:lineRule="exact"/>
      <w:ind w:left="100" w:leftChars="-100" w:hanging="200" w:hangingChars="200"/>
    </w:pPr>
    <w:rPr>
      <w:rFonts w:ascii="Chicago" w:hAnsi="Chicago" w:cs="Vladimir Script"/>
      <w:bCs/>
      <w:color w:val="000000"/>
      <w:spacing w:val="8"/>
      <w:kern w:val="0"/>
      <w:sz w:val="20"/>
      <w:szCs w:val="20"/>
      <w:lang w:eastAsia="en-US"/>
    </w:rPr>
  </w:style>
  <w:style w:type="paragraph" w:customStyle="1" w:styleId="714">
    <w:name w:val="zxl正文首行缩进  2 字符 行距: Char Char"/>
    <w:basedOn w:val="1"/>
    <w:autoRedefine/>
    <w:qFormat/>
    <w:uiPriority w:val="0"/>
    <w:pPr>
      <w:tabs>
        <w:tab w:val="left" w:pos="-1843"/>
        <w:tab w:val="left" w:pos="0"/>
        <w:tab w:val="left" w:pos="1727"/>
        <w:tab w:val="left" w:pos="1884"/>
      </w:tabs>
      <w:ind w:firstLine="482"/>
      <w:textAlignment w:val="bottom"/>
      <w:outlineLvl w:val="0"/>
    </w:pPr>
    <w:rPr>
      <w:rFonts w:ascii="Sim Sun" w:hAnsi="Sim Sun" w:cs="Vladimir Script"/>
      <w:bCs/>
      <w:color w:val="000000"/>
      <w:kern w:val="24"/>
      <w:szCs w:val="20"/>
    </w:rPr>
  </w:style>
  <w:style w:type="paragraph" w:customStyle="1" w:styleId="715">
    <w:name w:val="xl51"/>
    <w:basedOn w:val="1"/>
    <w:autoRedefine/>
    <w:qFormat/>
    <w:uiPriority w:val="0"/>
    <w:pPr>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716">
    <w:name w:val="Char Char Char Char"/>
    <w:basedOn w:val="1"/>
    <w:autoRedefine/>
    <w:qFormat/>
    <w:uiPriority w:val="0"/>
    <w:pPr>
      <w:spacing w:after="160" w:line="240" w:lineRule="exact"/>
    </w:pPr>
    <w:rPr>
      <w:rFonts w:ascii="Verdana" w:hAnsi="Verdana"/>
      <w:bCs/>
      <w:color w:val="000000"/>
      <w:kern w:val="0"/>
      <w:sz w:val="20"/>
      <w:szCs w:val="20"/>
      <w:lang w:eastAsia="en-US"/>
    </w:rPr>
  </w:style>
  <w:style w:type="paragraph" w:customStyle="1" w:styleId="717">
    <w:name w:val="签名1"/>
    <w:basedOn w:val="1"/>
    <w:autoRedefine/>
    <w:qFormat/>
    <w:uiPriority w:val="0"/>
    <w:pPr>
      <w:spacing w:line="440" w:lineRule="exact"/>
      <w:ind w:left="100" w:leftChars="2100" w:firstLine="200"/>
    </w:pPr>
    <w:rPr>
      <w:rFonts w:ascii="Sim Sun" w:hAnsi="Arial Unicode MS" w:eastAsia="Times New Roman"/>
      <w:bCs/>
      <w:color w:val="000000"/>
      <w:spacing w:val="5"/>
      <w:kern w:val="0"/>
      <w:sz w:val="25"/>
      <w:szCs w:val="25"/>
    </w:rPr>
  </w:style>
  <w:style w:type="paragraph" w:customStyle="1" w:styleId="718">
    <w:name w:val="xl28"/>
    <w:basedOn w:val="1"/>
    <w:autoRedefine/>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eastAsia="Arial Unicode MS"/>
      <w:bCs/>
      <w:color w:val="000000"/>
      <w:kern w:val="0"/>
      <w:sz w:val="20"/>
      <w:szCs w:val="20"/>
    </w:rPr>
  </w:style>
  <w:style w:type="paragraph" w:customStyle="1" w:styleId="719">
    <w:name w:val="xl25"/>
    <w:basedOn w:val="1"/>
    <w:autoRedefine/>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Arial Unicode MS" w:hAnsi="Arial Unicode MS" w:eastAsia="Arial Unicode MS" w:cs="Arial Unicode MS"/>
      <w:bCs/>
      <w:color w:val="000000"/>
      <w:kern w:val="0"/>
      <w:sz w:val="20"/>
      <w:szCs w:val="20"/>
    </w:rPr>
  </w:style>
  <w:style w:type="paragraph" w:customStyle="1" w:styleId="720">
    <w:name w:val="目录标题"/>
    <w:basedOn w:val="1"/>
    <w:next w:val="1"/>
    <w:autoRedefine/>
    <w:qFormat/>
    <w:uiPriority w:val="0"/>
    <w:pPr>
      <w:spacing w:before="104" w:after="209" w:line="0" w:lineRule="atLeast"/>
      <w:ind w:left="1" w:firstLine="200"/>
      <w:jc w:val="center"/>
      <w:textAlignment w:val="bottom"/>
    </w:pPr>
    <w:rPr>
      <w:rFonts w:ascii="ˎ̥" w:hAnsi="ˎ̥" w:eastAsia="仿宋体" w:cs="Vladimir Script"/>
      <w:bCs/>
      <w:color w:val="000000"/>
      <w:spacing w:val="104"/>
      <w:kern w:val="0"/>
      <w:sz w:val="44"/>
      <w:szCs w:val="20"/>
    </w:rPr>
  </w:style>
  <w:style w:type="paragraph" w:customStyle="1" w:styleId="721">
    <w:name w:val="文档结构图1"/>
    <w:basedOn w:val="1"/>
    <w:autoRedefine/>
    <w:qFormat/>
    <w:uiPriority w:val="99"/>
    <w:pPr>
      <w:spacing w:line="440" w:lineRule="exact"/>
      <w:ind w:firstLine="200"/>
    </w:pPr>
    <w:rPr>
      <w:rFonts w:ascii="宋体"/>
      <w:bCs/>
      <w:color w:val="000000"/>
      <w:kern w:val="24"/>
      <w:sz w:val="18"/>
      <w:szCs w:val="18"/>
    </w:rPr>
  </w:style>
  <w:style w:type="paragraph" w:customStyle="1" w:styleId="722">
    <w:name w:val="正文缩进快"/>
    <w:basedOn w:val="1"/>
    <w:autoRedefine/>
    <w:qFormat/>
    <w:uiPriority w:val="0"/>
    <w:pPr>
      <w:ind w:firstLine="539"/>
    </w:pPr>
    <w:rPr>
      <w:rFonts w:ascii="Batang" w:hAnsi="Batang" w:cs="Batang"/>
      <w:bCs/>
      <w:color w:val="000000"/>
      <w:kern w:val="24"/>
      <w:sz w:val="28"/>
      <w:szCs w:val="20"/>
    </w:rPr>
  </w:style>
  <w:style w:type="paragraph" w:customStyle="1" w:styleId="723">
    <w:name w:val="1文章"/>
    <w:basedOn w:val="1"/>
    <w:autoRedefine/>
    <w:qFormat/>
    <w:uiPriority w:val="0"/>
    <w:pPr>
      <w:ind w:firstLine="496"/>
      <w:outlineLvl w:val="4"/>
    </w:pPr>
    <w:rPr>
      <w:snapToGrid w:val="0"/>
      <w:color w:val="000000"/>
      <w:spacing w:val="4"/>
      <w:kern w:val="0"/>
    </w:rPr>
  </w:style>
  <w:style w:type="paragraph" w:customStyle="1" w:styleId="724">
    <w:name w:val="编号括号数字"/>
    <w:basedOn w:val="1"/>
    <w:autoRedefine/>
    <w:qFormat/>
    <w:uiPriority w:val="0"/>
    <w:pPr>
      <w:tabs>
        <w:tab w:val="left" w:pos="939"/>
      </w:tabs>
      <w:ind w:left="342" w:firstLine="198"/>
      <w:outlineLvl w:val="4"/>
    </w:pPr>
    <w:rPr>
      <w:bCs/>
      <w:color w:val="000000"/>
      <w:kern w:val="24"/>
    </w:rPr>
  </w:style>
  <w:style w:type="paragraph" w:customStyle="1" w:styleId="725">
    <w:name w:val="表头6"/>
    <w:basedOn w:val="707"/>
    <w:autoRedefine/>
    <w:qFormat/>
    <w:uiPriority w:val="0"/>
    <w:pPr>
      <w:tabs>
        <w:tab w:val="left" w:pos="843"/>
        <w:tab w:val="left" w:pos="1774"/>
      </w:tabs>
      <w:ind w:left="992" w:leftChars="0" w:hanging="363"/>
    </w:pPr>
  </w:style>
  <w:style w:type="paragraph" w:customStyle="1" w:styleId="726">
    <w:name w:val="样式 正文文本缩进 + 小四 非加粗 非倾斜 行距: 固定值 20 磅"/>
    <w:basedOn w:val="31"/>
    <w:autoRedefine/>
    <w:qFormat/>
    <w:uiPriority w:val="0"/>
    <w:pPr>
      <w:spacing w:after="0" w:line="440" w:lineRule="exact"/>
      <w:ind w:left="0" w:leftChars="0" w:firstLine="454"/>
    </w:pPr>
    <w:rPr>
      <w:bCs/>
      <w:color w:val="000000"/>
      <w:kern w:val="24"/>
    </w:rPr>
  </w:style>
  <w:style w:type="paragraph" w:customStyle="1" w:styleId="727">
    <w:name w:val="编号汉字数字"/>
    <w:basedOn w:val="724"/>
    <w:next w:val="1"/>
    <w:autoRedefine/>
    <w:qFormat/>
    <w:uiPriority w:val="0"/>
    <w:pPr>
      <w:tabs>
        <w:tab w:val="left" w:pos="0"/>
      </w:tabs>
      <w:ind w:left="0" w:firstLine="822"/>
      <w:outlineLvl w:val="9"/>
    </w:pPr>
  </w:style>
  <w:style w:type="paragraph" w:customStyle="1" w:styleId="728">
    <w:name w:val="样式 标题 3标题 3 Char标题 3 Char Char Char Char Char标题 3 Char Char C..."/>
    <w:basedOn w:val="7"/>
    <w:autoRedefine/>
    <w:qFormat/>
    <w:uiPriority w:val="0"/>
    <w:pPr>
      <w:tabs>
        <w:tab w:val="left" w:pos="636"/>
      </w:tabs>
      <w:spacing w:before="120" w:after="0" w:line="480" w:lineRule="atLeast"/>
      <w:textAlignment w:val="baseline"/>
    </w:pPr>
    <w:rPr>
      <w:rFonts w:eastAsia="黑体"/>
      <w:b w:val="0"/>
      <w:color w:val="000000"/>
      <w:kern w:val="0"/>
      <w:sz w:val="24"/>
      <w:szCs w:val="20"/>
    </w:rPr>
  </w:style>
  <w:style w:type="paragraph" w:customStyle="1" w:styleId="729">
    <w:name w:val="样式 首行缩进:  2 字符10"/>
    <w:basedOn w:val="1"/>
    <w:autoRedefine/>
    <w:qFormat/>
    <w:uiPriority w:val="0"/>
    <w:pPr>
      <w:spacing w:line="520" w:lineRule="exact"/>
      <w:ind w:firstLine="560"/>
    </w:pPr>
    <w:rPr>
      <w:rFonts w:cs="宋体"/>
      <w:bCs/>
      <w:color w:val="000000"/>
      <w:kern w:val="24"/>
      <w:szCs w:val="20"/>
    </w:rPr>
  </w:style>
  <w:style w:type="paragraph" w:customStyle="1" w:styleId="730">
    <w:name w:val="样式 首行缩进:  2 字符17"/>
    <w:basedOn w:val="1"/>
    <w:autoRedefine/>
    <w:qFormat/>
    <w:uiPriority w:val="0"/>
    <w:pPr>
      <w:spacing w:line="520" w:lineRule="exact"/>
      <w:ind w:firstLine="560"/>
    </w:pPr>
    <w:rPr>
      <w:rFonts w:ascii="ˎ̥" w:hAnsi="ˎ̥" w:eastAsia="FLGPEK+TimesNewRoman,Italic" w:cs="ˎ̥"/>
      <w:bCs/>
      <w:color w:val="000000"/>
      <w:kern w:val="24"/>
      <w:szCs w:val="20"/>
    </w:rPr>
  </w:style>
  <w:style w:type="paragraph" w:customStyle="1" w:styleId="731">
    <w:name w:val="xl68"/>
    <w:basedOn w:val="1"/>
    <w:autoRedefine/>
    <w:qFormat/>
    <w:uiPriority w:val="0"/>
    <w:pPr>
      <w:pBdr>
        <w:left w:val="single" w:color="auto" w:sz="4" w:space="0"/>
        <w:bottom w:val="single" w:color="auto" w:sz="8" w:space="0"/>
      </w:pBdr>
      <w:spacing w:before="100" w:after="100"/>
      <w:jc w:val="center"/>
      <w:textAlignment w:val="top"/>
    </w:pPr>
    <w:rPr>
      <w:rFonts w:ascii="Batang" w:hAnsi="Batang" w:cs="Batang"/>
      <w:bCs/>
      <w:color w:val="000000"/>
      <w:kern w:val="0"/>
    </w:rPr>
  </w:style>
  <w:style w:type="paragraph" w:customStyle="1" w:styleId="732">
    <w:name w:val="1表格头"/>
    <w:basedOn w:val="1"/>
    <w:autoRedefine/>
    <w:qFormat/>
    <w:uiPriority w:val="0"/>
    <w:pPr>
      <w:spacing w:line="300" w:lineRule="auto"/>
      <w:jc w:val="center"/>
      <w:outlineLvl w:val="3"/>
    </w:pPr>
    <w:rPr>
      <w:rFonts w:eastAsia="黑体"/>
      <w:b/>
      <w:bCs/>
      <w:color w:val="000000"/>
      <w:spacing w:val="4"/>
      <w:kern w:val="24"/>
    </w:rPr>
  </w:style>
  <w:style w:type="paragraph" w:customStyle="1" w:styleId="733">
    <w:name w:val="正文5"/>
    <w:autoRedefine/>
    <w:qFormat/>
    <w:uiPriority w:val="0"/>
    <w:pPr>
      <w:widowControl w:val="0"/>
      <w:adjustRightInd w:val="0"/>
      <w:spacing w:line="312" w:lineRule="atLeast"/>
      <w:jc w:val="both"/>
      <w:textAlignment w:val="baseline"/>
    </w:pPr>
    <w:rPr>
      <w:rFonts w:ascii="Arial" w:hAnsi="Times New Roman" w:eastAsia="楷体_GB2312" w:cs="Times New Roman"/>
      <w:bCs/>
      <w:color w:val="000000"/>
      <w:spacing w:val="-6"/>
      <w:sz w:val="28"/>
      <w:szCs w:val="24"/>
      <w:lang w:val="en-US" w:eastAsia="zh-CN" w:bidi="ar-SA"/>
    </w:rPr>
  </w:style>
  <w:style w:type="paragraph" w:customStyle="1" w:styleId="734">
    <w:name w:val="xl54"/>
    <w:basedOn w:val="1"/>
    <w:autoRedefine/>
    <w:qFormat/>
    <w:uiPriority w:val="0"/>
    <w:pPr>
      <w:pBdr>
        <w:bottom w:val="single" w:color="auto" w:sz="4" w:space="0"/>
        <w:right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735">
    <w:name w:val="HTML 预设格式1"/>
    <w:basedOn w:val="1"/>
    <w:autoRedefine/>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200"/>
    </w:pPr>
    <w:rPr>
      <w:rFonts w:ascii="Courier New" w:hAnsi="Courier New"/>
      <w:bCs/>
      <w:color w:val="000000"/>
      <w:kern w:val="24"/>
      <w:sz w:val="20"/>
      <w:szCs w:val="20"/>
    </w:rPr>
  </w:style>
  <w:style w:type="paragraph" w:customStyle="1" w:styleId="736">
    <w:name w:val="附录一级条标题"/>
    <w:basedOn w:val="737"/>
    <w:next w:val="1"/>
    <w:autoRedefine/>
    <w:qFormat/>
    <w:uiPriority w:val="0"/>
    <w:pPr>
      <w:autoSpaceDN w:val="0"/>
      <w:spacing w:beforeLines="0" w:afterLines="0"/>
      <w:outlineLvl w:val="2"/>
    </w:pPr>
  </w:style>
  <w:style w:type="paragraph" w:customStyle="1" w:styleId="737">
    <w:name w:val="附录章标题"/>
    <w:next w:val="1"/>
    <w:autoRedefine/>
    <w:qFormat/>
    <w:uiPriority w:val="0"/>
    <w:pPr>
      <w:wordWrap w:val="0"/>
      <w:overflowPunct w:val="0"/>
      <w:autoSpaceDE w:val="0"/>
      <w:spacing w:beforeLines="50" w:afterLines="50"/>
      <w:jc w:val="both"/>
      <w:textAlignment w:val="baseline"/>
      <w:outlineLvl w:val="1"/>
    </w:pPr>
    <w:rPr>
      <w:rFonts w:ascii="黑体" w:hAnsi="Times New Roman" w:eastAsia="黑体" w:cs="Times New Roman"/>
      <w:bCs/>
      <w:color w:val="000000"/>
      <w:kern w:val="21"/>
      <w:sz w:val="21"/>
      <w:szCs w:val="24"/>
      <w:lang w:val="en-US" w:eastAsia="zh-CN" w:bidi="ar-SA"/>
    </w:rPr>
  </w:style>
  <w:style w:type="paragraph" w:customStyle="1" w:styleId="738">
    <w:name w:val="Char11"/>
    <w:basedOn w:val="1"/>
    <w:autoRedefine/>
    <w:qFormat/>
    <w:uiPriority w:val="0"/>
    <w:pPr>
      <w:spacing w:beforeLines="50"/>
      <w:ind w:firstLine="560"/>
    </w:pPr>
    <w:rPr>
      <w:rFonts w:ascii="Arial Unicode MS" w:hAnsi="Arial Unicode MS" w:eastAsia="Garamond" w:cs="Vladimir Script"/>
      <w:bCs/>
      <w:color w:val="000000"/>
      <w:kern w:val="24"/>
      <w:sz w:val="28"/>
      <w:szCs w:val="20"/>
    </w:rPr>
  </w:style>
  <w:style w:type="paragraph" w:customStyle="1" w:styleId="739">
    <w:name w:val="font9"/>
    <w:basedOn w:val="1"/>
    <w:autoRedefine/>
    <w:qFormat/>
    <w:uiPriority w:val="0"/>
    <w:pPr>
      <w:spacing w:before="100" w:beforeAutospacing="1" w:after="100" w:afterAutospacing="1"/>
    </w:pPr>
    <w:rPr>
      <w:rFonts w:hint="eastAsia" w:ascii="宋体" w:hAnsi="宋体" w:cs="Arial Unicode MS"/>
      <w:b/>
      <w:color w:val="000000"/>
      <w:kern w:val="0"/>
      <w:sz w:val="18"/>
      <w:szCs w:val="18"/>
    </w:rPr>
  </w:style>
  <w:style w:type="paragraph" w:customStyle="1" w:styleId="740">
    <w:name w:val="Paratitre"/>
    <w:basedOn w:val="1"/>
    <w:autoRedefine/>
    <w:qFormat/>
    <w:uiPriority w:val="0"/>
    <w:pPr>
      <w:overflowPunct w:val="0"/>
      <w:spacing w:before="240"/>
      <w:ind w:left="700"/>
      <w:textAlignment w:val="baseline"/>
    </w:pPr>
    <w:rPr>
      <w:rFonts w:ascii="ˎ̥" w:hAnsi="ˎ̥" w:cs="Batang"/>
      <w:bCs/>
      <w:color w:val="000000"/>
      <w:kern w:val="0"/>
      <w:sz w:val="20"/>
      <w:szCs w:val="20"/>
      <w:lang w:val="fr-FR"/>
    </w:rPr>
  </w:style>
  <w:style w:type="paragraph" w:customStyle="1" w:styleId="741">
    <w:name w:val="一级条标题"/>
    <w:basedOn w:val="5"/>
    <w:next w:val="1"/>
    <w:autoRedefine/>
    <w:qFormat/>
    <w:uiPriority w:val="0"/>
    <w:pPr>
      <w:keepNext w:val="0"/>
      <w:tabs>
        <w:tab w:val="left" w:pos="360"/>
        <w:tab w:val="left" w:pos="1740"/>
      </w:tabs>
      <w:overflowPunct/>
      <w:snapToGrid/>
      <w:spacing w:before="0" w:after="0" w:line="240" w:lineRule="auto"/>
      <w:ind w:left="1740" w:hanging="420"/>
      <w:outlineLvl w:val="2"/>
    </w:pPr>
    <w:rPr>
      <w:rFonts w:ascii="FLGPEK+TimesNewRoman,Italic" w:hAnsi="Batang" w:eastAsia="FLGPEK+TimesNewRoman,Italic" w:cs="Batang"/>
      <w:b w:val="0"/>
      <w:kern w:val="0"/>
      <w:sz w:val="21"/>
      <w:szCs w:val="20"/>
    </w:rPr>
  </w:style>
  <w:style w:type="paragraph" w:customStyle="1" w:styleId="742">
    <w:name w:val="xl36"/>
    <w:basedOn w:val="1"/>
    <w:autoRedefine/>
    <w:qFormat/>
    <w:uiPriority w:val="0"/>
    <w:pPr>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textAlignment w:val="center"/>
    </w:pPr>
    <w:rPr>
      <w:rFonts w:ascii="Arial Unicode MS" w:hAnsi="Arial Unicode MS" w:eastAsia="Arial Unicode MS" w:cs="Arial Unicode MS"/>
      <w:bCs/>
      <w:color w:val="000000"/>
      <w:kern w:val="0"/>
      <w:sz w:val="20"/>
      <w:szCs w:val="20"/>
    </w:rPr>
  </w:style>
  <w:style w:type="paragraph" w:customStyle="1" w:styleId="743">
    <w:name w:val="Char Char Char Char Char Char Char3"/>
    <w:basedOn w:val="1"/>
    <w:autoRedefine/>
    <w:qFormat/>
    <w:uiPriority w:val="0"/>
    <w:rPr>
      <w:bCs/>
      <w:color w:val="000000"/>
      <w:kern w:val="24"/>
      <w:szCs w:val="21"/>
    </w:rPr>
  </w:style>
  <w:style w:type="paragraph" w:customStyle="1" w:styleId="744">
    <w:name w:val="Char Char19 Char Char2"/>
    <w:basedOn w:val="1"/>
    <w:next w:val="1"/>
    <w:autoRedefine/>
    <w:semiHidden/>
    <w:qFormat/>
    <w:uiPriority w:val="0"/>
    <w:pPr>
      <w:ind w:firstLine="200"/>
    </w:pPr>
    <w:rPr>
      <w:rFonts w:ascii="宋体" w:hAnsi="宋体" w:cs="宋体"/>
    </w:rPr>
  </w:style>
  <w:style w:type="paragraph" w:customStyle="1" w:styleId="745">
    <w:name w:val="T正文"/>
    <w:autoRedefine/>
    <w:qFormat/>
    <w:uiPriority w:val="0"/>
    <w:pPr>
      <w:widowControl w:val="0"/>
      <w:adjustRightInd w:val="0"/>
      <w:snapToGrid w:val="0"/>
      <w:spacing w:line="360" w:lineRule="auto"/>
      <w:ind w:firstLine="200" w:firstLineChars="200"/>
      <w:jc w:val="both"/>
    </w:pPr>
    <w:rPr>
      <w:rFonts w:ascii="Times New Roman" w:hAnsi="Times New Roman" w:eastAsia="楷体_GB2312" w:cs="Times New Roman"/>
      <w:bCs/>
      <w:color w:val="000000"/>
      <w:sz w:val="28"/>
      <w:szCs w:val="24"/>
      <w:lang w:val="en-US" w:eastAsia="zh-CN" w:bidi="ar-SA"/>
    </w:rPr>
  </w:style>
  <w:style w:type="paragraph" w:customStyle="1" w:styleId="746">
    <w:name w:val="样式 标题 1 + (符号) Times New Roman"/>
    <w:basedOn w:val="5"/>
    <w:autoRedefine/>
    <w:qFormat/>
    <w:uiPriority w:val="0"/>
    <w:pPr>
      <w:keepNext w:val="0"/>
      <w:keepLines/>
      <w:overflowPunct/>
      <w:spacing w:before="180" w:after="180" w:line="480" w:lineRule="exact"/>
      <w:ind w:left="0" w:firstLine="0"/>
    </w:pPr>
    <w:rPr>
      <w:rFonts w:eastAsia="宋体"/>
      <w:snapToGrid w:val="0"/>
      <w:color w:val="auto"/>
      <w:kern w:val="0"/>
      <w:sz w:val="32"/>
      <w:szCs w:val="20"/>
    </w:rPr>
  </w:style>
  <w:style w:type="paragraph" w:customStyle="1" w:styleId="747">
    <w:name w:val="Char Char5 Char Char Char Char Char Char Char Char Char2 Char"/>
    <w:basedOn w:val="7"/>
    <w:autoRedefine/>
    <w:qFormat/>
    <w:uiPriority w:val="0"/>
    <w:pPr>
      <w:tabs>
        <w:tab w:val="left" w:pos="360"/>
        <w:tab w:val="left" w:pos="900"/>
      </w:tabs>
      <w:spacing w:before="120" w:after="120" w:line="360" w:lineRule="auto"/>
      <w:ind w:left="542" w:leftChars="-12" w:firstLine="200"/>
    </w:pPr>
    <w:rPr>
      <w:rFonts w:eastAsia="黑体"/>
      <w:b w:val="0"/>
      <w:snapToGrid w:val="0"/>
      <w:color w:val="000000"/>
      <w:kern w:val="24"/>
      <w:sz w:val="24"/>
      <w:szCs w:val="24"/>
    </w:rPr>
  </w:style>
  <w:style w:type="paragraph" w:customStyle="1" w:styleId="748">
    <w:name w:val="样式 首行缩进:  2 字符 行距: 固定值 26 磅"/>
    <w:basedOn w:val="1"/>
    <w:autoRedefine/>
    <w:qFormat/>
    <w:uiPriority w:val="0"/>
    <w:pPr>
      <w:spacing w:line="480" w:lineRule="exact"/>
      <w:ind w:firstLine="200"/>
    </w:pPr>
    <w:rPr>
      <w:rFonts w:cs="宋体"/>
      <w:bCs/>
      <w:color w:val="000000"/>
      <w:kern w:val="24"/>
      <w:szCs w:val="20"/>
    </w:rPr>
  </w:style>
  <w:style w:type="paragraph" w:customStyle="1" w:styleId="749">
    <w:name w:val="样式 正文文字 + 两端对齐 首行缩进:  0.92 厘米 行距: 单倍行距"/>
    <w:basedOn w:val="30"/>
    <w:autoRedefine/>
    <w:qFormat/>
    <w:uiPriority w:val="0"/>
    <w:pPr>
      <w:widowControl w:val="0"/>
      <w:snapToGrid/>
      <w:spacing w:before="0" w:after="0" w:line="240" w:lineRule="auto"/>
      <w:ind w:right="0" w:firstLine="522"/>
    </w:pPr>
    <w:rPr>
      <w:rFonts w:ascii="FLGPEK+TimesNewRoman,Italic" w:hAnsi="FLGPEK+TimesNewRoman,Italic" w:eastAsia="FLGPEK+TimesNewRoman,Italic" w:cs="Batang"/>
      <w:bCs/>
      <w:color w:val="000000"/>
      <w:kern w:val="24"/>
      <w:sz w:val="28"/>
    </w:rPr>
  </w:style>
  <w:style w:type="paragraph" w:customStyle="1" w:styleId="750">
    <w:name w:val="样式10"/>
    <w:basedOn w:val="244"/>
    <w:autoRedefine/>
    <w:qFormat/>
    <w:uiPriority w:val="0"/>
    <w:pPr>
      <w:spacing w:line="240" w:lineRule="auto"/>
      <w:ind w:firstLine="200" w:firstLineChars="200"/>
      <w:jc w:val="left"/>
    </w:pPr>
    <w:rPr>
      <w:rFonts w:ascii="宋体" w:hAnsi="宋体"/>
      <w:smallCaps/>
      <w:snapToGrid w:val="0"/>
      <w:kern w:val="0"/>
      <w:sz w:val="28"/>
      <w:szCs w:val="28"/>
    </w:rPr>
  </w:style>
  <w:style w:type="paragraph" w:customStyle="1" w:styleId="751">
    <w:name w:val="Char Char19 Char Char"/>
    <w:basedOn w:val="1"/>
    <w:next w:val="1"/>
    <w:autoRedefine/>
    <w:semiHidden/>
    <w:qFormat/>
    <w:uiPriority w:val="0"/>
    <w:pPr>
      <w:ind w:firstLine="200"/>
    </w:pPr>
    <w:rPr>
      <w:rFonts w:ascii="宋体" w:hAnsi="宋体" w:cs="宋体"/>
    </w:rPr>
  </w:style>
  <w:style w:type="paragraph" w:customStyle="1" w:styleId="752">
    <w:name w:val="Char Char Char Char Char Char Char Char Char Char Char Char Char Char Char Char Char Char Char Char Char Char1"/>
    <w:basedOn w:val="1"/>
    <w:autoRedefine/>
    <w:qFormat/>
    <w:uiPriority w:val="0"/>
    <w:pPr>
      <w:spacing w:after="160" w:line="240" w:lineRule="exact"/>
      <w:ind w:firstLine="560"/>
    </w:pPr>
    <w:rPr>
      <w:rFonts w:ascii="Verdana" w:hAnsi="Verdana" w:eastAsia="MS Mincho" w:cs="Verdana"/>
      <w:bCs/>
      <w:color w:val="000000"/>
      <w:kern w:val="0"/>
      <w:sz w:val="20"/>
      <w:szCs w:val="20"/>
      <w:lang w:eastAsia="en-US"/>
    </w:rPr>
  </w:style>
  <w:style w:type="paragraph" w:customStyle="1" w:styleId="753">
    <w:name w:val="标题  1"/>
    <w:basedOn w:val="1"/>
    <w:autoRedefine/>
    <w:qFormat/>
    <w:uiPriority w:val="0"/>
    <w:pPr>
      <w:tabs>
        <w:tab w:val="left" w:pos="425"/>
      </w:tabs>
      <w:ind w:left="425"/>
    </w:pPr>
    <w:rPr>
      <w:rFonts w:ascii="Tahoma" w:hAnsi="Tahoma"/>
      <w:bCs/>
      <w:color w:val="000000"/>
      <w:kern w:val="24"/>
      <w:szCs w:val="20"/>
    </w:rPr>
  </w:style>
  <w:style w:type="paragraph" w:customStyle="1" w:styleId="754">
    <w:name w:val="段"/>
    <w:autoRedefine/>
    <w:qFormat/>
    <w:uiPriority w:val="0"/>
    <w:pPr>
      <w:autoSpaceDE w:val="0"/>
      <w:autoSpaceDN w:val="0"/>
      <w:ind w:firstLine="200" w:firstLineChars="200"/>
      <w:jc w:val="both"/>
    </w:pPr>
    <w:rPr>
      <w:rFonts w:ascii="宋体" w:hAnsi="Times New Roman" w:eastAsia="宋体" w:cs="Times New Roman"/>
      <w:bCs/>
      <w:color w:val="000000"/>
      <w:sz w:val="21"/>
      <w:szCs w:val="24"/>
      <w:lang w:val="en-US" w:eastAsia="zh-CN" w:bidi="ar-SA"/>
    </w:rPr>
  </w:style>
  <w:style w:type="paragraph" w:customStyle="1" w:styleId="755">
    <w:name w:val="样式 粉红 首行缩进:  2 字符"/>
    <w:basedOn w:val="1"/>
    <w:autoRedefine/>
    <w:semiHidden/>
    <w:qFormat/>
    <w:uiPriority w:val="0"/>
    <w:pPr>
      <w:spacing w:line="480" w:lineRule="exact"/>
      <w:ind w:firstLine="480"/>
    </w:pPr>
    <w:rPr>
      <w:rFonts w:cs="宋体"/>
      <w:bCs/>
      <w:color w:val="FF0000"/>
      <w:kern w:val="24"/>
      <w:szCs w:val="20"/>
    </w:rPr>
  </w:style>
  <w:style w:type="paragraph" w:customStyle="1" w:styleId="756">
    <w:name w:val="五号表格"/>
    <w:basedOn w:val="1"/>
    <w:autoRedefine/>
    <w:qFormat/>
    <w:uiPriority w:val="0"/>
    <w:pPr>
      <w:spacing w:line="240" w:lineRule="atLeast"/>
      <w:ind w:firstLine="200"/>
      <w:jc w:val="center"/>
    </w:pPr>
    <w:rPr>
      <w:rFonts w:ascii="Arial Unicode MS" w:hAnsi="Arial Unicode MS" w:cs="Vladimir Script"/>
      <w:bCs/>
      <w:color w:val="000000"/>
      <w:kern w:val="24"/>
      <w:szCs w:val="20"/>
    </w:rPr>
  </w:style>
  <w:style w:type="paragraph" w:customStyle="1" w:styleId="757">
    <w:name w:val="表格用字 Char1"/>
    <w:basedOn w:val="73"/>
    <w:autoRedefine/>
    <w:qFormat/>
    <w:uiPriority w:val="0"/>
    <w:pPr>
      <w:spacing w:after="0" w:line="0" w:lineRule="atLeast"/>
    </w:pPr>
    <w:rPr>
      <w:rFonts w:hint="eastAsia" w:eastAsia="仿宋_GB2312"/>
      <w:szCs w:val="20"/>
    </w:rPr>
  </w:style>
  <w:style w:type="paragraph" w:customStyle="1" w:styleId="758">
    <w:name w:val="二级无标题条"/>
    <w:basedOn w:val="1"/>
    <w:autoRedefine/>
    <w:qFormat/>
    <w:uiPriority w:val="0"/>
    <w:rPr>
      <w:bCs/>
      <w:color w:val="000000"/>
      <w:kern w:val="24"/>
    </w:rPr>
  </w:style>
  <w:style w:type="paragraph" w:customStyle="1" w:styleId="759">
    <w:name w:val="生物拉丁文"/>
    <w:basedOn w:val="1"/>
    <w:autoRedefine/>
    <w:qFormat/>
    <w:uiPriority w:val="0"/>
    <w:pPr>
      <w:tabs>
        <w:tab w:val="left" w:pos="-120"/>
        <w:tab w:val="left" w:pos="625"/>
      </w:tabs>
      <w:overflowPunct w:val="0"/>
      <w:topLinePunct/>
      <w:spacing w:before="60" w:afterLines="50" w:line="0" w:lineRule="atLeast"/>
      <w:ind w:firstLine="454"/>
    </w:pPr>
    <w:rPr>
      <w:bCs/>
      <w:i/>
      <w:color w:val="000000"/>
      <w:spacing w:val="20"/>
      <w:kern w:val="24"/>
      <w:szCs w:val="20"/>
    </w:rPr>
  </w:style>
  <w:style w:type="paragraph" w:customStyle="1" w:styleId="760">
    <w:name w:val="样式 居中 首行缩进:  0.01 厘米 段后: 6 磅"/>
    <w:basedOn w:val="1"/>
    <w:autoRedefine/>
    <w:qFormat/>
    <w:uiPriority w:val="0"/>
    <w:pPr>
      <w:spacing w:after="120" w:line="440" w:lineRule="exact"/>
      <w:ind w:firstLine="4"/>
      <w:jc w:val="center"/>
    </w:pPr>
    <w:rPr>
      <w:rFonts w:ascii="Arial Unicode MS" w:hAnsi="Arial Unicode MS" w:eastAsia="DFKai-SB" w:cs="Vladimir Script"/>
      <w:bCs/>
      <w:color w:val="000000"/>
      <w:kern w:val="24"/>
      <w:szCs w:val="20"/>
    </w:rPr>
  </w:style>
  <w:style w:type="paragraph" w:customStyle="1" w:styleId="761">
    <w:name w:val="样式 生物附录 + 小四 段前: 6 磅 段后: 6 磅 非加宽量 / 紧缩量  行距: 1.5 倍行距"/>
    <w:basedOn w:val="1"/>
    <w:autoRedefine/>
    <w:qFormat/>
    <w:uiPriority w:val="0"/>
    <w:pPr>
      <w:spacing w:before="100" w:beforeAutospacing="1" w:after="100" w:afterAutospacing="1"/>
    </w:pPr>
    <w:rPr>
      <w:b/>
      <w:color w:val="000000"/>
      <w:kern w:val="24"/>
      <w:szCs w:val="20"/>
    </w:rPr>
  </w:style>
  <w:style w:type="paragraph" w:customStyle="1" w:styleId="762">
    <w:name w:val="新标题3"/>
    <w:basedOn w:val="1"/>
    <w:autoRedefine/>
    <w:qFormat/>
    <w:uiPriority w:val="0"/>
    <w:pPr>
      <w:keepNext/>
      <w:spacing w:before="120" w:after="120" w:line="460" w:lineRule="exact"/>
      <w:outlineLvl w:val="2"/>
    </w:pPr>
    <w:rPr>
      <w:rFonts w:ascii="FLGPEK+TimesNewRoman,Italic" w:hAnsi="Batang" w:eastAsia="FLGPEK+TimesNewRoman,Italic" w:cs="Sim Sun"/>
      <w:b/>
      <w:color w:val="000000"/>
      <w:kern w:val="24"/>
      <w:lang w:val="zh-CN"/>
    </w:rPr>
  </w:style>
  <w:style w:type="paragraph" w:customStyle="1" w:styleId="763">
    <w:name w:val="xl32"/>
    <w:basedOn w:val="1"/>
    <w:autoRedefine/>
    <w:qFormat/>
    <w:uiPriority w:val="0"/>
    <w:pPr>
      <w:spacing w:before="100" w:beforeAutospacing="1" w:after="100" w:afterAutospacing="1"/>
      <w:jc w:val="center"/>
      <w:textAlignment w:val="top"/>
    </w:pPr>
    <w:rPr>
      <w:rFonts w:ascii="Arial Unicode MS" w:hAnsi="Arial Unicode MS" w:eastAsia="Arial Unicode MS" w:cs="Arial Unicode MS"/>
      <w:b/>
      <w:color w:val="000000"/>
      <w:kern w:val="0"/>
      <w:sz w:val="32"/>
      <w:szCs w:val="32"/>
    </w:rPr>
  </w:style>
  <w:style w:type="paragraph" w:customStyle="1" w:styleId="764">
    <w:name w:val="小五表格"/>
    <w:basedOn w:val="1"/>
    <w:autoRedefine/>
    <w:qFormat/>
    <w:uiPriority w:val="0"/>
    <w:pPr>
      <w:spacing w:line="440" w:lineRule="exact"/>
      <w:ind w:firstLine="200"/>
    </w:pPr>
    <w:rPr>
      <w:rFonts w:ascii="Arial Unicode MS" w:hAnsi="Arial Unicode MS" w:cs="Vladimir Script"/>
      <w:bCs/>
      <w:color w:val="000000"/>
      <w:kern w:val="24"/>
      <w:sz w:val="18"/>
      <w:szCs w:val="20"/>
    </w:rPr>
  </w:style>
  <w:style w:type="paragraph" w:customStyle="1" w:styleId="765">
    <w:name w:val="样式 小四 首行缩进:  2 字符"/>
    <w:basedOn w:val="1"/>
    <w:next w:val="1"/>
    <w:autoRedefine/>
    <w:qFormat/>
    <w:uiPriority w:val="0"/>
    <w:pPr>
      <w:spacing w:line="480" w:lineRule="atLeast"/>
      <w:ind w:firstLine="180" w:firstLineChars="180"/>
      <w:textAlignment w:val="baseline"/>
    </w:pPr>
    <w:rPr>
      <w:rFonts w:cs="宋体"/>
      <w:bCs/>
      <w:color w:val="000000"/>
      <w:kern w:val="0"/>
      <w:szCs w:val="20"/>
    </w:rPr>
  </w:style>
  <w:style w:type="paragraph" w:customStyle="1" w:styleId="766">
    <w:name w:val="xl41"/>
    <w:basedOn w:val="1"/>
    <w:autoRedefine/>
    <w:qFormat/>
    <w:uiPriority w:val="0"/>
    <w:pPr>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8000"/>
      <w:kern w:val="0"/>
      <w:sz w:val="20"/>
      <w:szCs w:val="20"/>
    </w:rPr>
  </w:style>
  <w:style w:type="paragraph" w:customStyle="1" w:styleId="767">
    <w:name w:val="Char1 Char Char Char"/>
    <w:basedOn w:val="7"/>
    <w:autoRedefine/>
    <w:qFormat/>
    <w:uiPriority w:val="0"/>
    <w:pPr>
      <w:tabs>
        <w:tab w:val="left" w:pos="360"/>
        <w:tab w:val="left" w:pos="900"/>
      </w:tabs>
      <w:spacing w:before="120" w:after="120" w:line="360" w:lineRule="auto"/>
      <w:ind w:left="542" w:leftChars="-12" w:firstLine="200"/>
    </w:pPr>
    <w:rPr>
      <w:rFonts w:eastAsia="黑体"/>
      <w:b w:val="0"/>
      <w:snapToGrid w:val="0"/>
      <w:color w:val="000000"/>
      <w:kern w:val="24"/>
      <w:sz w:val="24"/>
      <w:szCs w:val="24"/>
    </w:rPr>
  </w:style>
  <w:style w:type="paragraph" w:customStyle="1" w:styleId="768">
    <w:name w:val="页眉中"/>
    <w:basedOn w:val="2"/>
    <w:autoRedefine/>
    <w:qFormat/>
    <w:uiPriority w:val="0"/>
    <w:pPr>
      <w:spacing w:line="300" w:lineRule="auto"/>
      <w:ind w:firstLine="200"/>
      <w:jc w:val="left"/>
    </w:pPr>
    <w:rPr>
      <w:rFonts w:ascii="仿宋体" w:hAnsi="Vladimir Script" w:eastAsia="仿宋体" w:cs="Arial Unicode MS"/>
      <w:color w:val="000000"/>
      <w:kern w:val="24"/>
      <w:sz w:val="24"/>
    </w:rPr>
  </w:style>
  <w:style w:type="paragraph" w:customStyle="1" w:styleId="769">
    <w:name w:val="样式 题目 + 左侧:  1 字符 右侧:  1 字符"/>
    <w:basedOn w:val="5"/>
    <w:autoRedefine/>
    <w:qFormat/>
    <w:uiPriority w:val="0"/>
    <w:pPr>
      <w:keepLines/>
      <w:overflowPunct/>
      <w:spacing w:before="100" w:beforeAutospacing="1" w:after="100" w:afterAutospacing="1" w:line="360" w:lineRule="auto"/>
      <w:ind w:left="0" w:right="238" w:firstLine="0"/>
      <w:jc w:val="center"/>
    </w:pPr>
    <w:rPr>
      <w:rFonts w:cs="宋体"/>
      <w:snapToGrid w:val="0"/>
      <w:kern w:val="0"/>
      <w:sz w:val="24"/>
      <w:szCs w:val="20"/>
    </w:rPr>
  </w:style>
  <w:style w:type="paragraph" w:customStyle="1" w:styleId="770">
    <w:name w:val="8说明(治)"/>
    <w:basedOn w:val="1"/>
    <w:next w:val="214"/>
    <w:autoRedefine/>
    <w:qFormat/>
    <w:uiPriority w:val="0"/>
    <w:pPr>
      <w:ind w:firstLine="480"/>
    </w:pPr>
    <w:rPr>
      <w:rFonts w:ascii="宋体" w:hAnsi="宋体"/>
      <w:bCs/>
      <w:color w:val="000000"/>
      <w:kern w:val="24"/>
      <w:szCs w:val="20"/>
    </w:rPr>
  </w:style>
  <w:style w:type="paragraph" w:customStyle="1" w:styleId="771">
    <w:name w:val="简单回函地址"/>
    <w:basedOn w:val="1"/>
    <w:autoRedefine/>
    <w:qFormat/>
    <w:uiPriority w:val="0"/>
    <w:rPr>
      <w:bCs/>
      <w:color w:val="000000"/>
      <w:kern w:val="24"/>
    </w:rPr>
  </w:style>
  <w:style w:type="paragraph" w:customStyle="1" w:styleId="772">
    <w:name w:val="注释标题1"/>
    <w:basedOn w:val="1"/>
    <w:next w:val="1"/>
    <w:autoRedefine/>
    <w:qFormat/>
    <w:uiPriority w:val="0"/>
    <w:pPr>
      <w:spacing w:line="440" w:lineRule="exact"/>
      <w:ind w:firstLine="200"/>
      <w:jc w:val="center"/>
    </w:pPr>
    <w:rPr>
      <w:rFonts w:ascii="Sim Sun" w:hAnsi="Arial Unicode MS" w:eastAsia="Times New Roman"/>
      <w:bCs/>
      <w:color w:val="000000"/>
      <w:kern w:val="0"/>
      <w:szCs w:val="20"/>
    </w:rPr>
  </w:style>
  <w:style w:type="paragraph" w:customStyle="1" w:styleId="773">
    <w:name w:val="s0"/>
    <w:autoRedefine/>
    <w:qFormat/>
    <w:uiPriority w:val="0"/>
    <w:pPr>
      <w:widowControl w:val="0"/>
      <w:autoSpaceDE w:val="0"/>
      <w:autoSpaceDN w:val="0"/>
      <w:adjustRightInd w:val="0"/>
    </w:pPr>
    <w:rPr>
      <w:rFonts w:ascii="????" w:hAnsi="Times New Roman" w:eastAsia="????" w:cs="Times New Roman"/>
      <w:bCs/>
      <w:color w:val="000000"/>
      <w:sz w:val="24"/>
      <w:szCs w:val="24"/>
      <w:lang w:val="en-US" w:eastAsia="zh-CN" w:bidi="ar-SA"/>
    </w:rPr>
  </w:style>
  <w:style w:type="paragraph" w:customStyle="1" w:styleId="774">
    <w:name w:val="海港标题2"/>
    <w:basedOn w:val="6"/>
    <w:autoRedefine/>
    <w:qFormat/>
    <w:uiPriority w:val="0"/>
    <w:pPr>
      <w:keepNext w:val="0"/>
      <w:keepLines w:val="0"/>
      <w:tabs>
        <w:tab w:val="left" w:pos="576"/>
      </w:tabs>
      <w:spacing w:before="240" w:after="240" w:line="360" w:lineRule="exact"/>
      <w:ind w:left="576" w:hanging="576"/>
      <w:textAlignment w:val="baseline"/>
    </w:pPr>
    <w:rPr>
      <w:rFonts w:ascii="Arial Unicode MS" w:hAnsi="Arial Unicode MS" w:eastAsia="Garamond" w:cs="Vladimir Script"/>
      <w:color w:val="000000"/>
      <w:kern w:val="0"/>
      <w:sz w:val="24"/>
      <w:szCs w:val="20"/>
    </w:rPr>
  </w:style>
  <w:style w:type="paragraph" w:customStyle="1" w:styleId="775">
    <w:name w:val="xl66"/>
    <w:basedOn w:val="1"/>
    <w:autoRedefine/>
    <w:qFormat/>
    <w:uiPriority w:val="0"/>
    <w:pPr>
      <w:spacing w:before="100" w:after="100"/>
      <w:jc w:val="center"/>
    </w:pPr>
    <w:rPr>
      <w:rFonts w:ascii="Batang" w:hAnsi="Batang" w:cs="Batang"/>
      <w:bCs/>
      <w:color w:val="000000"/>
      <w:kern w:val="0"/>
      <w:szCs w:val="20"/>
    </w:rPr>
  </w:style>
  <w:style w:type="paragraph" w:customStyle="1" w:styleId="776">
    <w:name w:val="正文首缩快"/>
    <w:basedOn w:val="1"/>
    <w:autoRedefine/>
    <w:qFormat/>
    <w:uiPriority w:val="0"/>
    <w:pPr>
      <w:ind w:firstLine="539"/>
    </w:pPr>
    <w:rPr>
      <w:rFonts w:ascii="Batang" w:hAnsi="Batang" w:cs="Batang"/>
      <w:bCs/>
      <w:color w:val="000000"/>
      <w:kern w:val="24"/>
      <w:sz w:val="28"/>
      <w:szCs w:val="20"/>
    </w:rPr>
  </w:style>
  <w:style w:type="paragraph" w:customStyle="1" w:styleId="777">
    <w:name w:val="样式 首行缩进:  2 字符16"/>
    <w:basedOn w:val="1"/>
    <w:autoRedefine/>
    <w:qFormat/>
    <w:uiPriority w:val="0"/>
    <w:pPr>
      <w:spacing w:line="520" w:lineRule="exact"/>
      <w:ind w:firstLine="560"/>
    </w:pPr>
    <w:rPr>
      <w:rFonts w:ascii="ˎ̥" w:hAnsi="ˎ̥" w:eastAsia="FLGPEK+TimesNewRoman,Italic" w:cs="ˎ̥"/>
      <w:bCs/>
      <w:color w:val="000000"/>
      <w:kern w:val="24"/>
      <w:szCs w:val="20"/>
    </w:rPr>
  </w:style>
  <w:style w:type="paragraph" w:customStyle="1" w:styleId="778">
    <w:name w:val="Char Char Char Char Char Char Char1"/>
    <w:basedOn w:val="1"/>
    <w:autoRedefine/>
    <w:qFormat/>
    <w:uiPriority w:val="0"/>
    <w:rPr>
      <w:rFonts w:ascii="ˎ̥" w:hAnsi="ˎ̥" w:eastAsia="FLGPEK+TimesNewRoman,Italic" w:cs="ˎ̥"/>
      <w:bCs/>
      <w:color w:val="000000"/>
      <w:kern w:val="24"/>
      <w:szCs w:val="20"/>
    </w:rPr>
  </w:style>
  <w:style w:type="paragraph" w:customStyle="1" w:styleId="779">
    <w:name w:val="表格内正文"/>
    <w:autoRedefine/>
    <w:qFormat/>
    <w:uiPriority w:val="0"/>
    <w:pPr>
      <w:widowControl w:val="0"/>
      <w:spacing w:line="360" w:lineRule="exact"/>
      <w:ind w:firstLine="420" w:firstLineChars="200"/>
      <w:jc w:val="both"/>
    </w:pPr>
    <w:rPr>
      <w:rFonts w:ascii="Times New Roman" w:hAnsi="Times New Roman" w:eastAsia="宋体" w:cs="Times New Roman"/>
      <w:bCs/>
      <w:color w:val="000000"/>
      <w:kern w:val="2"/>
      <w:sz w:val="21"/>
      <w:szCs w:val="24"/>
      <w:lang w:val="en-US" w:eastAsia="zh-CN" w:bidi="ar-SA"/>
    </w:rPr>
  </w:style>
  <w:style w:type="paragraph" w:customStyle="1" w:styleId="780">
    <w:name w:val="BIG BOLD"/>
    <w:basedOn w:val="1"/>
    <w:autoRedefine/>
    <w:semiHidden/>
    <w:qFormat/>
    <w:uiPriority w:val="0"/>
    <w:pPr>
      <w:tabs>
        <w:tab w:val="left" w:leader="underscore" w:pos="1134"/>
      </w:tabs>
    </w:pPr>
    <w:rPr>
      <w:bCs/>
      <w:color w:val="000000"/>
      <w:kern w:val="24"/>
      <w:szCs w:val="20"/>
    </w:rPr>
  </w:style>
  <w:style w:type="paragraph" w:customStyle="1" w:styleId="781">
    <w:name w:val="样式 标题 1 + 三号"/>
    <w:basedOn w:val="5"/>
    <w:autoRedefine/>
    <w:qFormat/>
    <w:uiPriority w:val="0"/>
    <w:pPr>
      <w:keepNext w:val="0"/>
      <w:pageBreakBefore/>
      <w:overflowPunct/>
      <w:snapToGrid/>
      <w:spacing w:before="180" w:after="180" w:line="440" w:lineRule="exact"/>
      <w:ind w:left="0" w:firstLine="0"/>
    </w:pPr>
    <w:rPr>
      <w:rFonts w:eastAsia="宋体-方正超大字符集"/>
      <w:kern w:val="2"/>
      <w:sz w:val="24"/>
      <w:szCs w:val="24"/>
    </w:rPr>
  </w:style>
  <w:style w:type="paragraph" w:customStyle="1" w:styleId="782">
    <w:name w:val="4"/>
    <w:basedOn w:val="1"/>
    <w:next w:val="28"/>
    <w:autoRedefine/>
    <w:qFormat/>
    <w:uiPriority w:val="0"/>
    <w:pPr>
      <w:spacing w:line="240" w:lineRule="atLeast"/>
    </w:pPr>
    <w:rPr>
      <w:bCs/>
      <w:color w:val="000000"/>
      <w:kern w:val="24"/>
      <w:sz w:val="28"/>
      <w:szCs w:val="20"/>
    </w:rPr>
  </w:style>
  <w:style w:type="paragraph" w:customStyle="1" w:styleId="783">
    <w:name w:val="正文文本缩进1"/>
    <w:basedOn w:val="1"/>
    <w:autoRedefine/>
    <w:qFormat/>
    <w:uiPriority w:val="0"/>
    <w:pPr>
      <w:spacing w:line="360" w:lineRule="exact"/>
      <w:ind w:firstLine="480"/>
    </w:pPr>
    <w:rPr>
      <w:bCs/>
      <w:color w:val="000000"/>
      <w:kern w:val="24"/>
      <w:szCs w:val="20"/>
    </w:rPr>
  </w:style>
  <w:style w:type="paragraph" w:customStyle="1" w:styleId="784">
    <w:name w:val="样式 标题 2 + 宋体 行距: 固定值 30 磅"/>
    <w:basedOn w:val="6"/>
    <w:autoRedefine/>
    <w:semiHidden/>
    <w:qFormat/>
    <w:uiPriority w:val="0"/>
    <w:pPr>
      <w:spacing w:before="140" w:after="140" w:line="600" w:lineRule="exact"/>
    </w:pPr>
    <w:rPr>
      <w:rFonts w:ascii="Times New Roman" w:hAnsi="Times New Roman" w:cs="宋体"/>
      <w:smallCaps/>
      <w:color w:val="000000"/>
      <w:kern w:val="24"/>
      <w:sz w:val="24"/>
      <w:szCs w:val="21"/>
    </w:rPr>
  </w:style>
  <w:style w:type="paragraph" w:customStyle="1" w:styleId="785">
    <w:name w:val="正文表标题"/>
    <w:next w:val="754"/>
    <w:autoRedefine/>
    <w:qFormat/>
    <w:uiPriority w:val="0"/>
    <w:pPr>
      <w:jc w:val="center"/>
    </w:pPr>
    <w:rPr>
      <w:rFonts w:ascii="黑体" w:hAnsi="Times New Roman" w:eastAsia="黑体" w:cs="Times New Roman"/>
      <w:bCs/>
      <w:color w:val="000000"/>
      <w:sz w:val="21"/>
      <w:szCs w:val="24"/>
      <w:lang w:val="en-US" w:eastAsia="zh-CN" w:bidi="ar-SA"/>
    </w:rPr>
  </w:style>
  <w:style w:type="paragraph" w:customStyle="1" w:styleId="786">
    <w:name w:val="zhang正文"/>
    <w:basedOn w:val="31"/>
    <w:autoRedefine/>
    <w:qFormat/>
    <w:uiPriority w:val="0"/>
    <w:pPr>
      <w:spacing w:after="0"/>
      <w:ind w:left="0" w:leftChars="0" w:firstLine="539"/>
      <w:textAlignment w:val="baseline"/>
    </w:pPr>
    <w:rPr>
      <w:rFonts w:eastAsia="楷体_GB2312"/>
      <w:bCs/>
      <w:color w:val="000000"/>
    </w:rPr>
  </w:style>
  <w:style w:type="paragraph" w:customStyle="1" w:styleId="787">
    <w:name w:val="In Table"/>
    <w:basedOn w:val="1"/>
    <w:autoRedefine/>
    <w:semiHidden/>
    <w:qFormat/>
    <w:uiPriority w:val="0"/>
    <w:pPr>
      <w:tabs>
        <w:tab w:val="left" w:pos="2200"/>
        <w:tab w:val="left" w:pos="3960"/>
        <w:tab w:val="left" w:pos="5280"/>
      </w:tabs>
      <w:spacing w:before="96" w:after="96" w:line="0" w:lineRule="atLeast"/>
      <w:jc w:val="center"/>
    </w:pPr>
    <w:rPr>
      <w:rFonts w:ascii="Tahoma" w:hAnsi="Tahoma" w:eastAsia="华文中宋"/>
      <w:bCs/>
      <w:color w:val="000000"/>
      <w:kern w:val="24"/>
      <w:szCs w:val="20"/>
    </w:rPr>
  </w:style>
  <w:style w:type="paragraph" w:customStyle="1" w:styleId="788">
    <w:name w:val="封皮字体1"/>
    <w:basedOn w:val="1"/>
    <w:autoRedefine/>
    <w:qFormat/>
    <w:uiPriority w:val="0"/>
    <w:pPr>
      <w:jc w:val="center"/>
    </w:pPr>
    <w:rPr>
      <w:rFonts w:ascii="黑体" w:eastAsia="黑体"/>
      <w:color w:val="000000"/>
      <w:kern w:val="24"/>
      <w:sz w:val="44"/>
    </w:rPr>
  </w:style>
  <w:style w:type="paragraph" w:customStyle="1" w:styleId="789">
    <w:name w:val="样式 标题 1标题 1 1 + 黑体 小二 非加粗 蓝色 段前: 0 磅 段后: 7.8 磅 行距: 单倍行距"/>
    <w:basedOn w:val="5"/>
    <w:autoRedefine/>
    <w:qFormat/>
    <w:uiPriority w:val="0"/>
    <w:pPr>
      <w:keepLines/>
      <w:tabs>
        <w:tab w:val="left" w:pos="432"/>
      </w:tabs>
      <w:overflowPunct/>
      <w:snapToGrid/>
      <w:spacing w:beforeLines="50" w:afterLines="50" w:line="440" w:lineRule="exact"/>
      <w:ind w:firstLine="200"/>
      <w:textAlignment w:val="baseline"/>
    </w:pPr>
    <w:rPr>
      <w:rFonts w:ascii="仿宋体" w:hAnsi="Arial Unicode MS" w:eastAsia="仿宋体" w:cs="Vladimir Script"/>
      <w:b w:val="0"/>
      <w:color w:val="0000FF"/>
      <w:szCs w:val="20"/>
    </w:rPr>
  </w:style>
  <w:style w:type="paragraph" w:customStyle="1" w:styleId="790">
    <w:name w:val="样式6"/>
    <w:basedOn w:val="8"/>
    <w:autoRedefine/>
    <w:qFormat/>
    <w:uiPriority w:val="0"/>
    <w:pPr>
      <w:tabs>
        <w:tab w:val="left" w:pos="720"/>
      </w:tabs>
      <w:spacing w:line="480" w:lineRule="exact"/>
      <w:ind w:firstLine="567"/>
    </w:pPr>
    <w:rPr>
      <w:rFonts w:ascii="Times New Roman" w:hAnsi="Times New Roman" w:eastAsia="宋体"/>
      <w:color w:val="000000"/>
      <w:kern w:val="24"/>
    </w:rPr>
  </w:style>
  <w:style w:type="paragraph" w:customStyle="1" w:styleId="791">
    <w:name w:val="附录二级条标题"/>
    <w:basedOn w:val="736"/>
    <w:next w:val="1"/>
    <w:autoRedefine/>
    <w:qFormat/>
    <w:uiPriority w:val="0"/>
    <w:pPr>
      <w:outlineLvl w:val="3"/>
    </w:pPr>
  </w:style>
  <w:style w:type="paragraph" w:customStyle="1" w:styleId="792">
    <w:name w:val="无间隔2"/>
    <w:autoRedefine/>
    <w:qFormat/>
    <w:uiPriority w:val="0"/>
    <w:rPr>
      <w:rFonts w:ascii="Vladimir Script" w:hAnsi="Vladimir Script" w:eastAsia="Vladimir Script" w:cs="Vladimir Script"/>
      <w:bCs/>
      <w:color w:val="000000"/>
      <w:kern w:val="2"/>
      <w:sz w:val="22"/>
      <w:szCs w:val="22"/>
      <w:lang w:val="en-US" w:eastAsia="zh-CN" w:bidi="ar-SA"/>
    </w:rPr>
  </w:style>
  <w:style w:type="paragraph" w:customStyle="1" w:styleId="793">
    <w:name w:val="样式 首行缩进:  2 字符19"/>
    <w:basedOn w:val="1"/>
    <w:autoRedefine/>
    <w:qFormat/>
    <w:uiPriority w:val="0"/>
    <w:pPr>
      <w:spacing w:line="520" w:lineRule="exact"/>
      <w:ind w:firstLine="560"/>
    </w:pPr>
    <w:rPr>
      <w:bCs/>
      <w:color w:val="000000"/>
      <w:kern w:val="24"/>
    </w:rPr>
  </w:style>
  <w:style w:type="paragraph" w:customStyle="1" w:styleId="794">
    <w:name w:val="正文样式100"/>
    <w:basedOn w:val="1"/>
    <w:autoRedefine/>
    <w:qFormat/>
    <w:uiPriority w:val="0"/>
    <w:pPr>
      <w:spacing w:before="50" w:after="50"/>
      <w:ind w:firstLine="480"/>
    </w:pPr>
    <w:rPr>
      <w:rFonts w:ascii="宋体" w:hAnsi="宋体"/>
      <w:bCs/>
      <w:color w:val="000000"/>
      <w:kern w:val="24"/>
      <w:lang w:val="zh-CN"/>
    </w:rPr>
  </w:style>
  <w:style w:type="paragraph" w:customStyle="1" w:styleId="795">
    <w:name w:val="正文宋体四号字"/>
    <w:basedOn w:val="1"/>
    <w:autoRedefine/>
    <w:qFormat/>
    <w:uiPriority w:val="0"/>
    <w:pPr>
      <w:spacing w:line="560" w:lineRule="exact"/>
      <w:ind w:firstLine="567"/>
      <w:textAlignment w:val="baseline"/>
    </w:pPr>
    <w:rPr>
      <w:rFonts w:ascii="Arial" w:hAnsi="Arial"/>
      <w:bCs/>
      <w:color w:val="000000"/>
      <w:spacing w:val="2"/>
      <w:kern w:val="0"/>
      <w:sz w:val="28"/>
      <w:szCs w:val="20"/>
    </w:rPr>
  </w:style>
  <w:style w:type="paragraph" w:customStyle="1" w:styleId="796">
    <w:name w:val="附录标识"/>
    <w:basedOn w:val="1"/>
    <w:autoRedefine/>
    <w:qFormat/>
    <w:uiPriority w:val="0"/>
    <w:pPr>
      <w:shd w:val="clear" w:color="FFFFFF" w:fill="FFFFFF"/>
      <w:tabs>
        <w:tab w:val="left" w:pos="6405"/>
      </w:tabs>
      <w:spacing w:before="640" w:after="200"/>
      <w:jc w:val="center"/>
      <w:outlineLvl w:val="0"/>
    </w:pPr>
    <w:rPr>
      <w:rFonts w:ascii="黑体" w:eastAsia="黑体"/>
      <w:bCs/>
      <w:color w:val="000000"/>
      <w:kern w:val="0"/>
      <w:szCs w:val="20"/>
    </w:rPr>
  </w:style>
  <w:style w:type="paragraph" w:customStyle="1" w:styleId="797">
    <w:name w:val="农业部一"/>
    <w:next w:val="30"/>
    <w:autoRedefine/>
    <w:qFormat/>
    <w:uiPriority w:val="0"/>
    <w:pPr>
      <w:widowControl w:val="0"/>
      <w:topLinePunct/>
      <w:spacing w:line="360" w:lineRule="atLeast"/>
      <w:jc w:val="center"/>
    </w:pPr>
    <w:rPr>
      <w:rFonts w:ascii="Times New Roman" w:hAnsi="Times New Roman" w:eastAsia="宋体" w:cs="Times New Roman"/>
      <w:bCs/>
      <w:color w:val="000000"/>
      <w:kern w:val="2"/>
      <w:sz w:val="24"/>
      <w:szCs w:val="24"/>
      <w:lang w:val="en-US" w:eastAsia="zh-CN" w:bidi="ar-SA"/>
    </w:rPr>
  </w:style>
  <w:style w:type="paragraph" w:customStyle="1" w:styleId="798">
    <w:name w:val="样式 小四 黑色 首行缩进:  0.74 厘米 行距: 固定值 20 磅"/>
    <w:basedOn w:val="1"/>
    <w:autoRedefine/>
    <w:qFormat/>
    <w:uiPriority w:val="0"/>
    <w:pPr>
      <w:spacing w:line="440" w:lineRule="exact"/>
      <w:ind w:firstLine="454"/>
    </w:pPr>
    <w:rPr>
      <w:rFonts w:cs="宋体"/>
      <w:bCs/>
      <w:color w:val="000000"/>
      <w:kern w:val="24"/>
      <w:szCs w:val="20"/>
    </w:rPr>
  </w:style>
  <w:style w:type="paragraph" w:customStyle="1" w:styleId="799">
    <w:name w:val="样式 标题 3标题 3 Char + 段前: 0 磅 段后: 0 磅 行距: 最小值 24 磅"/>
    <w:basedOn w:val="7"/>
    <w:autoRedefine/>
    <w:qFormat/>
    <w:uiPriority w:val="0"/>
    <w:pPr>
      <w:tabs>
        <w:tab w:val="left" w:pos="720"/>
        <w:tab w:val="left" w:pos="900"/>
        <w:tab w:val="left" w:pos="1260"/>
        <w:tab w:val="left" w:pos="1800"/>
      </w:tabs>
      <w:spacing w:beforeLines="50" w:afterLines="50" w:line="240" w:lineRule="auto"/>
      <w:ind w:left="-567" w:firstLine="567"/>
      <w:textAlignment w:val="baseline"/>
    </w:pPr>
    <w:rPr>
      <w:rFonts w:ascii="宋体" w:hAnsi="宋体" w:cs="宋体"/>
      <w:b w:val="0"/>
      <w:bCs w:val="0"/>
      <w:color w:val="000000"/>
      <w:kern w:val="24"/>
      <w:sz w:val="30"/>
      <w:szCs w:val="20"/>
    </w:rPr>
  </w:style>
  <w:style w:type="paragraph" w:customStyle="1" w:styleId="800">
    <w:name w:val="Job Title"/>
    <w:next w:val="801"/>
    <w:autoRedefine/>
    <w:qFormat/>
    <w:uiPriority w:val="0"/>
    <w:pPr>
      <w:spacing w:after="40" w:line="220" w:lineRule="atLeast"/>
    </w:pPr>
    <w:rPr>
      <w:rFonts w:ascii="ˎ̥" w:hAnsi="ˎ̥" w:eastAsia="宋体" w:cs="Vladimir Script"/>
      <w:b/>
      <w:bCs/>
      <w:color w:val="000000"/>
      <w:spacing w:val="-10"/>
      <w:sz w:val="24"/>
      <w:szCs w:val="24"/>
      <w:lang w:val="en-US" w:eastAsia="zh-CN" w:bidi="ar-SA"/>
    </w:rPr>
  </w:style>
  <w:style w:type="paragraph" w:customStyle="1" w:styleId="801">
    <w:name w:val="Achievement"/>
    <w:basedOn w:val="30"/>
    <w:autoRedefine/>
    <w:qFormat/>
    <w:uiPriority w:val="0"/>
    <w:pPr>
      <w:tabs>
        <w:tab w:val="left" w:pos="960"/>
      </w:tabs>
      <w:snapToGrid/>
      <w:spacing w:before="0" w:after="60" w:line="220" w:lineRule="atLeast"/>
      <w:ind w:left="960" w:right="-360" w:hanging="960"/>
    </w:pPr>
    <w:rPr>
      <w:rFonts w:ascii="Arial Unicode MS" w:hAnsi="Arial Unicode MS" w:eastAsia="Vladimir Script" w:cs="Vladimir Script"/>
      <w:bCs/>
      <w:color w:val="000000"/>
      <w:sz w:val="20"/>
      <w:szCs w:val="24"/>
    </w:rPr>
  </w:style>
  <w:style w:type="paragraph" w:customStyle="1" w:styleId="802">
    <w:name w:val="reader-word-layer reader-word-s1-35"/>
    <w:basedOn w:val="1"/>
    <w:autoRedefine/>
    <w:qFormat/>
    <w:uiPriority w:val="0"/>
    <w:pPr>
      <w:spacing w:before="100" w:beforeAutospacing="1" w:after="100" w:afterAutospacing="1"/>
    </w:pPr>
    <w:rPr>
      <w:rFonts w:ascii="宋体" w:hAnsi="宋体" w:cs="宋体"/>
      <w:bCs/>
      <w:color w:val="000000"/>
      <w:kern w:val="0"/>
    </w:rPr>
  </w:style>
  <w:style w:type="paragraph" w:customStyle="1" w:styleId="803">
    <w:name w:val="Char1 Char Char Char4"/>
    <w:basedOn w:val="1"/>
    <w:autoRedefine/>
    <w:qFormat/>
    <w:uiPriority w:val="0"/>
    <w:pPr>
      <w:ind w:firstLine="529"/>
    </w:pPr>
    <w:rPr>
      <w:rFonts w:ascii="FLGPEK+TimesNewRoman,Italic" w:hAnsi="FLGPEK+TimesNewRoman,Italic" w:eastAsia="FLGPEK+TimesNewRoman,Italic" w:cs="ˎ̥"/>
      <w:b/>
      <w:bCs/>
      <w:color w:val="000000"/>
      <w:kern w:val="24"/>
      <w:szCs w:val="20"/>
    </w:rPr>
  </w:style>
  <w:style w:type="paragraph" w:customStyle="1" w:styleId="804">
    <w:name w:val="font10"/>
    <w:basedOn w:val="1"/>
    <w:autoRedefine/>
    <w:qFormat/>
    <w:uiPriority w:val="0"/>
    <w:pPr>
      <w:spacing w:before="100" w:beforeAutospacing="1" w:after="100" w:afterAutospacing="1"/>
    </w:pPr>
    <w:rPr>
      <w:rFonts w:eastAsia="Arial Unicode MS"/>
      <w:b/>
      <w:color w:val="000000"/>
      <w:kern w:val="0"/>
      <w:sz w:val="18"/>
      <w:szCs w:val="18"/>
    </w:rPr>
  </w:style>
  <w:style w:type="paragraph" w:customStyle="1" w:styleId="805">
    <w:name w:val="文本块1"/>
    <w:basedOn w:val="1"/>
    <w:autoRedefine/>
    <w:qFormat/>
    <w:uiPriority w:val="0"/>
    <w:pPr>
      <w:ind w:left="471" w:leftChars="200" w:firstLine="706" w:firstLineChars="300"/>
    </w:pPr>
    <w:rPr>
      <w:rFonts w:ascii="Arial Unicode MS" w:hAnsi="Arial Unicode MS" w:cs="Vladimir Script"/>
      <w:bCs/>
      <w:color w:val="000000"/>
      <w:kern w:val="24"/>
    </w:rPr>
  </w:style>
  <w:style w:type="paragraph" w:customStyle="1" w:styleId="806">
    <w:name w:val="表格2"/>
    <w:basedOn w:val="1"/>
    <w:autoRedefine/>
    <w:qFormat/>
    <w:uiPriority w:val="0"/>
    <w:pPr>
      <w:spacing w:line="320" w:lineRule="exact"/>
      <w:jc w:val="center"/>
      <w:textAlignment w:val="baseline"/>
    </w:pPr>
    <w:rPr>
      <w:bCs/>
      <w:color w:val="000000"/>
      <w:kern w:val="24"/>
    </w:rPr>
  </w:style>
  <w:style w:type="paragraph" w:customStyle="1" w:styleId="807">
    <w:name w:val="表格下注"/>
    <w:autoRedefine/>
    <w:qFormat/>
    <w:uiPriority w:val="0"/>
    <w:pPr>
      <w:autoSpaceDE w:val="0"/>
      <w:autoSpaceDN w:val="0"/>
      <w:ind w:firstLine="200" w:firstLineChars="200"/>
      <w:jc w:val="both"/>
    </w:pPr>
    <w:rPr>
      <w:rFonts w:ascii="Times New Roman" w:hAnsi="Times New Roman" w:eastAsia="黑体" w:cs="Times New Roman"/>
      <w:bCs/>
      <w:color w:val="000000"/>
      <w:sz w:val="21"/>
      <w:szCs w:val="24"/>
      <w:lang w:val="en-US" w:eastAsia="zh-CN" w:bidi="ar-SA"/>
    </w:rPr>
  </w:style>
  <w:style w:type="paragraph" w:customStyle="1" w:styleId="808">
    <w:name w:val="xl71"/>
    <w:basedOn w:val="1"/>
    <w:autoRedefine/>
    <w:qFormat/>
    <w:uiPriority w:val="0"/>
    <w:pPr>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rPr>
  </w:style>
  <w:style w:type="paragraph" w:customStyle="1" w:styleId="809">
    <w:name w:val="块项目"/>
    <w:next w:val="1"/>
    <w:autoRedefine/>
    <w:qFormat/>
    <w:uiPriority w:val="0"/>
    <w:pPr>
      <w:tabs>
        <w:tab w:val="left" w:pos="840"/>
      </w:tabs>
      <w:spacing w:before="120" w:after="120"/>
      <w:ind w:firstLine="420"/>
    </w:pPr>
    <w:rPr>
      <w:rFonts w:ascii="Times New Roman" w:hAnsi="Times New Roman" w:eastAsia="宋体" w:cs="Times New Roman"/>
      <w:b/>
      <w:bCs/>
      <w:color w:val="000000"/>
      <w:spacing w:val="20"/>
      <w:sz w:val="24"/>
      <w:szCs w:val="24"/>
      <w:lang w:val="en-US" w:eastAsia="zh-CN" w:bidi="ar-SA"/>
    </w:rPr>
  </w:style>
  <w:style w:type="paragraph" w:customStyle="1" w:styleId="810">
    <w:name w:val="Char1"/>
    <w:basedOn w:val="1"/>
    <w:autoRedefine/>
    <w:qFormat/>
    <w:uiPriority w:val="0"/>
    <w:pPr>
      <w:spacing w:beforeLines="50"/>
      <w:ind w:firstLine="560"/>
    </w:pPr>
    <w:rPr>
      <w:rFonts w:eastAsia="仿宋_GB2312"/>
      <w:bCs/>
      <w:color w:val="000000"/>
      <w:kern w:val="24"/>
      <w:sz w:val="28"/>
      <w:szCs w:val="20"/>
    </w:rPr>
  </w:style>
  <w:style w:type="paragraph" w:customStyle="1" w:styleId="811">
    <w:name w:val="默认段落字体 Para Char Char Char Char"/>
    <w:basedOn w:val="1"/>
    <w:autoRedefine/>
    <w:qFormat/>
    <w:uiPriority w:val="0"/>
    <w:pPr>
      <w:ind w:firstLine="200"/>
    </w:pPr>
    <w:rPr>
      <w:rFonts w:ascii="宋体" w:hAnsi="宋体" w:cs="宋体"/>
      <w:bCs/>
      <w:color w:val="000000"/>
      <w:kern w:val="24"/>
    </w:rPr>
  </w:style>
  <w:style w:type="paragraph" w:customStyle="1" w:styleId="812">
    <w:name w:val="Char Char19 Char Char1"/>
    <w:basedOn w:val="1"/>
    <w:next w:val="1"/>
    <w:autoRedefine/>
    <w:semiHidden/>
    <w:qFormat/>
    <w:uiPriority w:val="0"/>
    <w:pPr>
      <w:ind w:firstLine="200"/>
    </w:pPr>
    <w:rPr>
      <w:rFonts w:ascii="宋体" w:hAnsi="宋体" w:cs="宋体"/>
    </w:rPr>
  </w:style>
  <w:style w:type="paragraph" w:customStyle="1" w:styleId="813">
    <w:name w:val="Char6 Char Char Char Char Char Char Char Char Char"/>
    <w:basedOn w:val="1"/>
    <w:autoRedefine/>
    <w:qFormat/>
    <w:uiPriority w:val="0"/>
    <w:pPr>
      <w:spacing w:line="440" w:lineRule="exact"/>
      <w:ind w:firstLine="200"/>
    </w:pPr>
    <w:rPr>
      <w:rFonts w:ascii="Sim Sun" w:hAnsi="Sim Sun" w:cs="Vladimir Script"/>
      <w:bCs/>
      <w:color w:val="000000"/>
      <w:kern w:val="24"/>
      <w:sz w:val="28"/>
      <w:szCs w:val="20"/>
    </w:rPr>
  </w:style>
  <w:style w:type="paragraph" w:customStyle="1" w:styleId="814">
    <w:name w:val="WW-普通文字"/>
    <w:basedOn w:val="1"/>
    <w:autoRedefine/>
    <w:qFormat/>
    <w:uiPriority w:val="0"/>
    <w:pPr>
      <w:suppressAutoHyphens/>
    </w:pPr>
    <w:rPr>
      <w:rFonts w:ascii="宋体" w:hAnsi="宋体"/>
      <w:bCs/>
      <w:color w:val="000000"/>
      <w:kern w:val="1"/>
      <w:szCs w:val="20"/>
      <w:lang w:eastAsia="ar-SA"/>
    </w:rPr>
  </w:style>
  <w:style w:type="paragraph" w:customStyle="1" w:styleId="815">
    <w:name w:val="Char Char1 Char Char Char Char Char Char Char1"/>
    <w:basedOn w:val="1"/>
    <w:autoRedefine/>
    <w:qFormat/>
    <w:uiPriority w:val="0"/>
    <w:rPr>
      <w:rFonts w:ascii="Batang" w:hAnsi="Batang" w:cs="Batang"/>
      <w:bCs/>
      <w:color w:val="000000"/>
      <w:kern w:val="24"/>
    </w:rPr>
  </w:style>
  <w:style w:type="paragraph" w:customStyle="1" w:styleId="816">
    <w:name w:val="gb1"/>
    <w:basedOn w:val="1"/>
    <w:autoRedefine/>
    <w:semiHidden/>
    <w:qFormat/>
    <w:uiPriority w:val="0"/>
    <w:pPr>
      <w:tabs>
        <w:tab w:val="left" w:pos="227"/>
      </w:tabs>
      <w:overflowPunct w:val="0"/>
      <w:spacing w:before="120" w:after="120"/>
      <w:textAlignment w:val="baseline"/>
    </w:pPr>
    <w:rPr>
      <w:rFonts w:ascii="Arial" w:hAnsi="Arial" w:eastAsia="仿宋体"/>
      <w:bCs/>
      <w:color w:val="000000"/>
      <w:kern w:val="0"/>
      <w:szCs w:val="20"/>
    </w:rPr>
  </w:style>
  <w:style w:type="paragraph" w:customStyle="1" w:styleId="817">
    <w:name w:val="xl39"/>
    <w:basedOn w:val="1"/>
    <w:autoRedefine/>
    <w:qFormat/>
    <w:uiPriority w:val="0"/>
    <w:pPr>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818">
    <w:name w:val="xl38"/>
    <w:basedOn w:val="1"/>
    <w:autoRedefine/>
    <w:qFormat/>
    <w:uiPriority w:val="0"/>
    <w:pPr>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textAlignment w:val="center"/>
    </w:pPr>
    <w:rPr>
      <w:rFonts w:eastAsia="Arial Unicode MS"/>
      <w:bCs/>
      <w:color w:val="000000"/>
      <w:kern w:val="0"/>
      <w:sz w:val="20"/>
      <w:szCs w:val="20"/>
    </w:rPr>
  </w:style>
  <w:style w:type="paragraph" w:customStyle="1" w:styleId="819">
    <w:name w:val="样式 样式 表格文字统一样式 + Arial 小五 非加粗 自动设置 行距: 单倍行距1 + 段后: 0.5 行1"/>
    <w:basedOn w:val="820"/>
    <w:autoRedefine/>
    <w:qFormat/>
    <w:uiPriority w:val="0"/>
  </w:style>
  <w:style w:type="paragraph" w:customStyle="1" w:styleId="820">
    <w:name w:val="样式 表格文字统一样式 + Arial 小五 非加粗 自动设置 行距: 单倍行距1"/>
    <w:basedOn w:val="270"/>
    <w:autoRedefine/>
    <w:qFormat/>
    <w:uiPriority w:val="0"/>
    <w:rPr>
      <w:rFonts w:ascii="ˎ̥" w:hAnsi="ˎ̥"/>
    </w:rPr>
  </w:style>
  <w:style w:type="paragraph" w:customStyle="1" w:styleId="821">
    <w:name w:val="样式 四号 行距: 1.0 倍行距"/>
    <w:basedOn w:val="1"/>
    <w:autoRedefine/>
    <w:qFormat/>
    <w:uiPriority w:val="0"/>
    <w:rPr>
      <w:bCs/>
      <w:color w:val="000000"/>
      <w:kern w:val="24"/>
      <w:sz w:val="28"/>
      <w:szCs w:val="20"/>
    </w:rPr>
  </w:style>
  <w:style w:type="paragraph" w:customStyle="1" w:styleId="822">
    <w:name w:val="项目符号1"/>
    <w:basedOn w:val="1"/>
    <w:autoRedefine/>
    <w:qFormat/>
    <w:uiPriority w:val="0"/>
    <w:pPr>
      <w:tabs>
        <w:tab w:val="left" w:pos="1280"/>
      </w:tabs>
      <w:overflowPunct w:val="0"/>
      <w:spacing w:line="480" w:lineRule="exact"/>
      <w:ind w:left="1280" w:firstLine="567"/>
    </w:pPr>
    <w:rPr>
      <w:rFonts w:ascii="Arial" w:hAnsi="Arial" w:eastAsia="仿宋_GB2312"/>
      <w:bCs/>
      <w:color w:val="000000"/>
      <w:kern w:val="24"/>
      <w:sz w:val="28"/>
      <w:szCs w:val="20"/>
    </w:rPr>
  </w:style>
  <w:style w:type="paragraph" w:customStyle="1" w:styleId="823">
    <w:name w:val="样式 标题 2标题2二级 标题 2H2h2第一层条标题 2 Char节标题节11 Char标题 2 Cha...1"/>
    <w:basedOn w:val="6"/>
    <w:autoRedefine/>
    <w:qFormat/>
    <w:uiPriority w:val="0"/>
    <w:pPr>
      <w:keepNext w:val="0"/>
      <w:keepLines w:val="0"/>
      <w:spacing w:before="240" w:after="240" w:line="360" w:lineRule="exact"/>
      <w:ind w:left="578" w:hanging="578"/>
      <w:textAlignment w:val="baseline"/>
    </w:pPr>
    <w:rPr>
      <w:rFonts w:ascii="Arial Unicode MS" w:hAnsi="Arial Unicode MS" w:eastAsia="Garamond" w:cs="Vladimir Script"/>
      <w:color w:val="000000"/>
      <w:kern w:val="24"/>
      <w:sz w:val="24"/>
      <w:szCs w:val="20"/>
    </w:rPr>
  </w:style>
  <w:style w:type="paragraph" w:customStyle="1" w:styleId="824">
    <w:name w:val="表格后样式"/>
    <w:basedOn w:val="794"/>
    <w:autoRedefine/>
    <w:qFormat/>
    <w:uiPriority w:val="0"/>
    <w:pPr>
      <w:spacing w:before="0" w:after="0"/>
    </w:pPr>
    <w:rPr>
      <w:lang w:val="en-US"/>
    </w:rPr>
  </w:style>
  <w:style w:type="paragraph" w:customStyle="1" w:styleId="825">
    <w:name w:val="navitext"/>
    <w:basedOn w:val="1"/>
    <w:autoRedefine/>
    <w:qFormat/>
    <w:uiPriority w:val="0"/>
    <w:pPr>
      <w:spacing w:before="100" w:beforeAutospacing="1" w:after="100" w:afterAutospacing="1"/>
    </w:pPr>
    <w:rPr>
      <w:rFonts w:ascii="宋体" w:hAnsi="宋体" w:cs="宋体"/>
      <w:bCs/>
      <w:color w:val="000000"/>
      <w:kern w:val="0"/>
      <w:sz w:val="18"/>
      <w:szCs w:val="18"/>
    </w:rPr>
  </w:style>
  <w:style w:type="paragraph" w:customStyle="1" w:styleId="826">
    <w:name w:val="样式 四号 首行缩进:  2 字符"/>
    <w:basedOn w:val="1"/>
    <w:autoRedefine/>
    <w:qFormat/>
    <w:uiPriority w:val="0"/>
    <w:pPr>
      <w:spacing w:line="480" w:lineRule="atLeast"/>
      <w:ind w:firstLine="480"/>
    </w:pPr>
    <w:rPr>
      <w:bCs/>
      <w:color w:val="000000"/>
      <w:kern w:val="24"/>
    </w:rPr>
  </w:style>
  <w:style w:type="paragraph" w:customStyle="1" w:styleId="827">
    <w:name w:val="样式 正文文本缩进 2正文文字缩进 2 + 四号 蓝色"/>
    <w:basedOn w:val="32"/>
    <w:autoRedefine/>
    <w:qFormat/>
    <w:uiPriority w:val="0"/>
    <w:pPr>
      <w:ind w:firstLine="709"/>
    </w:pPr>
    <w:rPr>
      <w:rFonts w:ascii="Times New Roman" w:hAnsi="Times New Roman"/>
      <w:color w:val="0000FF"/>
      <w:sz w:val="24"/>
      <w:szCs w:val="24"/>
    </w:rPr>
  </w:style>
  <w:style w:type="paragraph" w:customStyle="1" w:styleId="828">
    <w:name w:val="Char Char Char Char Char Char Char Char Char Char Char1"/>
    <w:basedOn w:val="1"/>
    <w:autoRedefine/>
    <w:qFormat/>
    <w:uiPriority w:val="0"/>
    <w:rPr>
      <w:rFonts w:ascii="Batang" w:hAnsi="Batang" w:cs="Batang"/>
      <w:bCs/>
      <w:color w:val="000000"/>
      <w:kern w:val="24"/>
    </w:rPr>
  </w:style>
  <w:style w:type="paragraph" w:customStyle="1" w:styleId="829">
    <w:name w:val="font5"/>
    <w:basedOn w:val="1"/>
    <w:autoRedefine/>
    <w:qFormat/>
    <w:uiPriority w:val="0"/>
    <w:pPr>
      <w:spacing w:before="100" w:beforeAutospacing="1" w:after="100" w:afterAutospacing="1"/>
    </w:pPr>
    <w:rPr>
      <w:rFonts w:hint="eastAsia" w:ascii="宋体" w:hAnsi="宋体" w:cs="Arial Unicode MS"/>
      <w:bCs/>
      <w:color w:val="000000"/>
      <w:kern w:val="0"/>
      <w:sz w:val="18"/>
      <w:szCs w:val="18"/>
    </w:rPr>
  </w:style>
  <w:style w:type="paragraph" w:customStyle="1" w:styleId="830">
    <w:name w:val="样式 标题 1 + 加粗"/>
    <w:basedOn w:val="5"/>
    <w:autoRedefine/>
    <w:qFormat/>
    <w:uiPriority w:val="0"/>
    <w:pPr>
      <w:keepLines/>
      <w:overflowPunct/>
      <w:spacing w:before="360" w:after="360" w:line="480" w:lineRule="atLeast"/>
      <w:ind w:left="0" w:firstLine="0"/>
    </w:pPr>
    <w:rPr>
      <w:sz w:val="36"/>
      <w:szCs w:val="36"/>
    </w:rPr>
  </w:style>
  <w:style w:type="paragraph" w:customStyle="1" w:styleId="831">
    <w:name w:val="样式 标题 1 + 加粗 首行缩进:  0 厘米"/>
    <w:basedOn w:val="5"/>
    <w:autoRedefine/>
    <w:qFormat/>
    <w:uiPriority w:val="0"/>
    <w:pPr>
      <w:keepLines/>
      <w:overflowPunct/>
      <w:spacing w:before="360" w:after="360" w:line="480" w:lineRule="atLeast"/>
      <w:ind w:left="0" w:firstLine="0"/>
    </w:pPr>
    <w:rPr>
      <w:rFonts w:eastAsia="宋体" w:cs="宋体"/>
      <w:sz w:val="36"/>
      <w:szCs w:val="36"/>
    </w:rPr>
  </w:style>
  <w:style w:type="paragraph" w:customStyle="1" w:styleId="832">
    <w:name w:val="三级标题"/>
    <w:basedOn w:val="7"/>
    <w:next w:val="786"/>
    <w:autoRedefine/>
    <w:qFormat/>
    <w:uiPriority w:val="0"/>
    <w:pPr>
      <w:tabs>
        <w:tab w:val="left" w:pos="1260"/>
        <w:tab w:val="left" w:pos="1800"/>
      </w:tabs>
      <w:spacing w:before="0" w:after="0" w:line="240" w:lineRule="auto"/>
      <w:textAlignment w:val="baseline"/>
    </w:pPr>
    <w:rPr>
      <w:rFonts w:eastAsia="黑体"/>
      <w:b w:val="0"/>
      <w:color w:val="000000"/>
      <w:kern w:val="0"/>
      <w:sz w:val="28"/>
      <w:szCs w:val="20"/>
    </w:rPr>
  </w:style>
  <w:style w:type="paragraph" w:customStyle="1" w:styleId="833">
    <w:name w:val="5#表格"/>
    <w:basedOn w:val="1"/>
    <w:autoRedefine/>
    <w:qFormat/>
    <w:uiPriority w:val="0"/>
    <w:pPr>
      <w:tabs>
        <w:tab w:val="left" w:pos="600"/>
      </w:tabs>
      <w:spacing w:line="360" w:lineRule="exact"/>
      <w:ind w:firstLine="200"/>
      <w:jc w:val="center"/>
    </w:pPr>
    <w:rPr>
      <w:rFonts w:ascii="Arial Unicode MS" w:hAnsi="Arial Unicode MS" w:cs="Vladimir Script"/>
      <w:bCs/>
      <w:color w:val="000000"/>
      <w:kern w:val="0"/>
      <w:szCs w:val="21"/>
    </w:rPr>
  </w:style>
  <w:style w:type="paragraph" w:customStyle="1" w:styleId="834">
    <w:name w:val="Char Char Char Char Char Char Char Char Char Char Char Char Char Char Char Char Char Char Char Char Char Char"/>
    <w:basedOn w:val="1"/>
    <w:autoRedefine/>
    <w:qFormat/>
    <w:uiPriority w:val="0"/>
    <w:pPr>
      <w:spacing w:after="160" w:line="240" w:lineRule="exact"/>
      <w:ind w:firstLine="560"/>
    </w:pPr>
    <w:rPr>
      <w:rFonts w:ascii="Verdana" w:hAnsi="Verdana" w:eastAsia="MS Mincho" w:cs="Verdana"/>
      <w:bCs/>
      <w:color w:val="000000"/>
      <w:kern w:val="0"/>
      <w:sz w:val="20"/>
      <w:szCs w:val="20"/>
      <w:lang w:eastAsia="en-US"/>
    </w:rPr>
  </w:style>
  <w:style w:type="paragraph" w:customStyle="1" w:styleId="835">
    <w:name w:val="样式 正文宋体小四 + 首行缩进:  2 字符"/>
    <w:basedOn w:val="1"/>
    <w:autoRedefine/>
    <w:qFormat/>
    <w:uiPriority w:val="0"/>
    <w:pPr>
      <w:spacing w:line="440" w:lineRule="exact"/>
      <w:ind w:firstLine="480"/>
    </w:pPr>
    <w:rPr>
      <w:rFonts w:ascii="Arial Unicode MS" w:hAnsi="Arial Unicode MS" w:cs="Sim Sun"/>
      <w:bCs/>
      <w:color w:val="000000"/>
      <w:kern w:val="24"/>
    </w:rPr>
  </w:style>
  <w:style w:type="paragraph" w:customStyle="1" w:styleId="836">
    <w:name w:val="Char Char1 Char"/>
    <w:basedOn w:val="1"/>
    <w:autoRedefine/>
    <w:qFormat/>
    <w:uiPriority w:val="0"/>
    <w:rPr>
      <w:rFonts w:ascii="Batang" w:hAnsi="Batang" w:cs="Batang"/>
      <w:bCs/>
      <w:color w:val="000000"/>
      <w:kern w:val="24"/>
    </w:rPr>
  </w:style>
  <w:style w:type="paragraph" w:customStyle="1" w:styleId="837">
    <w:name w:val="Char Char7 Char Char Char Char Char Char"/>
    <w:basedOn w:val="7"/>
    <w:autoRedefine/>
    <w:qFormat/>
    <w:uiPriority w:val="0"/>
    <w:pPr>
      <w:tabs>
        <w:tab w:val="left" w:pos="360"/>
        <w:tab w:val="left" w:pos="900"/>
      </w:tabs>
      <w:spacing w:before="120" w:after="120" w:line="360" w:lineRule="auto"/>
      <w:ind w:left="542" w:leftChars="-12" w:firstLine="200"/>
    </w:pPr>
    <w:rPr>
      <w:rFonts w:ascii="ˎ̥" w:hAnsi="ˎ̥" w:eastAsia="@幼圆" w:cs="ˎ̥"/>
      <w:b w:val="0"/>
      <w:snapToGrid w:val="0"/>
      <w:color w:val="000000"/>
      <w:kern w:val="24"/>
      <w:sz w:val="24"/>
      <w:szCs w:val="24"/>
    </w:rPr>
  </w:style>
  <w:style w:type="paragraph" w:customStyle="1" w:styleId="838">
    <w:name w:val="样式 正文（首行缩进两字） Char1标题4 + (符号) 宋体 小四 首行缩进:  0.85 厘米"/>
    <w:basedOn w:val="1"/>
    <w:autoRedefine/>
    <w:qFormat/>
    <w:uiPriority w:val="0"/>
    <w:pPr>
      <w:spacing w:line="440" w:lineRule="atLeast"/>
      <w:ind w:firstLine="482"/>
    </w:pPr>
    <w:rPr>
      <w:rFonts w:ascii="Arial Unicode MS" w:hAnsi="Sim Sun" w:cs="Sim Sun"/>
      <w:bCs/>
      <w:color w:val="000000"/>
      <w:kern w:val="0"/>
      <w:szCs w:val="20"/>
    </w:rPr>
  </w:style>
  <w:style w:type="paragraph" w:customStyle="1" w:styleId="839">
    <w:name w:val="Char Char Char Char Char Char Char Char Char Char Char1 Char Char Char Char"/>
    <w:basedOn w:val="1"/>
    <w:autoRedefine/>
    <w:qFormat/>
    <w:uiPriority w:val="0"/>
    <w:rPr>
      <w:rFonts w:ascii="Batang" w:hAnsi="Batang" w:cs="Batang"/>
      <w:bCs/>
      <w:color w:val="000000"/>
      <w:kern w:val="24"/>
    </w:rPr>
  </w:style>
  <w:style w:type="paragraph" w:customStyle="1" w:styleId="840">
    <w:name w:val="Identation 2"/>
    <w:autoRedefine/>
    <w:qFormat/>
    <w:uiPriority w:val="0"/>
    <w:pPr>
      <w:overflowPunct w:val="0"/>
      <w:autoSpaceDE w:val="0"/>
      <w:autoSpaceDN w:val="0"/>
      <w:adjustRightInd w:val="0"/>
      <w:spacing w:before="120" w:after="60" w:line="288" w:lineRule="auto"/>
      <w:ind w:left="432"/>
      <w:jc w:val="both"/>
      <w:textAlignment w:val="baseline"/>
    </w:pPr>
    <w:rPr>
      <w:rFonts w:ascii="Batang" w:hAnsi="Batang" w:eastAsia="ӗԲ" w:cs="Batang"/>
      <w:bCs/>
      <w:color w:val="000000"/>
      <w:sz w:val="24"/>
      <w:szCs w:val="24"/>
      <w:lang w:val="en-US" w:eastAsia="zh-CN" w:bidi="ar-SA"/>
    </w:rPr>
  </w:style>
  <w:style w:type="paragraph" w:customStyle="1" w:styleId="841">
    <w:name w:val="新标题2"/>
    <w:basedOn w:val="1"/>
    <w:autoRedefine/>
    <w:qFormat/>
    <w:uiPriority w:val="0"/>
    <w:pPr>
      <w:keepNext/>
      <w:spacing w:before="120" w:after="120" w:line="460" w:lineRule="exact"/>
      <w:outlineLvl w:val="1"/>
    </w:pPr>
    <w:rPr>
      <w:rFonts w:ascii="FLGPEK+TimesNewRoman,Italic" w:hAnsi="Batang" w:eastAsia="FLGPEK+TimesNewRoman,Italic" w:cs="Sim Sun"/>
      <w:b/>
      <w:color w:val="000000"/>
      <w:kern w:val="24"/>
      <w:lang w:val="zh-CN"/>
    </w:rPr>
  </w:style>
  <w:style w:type="paragraph" w:customStyle="1" w:styleId="842">
    <w:name w:val="Char2 Char Char Char"/>
    <w:basedOn w:val="1"/>
    <w:autoRedefine/>
    <w:semiHidden/>
    <w:qFormat/>
    <w:uiPriority w:val="0"/>
    <w:rPr>
      <w:rFonts w:eastAsia="黑体"/>
      <w:bCs/>
      <w:snapToGrid w:val="0"/>
      <w:color w:val="000000"/>
      <w:kern w:val="24"/>
    </w:rPr>
  </w:style>
  <w:style w:type="paragraph" w:customStyle="1" w:styleId="843">
    <w:name w:val="标题 2级"/>
    <w:basedOn w:val="1"/>
    <w:next w:val="1"/>
    <w:autoRedefine/>
    <w:qFormat/>
    <w:uiPriority w:val="0"/>
    <w:pPr>
      <w:spacing w:beforeLines="50" w:afterLines="50"/>
      <w:outlineLvl w:val="1"/>
    </w:pPr>
    <w:rPr>
      <w:rFonts w:ascii="ˎ̥" w:hAnsi="ˎ̥" w:eastAsia="FLGPEK+TimesNewRoman,Italic" w:cs="ˎ̥"/>
      <w:b/>
      <w:bCs/>
      <w:color w:val="000000"/>
      <w:kern w:val="24"/>
      <w:sz w:val="28"/>
    </w:rPr>
  </w:style>
  <w:style w:type="paragraph" w:customStyle="1" w:styleId="844">
    <w:name w:val="WW-表格1"/>
    <w:basedOn w:val="1"/>
    <w:autoRedefine/>
    <w:qFormat/>
    <w:uiPriority w:val="0"/>
    <w:pPr>
      <w:suppressAutoHyphens/>
      <w:spacing w:before="20" w:after="20"/>
      <w:jc w:val="center"/>
    </w:pPr>
    <w:rPr>
      <w:bCs/>
      <w:color w:val="000000"/>
      <w:kern w:val="1"/>
      <w:szCs w:val="20"/>
      <w:lang w:eastAsia="ar-SA"/>
    </w:rPr>
  </w:style>
  <w:style w:type="paragraph" w:customStyle="1" w:styleId="845">
    <w:name w:val="编号圆圈数字"/>
    <w:basedOn w:val="1"/>
    <w:autoRedefine/>
    <w:qFormat/>
    <w:uiPriority w:val="0"/>
    <w:pPr>
      <w:tabs>
        <w:tab w:val="left" w:pos="597"/>
      </w:tabs>
      <w:ind w:left="140" w:firstLine="480"/>
    </w:pPr>
    <w:rPr>
      <w:bCs/>
      <w:color w:val="000000"/>
      <w:kern w:val="24"/>
    </w:rPr>
  </w:style>
  <w:style w:type="paragraph" w:customStyle="1" w:styleId="846">
    <w:name w:val="4标题(治)"/>
    <w:basedOn w:val="1"/>
    <w:next w:val="1"/>
    <w:autoRedefine/>
    <w:qFormat/>
    <w:uiPriority w:val="0"/>
    <w:pPr>
      <w:textAlignment w:val="baseline"/>
      <w:outlineLvl w:val="3"/>
    </w:pPr>
    <w:rPr>
      <w:rFonts w:eastAsia="黑体"/>
      <w:b/>
      <w:color w:val="000000"/>
      <w:kern w:val="0"/>
      <w:sz w:val="28"/>
      <w:szCs w:val="20"/>
    </w:rPr>
  </w:style>
  <w:style w:type="paragraph" w:customStyle="1" w:styleId="847">
    <w:name w:val="条(二级)"/>
    <w:basedOn w:val="6"/>
    <w:next w:val="848"/>
    <w:autoRedefine/>
    <w:qFormat/>
    <w:uiPriority w:val="0"/>
    <w:pPr>
      <w:spacing w:before="0" w:after="0" w:line="460" w:lineRule="exact"/>
      <w:ind w:firstLine="200"/>
      <w:textAlignment w:val="baseline"/>
      <w:outlineLvl w:val="9"/>
    </w:pPr>
    <w:rPr>
      <w:rFonts w:ascii="Sim Sun" w:hAnsi="ˎ̥" w:eastAsia="宋体-方正超大字符集" w:cs="Vladimir Script"/>
      <w:color w:val="000000"/>
      <w:spacing w:val="3"/>
      <w:kern w:val="24"/>
      <w:sz w:val="24"/>
      <w:szCs w:val="20"/>
    </w:rPr>
  </w:style>
  <w:style w:type="paragraph" w:customStyle="1" w:styleId="848">
    <w:name w:val="条(三级)"/>
    <w:basedOn w:val="847"/>
    <w:next w:val="1"/>
    <w:autoRedefine/>
    <w:qFormat/>
    <w:uiPriority w:val="0"/>
    <w:rPr>
      <w:b w:val="0"/>
    </w:rPr>
  </w:style>
  <w:style w:type="paragraph" w:customStyle="1" w:styleId="849">
    <w:name w:val="样式 正文首行缩进 + 首行缩进:  2 字符1"/>
    <w:basedOn w:val="259"/>
    <w:autoRedefine/>
    <w:qFormat/>
    <w:uiPriority w:val="0"/>
    <w:pPr>
      <w:spacing w:after="0" w:line="360" w:lineRule="auto"/>
      <w:ind w:firstLine="480" w:firstLineChars="200"/>
    </w:pPr>
    <w:rPr>
      <w:lang w:val="zh-CN"/>
    </w:rPr>
  </w:style>
  <w:style w:type="paragraph" w:customStyle="1" w:styleId="850">
    <w:name w:val="样式 生物附录 + 小四 段前: 6 磅 段后: 6 磅 非加宽量 / 紧缩量  行距: 1.5 倍行距1"/>
    <w:basedOn w:val="1"/>
    <w:autoRedefine/>
    <w:qFormat/>
    <w:uiPriority w:val="0"/>
    <w:pPr>
      <w:spacing w:before="120" w:after="120"/>
    </w:pPr>
    <w:rPr>
      <w:b/>
      <w:color w:val="000000"/>
      <w:kern w:val="24"/>
      <w:szCs w:val="20"/>
    </w:rPr>
  </w:style>
  <w:style w:type="paragraph" w:customStyle="1" w:styleId="851">
    <w:name w:val="样式 标题 2标题2二级 标题 2H2h2第一层条标题 2 Char节标题节11 Char标题 2 Cha...2"/>
    <w:basedOn w:val="6"/>
    <w:autoRedefine/>
    <w:qFormat/>
    <w:uiPriority w:val="0"/>
    <w:pPr>
      <w:keepNext w:val="0"/>
      <w:keepLines w:val="0"/>
      <w:spacing w:before="240" w:after="240" w:line="360" w:lineRule="exact"/>
      <w:ind w:left="578" w:hanging="578"/>
      <w:textAlignment w:val="baseline"/>
    </w:pPr>
    <w:rPr>
      <w:rFonts w:ascii="Arial Unicode MS" w:hAnsi="Arial Unicode MS" w:eastAsia="Garamond" w:cs="Vladimir Script"/>
      <w:color w:val="000000"/>
      <w:kern w:val="0"/>
      <w:sz w:val="24"/>
      <w:szCs w:val="20"/>
    </w:rPr>
  </w:style>
  <w:style w:type="paragraph" w:customStyle="1" w:styleId="852">
    <w:name w:val="样式 标题 1 + 首行缩进:  2 字符 段前: 12 磅 段后: 12 磅 行距: 最小值 24 磅"/>
    <w:basedOn w:val="5"/>
    <w:autoRedefine/>
    <w:qFormat/>
    <w:uiPriority w:val="0"/>
    <w:pPr>
      <w:keepLines/>
      <w:overflowPunct/>
      <w:spacing w:before="240" w:after="240" w:line="480" w:lineRule="atLeast"/>
      <w:ind w:left="0" w:firstLine="0"/>
    </w:pPr>
    <w:rPr>
      <w:rFonts w:eastAsia="宋体"/>
      <w:sz w:val="36"/>
      <w:szCs w:val="20"/>
    </w:rPr>
  </w:style>
  <w:style w:type="paragraph" w:customStyle="1" w:styleId="853">
    <w:name w:val="纯文本11"/>
    <w:basedOn w:val="1"/>
    <w:autoRedefine/>
    <w:qFormat/>
    <w:uiPriority w:val="0"/>
    <w:pPr>
      <w:spacing w:line="440" w:lineRule="exact"/>
      <w:ind w:firstLine="200"/>
      <w:textAlignment w:val="baseline"/>
    </w:pPr>
    <w:rPr>
      <w:rFonts w:ascii="Sim Sun" w:hAnsi="DFKai-SB" w:cs="Vladimir Script"/>
      <w:bCs/>
      <w:color w:val="000000"/>
      <w:kern w:val="24"/>
      <w:szCs w:val="20"/>
    </w:rPr>
  </w:style>
  <w:style w:type="paragraph" w:customStyle="1" w:styleId="854">
    <w:name w:val="Char6 Char Char Char Char Char Char Char Char Char1"/>
    <w:basedOn w:val="1"/>
    <w:autoRedefine/>
    <w:qFormat/>
    <w:uiPriority w:val="0"/>
    <w:pPr>
      <w:spacing w:line="440" w:lineRule="exact"/>
      <w:ind w:firstLine="200"/>
    </w:pPr>
    <w:rPr>
      <w:rFonts w:ascii="Sim Sun" w:hAnsi="Sim Sun" w:cs="Vladimir Script"/>
      <w:bCs/>
      <w:color w:val="000000"/>
      <w:kern w:val="24"/>
      <w:sz w:val="28"/>
      <w:szCs w:val="20"/>
    </w:rPr>
  </w:style>
  <w:style w:type="paragraph" w:customStyle="1" w:styleId="855">
    <w:name w:val="我的样式（正文）"/>
    <w:basedOn w:val="1"/>
    <w:autoRedefine/>
    <w:qFormat/>
    <w:uiPriority w:val="0"/>
    <w:pPr>
      <w:spacing w:line="440" w:lineRule="exact"/>
    </w:pPr>
    <w:rPr>
      <w:rFonts w:ascii="宋体"/>
      <w:bCs/>
      <w:color w:val="000000"/>
      <w:kern w:val="24"/>
      <w:sz w:val="28"/>
      <w:szCs w:val="20"/>
    </w:rPr>
  </w:style>
  <w:style w:type="paragraph" w:customStyle="1" w:styleId="856">
    <w:name w:val="基准页眉样式"/>
    <w:basedOn w:val="30"/>
    <w:autoRedefine/>
    <w:qFormat/>
    <w:uiPriority w:val="0"/>
    <w:pPr>
      <w:keepLines/>
      <w:tabs>
        <w:tab w:val="center" w:pos="-18551"/>
        <w:tab w:val="right" w:pos="4320"/>
      </w:tabs>
      <w:snapToGrid/>
      <w:spacing w:before="0" w:after="0" w:line="240" w:lineRule="atLeast"/>
      <w:ind w:right="0"/>
      <w:jc w:val="center"/>
    </w:pPr>
    <w:rPr>
      <w:rFonts w:ascii="Garamond" w:hAnsi="Garamond"/>
      <w:bCs/>
      <w:smallCaps/>
      <w:color w:val="000000"/>
      <w:spacing w:val="15"/>
      <w:sz w:val="21"/>
    </w:rPr>
  </w:style>
  <w:style w:type="paragraph" w:customStyle="1" w:styleId="857">
    <w:name w:val="表格式样新"/>
    <w:basedOn w:val="1"/>
    <w:autoRedefine/>
    <w:qFormat/>
    <w:uiPriority w:val="0"/>
    <w:pPr>
      <w:spacing w:line="360" w:lineRule="exact"/>
      <w:ind w:left="-15" w:leftChars="-51" w:hanging="107" w:hangingChars="51"/>
      <w:jc w:val="center"/>
    </w:pPr>
    <w:rPr>
      <w:rFonts w:ascii="Garamond" w:hAnsi="Arial Unicode MS" w:eastAsia="Garamond" w:cs="Vladimir Script"/>
      <w:bCs/>
      <w:color w:val="000000"/>
      <w:kern w:val="24"/>
      <w:szCs w:val="20"/>
    </w:rPr>
  </w:style>
  <w:style w:type="paragraph" w:customStyle="1" w:styleId="858">
    <w:name w:val="方框"/>
    <w:basedOn w:val="1"/>
    <w:autoRedefine/>
    <w:qFormat/>
    <w:uiPriority w:val="0"/>
    <w:pPr>
      <w:spacing w:line="240" w:lineRule="atLeast"/>
    </w:pPr>
    <w:rPr>
      <w:rFonts w:ascii="Sim Sun" w:hAnsi="Batang" w:cs="Batang"/>
      <w:bCs/>
      <w:color w:val="000000"/>
      <w:kern w:val="0"/>
      <w:szCs w:val="20"/>
    </w:rPr>
  </w:style>
  <w:style w:type="paragraph" w:customStyle="1" w:styleId="859">
    <w:name w:val="lou"/>
    <w:basedOn w:val="1"/>
    <w:autoRedefine/>
    <w:qFormat/>
    <w:uiPriority w:val="0"/>
    <w:pPr>
      <w:spacing w:before="100" w:beforeAutospacing="1" w:after="100" w:afterAutospacing="1" w:line="440" w:lineRule="exact"/>
      <w:ind w:firstLine="200"/>
    </w:pPr>
    <w:rPr>
      <w:rFonts w:ascii="Sim Sun" w:hAnsi="Sim Sun" w:cs="Sim Sun"/>
      <w:bCs/>
      <w:color w:val="000000"/>
      <w:kern w:val="0"/>
    </w:rPr>
  </w:style>
  <w:style w:type="paragraph" w:customStyle="1" w:styleId="860">
    <w:name w:val="main"/>
    <w:basedOn w:val="1"/>
    <w:autoRedefine/>
    <w:qFormat/>
    <w:uiPriority w:val="0"/>
    <w:pPr>
      <w:spacing w:before="100" w:beforeAutospacing="1" w:after="100" w:afterAutospacing="1"/>
      <w:ind w:firstLine="400"/>
    </w:pPr>
    <w:rPr>
      <w:rFonts w:eastAsia="Arial Unicode MS" w:cs="Arial Unicode MS"/>
      <w:bCs/>
      <w:color w:val="0033CC"/>
      <w:kern w:val="0"/>
      <w:sz w:val="18"/>
      <w:szCs w:val="18"/>
    </w:rPr>
  </w:style>
  <w:style w:type="paragraph" w:customStyle="1" w:styleId="861">
    <w:name w:val="xl55"/>
    <w:basedOn w:val="1"/>
    <w:autoRedefine/>
    <w:qFormat/>
    <w:uiPriority w:val="0"/>
    <w:pPr>
      <w:pBdr>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862">
    <w:name w:val="列表接续 41"/>
    <w:basedOn w:val="1"/>
    <w:autoRedefine/>
    <w:qFormat/>
    <w:uiPriority w:val="0"/>
    <w:pPr>
      <w:spacing w:after="120"/>
      <w:ind w:left="1680" w:leftChars="800"/>
    </w:pPr>
    <w:rPr>
      <w:rFonts w:ascii="Arial Unicode MS" w:hAnsi="Arial Unicode MS" w:cs="Vladimir Script"/>
      <w:bCs/>
      <w:color w:val="000000"/>
      <w:kern w:val="24"/>
    </w:rPr>
  </w:style>
  <w:style w:type="paragraph" w:customStyle="1" w:styleId="863">
    <w:name w:val="样式 首行缩进:  2 字符18"/>
    <w:basedOn w:val="1"/>
    <w:autoRedefine/>
    <w:qFormat/>
    <w:uiPriority w:val="0"/>
    <w:pPr>
      <w:spacing w:line="520" w:lineRule="exact"/>
      <w:ind w:firstLine="560"/>
    </w:pPr>
    <w:rPr>
      <w:bCs/>
      <w:color w:val="000000"/>
      <w:kern w:val="24"/>
    </w:rPr>
  </w:style>
  <w:style w:type="paragraph" w:customStyle="1" w:styleId="864">
    <w:name w:val="Char Char Char Char Char Char Char Char Char"/>
    <w:basedOn w:val="1"/>
    <w:autoRedefine/>
    <w:qFormat/>
    <w:uiPriority w:val="0"/>
    <w:rPr>
      <w:bCs/>
      <w:color w:val="000000"/>
      <w:kern w:val="24"/>
      <w:szCs w:val="20"/>
    </w:rPr>
  </w:style>
  <w:style w:type="paragraph" w:customStyle="1" w:styleId="865">
    <w:name w:val="样式 Arial 行距: 多倍行距 1.45 字行"/>
    <w:basedOn w:val="1"/>
    <w:autoRedefine/>
    <w:qFormat/>
    <w:uiPriority w:val="0"/>
    <w:pPr>
      <w:spacing w:line="440" w:lineRule="exact"/>
      <w:ind w:firstLine="480"/>
    </w:pPr>
    <w:rPr>
      <w:rFonts w:ascii="宋体" w:hAnsi="宋体" w:cs="宋体"/>
      <w:bCs/>
      <w:color w:val="000000"/>
      <w:kern w:val="0"/>
    </w:rPr>
  </w:style>
  <w:style w:type="paragraph" w:customStyle="1" w:styleId="866">
    <w:name w:val="默认段落字体 Para Char Char Char Char Char Char Char Char Char Char"/>
    <w:basedOn w:val="7"/>
    <w:autoRedefine/>
    <w:qFormat/>
    <w:uiPriority w:val="0"/>
    <w:pPr>
      <w:tabs>
        <w:tab w:val="left" w:pos="360"/>
        <w:tab w:val="left" w:pos="900"/>
      </w:tabs>
      <w:spacing w:before="120" w:after="120" w:line="360" w:lineRule="auto"/>
      <w:ind w:left="542" w:leftChars="-12" w:firstLine="200"/>
    </w:pPr>
    <w:rPr>
      <w:rFonts w:eastAsia="黑体"/>
      <w:b w:val="0"/>
      <w:snapToGrid w:val="0"/>
      <w:color w:val="000000"/>
      <w:kern w:val="24"/>
      <w:sz w:val="24"/>
      <w:szCs w:val="24"/>
    </w:rPr>
  </w:style>
  <w:style w:type="paragraph" w:customStyle="1" w:styleId="867">
    <w:name w:val="xl78"/>
    <w:basedOn w:val="1"/>
    <w:autoRedefine/>
    <w:qFormat/>
    <w:uiPriority w:val="0"/>
    <w:pPr>
      <w:pBdr>
        <w:left w:val="single" w:color="auto" w:sz="4" w:space="0"/>
        <w:bottom w:val="single" w:color="auto" w:sz="8" w:space="0"/>
      </w:pBdr>
      <w:spacing w:before="100" w:after="100"/>
      <w:jc w:val="center"/>
      <w:textAlignment w:val="center"/>
    </w:pPr>
    <w:rPr>
      <w:rFonts w:ascii="Batang" w:hAnsi="Batang" w:cs="Batang"/>
      <w:bCs/>
      <w:color w:val="000000"/>
      <w:kern w:val="0"/>
    </w:rPr>
  </w:style>
  <w:style w:type="paragraph" w:customStyle="1" w:styleId="868">
    <w:name w:val="样式001"/>
    <w:basedOn w:val="5"/>
    <w:autoRedefine/>
    <w:qFormat/>
    <w:uiPriority w:val="0"/>
    <w:pPr>
      <w:keepLines/>
      <w:overflowPunct/>
      <w:snapToGrid/>
      <w:spacing w:after="0" w:line="360" w:lineRule="auto"/>
      <w:ind w:left="0" w:firstLine="0"/>
    </w:pPr>
    <w:rPr>
      <w:rFonts w:ascii="Batang" w:hAnsi="Batang" w:eastAsia="FLGPEK+TimesNewRoman,Italic" w:cs="Batang"/>
      <w:spacing w:val="16"/>
      <w:sz w:val="28"/>
      <w:szCs w:val="28"/>
    </w:rPr>
  </w:style>
  <w:style w:type="paragraph" w:customStyle="1" w:styleId="869">
    <w:name w:val="3标题(治)"/>
    <w:basedOn w:val="7"/>
    <w:autoRedefine/>
    <w:qFormat/>
    <w:uiPriority w:val="0"/>
    <w:pPr>
      <w:tabs>
        <w:tab w:val="left" w:pos="1260"/>
        <w:tab w:val="left" w:pos="1800"/>
      </w:tabs>
      <w:spacing w:before="0" w:after="0" w:line="360" w:lineRule="auto"/>
      <w:textAlignment w:val="baseline"/>
    </w:pPr>
    <w:rPr>
      <w:rFonts w:eastAsia="黑体"/>
      <w:color w:val="000000"/>
      <w:kern w:val="0"/>
      <w:sz w:val="28"/>
      <w:szCs w:val="20"/>
    </w:rPr>
  </w:style>
  <w:style w:type="paragraph" w:customStyle="1" w:styleId="870">
    <w:name w:val="图"/>
    <w:basedOn w:val="459"/>
    <w:autoRedefine/>
    <w:qFormat/>
    <w:uiPriority w:val="0"/>
    <w:pPr>
      <w:spacing w:line="240" w:lineRule="auto"/>
    </w:pPr>
  </w:style>
  <w:style w:type="paragraph" w:customStyle="1" w:styleId="871">
    <w:name w:val="样式"/>
    <w:basedOn w:val="1"/>
    <w:next w:val="31"/>
    <w:autoRedefine/>
    <w:qFormat/>
    <w:uiPriority w:val="0"/>
    <w:pPr>
      <w:ind w:firstLine="480"/>
      <w:textAlignment w:val="baseline"/>
    </w:pPr>
    <w:rPr>
      <w:rFonts w:ascii="宋体"/>
      <w:bCs/>
      <w:color w:val="000000"/>
      <w:kern w:val="0"/>
    </w:rPr>
  </w:style>
  <w:style w:type="paragraph" w:customStyle="1" w:styleId="872">
    <w:name w:val="4级样式"/>
    <w:basedOn w:val="8"/>
    <w:autoRedefine/>
    <w:qFormat/>
    <w:uiPriority w:val="0"/>
    <w:pPr>
      <w:tabs>
        <w:tab w:val="left" w:pos="425"/>
      </w:tabs>
      <w:spacing w:before="120" w:after="120" w:line="360" w:lineRule="auto"/>
      <w:ind w:left="425" w:hanging="425"/>
    </w:pPr>
    <w:rPr>
      <w:rFonts w:ascii="Arial Unicode MS" w:hAnsi="Arial Unicode MS" w:eastAsia="仿宋体" w:cs="Sim Sun"/>
      <w:b w:val="0"/>
      <w:color w:val="000000"/>
      <w:kern w:val="24"/>
      <w:sz w:val="24"/>
      <w:szCs w:val="24"/>
    </w:rPr>
  </w:style>
  <w:style w:type="paragraph" w:customStyle="1" w:styleId="873">
    <w:name w:val="条题"/>
    <w:basedOn w:val="1"/>
    <w:autoRedefine/>
    <w:qFormat/>
    <w:uiPriority w:val="0"/>
    <w:pPr>
      <w:tabs>
        <w:tab w:val="left" w:pos="1640"/>
      </w:tabs>
      <w:spacing w:beforeLines="50" w:line="480" w:lineRule="exact"/>
    </w:pPr>
    <w:rPr>
      <w:bCs/>
      <w:color w:val="000000"/>
      <w:kern w:val="24"/>
    </w:rPr>
  </w:style>
  <w:style w:type="paragraph" w:customStyle="1" w:styleId="874">
    <w:name w:val="xl49"/>
    <w:basedOn w:val="1"/>
    <w:autoRedefine/>
    <w:qFormat/>
    <w:uiPriority w:val="0"/>
    <w:pPr>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875">
    <w:name w:val="xl389"/>
    <w:basedOn w:val="1"/>
    <w:autoRedefine/>
    <w:qFormat/>
    <w:uiPriority w:val="0"/>
    <w:pPr>
      <w:pBdr>
        <w:left w:val="single" w:color="auto" w:sz="4" w:space="0"/>
        <w:bottom w:val="single" w:color="auto" w:sz="4" w:space="0"/>
      </w:pBdr>
      <w:spacing w:before="100" w:after="100" w:line="440" w:lineRule="exact"/>
      <w:ind w:firstLine="200"/>
      <w:jc w:val="center"/>
      <w:textAlignment w:val="center"/>
    </w:pPr>
    <w:rPr>
      <w:rFonts w:hint="eastAsia" w:ascii="Sim Sun" w:hAnsi="Sim Sun" w:cs="Vladimir Script"/>
      <w:bCs/>
      <w:color w:val="000000"/>
      <w:kern w:val="0"/>
      <w:szCs w:val="20"/>
    </w:rPr>
  </w:style>
  <w:style w:type="paragraph" w:customStyle="1" w:styleId="876">
    <w:name w:val="生物中文类名"/>
    <w:basedOn w:val="1"/>
    <w:autoRedefine/>
    <w:qFormat/>
    <w:uiPriority w:val="0"/>
    <w:pPr>
      <w:tabs>
        <w:tab w:val="left" w:pos="-120"/>
      </w:tabs>
      <w:overflowPunct w:val="0"/>
      <w:topLinePunct/>
      <w:spacing w:before="60" w:afterLines="50" w:line="310" w:lineRule="atLeast"/>
      <w:ind w:firstLine="454"/>
    </w:pPr>
    <w:rPr>
      <w:b/>
      <w:bCs/>
      <w:color w:val="000000"/>
      <w:spacing w:val="20"/>
      <w:kern w:val="24"/>
      <w:szCs w:val="20"/>
    </w:rPr>
  </w:style>
  <w:style w:type="paragraph" w:customStyle="1" w:styleId="877">
    <w:name w:val="样式 红色 首行缩进:  2 字符"/>
    <w:basedOn w:val="1"/>
    <w:autoRedefine/>
    <w:qFormat/>
    <w:uiPriority w:val="0"/>
    <w:pPr>
      <w:spacing w:line="480" w:lineRule="exact"/>
      <w:ind w:firstLine="480"/>
    </w:pPr>
    <w:rPr>
      <w:rFonts w:cs="宋体"/>
      <w:bCs/>
      <w:color w:val="FF0000"/>
      <w:kern w:val="24"/>
      <w:szCs w:val="20"/>
    </w:rPr>
  </w:style>
  <w:style w:type="paragraph" w:customStyle="1" w:styleId="878">
    <w:name w:val="样2"/>
    <w:basedOn w:val="1"/>
    <w:next w:val="1"/>
    <w:autoRedefine/>
    <w:qFormat/>
    <w:uiPriority w:val="0"/>
    <w:pPr>
      <w:jc w:val="center"/>
      <w:textAlignment w:val="baseline"/>
    </w:pPr>
    <w:rPr>
      <w:rFonts w:ascii="Batang" w:hAnsi="Batang" w:cs="Batang"/>
      <w:bCs/>
      <w:color w:val="000000"/>
      <w:kern w:val="0"/>
      <w:szCs w:val="20"/>
    </w:rPr>
  </w:style>
  <w:style w:type="paragraph" w:customStyle="1" w:styleId="879">
    <w:name w:val="王正文"/>
    <w:basedOn w:val="1"/>
    <w:autoRedefine/>
    <w:qFormat/>
    <w:uiPriority w:val="0"/>
    <w:pPr>
      <w:spacing w:line="560" w:lineRule="exact"/>
      <w:ind w:firstLine="200"/>
    </w:pPr>
    <w:rPr>
      <w:rFonts w:ascii="Batang" w:hAnsi="Batang" w:cs="Batang"/>
      <w:bCs/>
      <w:color w:val="000000"/>
      <w:kern w:val="24"/>
    </w:rPr>
  </w:style>
  <w:style w:type="paragraph" w:customStyle="1" w:styleId="880">
    <w:name w:val="xl23"/>
    <w:basedOn w:val="1"/>
    <w:autoRedefine/>
    <w:qFormat/>
    <w:uiPriority w:val="0"/>
    <w:pPr>
      <w:pBdr>
        <w:left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881">
    <w:name w:val="reader-word-layer reader-word-s5-33"/>
    <w:basedOn w:val="1"/>
    <w:autoRedefine/>
    <w:qFormat/>
    <w:uiPriority w:val="0"/>
    <w:pPr>
      <w:spacing w:before="100" w:beforeAutospacing="1" w:after="100" w:afterAutospacing="1"/>
    </w:pPr>
    <w:rPr>
      <w:rFonts w:ascii="宋体" w:hAnsi="宋体" w:cs="宋体"/>
      <w:bCs/>
      <w:color w:val="000000"/>
      <w:kern w:val="0"/>
    </w:rPr>
  </w:style>
  <w:style w:type="paragraph" w:customStyle="1" w:styleId="882">
    <w:name w:val="样式 样式 标题 3 + 首行缩进:  2 字符 段前: 6 磅 段后: 6 磅 行距: 最小值 24 磅 + 首行缩进:  1..."/>
    <w:basedOn w:val="883"/>
    <w:autoRedefine/>
    <w:qFormat/>
    <w:uiPriority w:val="0"/>
    <w:pPr>
      <w:tabs>
        <w:tab w:val="left" w:pos="1260"/>
        <w:tab w:val="left" w:pos="1800"/>
      </w:tabs>
      <w:ind w:firstLine="280"/>
    </w:pPr>
    <w:rPr>
      <w:rFonts w:cs="宋体"/>
      <w:b/>
    </w:rPr>
  </w:style>
  <w:style w:type="paragraph" w:customStyle="1" w:styleId="883">
    <w:name w:val="样式 标题 3 + 首行缩进:  2 字符 段前: 6 磅 段后: 6 磅 行距: 最小值 24 磅"/>
    <w:basedOn w:val="7"/>
    <w:autoRedefine/>
    <w:qFormat/>
    <w:uiPriority w:val="0"/>
    <w:pPr>
      <w:tabs>
        <w:tab w:val="left" w:pos="1260"/>
        <w:tab w:val="left" w:pos="1800"/>
      </w:tabs>
      <w:spacing w:beforeLines="50" w:afterLines="50" w:line="240" w:lineRule="auto"/>
      <w:ind w:firstLine="100" w:firstLineChars="100"/>
      <w:textAlignment w:val="baseline"/>
    </w:pPr>
    <w:rPr>
      <w:rFonts w:ascii="宋体" w:hAnsi="宋体"/>
      <w:b w:val="0"/>
      <w:bCs w:val="0"/>
      <w:color w:val="000000"/>
      <w:kern w:val="24"/>
      <w:sz w:val="28"/>
      <w:szCs w:val="28"/>
    </w:rPr>
  </w:style>
  <w:style w:type="paragraph" w:customStyle="1" w:styleId="884">
    <w:name w:val="WW-正文缩进"/>
    <w:basedOn w:val="1"/>
    <w:autoRedefine/>
    <w:qFormat/>
    <w:uiPriority w:val="0"/>
    <w:pPr>
      <w:suppressAutoHyphens/>
      <w:spacing w:line="480" w:lineRule="exact"/>
      <w:ind w:firstLine="595"/>
      <w:textAlignment w:val="baseline"/>
    </w:pPr>
    <w:rPr>
      <w:bCs/>
      <w:color w:val="000000"/>
      <w:kern w:val="1"/>
      <w:szCs w:val="20"/>
      <w:lang w:eastAsia="ar-SA"/>
    </w:rPr>
  </w:style>
  <w:style w:type="paragraph" w:customStyle="1" w:styleId="885">
    <w:name w:val="节"/>
    <w:basedOn w:val="1"/>
    <w:autoRedefine/>
    <w:qFormat/>
    <w:uiPriority w:val="0"/>
    <w:pPr>
      <w:tabs>
        <w:tab w:val="left" w:pos="2736"/>
      </w:tabs>
      <w:spacing w:before="50" w:after="50"/>
      <w:ind w:left="2736" w:hanging="732"/>
      <w:jc w:val="center"/>
    </w:pPr>
    <w:rPr>
      <w:rFonts w:ascii="Batang" w:hAnsi="Batang" w:cs="Batang"/>
      <w:b/>
      <w:bCs/>
      <w:color w:val="000000"/>
      <w:kern w:val="24"/>
      <w:sz w:val="30"/>
      <w:szCs w:val="20"/>
    </w:rPr>
  </w:style>
  <w:style w:type="paragraph" w:customStyle="1" w:styleId="886">
    <w:name w:val="表名称"/>
    <w:basedOn w:val="1"/>
    <w:autoRedefine/>
    <w:qFormat/>
    <w:uiPriority w:val="0"/>
    <w:pPr>
      <w:tabs>
        <w:tab w:val="left" w:pos="-120"/>
      </w:tabs>
      <w:overflowPunct w:val="0"/>
      <w:topLinePunct/>
      <w:spacing w:after="240"/>
      <w:jc w:val="center"/>
      <w:textAlignment w:val="baseline"/>
    </w:pPr>
    <w:rPr>
      <w:color w:val="000000"/>
      <w:spacing w:val="16"/>
      <w:kern w:val="0"/>
      <w:szCs w:val="20"/>
    </w:rPr>
  </w:style>
  <w:style w:type="paragraph" w:customStyle="1" w:styleId="887">
    <w:name w:val="Char Char Char1 Char2"/>
    <w:basedOn w:val="1"/>
    <w:autoRedefine/>
    <w:qFormat/>
    <w:uiPriority w:val="0"/>
    <w:rPr>
      <w:bCs/>
      <w:color w:val="000000"/>
      <w:kern w:val="24"/>
      <w:szCs w:val="20"/>
    </w:rPr>
  </w:style>
  <w:style w:type="paragraph" w:customStyle="1" w:styleId="888">
    <w:name w:val="样式 标题 2 +"/>
    <w:basedOn w:val="6"/>
    <w:autoRedefine/>
    <w:qFormat/>
    <w:uiPriority w:val="0"/>
    <w:pPr>
      <w:tabs>
        <w:tab w:val="left" w:pos="360"/>
      </w:tabs>
      <w:spacing w:before="60" w:after="60" w:line="480" w:lineRule="exact"/>
      <w:ind w:left="-567" w:firstLine="567"/>
    </w:pPr>
    <w:rPr>
      <w:rFonts w:ascii="Times New Roman" w:hAnsi="Times New Roman"/>
      <w:b w:val="0"/>
      <w:bCs w:val="0"/>
      <w:color w:val="000000"/>
      <w:kern w:val="0"/>
    </w:rPr>
  </w:style>
  <w:style w:type="paragraph" w:customStyle="1" w:styleId="889">
    <w:name w:val="二 Char"/>
    <w:basedOn w:val="1"/>
    <w:autoRedefine/>
    <w:qFormat/>
    <w:uiPriority w:val="0"/>
    <w:rPr>
      <w:rFonts w:ascii="FLGPEK+TimesNewRoman,Italic" w:hAnsi="Batang" w:eastAsia="FLGPEK+TimesNewRoman,Italic" w:cs="Batang"/>
      <w:b/>
      <w:bCs/>
      <w:color w:val="000000"/>
      <w:kern w:val="24"/>
      <w:szCs w:val="20"/>
    </w:rPr>
  </w:style>
  <w:style w:type="paragraph" w:customStyle="1" w:styleId="890">
    <w:name w:val="样式 行距: 1.5 倍行距"/>
    <w:basedOn w:val="1"/>
    <w:autoRedefine/>
    <w:qFormat/>
    <w:uiPriority w:val="0"/>
    <w:pPr>
      <w:spacing w:line="480" w:lineRule="exact"/>
      <w:ind w:firstLine="200"/>
    </w:pPr>
    <w:rPr>
      <w:bCs/>
      <w:color w:val="000000"/>
      <w:kern w:val="24"/>
      <w:szCs w:val="20"/>
    </w:rPr>
  </w:style>
  <w:style w:type="paragraph" w:customStyle="1" w:styleId="891">
    <w:name w:val="Personal Info"/>
    <w:basedOn w:val="801"/>
    <w:autoRedefine/>
    <w:qFormat/>
    <w:uiPriority w:val="0"/>
    <w:pPr>
      <w:tabs>
        <w:tab w:val="left" w:pos="425"/>
        <w:tab w:val="clear" w:pos="960"/>
      </w:tabs>
      <w:spacing w:before="220"/>
      <w:ind w:left="425" w:hanging="425"/>
    </w:pPr>
    <w:rPr>
      <w:szCs w:val="20"/>
    </w:rPr>
  </w:style>
  <w:style w:type="paragraph" w:customStyle="1" w:styleId="892">
    <w:name w:val="1标题2级"/>
    <w:basedOn w:val="1"/>
    <w:autoRedefine/>
    <w:qFormat/>
    <w:uiPriority w:val="0"/>
    <w:pPr>
      <w:keepNext/>
      <w:spacing w:beforeLines="50" w:afterLines="50"/>
      <w:outlineLvl w:val="1"/>
    </w:pPr>
    <w:rPr>
      <w:rFonts w:eastAsia="黑体"/>
      <w:b/>
      <w:bCs/>
      <w:color w:val="000000"/>
      <w:kern w:val="24"/>
      <w:sz w:val="28"/>
      <w:szCs w:val="20"/>
    </w:rPr>
  </w:style>
  <w:style w:type="paragraph" w:customStyle="1" w:styleId="893">
    <w:name w:val="标题3"/>
    <w:basedOn w:val="7"/>
    <w:autoRedefine/>
    <w:qFormat/>
    <w:uiPriority w:val="0"/>
    <w:pPr>
      <w:tabs>
        <w:tab w:val="left" w:pos="1260"/>
        <w:tab w:val="left" w:pos="1800"/>
      </w:tabs>
      <w:spacing w:before="0" w:after="0" w:line="360" w:lineRule="auto"/>
      <w:textAlignment w:val="baseline"/>
    </w:pPr>
    <w:rPr>
      <w:rFonts w:ascii="黑体" w:eastAsia="黑体"/>
      <w:b w:val="0"/>
      <w:bCs w:val="0"/>
      <w:color w:val="000000"/>
      <w:kern w:val="0"/>
      <w:sz w:val="24"/>
      <w:szCs w:val="20"/>
    </w:rPr>
  </w:style>
  <w:style w:type="paragraph" w:customStyle="1" w:styleId="894">
    <w:name w:val="样式 标题 3标题 3 Char + 黑色 行距: 固定值 26 磅"/>
    <w:basedOn w:val="7"/>
    <w:autoRedefine/>
    <w:qFormat/>
    <w:uiPriority w:val="0"/>
    <w:pPr>
      <w:tabs>
        <w:tab w:val="left" w:pos="720"/>
        <w:tab w:val="left" w:pos="900"/>
        <w:tab w:val="left" w:pos="1260"/>
        <w:tab w:val="left" w:pos="1800"/>
      </w:tabs>
      <w:spacing w:beforeLines="100" w:afterLines="100" w:line="520" w:lineRule="exact"/>
      <w:ind w:left="1042" w:hanging="1042"/>
      <w:textAlignment w:val="baseline"/>
    </w:pPr>
    <w:rPr>
      <w:rFonts w:ascii="宋体" w:hAnsi="宋体" w:cs="宋体"/>
      <w:b w:val="0"/>
      <w:bCs w:val="0"/>
      <w:color w:val="000000"/>
      <w:kern w:val="24"/>
      <w:sz w:val="30"/>
      <w:szCs w:val="20"/>
    </w:rPr>
  </w:style>
  <w:style w:type="paragraph" w:customStyle="1" w:styleId="895">
    <w:name w:val="样式 标题 1标题 1 Char Char + Times New Roman 段后: 0.5 行"/>
    <w:basedOn w:val="5"/>
    <w:autoRedefine/>
    <w:qFormat/>
    <w:uiPriority w:val="0"/>
    <w:pPr>
      <w:keepLines/>
      <w:tabs>
        <w:tab w:val="left" w:pos="4500"/>
      </w:tabs>
      <w:overflowPunct/>
      <w:spacing w:before="240" w:afterLines="50" w:line="460" w:lineRule="exact"/>
      <w:ind w:left="0" w:firstLine="200"/>
      <w:textAlignment w:val="baseline"/>
    </w:pPr>
    <w:rPr>
      <w:rFonts w:ascii="Arial Unicode MS" w:hAnsi="Arial Unicode MS" w:eastAsia="Sim Sun" w:cs="Vladimir Script"/>
      <w:szCs w:val="20"/>
    </w:rPr>
  </w:style>
  <w:style w:type="paragraph" w:customStyle="1" w:styleId="896">
    <w:name w:val="索引 41"/>
    <w:basedOn w:val="1"/>
    <w:next w:val="1"/>
    <w:autoRedefine/>
    <w:qFormat/>
    <w:uiPriority w:val="0"/>
    <w:pPr>
      <w:spacing w:line="440" w:lineRule="exact"/>
      <w:ind w:left="1000" w:hanging="250"/>
    </w:pPr>
    <w:rPr>
      <w:rFonts w:ascii="ˎ̥" w:hAnsi="ˎ̥" w:eastAsia="仿宋体" w:cs="ˎ̥"/>
      <w:bCs/>
      <w:color w:val="000000"/>
      <w:spacing w:val="5"/>
      <w:kern w:val="24"/>
      <w:sz w:val="20"/>
      <w:szCs w:val="20"/>
    </w:rPr>
  </w:style>
  <w:style w:type="paragraph" w:customStyle="1" w:styleId="897">
    <w:name w:val="Char Char5 Char Char Char Char Char Char Char Char Char Char Char Char Char Char Char1 Char"/>
    <w:basedOn w:val="7"/>
    <w:autoRedefine/>
    <w:qFormat/>
    <w:uiPriority w:val="0"/>
    <w:pPr>
      <w:tabs>
        <w:tab w:val="left" w:pos="360"/>
        <w:tab w:val="left" w:pos="900"/>
      </w:tabs>
      <w:spacing w:before="120" w:after="120" w:line="360" w:lineRule="auto"/>
      <w:ind w:left="542" w:leftChars="-12" w:firstLine="200"/>
    </w:pPr>
    <w:rPr>
      <w:rFonts w:eastAsia="黑体"/>
      <w:b w:val="0"/>
      <w:snapToGrid w:val="0"/>
      <w:color w:val="000000"/>
      <w:kern w:val="24"/>
      <w:sz w:val="24"/>
      <w:szCs w:val="24"/>
    </w:rPr>
  </w:style>
  <w:style w:type="paragraph" w:customStyle="1" w:styleId="898">
    <w:name w:val="图例"/>
    <w:autoRedefine/>
    <w:qFormat/>
    <w:uiPriority w:val="0"/>
    <w:pPr>
      <w:autoSpaceDE w:val="0"/>
      <w:autoSpaceDN w:val="0"/>
      <w:adjustRightInd w:val="0"/>
      <w:jc w:val="center"/>
    </w:pPr>
    <w:rPr>
      <w:rFonts w:ascii="黑体" w:hAnsi="Arial" w:eastAsia="黑体" w:cs="Arial"/>
      <w:b/>
      <w:bCs/>
      <w:color w:val="000000"/>
      <w:spacing w:val="12"/>
      <w:sz w:val="24"/>
      <w:szCs w:val="24"/>
      <w:lang w:val="en-US" w:eastAsia="zh-CN" w:bidi="ar-SA"/>
    </w:rPr>
  </w:style>
  <w:style w:type="paragraph" w:customStyle="1" w:styleId="899">
    <w:name w:val="样式 样式 标题 3标题 3 Char + 黑色 行距: 固定值 26 磅 + 段前: 1 行 段后: 1 行"/>
    <w:basedOn w:val="894"/>
    <w:autoRedefine/>
    <w:qFormat/>
    <w:uiPriority w:val="0"/>
    <w:pPr>
      <w:spacing w:beforeLines="50" w:afterLines="50"/>
    </w:pPr>
  </w:style>
  <w:style w:type="paragraph" w:customStyle="1" w:styleId="900">
    <w:name w:val="正文表格"/>
    <w:basedOn w:val="1"/>
    <w:autoRedefine/>
    <w:semiHidden/>
    <w:qFormat/>
    <w:uiPriority w:val="0"/>
    <w:pPr>
      <w:keepNext/>
      <w:keepLines/>
      <w:tabs>
        <w:tab w:val="center" w:pos="6804"/>
      </w:tabs>
      <w:overflowPunct w:val="0"/>
      <w:spacing w:before="80"/>
      <w:jc w:val="center"/>
      <w:textAlignment w:val="bottom"/>
    </w:pPr>
    <w:rPr>
      <w:bCs/>
      <w:color w:val="000000"/>
      <w:kern w:val="0"/>
      <w:sz w:val="28"/>
      <w:szCs w:val="20"/>
    </w:rPr>
  </w:style>
  <w:style w:type="paragraph" w:customStyle="1" w:styleId="901">
    <w:name w:val="Char3"/>
    <w:basedOn w:val="1"/>
    <w:autoRedefine/>
    <w:qFormat/>
    <w:uiPriority w:val="0"/>
    <w:pPr>
      <w:spacing w:line="560" w:lineRule="exact"/>
      <w:ind w:firstLine="200"/>
    </w:pPr>
    <w:rPr>
      <w:rFonts w:ascii="Verdana" w:hAnsi="Verdana"/>
      <w:bCs/>
      <w:color w:val="000000"/>
      <w:kern w:val="0"/>
      <w:sz w:val="20"/>
      <w:szCs w:val="20"/>
      <w:lang w:eastAsia="en-US"/>
    </w:rPr>
  </w:style>
  <w:style w:type="paragraph" w:customStyle="1" w:styleId="902">
    <w:name w:val="WW-列表 2"/>
    <w:basedOn w:val="1"/>
    <w:autoRedefine/>
    <w:qFormat/>
    <w:uiPriority w:val="0"/>
    <w:pPr>
      <w:suppressAutoHyphens/>
      <w:ind w:left="840" w:hanging="420"/>
    </w:pPr>
    <w:rPr>
      <w:rFonts w:ascii="宋体" w:hAnsi="宋体"/>
      <w:bCs/>
      <w:color w:val="000000"/>
      <w:kern w:val="1"/>
      <w:szCs w:val="20"/>
      <w:lang w:eastAsia="ar-SA"/>
    </w:rPr>
  </w:style>
  <w:style w:type="paragraph" w:customStyle="1" w:styleId="903">
    <w:name w:val="样式 行距: 固定值 24 磅"/>
    <w:basedOn w:val="1"/>
    <w:autoRedefine/>
    <w:qFormat/>
    <w:uiPriority w:val="0"/>
    <w:pPr>
      <w:spacing w:line="480" w:lineRule="exact"/>
      <w:ind w:firstLine="200"/>
    </w:pPr>
    <w:rPr>
      <w:bCs/>
      <w:color w:val="000000"/>
      <w:kern w:val="24"/>
      <w:szCs w:val="20"/>
    </w:rPr>
  </w:style>
  <w:style w:type="paragraph" w:customStyle="1" w:styleId="904">
    <w:name w:val="图名"/>
    <w:basedOn w:val="1"/>
    <w:next w:val="1"/>
    <w:autoRedefine/>
    <w:qFormat/>
    <w:uiPriority w:val="0"/>
    <w:pPr>
      <w:tabs>
        <w:tab w:val="left" w:pos="360"/>
        <w:tab w:val="left" w:pos="3780"/>
        <w:tab w:val="left" w:pos="4680"/>
      </w:tabs>
      <w:jc w:val="center"/>
    </w:pPr>
    <w:rPr>
      <w:b/>
      <w:bCs/>
      <w:color w:val="000000"/>
      <w:kern w:val="24"/>
    </w:rPr>
  </w:style>
  <w:style w:type="paragraph" w:customStyle="1" w:styleId="905">
    <w:name w:val="样式 标题 3标题 3 Char Char标题 3 Char Char Char Char Char标题 3 Char C...3"/>
    <w:basedOn w:val="7"/>
    <w:autoRedefine/>
    <w:qFormat/>
    <w:uiPriority w:val="0"/>
    <w:pPr>
      <w:keepNext w:val="0"/>
      <w:keepLines w:val="0"/>
      <w:tabs>
        <w:tab w:val="left" w:pos="4500"/>
      </w:tabs>
      <w:spacing w:before="62" w:after="62" w:line="400" w:lineRule="exact"/>
      <w:ind w:firstLine="200"/>
      <w:textAlignment w:val="baseline"/>
    </w:pPr>
    <w:rPr>
      <w:rFonts w:ascii="Sim Sun" w:hAnsi="Sim Sun" w:eastAsia="宋体-方正超大字符集" w:cs="Vladimir Script"/>
      <w:bCs w:val="0"/>
      <w:color w:val="000000"/>
      <w:kern w:val="0"/>
      <w:sz w:val="30"/>
    </w:rPr>
  </w:style>
  <w:style w:type="paragraph" w:customStyle="1" w:styleId="906">
    <w:name w:val="热电厂正文"/>
    <w:basedOn w:val="1"/>
    <w:autoRedefine/>
    <w:qFormat/>
    <w:uiPriority w:val="0"/>
    <w:pPr>
      <w:spacing w:line="440" w:lineRule="exact"/>
      <w:ind w:firstLine="480"/>
    </w:pPr>
    <w:rPr>
      <w:bCs/>
      <w:color w:val="000000"/>
      <w:kern w:val="24"/>
    </w:rPr>
  </w:style>
  <w:style w:type="paragraph" w:customStyle="1" w:styleId="907">
    <w:name w:val="表格右"/>
    <w:basedOn w:val="135"/>
    <w:autoRedefine/>
    <w:qFormat/>
    <w:uiPriority w:val="0"/>
    <w:pPr>
      <w:suppressAutoHyphens/>
      <w:adjustRightInd/>
      <w:spacing w:beforeLines="0" w:afterLines="0" w:line="240" w:lineRule="auto"/>
      <w:ind w:firstLine="351" w:firstLineChars="167"/>
      <w:jc w:val="both"/>
    </w:pPr>
    <w:rPr>
      <w:rFonts w:hAnsi="宋体"/>
      <w:bCs/>
      <w:color w:val="000000"/>
      <w:kern w:val="1"/>
      <w:lang w:val="zh-CN"/>
    </w:rPr>
  </w:style>
  <w:style w:type="paragraph" w:customStyle="1" w:styleId="908">
    <w:name w:val="题目"/>
    <w:basedOn w:val="5"/>
    <w:next w:val="1"/>
    <w:autoRedefine/>
    <w:qFormat/>
    <w:uiPriority w:val="0"/>
    <w:pPr>
      <w:keepLines/>
      <w:overflowPunct/>
      <w:snapToGrid/>
      <w:spacing w:before="100" w:beforeAutospacing="1" w:after="100" w:afterAutospacing="1" w:line="240" w:lineRule="auto"/>
      <w:ind w:left="100" w:leftChars="100" w:right="100" w:rightChars="100" w:firstLine="0"/>
      <w:jc w:val="center"/>
    </w:pPr>
  </w:style>
  <w:style w:type="paragraph" w:customStyle="1" w:styleId="909">
    <w:name w:val="样式 (中文) 黑体"/>
    <w:basedOn w:val="1"/>
    <w:autoRedefine/>
    <w:qFormat/>
    <w:uiPriority w:val="0"/>
    <w:pPr>
      <w:spacing w:line="480" w:lineRule="exact"/>
      <w:ind w:firstLine="567"/>
    </w:pPr>
    <w:rPr>
      <w:rFonts w:eastAsia="黑体" w:cs="宋体"/>
      <w:bCs/>
      <w:color w:val="000000"/>
      <w:kern w:val="0"/>
      <w:szCs w:val="20"/>
    </w:rPr>
  </w:style>
  <w:style w:type="paragraph" w:customStyle="1" w:styleId="910">
    <w:name w:val="CM111"/>
    <w:basedOn w:val="53"/>
    <w:next w:val="53"/>
    <w:autoRedefine/>
    <w:qFormat/>
    <w:uiPriority w:val="0"/>
    <w:pPr>
      <w:spacing w:after="430"/>
    </w:pPr>
    <w:rPr>
      <w:rFonts w:hAnsi="Batang" w:cs="Batang"/>
      <w:color w:val="auto"/>
    </w:rPr>
  </w:style>
  <w:style w:type="paragraph" w:customStyle="1" w:styleId="911">
    <w:name w:val="正文正"/>
    <w:basedOn w:val="1"/>
    <w:autoRedefine/>
    <w:qFormat/>
    <w:uiPriority w:val="0"/>
    <w:pPr>
      <w:ind w:firstLine="567"/>
    </w:pPr>
    <w:rPr>
      <w:rFonts w:ascii="Sim Sun" w:hAnsi="Batang" w:cs="Batang"/>
      <w:color w:val="000000"/>
      <w:kern w:val="24"/>
      <w:szCs w:val="20"/>
    </w:rPr>
  </w:style>
  <w:style w:type="paragraph" w:customStyle="1" w:styleId="912">
    <w:name w:val="环评报告书"/>
    <w:basedOn w:val="8"/>
    <w:autoRedefine/>
    <w:qFormat/>
    <w:uiPriority w:val="0"/>
    <w:pPr>
      <w:tabs>
        <w:tab w:val="left" w:pos="840"/>
      </w:tabs>
      <w:spacing w:line="360" w:lineRule="auto"/>
      <w:textAlignment w:val="baseline"/>
      <w:outlineLvl w:val="9"/>
    </w:pPr>
    <w:rPr>
      <w:rFonts w:ascii="Times New Roman" w:hAnsi="Times New Roman" w:eastAsia="长城楷体"/>
      <w:b w:val="0"/>
      <w:color w:val="000000"/>
      <w:kern w:val="0"/>
      <w:szCs w:val="20"/>
    </w:rPr>
  </w:style>
  <w:style w:type="paragraph" w:customStyle="1" w:styleId="913">
    <w:name w:val="图名称"/>
    <w:basedOn w:val="1"/>
    <w:autoRedefine/>
    <w:qFormat/>
    <w:uiPriority w:val="0"/>
    <w:pPr>
      <w:tabs>
        <w:tab w:val="left" w:pos="2600"/>
        <w:tab w:val="center" w:pos="6622"/>
      </w:tabs>
      <w:spacing w:before="50" w:line="312" w:lineRule="auto"/>
      <w:ind w:firstLine="178" w:firstLineChars="74"/>
      <w:jc w:val="center"/>
    </w:pPr>
    <w:rPr>
      <w:b/>
      <w:color w:val="000000"/>
      <w:kern w:val="24"/>
    </w:rPr>
  </w:style>
  <w:style w:type="paragraph" w:customStyle="1" w:styleId="914">
    <w:name w:val="Char Char5 Char Char Char Char Char Char Char Char Char21"/>
    <w:basedOn w:val="7"/>
    <w:autoRedefine/>
    <w:qFormat/>
    <w:uiPriority w:val="0"/>
    <w:pPr>
      <w:tabs>
        <w:tab w:val="left" w:pos="360"/>
        <w:tab w:val="left" w:pos="900"/>
      </w:tabs>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915">
    <w:name w:val="Char"/>
    <w:basedOn w:val="1"/>
    <w:autoRedefine/>
    <w:semiHidden/>
    <w:qFormat/>
    <w:uiPriority w:val="0"/>
    <w:pPr>
      <w:spacing w:after="160" w:line="240" w:lineRule="exact"/>
    </w:pPr>
    <w:rPr>
      <w:rFonts w:ascii="Verdana" w:hAnsi="Verdana"/>
      <w:bCs/>
      <w:color w:val="000000"/>
      <w:kern w:val="0"/>
      <w:sz w:val="20"/>
      <w:szCs w:val="20"/>
      <w:lang w:eastAsia="en-US"/>
    </w:rPr>
  </w:style>
  <w:style w:type="paragraph" w:customStyle="1" w:styleId="916">
    <w:name w:val="xl29"/>
    <w:basedOn w:val="1"/>
    <w:autoRedefine/>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917">
    <w:name w:val="样式 标题 2 + 段前: 6 磅 段后: 6 磅 行距: 最小值 24 磅"/>
    <w:basedOn w:val="6"/>
    <w:autoRedefine/>
    <w:qFormat/>
    <w:uiPriority w:val="0"/>
    <w:pPr>
      <w:spacing w:before="120" w:after="120" w:line="480" w:lineRule="atLeast"/>
    </w:pPr>
    <w:rPr>
      <w:rFonts w:ascii="Times New Roman" w:hAnsi="Times New Roman"/>
      <w:bCs w:val="0"/>
      <w:color w:val="000000"/>
      <w:kern w:val="24"/>
      <w:sz w:val="28"/>
      <w:szCs w:val="30"/>
    </w:rPr>
  </w:style>
  <w:style w:type="paragraph" w:customStyle="1" w:styleId="918">
    <w:name w:val="Char Char Char Char Char Char Char Char Char Char Char Char Char Char Char Char Char Char1"/>
    <w:basedOn w:val="1"/>
    <w:autoRedefine/>
    <w:semiHidden/>
    <w:qFormat/>
    <w:uiPriority w:val="0"/>
    <w:rPr>
      <w:bCs/>
      <w:color w:val="000000"/>
      <w:kern w:val="24"/>
      <w:szCs w:val="21"/>
    </w:rPr>
  </w:style>
  <w:style w:type="paragraph" w:customStyle="1" w:styleId="919">
    <w:name w:val="小标题2"/>
    <w:basedOn w:val="1"/>
    <w:autoRedefine/>
    <w:qFormat/>
    <w:uiPriority w:val="0"/>
    <w:pPr>
      <w:tabs>
        <w:tab w:val="left" w:pos="5400"/>
      </w:tabs>
      <w:overflowPunct w:val="0"/>
      <w:spacing w:line="336" w:lineRule="auto"/>
      <w:ind w:firstLine="480"/>
    </w:pPr>
    <w:rPr>
      <w:rFonts w:ascii="Batang" w:hAnsi="Batang" w:cs="Batang"/>
      <w:bCs/>
      <w:color w:val="000000"/>
      <w:kern w:val="24"/>
    </w:rPr>
  </w:style>
  <w:style w:type="paragraph" w:customStyle="1" w:styleId="920">
    <w:name w:val="样式 样式 标题 2标题2二级 标题 2H2h2第一层条标题 2 Char节标题节11 Char标题 2 Cha...1 +"/>
    <w:basedOn w:val="823"/>
    <w:autoRedefine/>
    <w:qFormat/>
    <w:uiPriority w:val="0"/>
  </w:style>
  <w:style w:type="paragraph" w:customStyle="1" w:styleId="921">
    <w:name w:val="前言、引言标题"/>
    <w:next w:val="1"/>
    <w:autoRedefine/>
    <w:qFormat/>
    <w:uiPriority w:val="0"/>
    <w:pPr>
      <w:shd w:val="clear" w:color="FFFFFF" w:fill="FFFFFF"/>
      <w:tabs>
        <w:tab w:val="left" w:pos="903"/>
      </w:tabs>
      <w:spacing w:before="640" w:after="560"/>
      <w:ind w:left="903" w:hanging="315"/>
      <w:jc w:val="center"/>
      <w:outlineLvl w:val="0"/>
    </w:pPr>
    <w:rPr>
      <w:rFonts w:ascii="FLGPEK+TimesNewRoman,Italic" w:hAnsi="Batang" w:eastAsia="FLGPEK+TimesNewRoman,Italic" w:cs="Batang"/>
      <w:bCs/>
      <w:color w:val="000000"/>
      <w:sz w:val="32"/>
      <w:szCs w:val="24"/>
      <w:lang w:val="en-US" w:eastAsia="zh-CN" w:bidi="ar-SA"/>
    </w:rPr>
  </w:style>
  <w:style w:type="paragraph" w:customStyle="1" w:styleId="922">
    <w:name w:val="xl40"/>
    <w:basedOn w:val="1"/>
    <w:autoRedefine/>
    <w:qFormat/>
    <w:uiPriority w:val="0"/>
    <w:pPr>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textAlignment w:val="center"/>
    </w:pPr>
    <w:rPr>
      <w:rFonts w:ascii="Arial Unicode MS" w:hAnsi="Arial Unicode MS" w:eastAsia="Arial Unicode MS" w:cs="Arial Unicode MS"/>
      <w:bCs/>
      <w:color w:val="008000"/>
      <w:kern w:val="0"/>
      <w:sz w:val="20"/>
      <w:szCs w:val="20"/>
    </w:rPr>
  </w:style>
  <w:style w:type="paragraph" w:customStyle="1" w:styleId="923">
    <w:name w:val="表中文字"/>
    <w:basedOn w:val="1"/>
    <w:autoRedefine/>
    <w:qFormat/>
    <w:uiPriority w:val="0"/>
    <w:pPr>
      <w:spacing w:line="240" w:lineRule="exact"/>
      <w:jc w:val="center"/>
    </w:pPr>
    <w:rPr>
      <w:rFonts w:ascii="宋体" w:hAnsi="宋体"/>
      <w:bCs/>
      <w:color w:val="000000"/>
      <w:kern w:val="24"/>
      <w:szCs w:val="20"/>
    </w:rPr>
  </w:style>
  <w:style w:type="paragraph" w:customStyle="1" w:styleId="924">
    <w:name w:val="项目符号2"/>
    <w:basedOn w:val="1"/>
    <w:autoRedefine/>
    <w:qFormat/>
    <w:uiPriority w:val="0"/>
    <w:pPr>
      <w:tabs>
        <w:tab w:val="left" w:pos="1502"/>
      </w:tabs>
      <w:overflowPunct w:val="0"/>
      <w:spacing w:line="480" w:lineRule="exact"/>
      <w:ind w:left="1502"/>
    </w:pPr>
    <w:rPr>
      <w:rFonts w:ascii="Arial" w:hAnsi="Arial" w:eastAsia="仿宋_GB2312"/>
      <w:bCs/>
      <w:color w:val="000000"/>
      <w:kern w:val="24"/>
      <w:sz w:val="28"/>
      <w:szCs w:val="20"/>
    </w:rPr>
  </w:style>
  <w:style w:type="paragraph" w:customStyle="1" w:styleId="925">
    <w:name w:val="样式 标题 4 + 宋体 Char"/>
    <w:basedOn w:val="8"/>
    <w:autoRedefine/>
    <w:qFormat/>
    <w:uiPriority w:val="0"/>
    <w:pPr>
      <w:tabs>
        <w:tab w:val="left" w:pos="720"/>
      </w:tabs>
      <w:spacing w:line="240" w:lineRule="auto"/>
    </w:pPr>
    <w:rPr>
      <w:rFonts w:ascii="宋体" w:hAnsi="宋体" w:eastAsia="宋体"/>
      <w:b w:val="0"/>
      <w:color w:val="000000"/>
      <w:kern w:val="24"/>
    </w:rPr>
  </w:style>
  <w:style w:type="paragraph" w:customStyle="1" w:styleId="926">
    <w:name w:val="正文-中宋 小4"/>
    <w:autoRedefine/>
    <w:qFormat/>
    <w:uiPriority w:val="0"/>
    <w:pPr>
      <w:overflowPunct w:val="0"/>
      <w:autoSpaceDE w:val="0"/>
      <w:autoSpaceDN w:val="0"/>
      <w:adjustRightInd w:val="0"/>
      <w:snapToGrid w:val="0"/>
      <w:spacing w:line="500" w:lineRule="exact"/>
      <w:ind w:firstLine="480" w:firstLineChars="200"/>
      <w:textAlignment w:val="center"/>
    </w:pPr>
    <w:rPr>
      <w:rFonts w:ascii="Times New Roman" w:hAnsi="Times New Roman" w:eastAsia="华文中宋" w:cs="Times New Roman"/>
      <w:bCs/>
      <w:color w:val="000000"/>
      <w:sz w:val="24"/>
      <w:szCs w:val="24"/>
      <w:lang w:val="en-US" w:eastAsia="zh-CN" w:bidi="ar-SA"/>
    </w:rPr>
  </w:style>
  <w:style w:type="paragraph" w:customStyle="1" w:styleId="927">
    <w:name w:val="附录五级条标题"/>
    <w:basedOn w:val="928"/>
    <w:next w:val="1"/>
    <w:autoRedefine/>
    <w:qFormat/>
    <w:uiPriority w:val="0"/>
    <w:pPr>
      <w:outlineLvl w:val="6"/>
    </w:pPr>
  </w:style>
  <w:style w:type="paragraph" w:customStyle="1" w:styleId="928">
    <w:name w:val="附录四级条标题"/>
    <w:basedOn w:val="929"/>
    <w:next w:val="1"/>
    <w:autoRedefine/>
    <w:qFormat/>
    <w:uiPriority w:val="0"/>
    <w:pPr>
      <w:outlineLvl w:val="5"/>
    </w:pPr>
  </w:style>
  <w:style w:type="paragraph" w:customStyle="1" w:styleId="929">
    <w:name w:val="附录三级条标题"/>
    <w:basedOn w:val="791"/>
    <w:next w:val="1"/>
    <w:autoRedefine/>
    <w:qFormat/>
    <w:uiPriority w:val="0"/>
    <w:pPr>
      <w:outlineLvl w:val="4"/>
    </w:pPr>
  </w:style>
  <w:style w:type="paragraph" w:customStyle="1" w:styleId="930">
    <w:name w:val="样式 标题 2标题2二级 标题 2H2h2第一层条标题 2 Char节标题节11 Char标题 2 Cha..."/>
    <w:basedOn w:val="6"/>
    <w:autoRedefine/>
    <w:qFormat/>
    <w:uiPriority w:val="0"/>
    <w:pPr>
      <w:keepNext w:val="0"/>
      <w:keepLines w:val="0"/>
      <w:tabs>
        <w:tab w:val="left" w:pos="900"/>
      </w:tabs>
      <w:spacing w:before="0" w:after="0" w:line="440" w:lineRule="exact"/>
      <w:ind w:firstLine="200"/>
      <w:textAlignment w:val="baseline"/>
      <w:outlineLvl w:val="9"/>
    </w:pPr>
    <w:rPr>
      <w:rFonts w:ascii="Sim Sun" w:hAnsi="Sim Sun" w:eastAsia="宋体-方正超大字符集" w:cs="Vladimir Script"/>
      <w:b w:val="0"/>
      <w:color w:val="000000"/>
      <w:kern w:val="24"/>
      <w:sz w:val="24"/>
      <w:szCs w:val="20"/>
    </w:rPr>
  </w:style>
  <w:style w:type="paragraph" w:customStyle="1" w:styleId="931">
    <w:name w:val="标题11"/>
    <w:basedOn w:val="1"/>
    <w:autoRedefine/>
    <w:qFormat/>
    <w:uiPriority w:val="0"/>
    <w:pPr>
      <w:spacing w:before="180" w:after="180" w:line="480" w:lineRule="exact"/>
      <w:outlineLvl w:val="0"/>
    </w:pPr>
    <w:rPr>
      <w:b/>
      <w:bCs/>
      <w:color w:val="000000"/>
      <w:kern w:val="24"/>
      <w:sz w:val="30"/>
      <w:szCs w:val="20"/>
    </w:rPr>
  </w:style>
  <w:style w:type="paragraph" w:customStyle="1" w:styleId="932">
    <w:name w:val="正文文本缩进2"/>
    <w:basedOn w:val="1"/>
    <w:autoRedefine/>
    <w:qFormat/>
    <w:uiPriority w:val="0"/>
    <w:pPr>
      <w:spacing w:line="360" w:lineRule="exact"/>
      <w:ind w:firstLine="480"/>
    </w:pPr>
    <w:rPr>
      <w:rFonts w:ascii="Arial Unicode MS" w:hAnsi="Arial Unicode MS" w:cs="Vladimir Script"/>
      <w:bCs/>
      <w:color w:val="000000"/>
      <w:kern w:val="24"/>
      <w:szCs w:val="20"/>
    </w:rPr>
  </w:style>
  <w:style w:type="paragraph" w:customStyle="1" w:styleId="933">
    <w:name w:val="样式 样式 标题 4 + 四号 + 首行缩进:  2 字符"/>
    <w:basedOn w:val="934"/>
    <w:autoRedefine/>
    <w:qFormat/>
    <w:uiPriority w:val="0"/>
    <w:pPr>
      <w:tabs>
        <w:tab w:val="left" w:pos="720"/>
      </w:tabs>
    </w:pPr>
    <w:rPr>
      <w:rFonts w:cs="宋体"/>
      <w:szCs w:val="20"/>
    </w:rPr>
  </w:style>
  <w:style w:type="paragraph" w:customStyle="1" w:styleId="934">
    <w:name w:val="样式 标题 4 + 四号"/>
    <w:basedOn w:val="8"/>
    <w:autoRedefine/>
    <w:qFormat/>
    <w:uiPriority w:val="0"/>
    <w:pPr>
      <w:tabs>
        <w:tab w:val="left" w:pos="720"/>
      </w:tabs>
      <w:spacing w:before="60" w:after="60" w:line="480" w:lineRule="atLeast"/>
      <w:ind w:firstLine="200"/>
    </w:pPr>
    <w:rPr>
      <w:rFonts w:ascii="Times New Roman" w:hAnsi="Times New Roman" w:eastAsia="宋体"/>
      <w:b w:val="0"/>
      <w:color w:val="000000"/>
      <w:kern w:val="0"/>
      <w:sz w:val="24"/>
      <w:szCs w:val="24"/>
    </w:rPr>
  </w:style>
  <w:style w:type="paragraph" w:customStyle="1" w:styleId="935">
    <w:name w:val="大妹正文 Char"/>
    <w:basedOn w:val="5"/>
    <w:autoRedefine/>
    <w:qFormat/>
    <w:uiPriority w:val="0"/>
    <w:pPr>
      <w:keepNext w:val="0"/>
      <w:overflowPunct/>
      <w:snapToGrid/>
      <w:spacing w:before="0" w:afterLines="100" w:line="240" w:lineRule="exact"/>
      <w:ind w:left="-126" w:leftChars="-60" w:right="-113" w:rightChars="-54" w:firstLine="0"/>
      <w:outlineLvl w:val="9"/>
    </w:pPr>
    <w:rPr>
      <w:rFonts w:ascii="宋体" w:eastAsia="宋体"/>
      <w:b w:val="0"/>
      <w:sz w:val="24"/>
      <w:szCs w:val="24"/>
    </w:rPr>
  </w:style>
  <w:style w:type="paragraph" w:customStyle="1" w:styleId="936">
    <w:name w:val="xl27"/>
    <w:basedOn w:val="1"/>
    <w:autoRedefine/>
    <w:qFormat/>
    <w:uiPriority w:val="0"/>
    <w:pPr>
      <w:pBdr>
        <w:bottom w:val="single" w:color="auto" w:sz="4" w:space="0"/>
        <w:right w:val="single" w:color="auto" w:sz="4" w:space="0"/>
      </w:pBdr>
      <w:spacing w:before="100" w:beforeAutospacing="1" w:after="100" w:afterAutospacing="1"/>
      <w:jc w:val="center"/>
    </w:pPr>
    <w:rPr>
      <w:bCs/>
      <w:color w:val="000000"/>
      <w:kern w:val="0"/>
      <w:szCs w:val="21"/>
    </w:rPr>
  </w:style>
  <w:style w:type="paragraph" w:customStyle="1" w:styleId="937">
    <w:name w:val="Char Char22"/>
    <w:basedOn w:val="1"/>
    <w:autoRedefine/>
    <w:qFormat/>
    <w:uiPriority w:val="0"/>
    <w:pPr>
      <w:spacing w:after="160" w:line="240" w:lineRule="exact"/>
      <w:ind w:firstLine="200"/>
    </w:pPr>
    <w:rPr>
      <w:rFonts w:ascii="ˎ̥" w:hAnsi="ˎ̥" w:cs="Vladimir Script"/>
      <w:bCs/>
      <w:color w:val="000000"/>
      <w:kern w:val="0"/>
      <w:sz w:val="20"/>
      <w:szCs w:val="20"/>
      <w:lang w:eastAsia="en-US"/>
    </w:rPr>
  </w:style>
  <w:style w:type="paragraph" w:customStyle="1" w:styleId="938">
    <w:name w:val="样式 标题 3标题 3 Char + 小四 黑色"/>
    <w:basedOn w:val="7"/>
    <w:autoRedefine/>
    <w:qFormat/>
    <w:uiPriority w:val="0"/>
    <w:pPr>
      <w:tabs>
        <w:tab w:val="left" w:pos="720"/>
        <w:tab w:val="left" w:pos="900"/>
        <w:tab w:val="left" w:pos="1260"/>
        <w:tab w:val="left" w:pos="1800"/>
      </w:tabs>
      <w:spacing w:beforeLines="50" w:afterLines="50" w:line="240" w:lineRule="auto"/>
      <w:ind w:left="-567" w:firstLine="567"/>
      <w:textAlignment w:val="baseline"/>
    </w:pPr>
    <w:rPr>
      <w:rFonts w:ascii="宋体" w:hAnsi="宋体"/>
      <w:b w:val="0"/>
      <w:bCs w:val="0"/>
      <w:color w:val="000000"/>
      <w:kern w:val="24"/>
      <w:sz w:val="28"/>
      <w:szCs w:val="24"/>
    </w:rPr>
  </w:style>
  <w:style w:type="paragraph" w:customStyle="1" w:styleId="939">
    <w:name w:val="封面标准号1"/>
    <w:autoRedefine/>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bCs/>
      <w:color w:val="000000"/>
      <w:sz w:val="28"/>
      <w:szCs w:val="24"/>
      <w:lang w:val="en-US" w:eastAsia="zh-CN" w:bidi="ar-SA"/>
    </w:rPr>
  </w:style>
  <w:style w:type="paragraph" w:customStyle="1" w:styleId="940">
    <w:name w:val="报告书表格"/>
    <w:basedOn w:val="1"/>
    <w:autoRedefine/>
    <w:qFormat/>
    <w:uiPriority w:val="0"/>
    <w:pPr>
      <w:spacing w:before="60" w:after="60" w:line="240" w:lineRule="atLeast"/>
      <w:jc w:val="center"/>
      <w:textAlignment w:val="baseline"/>
    </w:pPr>
    <w:rPr>
      <w:bCs/>
      <w:color w:val="000000"/>
      <w:kern w:val="0"/>
      <w:szCs w:val="20"/>
    </w:rPr>
  </w:style>
  <w:style w:type="paragraph" w:customStyle="1" w:styleId="941">
    <w:name w:val="默认段落字体 Para Char Char Char Char Char Char Char Char Char Char Char"/>
    <w:autoRedefine/>
    <w:qFormat/>
    <w:uiPriority w:val="0"/>
    <w:pPr>
      <w:tabs>
        <w:tab w:val="left" w:pos="360"/>
        <w:tab w:val="left" w:pos="900"/>
      </w:tabs>
      <w:snapToGrid w:val="0"/>
      <w:spacing w:before="120" w:after="120" w:line="360" w:lineRule="auto"/>
      <w:ind w:left="542" w:leftChars="-12" w:firstLine="200" w:firstLineChars="200"/>
    </w:pPr>
    <w:rPr>
      <w:rFonts w:ascii="Times New Roman" w:hAnsi="Times New Roman" w:eastAsia="黑体" w:cs="Times New Roman"/>
      <w:kern w:val="2"/>
      <w:sz w:val="24"/>
      <w:szCs w:val="24"/>
      <w:lang w:val="en-US" w:eastAsia="zh-CN" w:bidi="ar-SA"/>
    </w:rPr>
  </w:style>
  <w:style w:type="paragraph" w:customStyle="1" w:styleId="942">
    <w:name w:val="a表格"/>
    <w:basedOn w:val="1"/>
    <w:autoRedefine/>
    <w:qFormat/>
    <w:uiPriority w:val="0"/>
    <w:pPr>
      <w:jc w:val="center"/>
    </w:pPr>
    <w:rPr>
      <w:bCs/>
      <w:color w:val="000000"/>
      <w:kern w:val="24"/>
    </w:rPr>
  </w:style>
  <w:style w:type="paragraph" w:customStyle="1" w:styleId="943">
    <w:name w:val="默认段落字体 Para Char Char Char Char Char Char Char"/>
    <w:basedOn w:val="1"/>
    <w:autoRedefine/>
    <w:qFormat/>
    <w:uiPriority w:val="0"/>
    <w:pPr>
      <w:textAlignment w:val="baseline"/>
    </w:pPr>
    <w:rPr>
      <w:bCs/>
      <w:color w:val="000000"/>
      <w:kern w:val="0"/>
      <w:szCs w:val="20"/>
    </w:rPr>
  </w:style>
  <w:style w:type="paragraph" w:customStyle="1" w:styleId="944">
    <w:name w:val="样式 标题 1新标题1 + 段前: 0.5 行 段后: 0.5 行"/>
    <w:basedOn w:val="5"/>
    <w:autoRedefine/>
    <w:qFormat/>
    <w:uiPriority w:val="0"/>
    <w:pPr>
      <w:keepLines/>
      <w:overflowPunct/>
      <w:snapToGrid/>
      <w:spacing w:beforeLines="50" w:afterLines="50" w:line="460" w:lineRule="exact"/>
      <w:ind w:left="0" w:firstLine="0"/>
    </w:pPr>
    <w:rPr>
      <w:rFonts w:ascii="黑体" w:cs="宋体"/>
      <w:sz w:val="28"/>
      <w:szCs w:val="20"/>
    </w:rPr>
  </w:style>
  <w:style w:type="paragraph" w:customStyle="1" w:styleId="945">
    <w:name w:val="Char Char1 Char Char Char Char Char Char Char"/>
    <w:basedOn w:val="1"/>
    <w:autoRedefine/>
    <w:qFormat/>
    <w:uiPriority w:val="0"/>
    <w:rPr>
      <w:rFonts w:ascii="Batang" w:hAnsi="Batang" w:cs="Batang"/>
      <w:bCs/>
      <w:color w:val="000000"/>
      <w:kern w:val="24"/>
    </w:rPr>
  </w:style>
  <w:style w:type="paragraph" w:customStyle="1" w:styleId="946">
    <w:name w:val="大题注"/>
    <w:basedOn w:val="1"/>
    <w:autoRedefine/>
    <w:qFormat/>
    <w:uiPriority w:val="0"/>
    <w:pPr>
      <w:spacing w:before="100" w:beforeAutospacing="1" w:after="100" w:afterAutospacing="1"/>
      <w:ind w:firstLine="480"/>
    </w:pPr>
    <w:rPr>
      <w:rFonts w:ascii="Arial" w:hAnsi="Arial" w:eastAsia="黑体"/>
      <w:bCs/>
      <w:color w:val="000000"/>
      <w:kern w:val="24"/>
      <w:szCs w:val="20"/>
    </w:rPr>
  </w:style>
  <w:style w:type="paragraph" w:customStyle="1" w:styleId="947">
    <w:name w:val="标题一"/>
    <w:basedOn w:val="1"/>
    <w:next w:val="5"/>
    <w:autoRedefine/>
    <w:qFormat/>
    <w:uiPriority w:val="0"/>
    <w:pPr>
      <w:tabs>
        <w:tab w:val="left" w:pos="720"/>
      </w:tabs>
      <w:ind w:left="720"/>
    </w:pPr>
    <w:rPr>
      <w:bCs/>
      <w:color w:val="000000"/>
      <w:kern w:val="24"/>
      <w:sz w:val="28"/>
      <w:szCs w:val="20"/>
    </w:rPr>
  </w:style>
  <w:style w:type="paragraph" w:customStyle="1" w:styleId="948">
    <w:name w:val="Char Char Char1 Char Char Char Char Char Char Char Char Char"/>
    <w:basedOn w:val="1"/>
    <w:autoRedefine/>
    <w:qFormat/>
    <w:uiPriority w:val="0"/>
    <w:rPr>
      <w:rFonts w:ascii="Batang" w:hAnsi="Batang" w:eastAsia="ӗԲ" w:cs="Batang"/>
      <w:b/>
      <w:bCs/>
      <w:color w:val="000000"/>
      <w:kern w:val="24"/>
      <w:sz w:val="28"/>
      <w:szCs w:val="28"/>
    </w:rPr>
  </w:style>
  <w:style w:type="paragraph" w:customStyle="1" w:styleId="949">
    <w:name w:val="样式 样式 样式 样式 标题 3 + 宋体 小四 段前: 7.8 磅 段后: 7.8 磅 行距: 多倍行距 0.5 字行 + 行...1"/>
    <w:basedOn w:val="7"/>
    <w:next w:val="1"/>
    <w:autoRedefine/>
    <w:qFormat/>
    <w:uiPriority w:val="0"/>
    <w:pPr>
      <w:spacing w:beforeLines="50" w:afterLines="50" w:line="360" w:lineRule="exact"/>
    </w:pPr>
    <w:rPr>
      <w:bCs w:val="0"/>
      <w:color w:val="000000"/>
      <w:kern w:val="24"/>
      <w:sz w:val="24"/>
    </w:rPr>
  </w:style>
  <w:style w:type="paragraph" w:customStyle="1" w:styleId="950">
    <w:name w:val="Char Char Char Char Char Char Char Char Char Char Char Char Char1"/>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951">
    <w:name w:val="样式 正文文本正文文字 + 仿宋_GB2312 四号 红色 首行缩进:  2 字符"/>
    <w:basedOn w:val="30"/>
    <w:autoRedefine/>
    <w:qFormat/>
    <w:uiPriority w:val="0"/>
    <w:pPr>
      <w:widowControl w:val="0"/>
      <w:spacing w:after="60" w:line="264" w:lineRule="auto"/>
      <w:ind w:right="0" w:firstLine="560"/>
      <w:textAlignment w:val="baseline"/>
    </w:pPr>
    <w:rPr>
      <w:rFonts w:ascii="Garamond" w:hAnsi="Arial Unicode MS" w:eastAsia="Garamond" w:cs="Vladimir Script"/>
      <w:bCs/>
      <w:snapToGrid w:val="0"/>
      <w:color w:val="FF0000"/>
      <w:sz w:val="24"/>
    </w:rPr>
  </w:style>
  <w:style w:type="paragraph" w:customStyle="1" w:styleId="952">
    <w:name w:val="xl26"/>
    <w:basedOn w:val="1"/>
    <w:autoRedefine/>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Arial Unicode MS" w:hAnsi="Arial Unicode MS" w:eastAsia="Arial Unicode MS" w:cs="Arial Unicode MS"/>
      <w:bCs/>
      <w:color w:val="000000"/>
      <w:kern w:val="0"/>
      <w:sz w:val="20"/>
      <w:szCs w:val="20"/>
    </w:rPr>
  </w:style>
  <w:style w:type="paragraph" w:customStyle="1" w:styleId="953">
    <w:name w:val="表头右"/>
    <w:basedOn w:val="1"/>
    <w:autoRedefine/>
    <w:qFormat/>
    <w:uiPriority w:val="0"/>
    <w:pPr>
      <w:ind w:firstLine="448"/>
      <w:jc w:val="right"/>
    </w:pPr>
    <w:rPr>
      <w:bCs/>
      <w:color w:val="000000"/>
      <w:kern w:val="24"/>
    </w:rPr>
  </w:style>
  <w:style w:type="paragraph" w:customStyle="1" w:styleId="954">
    <w:name w:val="CM113"/>
    <w:basedOn w:val="53"/>
    <w:next w:val="53"/>
    <w:autoRedefine/>
    <w:qFormat/>
    <w:uiPriority w:val="0"/>
    <w:pPr>
      <w:spacing w:after="62"/>
    </w:pPr>
    <w:rPr>
      <w:rFonts w:hAnsi="Batang" w:cs="Batang"/>
      <w:color w:val="auto"/>
    </w:rPr>
  </w:style>
  <w:style w:type="paragraph" w:customStyle="1" w:styleId="955">
    <w:name w:val="样式 目录 2 + 左侧:  2 字符"/>
    <w:basedOn w:val="71"/>
    <w:autoRedefine/>
    <w:qFormat/>
    <w:uiPriority w:val="0"/>
    <w:pPr>
      <w:tabs>
        <w:tab w:val="left" w:pos="1050"/>
        <w:tab w:val="right" w:leader="middleDot" w:pos="8296"/>
      </w:tabs>
      <w:spacing w:line="276" w:lineRule="auto"/>
      <w:ind w:left="0" w:leftChars="0"/>
    </w:pPr>
    <w:rPr>
      <w:rFonts w:ascii="Vladimir Script" w:hAnsi="Vladimir Script" w:eastAsia="楷体_GB2312" w:cs="宋体"/>
      <w:bCs/>
      <w:color w:val="000000"/>
      <w:kern w:val="24"/>
    </w:rPr>
  </w:style>
  <w:style w:type="paragraph" w:customStyle="1" w:styleId="956">
    <w:name w:val="热电厂正文 Char"/>
    <w:basedOn w:val="1"/>
    <w:autoRedefine/>
    <w:qFormat/>
    <w:uiPriority w:val="0"/>
    <w:pPr>
      <w:spacing w:line="440" w:lineRule="exact"/>
      <w:ind w:firstLine="480"/>
    </w:pPr>
    <w:rPr>
      <w:bCs/>
      <w:color w:val="000000"/>
      <w:kern w:val="24"/>
    </w:rPr>
  </w:style>
  <w:style w:type="paragraph" w:customStyle="1" w:styleId="957">
    <w:name w:val="正文样式1"/>
    <w:basedOn w:val="1"/>
    <w:autoRedefine/>
    <w:qFormat/>
    <w:uiPriority w:val="0"/>
    <w:pPr>
      <w:ind w:firstLine="510"/>
      <w:textAlignment w:val="baseline"/>
    </w:pPr>
    <w:rPr>
      <w:bCs/>
      <w:color w:val="000000"/>
      <w:kern w:val="24"/>
      <w:szCs w:val="20"/>
    </w:rPr>
  </w:style>
  <w:style w:type="paragraph" w:customStyle="1" w:styleId="958">
    <w:name w:val="xl22"/>
    <w:basedOn w:val="1"/>
    <w:autoRedefine/>
    <w:qFormat/>
    <w:uiPriority w:val="0"/>
    <w:pPr>
      <w:spacing w:before="100" w:after="100"/>
      <w:jc w:val="center"/>
    </w:pPr>
    <w:rPr>
      <w:rFonts w:ascii="Batang" w:hAnsi="Batang" w:cs="Batang"/>
      <w:bCs/>
      <w:color w:val="000000"/>
      <w:kern w:val="0"/>
    </w:rPr>
  </w:style>
  <w:style w:type="paragraph" w:customStyle="1" w:styleId="959">
    <w:name w:val="正文11"/>
    <w:basedOn w:val="1"/>
    <w:next w:val="1"/>
    <w:autoRedefine/>
    <w:qFormat/>
    <w:uiPriority w:val="0"/>
    <w:rPr>
      <w:bCs/>
      <w:color w:val="000000"/>
      <w:kern w:val="24"/>
    </w:rPr>
  </w:style>
  <w:style w:type="paragraph" w:customStyle="1" w:styleId="960">
    <w:name w:val="样式 正文文字缩进 2 + 首行缩进:  2 字符"/>
    <w:basedOn w:val="32"/>
    <w:autoRedefine/>
    <w:qFormat/>
    <w:uiPriority w:val="0"/>
    <w:pPr>
      <w:adjustRightInd/>
      <w:spacing w:line="480" w:lineRule="atLeast"/>
      <w:ind w:firstLine="200"/>
      <w:textAlignment w:val="auto"/>
    </w:pPr>
    <w:rPr>
      <w:rFonts w:ascii="Batang" w:hAnsi="Batang" w:cs="Batang"/>
      <w:kern w:val="2"/>
      <w:sz w:val="24"/>
      <w:szCs w:val="24"/>
    </w:rPr>
  </w:style>
  <w:style w:type="paragraph" w:customStyle="1" w:styleId="961">
    <w:name w:val="nv nslog-area"/>
    <w:basedOn w:val="1"/>
    <w:autoRedefine/>
    <w:qFormat/>
    <w:uiPriority w:val="0"/>
    <w:pPr>
      <w:spacing w:before="100" w:beforeAutospacing="1" w:after="100" w:afterAutospacing="1"/>
    </w:pPr>
    <w:rPr>
      <w:rFonts w:ascii="宋体" w:hAnsi="宋体" w:cs="宋体"/>
      <w:bCs/>
      <w:color w:val="000000"/>
      <w:kern w:val="0"/>
    </w:rPr>
  </w:style>
  <w:style w:type="paragraph" w:customStyle="1" w:styleId="962">
    <w:name w:val="表名"/>
    <w:basedOn w:val="1"/>
    <w:next w:val="1"/>
    <w:autoRedefine/>
    <w:qFormat/>
    <w:uiPriority w:val="0"/>
    <w:pPr>
      <w:spacing w:line="360" w:lineRule="exact"/>
      <w:jc w:val="center"/>
    </w:pPr>
    <w:rPr>
      <w:rFonts w:ascii="宋体" w:hAnsi="宋体"/>
      <w:b/>
      <w:bCs/>
      <w:color w:val="000000"/>
      <w:kern w:val="24"/>
      <w:szCs w:val="20"/>
    </w:rPr>
  </w:style>
  <w:style w:type="paragraph" w:customStyle="1" w:styleId="963">
    <w:name w:val="样式 五号 居中 行距: 最小值 18 磅"/>
    <w:basedOn w:val="1"/>
    <w:autoRedefine/>
    <w:qFormat/>
    <w:uiPriority w:val="0"/>
    <w:pPr>
      <w:spacing w:line="360" w:lineRule="atLeast"/>
      <w:jc w:val="center"/>
    </w:pPr>
    <w:rPr>
      <w:rFonts w:cs="宋体"/>
      <w:bCs/>
      <w:color w:val="000000"/>
      <w:kern w:val="24"/>
      <w:szCs w:val="20"/>
    </w:rPr>
  </w:style>
  <w:style w:type="paragraph" w:customStyle="1" w:styleId="964">
    <w:name w:val="样式 题注 + 首行缩进:  2 字符"/>
    <w:basedOn w:val="1"/>
    <w:autoRedefine/>
    <w:qFormat/>
    <w:uiPriority w:val="0"/>
    <w:pPr>
      <w:spacing w:before="100" w:beforeAutospacing="1" w:after="100" w:afterAutospacing="1"/>
      <w:ind w:firstLine="200"/>
    </w:pPr>
    <w:rPr>
      <w:rFonts w:ascii="Arial" w:hAnsi="Arial" w:eastAsia="黑体" w:cs="宋体"/>
      <w:bCs/>
      <w:color w:val="000000"/>
      <w:kern w:val="24"/>
      <w:szCs w:val="20"/>
    </w:rPr>
  </w:style>
  <w:style w:type="paragraph" w:customStyle="1" w:styleId="965">
    <w:name w:val="样式 样式 首行缩进:  2 字符 + 首行缩进:  2 字符 段前: 0.5 行 段后: 0.5 行"/>
    <w:basedOn w:val="1"/>
    <w:autoRedefine/>
    <w:qFormat/>
    <w:uiPriority w:val="0"/>
    <w:pPr>
      <w:spacing w:beforeLines="50" w:afterLines="50" w:line="400" w:lineRule="atLeast"/>
      <w:ind w:firstLine="200"/>
    </w:pPr>
    <w:rPr>
      <w:rFonts w:cs="宋体"/>
      <w:bCs/>
      <w:color w:val="000000"/>
      <w:kern w:val="24"/>
      <w:szCs w:val="20"/>
    </w:rPr>
  </w:style>
  <w:style w:type="paragraph" w:customStyle="1" w:styleId="966">
    <w:name w:val="样式 题注 + (西文) Times New Roman (中文) 宋体 小四 加粗 黑色 Char"/>
    <w:basedOn w:val="21"/>
    <w:autoRedefine/>
    <w:qFormat/>
    <w:uiPriority w:val="0"/>
    <w:pPr>
      <w:keepNext w:val="0"/>
      <w:tabs>
        <w:tab w:val="clear" w:pos="2445"/>
        <w:tab w:val="clear" w:pos="4156"/>
      </w:tabs>
      <w:spacing w:beforeLines="100"/>
      <w:ind w:firstLine="200"/>
    </w:pPr>
    <w:rPr>
      <w:rFonts w:ascii="Vladimir Script" w:hAnsi="Vladimir Script" w:eastAsia="Vladimir Script" w:cs="ˎ̥"/>
      <w:snapToGrid/>
      <w:color w:val="000000"/>
    </w:rPr>
  </w:style>
  <w:style w:type="paragraph" w:customStyle="1" w:styleId="967">
    <w:name w:val="正文正1"/>
    <w:basedOn w:val="1"/>
    <w:autoRedefine/>
    <w:qFormat/>
    <w:uiPriority w:val="0"/>
    <w:pPr>
      <w:spacing w:line="360" w:lineRule="exact"/>
      <w:jc w:val="center"/>
    </w:pPr>
    <w:rPr>
      <w:rFonts w:ascii="Batang" w:hAnsi="Batang" w:cs="Batang"/>
      <w:bCs/>
      <w:color w:val="000000"/>
      <w:spacing w:val="-6"/>
      <w:kern w:val="0"/>
      <w:szCs w:val="21"/>
    </w:rPr>
  </w:style>
  <w:style w:type="paragraph" w:customStyle="1" w:styleId="968">
    <w:name w:val="样式 宋体 黑色 居中"/>
    <w:basedOn w:val="1"/>
    <w:autoRedefine/>
    <w:qFormat/>
    <w:uiPriority w:val="0"/>
    <w:pPr>
      <w:spacing w:line="440" w:lineRule="exact"/>
      <w:ind w:firstLine="405" w:firstLineChars="193"/>
      <w:jc w:val="center"/>
    </w:pPr>
    <w:rPr>
      <w:rFonts w:ascii="Sim Sun" w:hAnsi="Arial Unicode MS" w:eastAsia="Garamond" w:cs="Vladimir Script"/>
      <w:bCs/>
      <w:color w:val="000000"/>
      <w:kern w:val="0"/>
      <w:szCs w:val="20"/>
    </w:rPr>
  </w:style>
  <w:style w:type="paragraph" w:customStyle="1" w:styleId="969">
    <w:name w:val="reader-word-layer reader-word-s2-8"/>
    <w:basedOn w:val="1"/>
    <w:autoRedefine/>
    <w:qFormat/>
    <w:uiPriority w:val="0"/>
    <w:pPr>
      <w:spacing w:before="100" w:beforeAutospacing="1" w:after="100" w:afterAutospacing="1"/>
    </w:pPr>
    <w:rPr>
      <w:rFonts w:ascii="宋体" w:hAnsi="宋体" w:cs="宋体"/>
      <w:bCs/>
      <w:color w:val="000000"/>
      <w:kern w:val="0"/>
    </w:rPr>
  </w:style>
  <w:style w:type="paragraph" w:customStyle="1" w:styleId="970">
    <w:name w:val="三"/>
    <w:basedOn w:val="1"/>
    <w:autoRedefine/>
    <w:qFormat/>
    <w:uiPriority w:val="0"/>
    <w:rPr>
      <w:rFonts w:ascii="Sim Sun" w:hAnsi="Batang" w:cs="Batang"/>
      <w:bCs/>
      <w:color w:val="000000"/>
      <w:kern w:val="24"/>
      <w:szCs w:val="20"/>
    </w:rPr>
  </w:style>
  <w:style w:type="paragraph" w:customStyle="1" w:styleId="971">
    <w:name w:val="Char Char Char Char Char Char1"/>
    <w:basedOn w:val="1"/>
    <w:autoRedefine/>
    <w:semiHidden/>
    <w:qFormat/>
    <w:uiPriority w:val="0"/>
    <w:pPr>
      <w:spacing w:after="160" w:line="240" w:lineRule="exact"/>
    </w:pPr>
    <w:rPr>
      <w:rFonts w:ascii="Verdana" w:hAnsi="Verdana"/>
      <w:bCs/>
      <w:color w:val="000000"/>
      <w:kern w:val="0"/>
      <w:sz w:val="20"/>
      <w:szCs w:val="20"/>
      <w:lang w:eastAsia="en-US"/>
    </w:rPr>
  </w:style>
  <w:style w:type="paragraph" w:customStyle="1" w:styleId="972">
    <w:name w:val="TOC 标题1"/>
    <w:basedOn w:val="5"/>
    <w:next w:val="1"/>
    <w:autoRedefine/>
    <w:qFormat/>
    <w:uiPriority w:val="0"/>
    <w:pPr>
      <w:keepLines/>
      <w:overflowPunct/>
      <w:snapToGrid/>
      <w:spacing w:before="480" w:after="0" w:line="276" w:lineRule="auto"/>
      <w:ind w:left="0" w:firstLine="200"/>
      <w:textAlignment w:val="baseline"/>
      <w:outlineLvl w:val="9"/>
    </w:pPr>
    <w:rPr>
      <w:rFonts w:ascii="Calibri" w:hAnsi="Calibri" w:eastAsia="仿宋体" w:cs="ˎ̥"/>
      <w:color w:val="365F91"/>
      <w:kern w:val="2"/>
      <w:sz w:val="28"/>
      <w:szCs w:val="20"/>
    </w:rPr>
  </w:style>
  <w:style w:type="paragraph" w:customStyle="1" w:styleId="973">
    <w:name w:val="样式 样式 首行缩进:  2 字符19 + 首行缩进:  2 字符"/>
    <w:basedOn w:val="1"/>
    <w:autoRedefine/>
    <w:qFormat/>
    <w:uiPriority w:val="0"/>
    <w:pPr>
      <w:spacing w:line="520" w:lineRule="exact"/>
      <w:ind w:firstLine="480"/>
    </w:pPr>
    <w:rPr>
      <w:rFonts w:cs="宋体"/>
      <w:bCs/>
      <w:color w:val="000000"/>
      <w:kern w:val="24"/>
      <w:szCs w:val="20"/>
    </w:rPr>
  </w:style>
  <w:style w:type="paragraph" w:customStyle="1" w:styleId="974">
    <w:name w:val="表头样式1"/>
    <w:basedOn w:val="1"/>
    <w:autoRedefine/>
    <w:qFormat/>
    <w:uiPriority w:val="0"/>
    <w:pPr>
      <w:spacing w:beforeLines="30"/>
      <w:jc w:val="center"/>
    </w:pPr>
    <w:rPr>
      <w:rFonts w:ascii="黑体" w:hAnsi="宋体" w:eastAsia="黑体"/>
      <w:bCs/>
      <w:color w:val="000000"/>
      <w:kern w:val="0"/>
    </w:rPr>
  </w:style>
  <w:style w:type="paragraph" w:customStyle="1" w:styleId="975">
    <w:name w:val="Char Char Char Char Char2 Char Char Char Char"/>
    <w:basedOn w:val="1"/>
    <w:autoRedefine/>
    <w:semiHidden/>
    <w:qFormat/>
    <w:uiPriority w:val="0"/>
    <w:pPr>
      <w:ind w:firstLine="200"/>
    </w:pPr>
    <w:rPr>
      <w:rFonts w:ascii="宋体" w:hAnsi="宋体" w:cs="宋体"/>
      <w:bCs/>
      <w:color w:val="000000"/>
      <w:kern w:val="24"/>
      <w:szCs w:val="26"/>
    </w:rPr>
  </w:style>
  <w:style w:type="paragraph" w:customStyle="1" w:styleId="976">
    <w:name w:val="Char Char Char12"/>
    <w:basedOn w:val="1"/>
    <w:autoRedefine/>
    <w:semiHidden/>
    <w:qFormat/>
    <w:uiPriority w:val="0"/>
    <w:pPr>
      <w:spacing w:beforeLines="100"/>
    </w:pPr>
    <w:rPr>
      <w:rFonts w:ascii="Sim Sun" w:hAnsi="Sim Sun" w:cs="Sim Sun"/>
      <w:b/>
      <w:bCs/>
      <w:color w:val="000000"/>
      <w:kern w:val="24"/>
    </w:rPr>
  </w:style>
  <w:style w:type="paragraph" w:customStyle="1" w:styleId="977">
    <w:name w:val="样式8"/>
    <w:basedOn w:val="7"/>
    <w:autoRedefine/>
    <w:qFormat/>
    <w:uiPriority w:val="0"/>
    <w:pPr>
      <w:tabs>
        <w:tab w:val="left" w:pos="720"/>
        <w:tab w:val="left" w:pos="900"/>
        <w:tab w:val="left" w:pos="1260"/>
        <w:tab w:val="left" w:pos="1800"/>
      </w:tabs>
      <w:spacing w:before="0" w:after="0" w:line="240" w:lineRule="auto"/>
      <w:ind w:left="720" w:hanging="720"/>
    </w:pPr>
    <w:rPr>
      <w:rFonts w:ascii="Arial" w:hAnsi="Arial"/>
      <w:b w:val="0"/>
      <w:bCs w:val="0"/>
      <w:color w:val="000000"/>
      <w:kern w:val="24"/>
      <w:sz w:val="28"/>
      <w:szCs w:val="28"/>
    </w:rPr>
  </w:style>
  <w:style w:type="paragraph" w:customStyle="1" w:styleId="978">
    <w:name w:val="样式 样式 样式 样式 样式 样式 样式 正文缩进 + 首行缩进:  2 字符1 + 首行缩进:  2 字符1 + 四号 + 首..."/>
    <w:basedOn w:val="1"/>
    <w:autoRedefine/>
    <w:qFormat/>
    <w:uiPriority w:val="0"/>
    <w:pPr>
      <w:spacing w:line="520" w:lineRule="exact"/>
      <w:ind w:firstLine="592"/>
    </w:pPr>
    <w:rPr>
      <w:rFonts w:ascii="@幼圆" w:hAnsi="Batang" w:eastAsia="@幼圆" w:cs="Batang"/>
      <w:bCs/>
      <w:color w:val="000000"/>
      <w:kern w:val="0"/>
      <w:sz w:val="28"/>
      <w:szCs w:val="20"/>
    </w:rPr>
  </w:style>
  <w:style w:type="paragraph" w:customStyle="1" w:styleId="979">
    <w:name w:val="xl37"/>
    <w:basedOn w:val="1"/>
    <w:autoRedefine/>
    <w:qFormat/>
    <w:uiPriority w:val="0"/>
    <w:pPr>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0000"/>
      <w:kern w:val="0"/>
      <w:sz w:val="20"/>
      <w:szCs w:val="20"/>
    </w:rPr>
  </w:style>
  <w:style w:type="paragraph" w:customStyle="1" w:styleId="980">
    <w:name w:val="样式 正文文字 + 首行缩进:  2 字符 行距: 最小值 24 磅"/>
    <w:basedOn w:val="1"/>
    <w:autoRedefine/>
    <w:qFormat/>
    <w:uiPriority w:val="0"/>
    <w:pPr>
      <w:spacing w:line="480" w:lineRule="atLeast"/>
      <w:ind w:firstLine="480"/>
    </w:pPr>
    <w:rPr>
      <w:rFonts w:cs="宋体"/>
      <w:bCs/>
      <w:color w:val="000000"/>
      <w:kern w:val="24"/>
      <w:szCs w:val="20"/>
    </w:rPr>
  </w:style>
  <w:style w:type="paragraph" w:customStyle="1" w:styleId="981">
    <w:name w:val="样式 标题 1 + 首行缩进:  2 字符"/>
    <w:basedOn w:val="5"/>
    <w:autoRedefine/>
    <w:qFormat/>
    <w:uiPriority w:val="0"/>
    <w:pPr>
      <w:keepLines/>
      <w:overflowPunct/>
      <w:snapToGrid/>
      <w:spacing w:before="240" w:after="240" w:line="440" w:lineRule="atLeast"/>
      <w:ind w:left="0" w:firstLine="0"/>
    </w:pPr>
    <w:rPr>
      <w:rFonts w:eastAsia="宋体"/>
    </w:rPr>
  </w:style>
  <w:style w:type="paragraph" w:customStyle="1" w:styleId="982">
    <w:name w:val="样式 样式 样式 标题 2标题2二级 标题 2H2h2第一层条标题 2 Char节标题节11 Char标题 2 Cha...1 ..."/>
    <w:basedOn w:val="920"/>
    <w:autoRedefine/>
    <w:qFormat/>
    <w:uiPriority w:val="0"/>
  </w:style>
  <w:style w:type="paragraph" w:customStyle="1" w:styleId="983">
    <w:name w:val="font7"/>
    <w:basedOn w:val="1"/>
    <w:autoRedefine/>
    <w:qFormat/>
    <w:uiPriority w:val="0"/>
    <w:pPr>
      <w:spacing w:before="100" w:beforeAutospacing="1" w:after="100" w:afterAutospacing="1"/>
    </w:pPr>
    <w:rPr>
      <w:rFonts w:eastAsia="Arial Unicode MS"/>
      <w:bCs/>
      <w:color w:val="000000"/>
      <w:kern w:val="0"/>
      <w:sz w:val="20"/>
      <w:szCs w:val="20"/>
    </w:rPr>
  </w:style>
  <w:style w:type="paragraph" w:customStyle="1" w:styleId="984">
    <w:name w:val="Char Char Char Char Char Char1 Char1"/>
    <w:basedOn w:val="1"/>
    <w:autoRedefine/>
    <w:semiHidden/>
    <w:qFormat/>
    <w:uiPriority w:val="0"/>
    <w:pPr>
      <w:tabs>
        <w:tab w:val="left" w:pos="360"/>
      </w:tabs>
      <w:ind w:firstLine="200"/>
    </w:pPr>
    <w:rPr>
      <w:bCs/>
      <w:color w:val="000000"/>
      <w:kern w:val="0"/>
    </w:rPr>
  </w:style>
  <w:style w:type="paragraph" w:customStyle="1" w:styleId="985">
    <w:name w:val="样式 标题 2 + 首行缩进:  2 字符"/>
    <w:basedOn w:val="6"/>
    <w:autoRedefine/>
    <w:qFormat/>
    <w:uiPriority w:val="0"/>
    <w:pPr>
      <w:spacing w:before="120" w:after="120" w:line="440" w:lineRule="atLeast"/>
    </w:pPr>
    <w:rPr>
      <w:rFonts w:ascii="Arial" w:hAnsi="Arial" w:cs="宋体"/>
      <w:bCs w:val="0"/>
      <w:color w:val="000000"/>
      <w:kern w:val="24"/>
      <w:sz w:val="28"/>
      <w:szCs w:val="20"/>
    </w:rPr>
  </w:style>
  <w:style w:type="paragraph" w:customStyle="1" w:styleId="986">
    <w:name w:val="样式 标题 3 + 首行缩进:  2 字符"/>
    <w:basedOn w:val="7"/>
    <w:autoRedefine/>
    <w:qFormat/>
    <w:uiPriority w:val="0"/>
    <w:pPr>
      <w:spacing w:before="60" w:after="60" w:line="440" w:lineRule="atLeast"/>
    </w:pPr>
    <w:rPr>
      <w:rFonts w:cs="宋体"/>
      <w:bCs w:val="0"/>
      <w:color w:val="000000"/>
      <w:kern w:val="24"/>
      <w:sz w:val="24"/>
      <w:szCs w:val="20"/>
    </w:rPr>
  </w:style>
  <w:style w:type="paragraph" w:customStyle="1" w:styleId="987">
    <w:name w:val="Char Char Char Char Char Char Char"/>
    <w:basedOn w:val="1"/>
    <w:autoRedefine/>
    <w:qFormat/>
    <w:uiPriority w:val="0"/>
    <w:rPr>
      <w:bCs/>
      <w:color w:val="000000"/>
      <w:kern w:val="24"/>
    </w:rPr>
  </w:style>
  <w:style w:type="paragraph" w:customStyle="1" w:styleId="988">
    <w:name w:val="编号标题"/>
    <w:basedOn w:val="7"/>
    <w:autoRedefine/>
    <w:qFormat/>
    <w:uiPriority w:val="0"/>
    <w:pPr>
      <w:spacing w:before="160" w:after="0" w:line="460" w:lineRule="exact"/>
      <w:outlineLvl w:val="9"/>
    </w:pPr>
    <w:rPr>
      <w:rFonts w:ascii="宋体" w:hAnsi="宋体"/>
      <w:b w:val="0"/>
      <w:color w:val="000000"/>
      <w:kern w:val="24"/>
      <w:sz w:val="21"/>
      <w:szCs w:val="24"/>
    </w:rPr>
  </w:style>
  <w:style w:type="paragraph" w:customStyle="1" w:styleId="989">
    <w:name w:val="Char Char Char Char Char Char Char Char Char Char"/>
    <w:basedOn w:val="1"/>
    <w:autoRedefine/>
    <w:qFormat/>
    <w:uiPriority w:val="0"/>
    <w:pPr>
      <w:spacing w:line="240" w:lineRule="exact"/>
      <w:ind w:firstLine="200"/>
    </w:pPr>
    <w:rPr>
      <w:rFonts w:ascii="宋体" w:hAnsi="宋体" w:cs="宋体"/>
      <w:bCs/>
      <w:color w:val="000000"/>
      <w:kern w:val="24"/>
    </w:rPr>
  </w:style>
  <w:style w:type="paragraph" w:customStyle="1" w:styleId="990">
    <w:name w:val="文1"/>
    <w:basedOn w:val="1"/>
    <w:autoRedefine/>
    <w:qFormat/>
    <w:uiPriority w:val="0"/>
    <w:pPr>
      <w:ind w:firstLine="480"/>
    </w:pPr>
    <w:rPr>
      <w:bCs/>
      <w:color w:val="000000"/>
      <w:kern w:val="24"/>
      <w:szCs w:val="20"/>
    </w:rPr>
  </w:style>
  <w:style w:type="paragraph" w:customStyle="1" w:styleId="991">
    <w:name w:val="样式9"/>
    <w:basedOn w:val="7"/>
    <w:autoRedefine/>
    <w:qFormat/>
    <w:uiPriority w:val="0"/>
    <w:pPr>
      <w:tabs>
        <w:tab w:val="left" w:pos="720"/>
        <w:tab w:val="left" w:pos="900"/>
        <w:tab w:val="left" w:pos="1260"/>
        <w:tab w:val="left" w:pos="1800"/>
      </w:tabs>
      <w:spacing w:before="0" w:after="0" w:line="240" w:lineRule="auto"/>
      <w:ind w:left="720" w:hanging="720"/>
    </w:pPr>
    <w:rPr>
      <w:rFonts w:ascii="Arial" w:hAnsi="Arial"/>
      <w:b w:val="0"/>
      <w:bCs w:val="0"/>
      <w:color w:val="000000"/>
      <w:kern w:val="24"/>
      <w:sz w:val="28"/>
      <w:szCs w:val="28"/>
    </w:rPr>
  </w:style>
  <w:style w:type="paragraph" w:customStyle="1" w:styleId="992">
    <w:name w:val="标题 3+"/>
    <w:basedOn w:val="7"/>
    <w:autoRedefine/>
    <w:semiHidden/>
    <w:qFormat/>
    <w:uiPriority w:val="0"/>
    <w:pPr>
      <w:keepNext w:val="0"/>
      <w:keepLines w:val="0"/>
      <w:spacing w:before="0" w:after="0" w:line="360" w:lineRule="auto"/>
    </w:pPr>
    <w:rPr>
      <w:rFonts w:ascii="Arial" w:hAnsi="Arial"/>
      <w:b w:val="0"/>
      <w:bCs w:val="0"/>
      <w:snapToGrid w:val="0"/>
      <w:color w:val="000000"/>
      <w:kern w:val="0"/>
      <w:sz w:val="24"/>
      <w:szCs w:val="24"/>
    </w:rPr>
  </w:style>
  <w:style w:type="paragraph" w:customStyle="1" w:styleId="993">
    <w:name w:val="表格文字样式"/>
    <w:basedOn w:val="1"/>
    <w:autoRedefine/>
    <w:qFormat/>
    <w:uiPriority w:val="0"/>
    <w:pPr>
      <w:tabs>
        <w:tab w:val="left" w:pos="567"/>
      </w:tabs>
      <w:jc w:val="center"/>
    </w:pPr>
    <w:rPr>
      <w:rFonts w:ascii="ˎ̥" w:hAnsi="ˎ̥" w:eastAsia="FLGPEK+TimesNewRoman,Italic" w:cs="ˎ̥"/>
      <w:bCs/>
      <w:color w:val="000000"/>
      <w:spacing w:val="20"/>
      <w:kern w:val="24"/>
      <w:szCs w:val="20"/>
    </w:rPr>
  </w:style>
  <w:style w:type="paragraph" w:customStyle="1" w:styleId="994">
    <w:name w:val="brdrw15brsp20 tqctx4153t"/>
    <w:autoRedefine/>
    <w:qFormat/>
    <w:uiPriority w:val="0"/>
    <w:pPr>
      <w:widowControl w:val="0"/>
      <w:pBdr>
        <w:bottom w:val="single" w:color="auto" w:sz="6" w:space="0"/>
      </w:pBdr>
      <w:adjustRightInd w:val="0"/>
      <w:spacing w:line="312" w:lineRule="atLeast"/>
      <w:jc w:val="center"/>
      <w:textAlignment w:val="baseline"/>
    </w:pPr>
    <w:rPr>
      <w:rFonts w:ascii="Batang" w:hAnsi="Batang" w:eastAsia="宋体" w:cs="Batang"/>
      <w:bCs/>
      <w:color w:val="000000"/>
      <w:sz w:val="21"/>
      <w:szCs w:val="24"/>
      <w:lang w:val="en-US" w:eastAsia="zh-CN" w:bidi="ar-SA"/>
    </w:rPr>
  </w:style>
  <w:style w:type="paragraph" w:customStyle="1" w:styleId="995">
    <w:name w:val="图题注"/>
    <w:basedOn w:val="21"/>
    <w:autoRedefine/>
    <w:qFormat/>
    <w:uiPriority w:val="0"/>
    <w:pPr>
      <w:keepNext w:val="0"/>
      <w:tabs>
        <w:tab w:val="clear" w:pos="2445"/>
        <w:tab w:val="clear" w:pos="4156"/>
      </w:tabs>
      <w:spacing w:after="240"/>
    </w:pPr>
    <w:rPr>
      <w:rFonts w:ascii="黑体" w:hAnsi="Arial" w:eastAsia="黑体" w:cs="Times New Roman"/>
      <w:b w:val="0"/>
      <w:bCs/>
      <w:snapToGrid/>
      <w:color w:val="000000"/>
      <w:szCs w:val="21"/>
    </w:rPr>
  </w:style>
  <w:style w:type="paragraph" w:customStyle="1" w:styleId="996">
    <w:name w:val="正文（首行缩进两字） Char Char Char Char1 Char11"/>
    <w:basedOn w:val="1"/>
    <w:next w:val="2"/>
    <w:autoRedefine/>
    <w:semiHidden/>
    <w:qFormat/>
    <w:uiPriority w:val="0"/>
    <w:pPr>
      <w:spacing w:line="440" w:lineRule="exact"/>
      <w:ind w:firstLine="200"/>
    </w:pPr>
    <w:rPr>
      <w:rFonts w:ascii="Arial" w:hAnsi="Arial"/>
      <w:bCs/>
      <w:color w:val="000000"/>
      <w:kern w:val="24"/>
    </w:rPr>
  </w:style>
  <w:style w:type="paragraph" w:customStyle="1" w:styleId="997">
    <w:name w:val="5"/>
    <w:basedOn w:val="1"/>
    <w:next w:val="30"/>
    <w:autoRedefine/>
    <w:qFormat/>
    <w:uiPriority w:val="0"/>
    <w:pPr>
      <w:spacing w:line="440" w:lineRule="exact"/>
      <w:ind w:firstLine="548"/>
    </w:pPr>
    <w:rPr>
      <w:rFonts w:ascii="ˎ̥" w:hAnsi="ˎ̥" w:cs="Vladimir Script"/>
      <w:bCs/>
      <w:color w:val="000000"/>
      <w:kern w:val="0"/>
      <w:szCs w:val="20"/>
    </w:rPr>
  </w:style>
  <w:style w:type="paragraph" w:customStyle="1" w:styleId="998">
    <w:name w:val="xl57"/>
    <w:basedOn w:val="1"/>
    <w:autoRedefine/>
    <w:qFormat/>
    <w:uiPriority w:val="0"/>
    <w:pPr>
      <w:pBdr>
        <w:top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999">
    <w:name w:val="Char Char8 Char1"/>
    <w:basedOn w:val="7"/>
    <w:autoRedefine/>
    <w:semiHidden/>
    <w:qFormat/>
    <w:uiPriority w:val="0"/>
    <w:pPr>
      <w:tabs>
        <w:tab w:val="left" w:pos="360"/>
        <w:tab w:val="left" w:pos="900"/>
      </w:tabs>
      <w:spacing w:before="120" w:after="120" w:line="360" w:lineRule="auto"/>
      <w:ind w:left="542" w:leftChars="-12" w:firstLine="200"/>
    </w:pPr>
    <w:rPr>
      <w:rFonts w:eastAsia="黑体"/>
      <w:b w:val="0"/>
      <w:snapToGrid w:val="0"/>
      <w:color w:val="000000"/>
      <w:kern w:val="24"/>
      <w:sz w:val="24"/>
      <w:szCs w:val="24"/>
    </w:rPr>
  </w:style>
  <w:style w:type="paragraph" w:customStyle="1" w:styleId="1000">
    <w:name w:val="Char Char Char Char Char Char Char Char Char Char Char Char Char Char Char Char Char Char Char1"/>
    <w:basedOn w:val="1"/>
    <w:autoRedefine/>
    <w:qFormat/>
    <w:uiPriority w:val="0"/>
    <w:pPr>
      <w:ind w:firstLine="200"/>
    </w:pPr>
    <w:rPr>
      <w:rFonts w:ascii="宋体" w:hAnsi="宋体" w:cs="宋体"/>
      <w:bCs/>
      <w:color w:val="000000"/>
      <w:kern w:val="24"/>
    </w:rPr>
  </w:style>
  <w:style w:type="paragraph" w:customStyle="1" w:styleId="1001">
    <w:name w:val="目次"/>
    <w:basedOn w:val="259"/>
    <w:autoRedefine/>
    <w:qFormat/>
    <w:uiPriority w:val="0"/>
    <w:pPr>
      <w:keepNext/>
      <w:tabs>
        <w:tab w:val="left" w:pos="628"/>
        <w:tab w:val="left" w:pos="1727"/>
        <w:tab w:val="left" w:pos="1884"/>
        <w:tab w:val="left" w:pos="2660"/>
        <w:tab w:val="left" w:pos="4325"/>
      </w:tabs>
      <w:snapToGrid w:val="0"/>
      <w:spacing w:after="0" w:line="360" w:lineRule="auto"/>
      <w:ind w:firstLine="560" w:firstLineChars="200"/>
    </w:pPr>
    <w:rPr>
      <w:rFonts w:ascii="Sim Sun" w:hAnsi="Sim Sun"/>
      <w:b/>
      <w:bCs w:val="0"/>
      <w:sz w:val="28"/>
      <w:szCs w:val="28"/>
    </w:rPr>
  </w:style>
  <w:style w:type="paragraph" w:customStyle="1" w:styleId="1002">
    <w:name w:val="表格字体"/>
    <w:autoRedefine/>
    <w:qFormat/>
    <w:uiPriority w:val="0"/>
    <w:pPr>
      <w:spacing w:line="320" w:lineRule="exact"/>
      <w:jc w:val="center"/>
    </w:pPr>
    <w:rPr>
      <w:rFonts w:ascii="Times New Roman" w:hAnsi="Times New Roman" w:eastAsia="华文中宋" w:cs="Times New Roman"/>
      <w:bCs/>
      <w:color w:val="000000"/>
      <w:kern w:val="2"/>
      <w:sz w:val="21"/>
      <w:szCs w:val="21"/>
      <w:lang w:val="en-US" w:eastAsia="zh-CN" w:bidi="ar-SA"/>
    </w:rPr>
  </w:style>
  <w:style w:type="paragraph" w:customStyle="1" w:styleId="1003">
    <w:name w:val="A标题"/>
    <w:basedOn w:val="8"/>
    <w:autoRedefine/>
    <w:qFormat/>
    <w:uiPriority w:val="0"/>
    <w:pPr>
      <w:tabs>
        <w:tab w:val="left" w:pos="-120"/>
        <w:tab w:val="left" w:pos="625"/>
      </w:tabs>
      <w:spacing w:before="60" w:after="60" w:line="264" w:lineRule="auto"/>
      <w:ind w:left="625" w:hanging="425"/>
    </w:pPr>
    <w:rPr>
      <w:rFonts w:ascii="Times New Roman" w:hAnsi="Times New Roman"/>
      <w:b w:val="0"/>
      <w:color w:val="000000"/>
      <w:spacing w:val="20"/>
      <w:kern w:val="24"/>
      <w:sz w:val="24"/>
      <w:szCs w:val="20"/>
    </w:rPr>
  </w:style>
  <w:style w:type="paragraph" w:customStyle="1" w:styleId="1004">
    <w:name w:val="reader-word-layer reader-word-s1-25"/>
    <w:basedOn w:val="1"/>
    <w:autoRedefine/>
    <w:qFormat/>
    <w:uiPriority w:val="0"/>
    <w:pPr>
      <w:spacing w:before="100" w:beforeAutospacing="1" w:after="100" w:afterAutospacing="1"/>
    </w:pPr>
    <w:rPr>
      <w:rFonts w:ascii="宋体" w:hAnsi="宋体" w:cs="宋体"/>
      <w:bCs/>
      <w:color w:val="000000"/>
      <w:kern w:val="0"/>
    </w:rPr>
  </w:style>
  <w:style w:type="paragraph" w:customStyle="1" w:styleId="1005">
    <w:name w:val="表格新"/>
    <w:basedOn w:val="1"/>
    <w:autoRedefine/>
    <w:qFormat/>
    <w:uiPriority w:val="0"/>
    <w:pPr>
      <w:spacing w:before="60" w:after="60"/>
      <w:jc w:val="center"/>
      <w:textAlignment w:val="baseline"/>
    </w:pPr>
    <w:rPr>
      <w:rFonts w:ascii="宋体" w:hAnsi="宋体"/>
      <w:bCs/>
      <w:color w:val="000000"/>
      <w:kern w:val="0"/>
      <w:szCs w:val="20"/>
    </w:rPr>
  </w:style>
  <w:style w:type="paragraph" w:customStyle="1" w:styleId="1006">
    <w:name w:val="Char Char Char Char Char1 Char1"/>
    <w:basedOn w:val="7"/>
    <w:autoRedefine/>
    <w:semiHidden/>
    <w:qFormat/>
    <w:uiPriority w:val="0"/>
    <w:pPr>
      <w:tabs>
        <w:tab w:val="left" w:pos="360"/>
        <w:tab w:val="left" w:pos="900"/>
      </w:tabs>
      <w:spacing w:before="120" w:after="120" w:line="360" w:lineRule="auto"/>
      <w:ind w:left="542" w:leftChars="-12" w:firstLine="200"/>
    </w:pPr>
    <w:rPr>
      <w:color w:val="000000"/>
      <w:kern w:val="24"/>
      <w:sz w:val="24"/>
      <w:szCs w:val="24"/>
    </w:rPr>
  </w:style>
  <w:style w:type="paragraph" w:customStyle="1" w:styleId="1007">
    <w:name w:val="样式 黑体 首行缩进:  2 字符 行距: 最小值 24 磅"/>
    <w:basedOn w:val="1"/>
    <w:autoRedefine/>
    <w:qFormat/>
    <w:uiPriority w:val="0"/>
    <w:pPr>
      <w:spacing w:line="480" w:lineRule="atLeast"/>
      <w:ind w:firstLine="480"/>
    </w:pPr>
    <w:rPr>
      <w:rFonts w:ascii="黑体" w:eastAsia="黑体" w:cs="宋体"/>
      <w:bCs/>
      <w:color w:val="000000"/>
      <w:kern w:val="24"/>
      <w:szCs w:val="20"/>
    </w:rPr>
  </w:style>
  <w:style w:type="paragraph" w:customStyle="1" w:styleId="1008">
    <w:name w:val="1标题1级"/>
    <w:basedOn w:val="1"/>
    <w:autoRedefine/>
    <w:qFormat/>
    <w:uiPriority w:val="0"/>
    <w:pPr>
      <w:keepNext/>
      <w:spacing w:beforeLines="100" w:afterLines="100"/>
      <w:outlineLvl w:val="0"/>
    </w:pPr>
    <w:rPr>
      <w:rFonts w:eastAsia="黑体"/>
      <w:b/>
      <w:bCs/>
      <w:color w:val="000000"/>
      <w:kern w:val="24"/>
      <w:sz w:val="30"/>
    </w:rPr>
  </w:style>
  <w:style w:type="paragraph" w:customStyle="1" w:styleId="1009">
    <w:name w:val="样式 首行缩进:  2 字符5"/>
    <w:basedOn w:val="1"/>
    <w:autoRedefine/>
    <w:qFormat/>
    <w:uiPriority w:val="0"/>
    <w:pPr>
      <w:spacing w:line="520" w:lineRule="exact"/>
      <w:ind w:firstLine="560"/>
    </w:pPr>
    <w:rPr>
      <w:rFonts w:cs="宋体"/>
      <w:bCs/>
      <w:color w:val="000000"/>
      <w:kern w:val="24"/>
      <w:szCs w:val="20"/>
    </w:rPr>
  </w:style>
  <w:style w:type="paragraph" w:customStyle="1" w:styleId="1010">
    <w:name w:val="正文首行缩进 2 + Times New Roman"/>
    <w:basedOn w:val="1"/>
    <w:autoRedefine/>
    <w:qFormat/>
    <w:uiPriority w:val="0"/>
    <w:pPr>
      <w:tabs>
        <w:tab w:val="left" w:pos="0"/>
        <w:tab w:val="left" w:pos="870"/>
        <w:tab w:val="left" w:pos="3150"/>
      </w:tabs>
      <w:ind w:firstLine="200"/>
    </w:pPr>
    <w:rPr>
      <w:bCs/>
      <w:color w:val="000000"/>
      <w:kern w:val="0"/>
    </w:rPr>
  </w:style>
  <w:style w:type="paragraph" w:customStyle="1" w:styleId="1011">
    <w:name w:val="xl24"/>
    <w:basedOn w:val="1"/>
    <w:autoRedefine/>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12">
    <w:name w:val="样式 标题 3 + 宋体 黑色 首行缩进:  2 字符 段前: 6 磅 段后: 6 磅 行距: 最小值 24 磅"/>
    <w:basedOn w:val="7"/>
    <w:autoRedefine/>
    <w:qFormat/>
    <w:uiPriority w:val="0"/>
    <w:pPr>
      <w:tabs>
        <w:tab w:val="left" w:pos="1260"/>
        <w:tab w:val="left" w:pos="1800"/>
      </w:tabs>
      <w:spacing w:beforeLines="50" w:afterLines="50" w:line="240" w:lineRule="auto"/>
      <w:ind w:firstLine="200"/>
      <w:textAlignment w:val="baseline"/>
    </w:pPr>
    <w:rPr>
      <w:rFonts w:ascii="宋体" w:hAnsi="宋体"/>
      <w:b w:val="0"/>
      <w:bCs w:val="0"/>
      <w:color w:val="000000"/>
      <w:kern w:val="24"/>
      <w:sz w:val="28"/>
      <w:szCs w:val="28"/>
    </w:rPr>
  </w:style>
  <w:style w:type="paragraph" w:customStyle="1" w:styleId="1013">
    <w:name w:val="2级"/>
    <w:basedOn w:val="1"/>
    <w:autoRedefine/>
    <w:qFormat/>
    <w:uiPriority w:val="0"/>
    <w:rPr>
      <w:rFonts w:ascii="Batang" w:hAnsi="Batang" w:eastAsia="FLGPEK+TimesNewRoman,Italic" w:cs="Batang"/>
      <w:b/>
      <w:bCs/>
      <w:color w:val="000000"/>
      <w:kern w:val="24"/>
      <w:sz w:val="28"/>
      <w:szCs w:val="20"/>
    </w:rPr>
  </w:style>
  <w:style w:type="paragraph" w:customStyle="1" w:styleId="1014">
    <w:name w:val="0"/>
    <w:basedOn w:val="1"/>
    <w:autoRedefine/>
    <w:qFormat/>
    <w:uiPriority w:val="0"/>
    <w:rPr>
      <w:bCs/>
      <w:color w:val="000000"/>
      <w:kern w:val="0"/>
      <w:szCs w:val="21"/>
    </w:rPr>
  </w:style>
  <w:style w:type="paragraph" w:customStyle="1" w:styleId="1015">
    <w:name w:val="style26"/>
    <w:basedOn w:val="1"/>
    <w:autoRedefine/>
    <w:qFormat/>
    <w:uiPriority w:val="0"/>
    <w:pPr>
      <w:spacing w:before="100" w:beforeAutospacing="1" w:after="100" w:afterAutospacing="1" w:line="440" w:lineRule="exact"/>
      <w:ind w:firstLine="200"/>
    </w:pPr>
    <w:rPr>
      <w:rFonts w:ascii="Sim Sun" w:hAnsi="Sim Sun" w:cs="Sim Sun"/>
      <w:bCs/>
      <w:color w:val="000000"/>
      <w:kern w:val="0"/>
      <w:szCs w:val="21"/>
    </w:rPr>
  </w:style>
  <w:style w:type="paragraph" w:customStyle="1" w:styleId="1016">
    <w:name w:val="Char Char Char Char Char Char Char Char Char Char Char"/>
    <w:basedOn w:val="1"/>
    <w:autoRedefine/>
    <w:qFormat/>
    <w:uiPriority w:val="0"/>
    <w:rPr>
      <w:rFonts w:ascii="Batang" w:hAnsi="Batang" w:cs="Batang"/>
      <w:bCs/>
      <w:color w:val="000000"/>
      <w:kern w:val="24"/>
    </w:rPr>
  </w:style>
  <w:style w:type="paragraph" w:customStyle="1" w:styleId="1017">
    <w:name w:val="表格文字2"/>
    <w:basedOn w:val="1"/>
    <w:autoRedefine/>
    <w:qFormat/>
    <w:uiPriority w:val="0"/>
    <w:pPr>
      <w:tabs>
        <w:tab w:val="left" w:pos="277"/>
        <w:tab w:val="left" w:pos="600"/>
        <w:tab w:val="left" w:pos="780"/>
        <w:tab w:val="left" w:pos="2517"/>
      </w:tabs>
      <w:spacing w:before="60"/>
      <w:jc w:val="center"/>
      <w:textAlignment w:val="baseline"/>
    </w:pPr>
    <w:rPr>
      <w:bCs/>
      <w:color w:val="000000"/>
      <w:kern w:val="0"/>
      <w:szCs w:val="21"/>
    </w:rPr>
  </w:style>
  <w:style w:type="paragraph" w:customStyle="1" w:styleId="1018">
    <w:name w:val="表名称 Char"/>
    <w:basedOn w:val="1"/>
    <w:autoRedefine/>
    <w:qFormat/>
    <w:uiPriority w:val="0"/>
    <w:pPr>
      <w:tabs>
        <w:tab w:val="left" w:pos="-120"/>
      </w:tabs>
      <w:overflowPunct w:val="0"/>
      <w:topLinePunct/>
      <w:spacing w:before="120" w:after="120"/>
      <w:jc w:val="center"/>
      <w:textAlignment w:val="baseline"/>
    </w:pPr>
    <w:rPr>
      <w:b/>
      <w:bCs/>
      <w:color w:val="000000"/>
      <w:kern w:val="0"/>
    </w:rPr>
  </w:style>
  <w:style w:type="paragraph" w:customStyle="1" w:styleId="1019">
    <w:name w:val="6表(图)头(治)"/>
    <w:next w:val="1"/>
    <w:autoRedefine/>
    <w:qFormat/>
    <w:uiPriority w:val="0"/>
    <w:pPr>
      <w:widowControl w:val="0"/>
      <w:jc w:val="center"/>
    </w:pPr>
    <w:rPr>
      <w:rFonts w:ascii="Times New Roman" w:hAnsi="宋体" w:eastAsia="宋体" w:cs="Times New Roman"/>
      <w:bCs/>
      <w:color w:val="000000"/>
      <w:sz w:val="24"/>
      <w:szCs w:val="24"/>
      <w:lang w:val="en-US" w:eastAsia="zh-CN" w:bidi="ar-SA"/>
    </w:rPr>
  </w:style>
  <w:style w:type="paragraph" w:customStyle="1" w:styleId="1020">
    <w:name w:val="样式 居中"/>
    <w:basedOn w:val="1"/>
    <w:autoRedefine/>
    <w:qFormat/>
    <w:uiPriority w:val="0"/>
    <w:pPr>
      <w:spacing w:line="440" w:lineRule="atLeast"/>
      <w:ind w:firstLine="200"/>
      <w:jc w:val="center"/>
    </w:pPr>
    <w:rPr>
      <w:bCs/>
      <w:color w:val="000000"/>
      <w:kern w:val="24"/>
      <w:szCs w:val="20"/>
    </w:rPr>
  </w:style>
  <w:style w:type="paragraph" w:customStyle="1" w:styleId="1021">
    <w:name w:val="正文首缩"/>
    <w:basedOn w:val="30"/>
    <w:autoRedefine/>
    <w:qFormat/>
    <w:uiPriority w:val="0"/>
    <w:pPr>
      <w:widowControl w:val="0"/>
      <w:spacing w:before="0" w:after="80" w:line="288" w:lineRule="auto"/>
      <w:ind w:right="0" w:firstLine="454"/>
    </w:pPr>
    <w:rPr>
      <w:bCs/>
      <w:color w:val="000000"/>
      <w:kern w:val="24"/>
      <w:sz w:val="24"/>
    </w:rPr>
  </w:style>
  <w:style w:type="paragraph" w:customStyle="1" w:styleId="1022">
    <w:name w:val="zxz5"/>
    <w:next w:val="1"/>
    <w:autoRedefine/>
    <w:qFormat/>
    <w:uiPriority w:val="0"/>
    <w:pPr>
      <w:tabs>
        <w:tab w:val="left" w:pos="0"/>
      </w:tabs>
      <w:jc w:val="center"/>
    </w:pPr>
    <w:rPr>
      <w:rFonts w:ascii="宋体" w:hAnsi="宋体" w:eastAsia="Times New Roman" w:cs="宋体"/>
      <w:color w:val="000000"/>
      <w:kern w:val="2"/>
      <w:sz w:val="18"/>
      <w:szCs w:val="18"/>
      <w:lang w:val="en-US" w:eastAsia="zh-CN" w:bidi="ar-SA"/>
    </w:rPr>
  </w:style>
  <w:style w:type="paragraph" w:customStyle="1" w:styleId="1023">
    <w:name w:val="样式3"/>
    <w:basedOn w:val="8"/>
    <w:autoRedefine/>
    <w:qFormat/>
    <w:uiPriority w:val="0"/>
    <w:pPr>
      <w:tabs>
        <w:tab w:val="left" w:pos="720"/>
        <w:tab w:val="left" w:pos="780"/>
      </w:tabs>
      <w:spacing w:line="480" w:lineRule="exact"/>
      <w:ind w:left="200" w:leftChars="200" w:hanging="200" w:hangingChars="200"/>
    </w:pPr>
    <w:rPr>
      <w:rFonts w:ascii="Times New Roman" w:hAnsi="Times New Roman" w:eastAsia="宋体"/>
      <w:color w:val="000000"/>
      <w:kern w:val="24"/>
    </w:rPr>
  </w:style>
  <w:style w:type="paragraph" w:customStyle="1" w:styleId="1024">
    <w:name w:val="正文文本 22"/>
    <w:basedOn w:val="1"/>
    <w:autoRedefine/>
    <w:qFormat/>
    <w:uiPriority w:val="0"/>
    <w:pPr>
      <w:spacing w:line="440" w:lineRule="exact"/>
      <w:ind w:firstLine="425"/>
      <w:textAlignment w:val="baseline"/>
    </w:pPr>
    <w:rPr>
      <w:rFonts w:ascii="Arial Unicode MS" w:hAnsi="Arial Unicode MS" w:cs="Vladimir Script"/>
      <w:bCs/>
      <w:color w:val="000000"/>
      <w:kern w:val="24"/>
      <w:szCs w:val="20"/>
    </w:rPr>
  </w:style>
  <w:style w:type="paragraph" w:customStyle="1" w:styleId="1025">
    <w:name w:val="样式 五号 居中 行距: 固定值 20 磅"/>
    <w:basedOn w:val="1"/>
    <w:autoRedefine/>
    <w:qFormat/>
    <w:uiPriority w:val="0"/>
    <w:pPr>
      <w:spacing w:line="380" w:lineRule="exact"/>
      <w:jc w:val="center"/>
    </w:pPr>
    <w:rPr>
      <w:rFonts w:cs="宋体"/>
      <w:bCs/>
      <w:color w:val="000000"/>
      <w:kern w:val="24"/>
      <w:szCs w:val="21"/>
    </w:rPr>
  </w:style>
  <w:style w:type="paragraph" w:customStyle="1" w:styleId="1026">
    <w:name w:val="reader-word-layer reader-word-s3-5"/>
    <w:basedOn w:val="1"/>
    <w:autoRedefine/>
    <w:qFormat/>
    <w:uiPriority w:val="0"/>
    <w:pPr>
      <w:spacing w:before="100" w:beforeAutospacing="1" w:after="100" w:afterAutospacing="1"/>
    </w:pPr>
    <w:rPr>
      <w:rFonts w:ascii="宋体" w:hAnsi="宋体" w:cs="宋体"/>
      <w:bCs/>
      <w:color w:val="000000"/>
      <w:kern w:val="0"/>
    </w:rPr>
  </w:style>
  <w:style w:type="paragraph" w:customStyle="1" w:styleId="1027">
    <w:name w:val="样式 标题 2标题2节（节） + 左 段前: 6 磅 段后: 6 磅 行距: 单倍行距"/>
    <w:basedOn w:val="6"/>
    <w:autoRedefine/>
    <w:qFormat/>
    <w:uiPriority w:val="0"/>
    <w:pPr>
      <w:keepNext w:val="0"/>
      <w:keepLines w:val="0"/>
      <w:tabs>
        <w:tab w:val="left" w:pos="567"/>
      </w:tabs>
      <w:spacing w:before="120" w:after="120" w:line="360" w:lineRule="exact"/>
      <w:ind w:left="578" w:hanging="578"/>
      <w:textAlignment w:val="baseline"/>
    </w:pPr>
    <w:rPr>
      <w:rFonts w:ascii="Sim Sun" w:hAnsi="Arial Unicode MS" w:eastAsia="宋体-方正超大字符集" w:cs="Vladimir Script"/>
      <w:color w:val="000000"/>
      <w:kern w:val="24"/>
      <w:sz w:val="24"/>
      <w:szCs w:val="20"/>
    </w:rPr>
  </w:style>
  <w:style w:type="paragraph" w:customStyle="1" w:styleId="1028">
    <w:name w:val="2 Char Char Char Char Char Char Char Char Char Char"/>
    <w:basedOn w:val="1"/>
    <w:autoRedefine/>
    <w:qFormat/>
    <w:uiPriority w:val="0"/>
    <w:rPr>
      <w:rFonts w:ascii="Batang" w:hAnsi="Batang" w:cs="Batang"/>
      <w:bCs/>
      <w:color w:val="000000"/>
      <w:kern w:val="24"/>
    </w:rPr>
  </w:style>
  <w:style w:type="paragraph" w:customStyle="1" w:styleId="1029">
    <w:name w:val="正文01"/>
    <w:basedOn w:val="1"/>
    <w:autoRedefine/>
    <w:qFormat/>
    <w:uiPriority w:val="0"/>
    <w:pPr>
      <w:spacing w:before="60" w:line="460" w:lineRule="exact"/>
      <w:ind w:firstLine="200"/>
    </w:pPr>
    <w:rPr>
      <w:rFonts w:ascii="Batang" w:hAnsi="Batang" w:cs="Batang"/>
      <w:bCs/>
      <w:snapToGrid w:val="0"/>
      <w:color w:val="000000"/>
      <w:kern w:val="0"/>
      <w:szCs w:val="20"/>
    </w:rPr>
  </w:style>
  <w:style w:type="paragraph" w:customStyle="1" w:styleId="1030">
    <w:name w:val="Body Text 21"/>
    <w:basedOn w:val="1"/>
    <w:autoRedefine/>
    <w:qFormat/>
    <w:uiPriority w:val="0"/>
    <w:pPr>
      <w:textAlignment w:val="baseline"/>
    </w:pPr>
    <w:rPr>
      <w:rFonts w:eastAsia="仿宋体"/>
      <w:bCs/>
      <w:color w:val="000000"/>
      <w:kern w:val="24"/>
      <w:szCs w:val="20"/>
    </w:rPr>
  </w:style>
  <w:style w:type="paragraph" w:customStyle="1" w:styleId="1031">
    <w:name w:val="表格1"/>
    <w:basedOn w:val="1"/>
    <w:autoRedefine/>
    <w:qFormat/>
    <w:uiPriority w:val="0"/>
    <w:pPr>
      <w:spacing w:line="400" w:lineRule="atLeast"/>
      <w:jc w:val="center"/>
    </w:pPr>
    <w:rPr>
      <w:rFonts w:hint="eastAsia"/>
      <w:bCs/>
      <w:color w:val="000000"/>
      <w:kern w:val="24"/>
      <w:szCs w:val="20"/>
    </w:rPr>
  </w:style>
  <w:style w:type="paragraph" w:customStyle="1" w:styleId="1032">
    <w:name w:val="表头8"/>
    <w:basedOn w:val="725"/>
    <w:autoRedefine/>
    <w:qFormat/>
    <w:uiPriority w:val="0"/>
    <w:pPr>
      <w:tabs>
        <w:tab w:val="left" w:pos="903"/>
        <w:tab w:val="left" w:pos="1728"/>
        <w:tab w:val="clear" w:pos="843"/>
      </w:tabs>
      <w:ind w:left="845"/>
    </w:pPr>
  </w:style>
  <w:style w:type="paragraph" w:customStyle="1" w:styleId="1033">
    <w:name w:val="样式 标题 11.标题 1一、标题 1 Char Char Char Char1 南陵标题 1标题 1 Char标题..."/>
    <w:basedOn w:val="5"/>
    <w:autoRedefine/>
    <w:qFormat/>
    <w:uiPriority w:val="0"/>
    <w:pPr>
      <w:tabs>
        <w:tab w:val="left" w:pos="360"/>
      </w:tabs>
      <w:overflowPunct/>
      <w:snapToGrid/>
      <w:spacing w:after="62" w:line="440" w:lineRule="exact"/>
      <w:ind w:left="0" w:firstLine="200"/>
      <w:textAlignment w:val="baseline"/>
    </w:pPr>
    <w:rPr>
      <w:rFonts w:ascii="Arial Unicode MS" w:hAnsi="Arial Unicode MS" w:eastAsia="Garamond" w:cs="Vladimir Script"/>
      <w:kern w:val="2"/>
      <w:sz w:val="28"/>
      <w:szCs w:val="20"/>
    </w:rPr>
  </w:style>
  <w:style w:type="paragraph" w:customStyle="1" w:styleId="1034">
    <w:name w:val="生物拉丁文名"/>
    <w:basedOn w:val="1"/>
    <w:autoRedefine/>
    <w:qFormat/>
    <w:uiPriority w:val="0"/>
    <w:pPr>
      <w:tabs>
        <w:tab w:val="left" w:pos="-120"/>
      </w:tabs>
      <w:overflowPunct w:val="0"/>
      <w:topLinePunct/>
      <w:spacing w:before="60" w:afterLines="50" w:line="0" w:lineRule="atLeast"/>
      <w:ind w:firstLine="454"/>
    </w:pPr>
    <w:rPr>
      <w:bCs/>
      <w:i/>
      <w:color w:val="000000"/>
      <w:spacing w:val="20"/>
      <w:kern w:val="24"/>
      <w:szCs w:val="20"/>
    </w:rPr>
  </w:style>
  <w:style w:type="paragraph" w:customStyle="1" w:styleId="1035">
    <w:name w:val="样式 小四 行距: 固定值 24 磅 首行缩进:  2 字符"/>
    <w:basedOn w:val="1"/>
    <w:autoRedefine/>
    <w:qFormat/>
    <w:uiPriority w:val="0"/>
    <w:pPr>
      <w:spacing w:line="440" w:lineRule="exact"/>
      <w:ind w:firstLine="200"/>
    </w:pPr>
    <w:rPr>
      <w:bCs/>
      <w:color w:val="000000"/>
      <w:kern w:val="24"/>
    </w:rPr>
  </w:style>
  <w:style w:type="paragraph" w:customStyle="1" w:styleId="1036">
    <w:name w:val="样式 首行缩进:  2 字符6"/>
    <w:basedOn w:val="1"/>
    <w:autoRedefine/>
    <w:qFormat/>
    <w:uiPriority w:val="0"/>
    <w:pPr>
      <w:spacing w:line="520" w:lineRule="exact"/>
      <w:ind w:firstLine="560"/>
    </w:pPr>
    <w:rPr>
      <w:rFonts w:cs="宋体"/>
      <w:bCs/>
      <w:color w:val="000000"/>
      <w:kern w:val="24"/>
      <w:szCs w:val="20"/>
    </w:rPr>
  </w:style>
  <w:style w:type="paragraph" w:customStyle="1" w:styleId="1037">
    <w:name w:val="封面标准名称"/>
    <w:autoRedefine/>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bCs/>
      <w:color w:val="000000"/>
      <w:sz w:val="52"/>
      <w:szCs w:val="24"/>
      <w:lang w:val="en-US" w:eastAsia="zh-CN" w:bidi="ar-SA"/>
    </w:rPr>
  </w:style>
  <w:style w:type="paragraph" w:customStyle="1" w:styleId="1038">
    <w:name w:val="y表格"/>
    <w:basedOn w:val="30"/>
    <w:autoRedefine/>
    <w:qFormat/>
    <w:uiPriority w:val="0"/>
    <w:pPr>
      <w:spacing w:before="0" w:after="0" w:line="240" w:lineRule="auto"/>
      <w:ind w:right="0"/>
      <w:jc w:val="center"/>
    </w:pPr>
    <w:rPr>
      <w:bCs/>
      <w:color w:val="000000"/>
      <w:sz w:val="21"/>
    </w:rPr>
  </w:style>
  <w:style w:type="paragraph" w:customStyle="1" w:styleId="1039">
    <w:name w:val="xl30"/>
    <w:basedOn w:val="1"/>
    <w:autoRedefine/>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Arial Unicode MS" w:hAnsi="Arial Unicode MS" w:eastAsia="Arial Unicode MS" w:cs="Arial Unicode MS"/>
      <w:bCs/>
      <w:color w:val="008000"/>
      <w:kern w:val="0"/>
      <w:sz w:val="20"/>
      <w:szCs w:val="20"/>
    </w:rPr>
  </w:style>
  <w:style w:type="paragraph" w:customStyle="1" w:styleId="1040">
    <w:name w:val="样式 样式 四号 首行缩进:  2 字符 + 首行缩进:  2 字符"/>
    <w:basedOn w:val="1"/>
    <w:autoRedefine/>
    <w:semiHidden/>
    <w:qFormat/>
    <w:uiPriority w:val="0"/>
    <w:pPr>
      <w:spacing w:line="480" w:lineRule="atLeast"/>
      <w:ind w:firstLine="480"/>
    </w:pPr>
    <w:rPr>
      <w:rFonts w:cs="宋体"/>
      <w:bCs/>
      <w:color w:val="000000"/>
      <w:kern w:val="24"/>
      <w:szCs w:val="20"/>
    </w:rPr>
  </w:style>
  <w:style w:type="paragraph" w:customStyle="1" w:styleId="1041">
    <w:name w:val="正文曹"/>
    <w:basedOn w:val="31"/>
    <w:autoRedefine/>
    <w:qFormat/>
    <w:uiPriority w:val="0"/>
    <w:pPr>
      <w:spacing w:after="0" w:line="500" w:lineRule="exact"/>
      <w:ind w:left="0" w:leftChars="0" w:firstLine="200"/>
    </w:pPr>
    <w:rPr>
      <w:rFonts w:ascii="Batang" w:hAnsi="Batang" w:cs="Batang"/>
      <w:bCs/>
      <w:color w:val="000000"/>
      <w:kern w:val="24"/>
      <w:szCs w:val="24"/>
    </w:rPr>
  </w:style>
  <w:style w:type="paragraph" w:customStyle="1" w:styleId="1042">
    <w:name w:val="样式 样式 标题 3 + 宋体 黑色 首行缩进:  2 字符 段前: 6 磅 段后: 6 磅 行距: 最小值 24 磅 + 首行..."/>
    <w:basedOn w:val="1012"/>
    <w:autoRedefine/>
    <w:qFormat/>
    <w:uiPriority w:val="0"/>
    <w:pPr>
      <w:ind w:firstLine="562"/>
    </w:pPr>
    <w:rPr>
      <w:rFonts w:ascii="Times New Roman" w:hAnsi="Times New Roman"/>
    </w:rPr>
  </w:style>
  <w:style w:type="paragraph" w:customStyle="1" w:styleId="1043">
    <w:name w:val="样式 四号 黑色 首行缩进:  2 字符"/>
    <w:basedOn w:val="1"/>
    <w:autoRedefine/>
    <w:qFormat/>
    <w:uiPriority w:val="0"/>
    <w:pPr>
      <w:spacing w:line="480" w:lineRule="atLeast"/>
      <w:ind w:firstLine="200"/>
    </w:pPr>
    <w:rPr>
      <w:bCs/>
      <w:color w:val="000000"/>
      <w:kern w:val="24"/>
    </w:rPr>
  </w:style>
  <w:style w:type="paragraph" w:customStyle="1" w:styleId="1044">
    <w:name w:val="标准"/>
    <w:basedOn w:val="1"/>
    <w:autoRedefine/>
    <w:qFormat/>
    <w:uiPriority w:val="0"/>
    <w:pPr>
      <w:spacing w:line="480" w:lineRule="exact"/>
      <w:ind w:firstLine="200"/>
      <w:jc w:val="distribute"/>
      <w:textAlignment w:val="baseline"/>
    </w:pPr>
    <w:rPr>
      <w:rFonts w:ascii="楷体_GB2312" w:eastAsia="楷体_GB2312"/>
      <w:bCs/>
      <w:color w:val="000000"/>
      <w:kern w:val="0"/>
      <w:sz w:val="32"/>
      <w:szCs w:val="20"/>
    </w:rPr>
  </w:style>
  <w:style w:type="paragraph" w:customStyle="1" w:styleId="1045">
    <w:name w:val="列表接续 31"/>
    <w:basedOn w:val="1"/>
    <w:autoRedefine/>
    <w:qFormat/>
    <w:uiPriority w:val="0"/>
    <w:pPr>
      <w:spacing w:after="120"/>
      <w:ind w:left="1260" w:leftChars="600"/>
    </w:pPr>
    <w:rPr>
      <w:rFonts w:ascii="Arial Unicode MS" w:hAnsi="Arial Unicode MS" w:cs="Vladimir Script"/>
      <w:bCs/>
      <w:color w:val="000000"/>
      <w:kern w:val="24"/>
    </w:rPr>
  </w:style>
  <w:style w:type="paragraph" w:customStyle="1" w:styleId="1046">
    <w:name w:val="Char14"/>
    <w:basedOn w:val="1"/>
    <w:autoRedefine/>
    <w:qFormat/>
    <w:uiPriority w:val="0"/>
    <w:pPr>
      <w:ind w:firstLine="200"/>
    </w:pPr>
    <w:rPr>
      <w:rFonts w:ascii="宋体" w:hAnsi="宋体" w:cs="宋体"/>
      <w:bCs/>
      <w:color w:val="000000"/>
      <w:kern w:val="24"/>
      <w:szCs w:val="21"/>
    </w:rPr>
  </w:style>
  <w:style w:type="paragraph" w:customStyle="1" w:styleId="1047">
    <w:name w:val="font6"/>
    <w:basedOn w:val="1"/>
    <w:autoRedefine/>
    <w:qFormat/>
    <w:uiPriority w:val="0"/>
    <w:pPr>
      <w:spacing w:before="100" w:beforeAutospacing="1" w:after="100" w:afterAutospacing="1"/>
    </w:pPr>
    <w:rPr>
      <w:rFonts w:hint="eastAsia" w:ascii="宋体" w:hAnsi="宋体" w:cs="Arial Unicode MS"/>
      <w:bCs/>
      <w:color w:val="000000"/>
      <w:kern w:val="0"/>
      <w:sz w:val="20"/>
      <w:szCs w:val="20"/>
    </w:rPr>
  </w:style>
  <w:style w:type="paragraph" w:customStyle="1" w:styleId="1048">
    <w:name w:val="font8"/>
    <w:basedOn w:val="1"/>
    <w:autoRedefine/>
    <w:qFormat/>
    <w:uiPriority w:val="0"/>
    <w:pPr>
      <w:spacing w:before="100" w:beforeAutospacing="1" w:after="100" w:afterAutospacing="1"/>
    </w:pPr>
    <w:rPr>
      <w:rFonts w:hint="eastAsia" w:ascii="宋体" w:hAnsi="宋体" w:cs="Arial Unicode MS"/>
      <w:bCs/>
      <w:color w:val="000000"/>
      <w:kern w:val="0"/>
      <w:sz w:val="18"/>
      <w:szCs w:val="18"/>
    </w:rPr>
  </w:style>
  <w:style w:type="paragraph" w:customStyle="1" w:styleId="1049">
    <w:name w:val="xl31"/>
    <w:basedOn w:val="1"/>
    <w:autoRedefine/>
    <w:qFormat/>
    <w:uiPriority w:val="0"/>
    <w:pPr>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50">
    <w:name w:val="1标题4级"/>
    <w:basedOn w:val="1051"/>
    <w:autoRedefine/>
    <w:qFormat/>
    <w:uiPriority w:val="0"/>
    <w:pPr>
      <w:spacing w:before="120" w:after="120"/>
      <w:jc w:val="both"/>
      <w:textAlignment w:val="center"/>
    </w:pPr>
  </w:style>
  <w:style w:type="paragraph" w:customStyle="1" w:styleId="1051">
    <w:name w:val="1标题3级"/>
    <w:basedOn w:val="1"/>
    <w:autoRedefine/>
    <w:qFormat/>
    <w:uiPriority w:val="0"/>
    <w:pPr>
      <w:keepNext/>
      <w:spacing w:beforeLines="50" w:afterLines="50"/>
      <w:outlineLvl w:val="2"/>
    </w:pPr>
    <w:rPr>
      <w:rFonts w:eastAsia="黑体"/>
      <w:b/>
      <w:bCs/>
      <w:color w:val="000000"/>
      <w:kern w:val="24"/>
      <w:szCs w:val="20"/>
    </w:rPr>
  </w:style>
  <w:style w:type="paragraph" w:customStyle="1" w:styleId="1052">
    <w:name w:val="xl33"/>
    <w:basedOn w:val="1"/>
    <w:autoRedefine/>
    <w:qFormat/>
    <w:uiPriority w:val="0"/>
    <w:pPr>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eastAsia="Arial Unicode MS"/>
      <w:bCs/>
      <w:color w:val="000000"/>
      <w:kern w:val="0"/>
      <w:sz w:val="20"/>
      <w:szCs w:val="20"/>
    </w:rPr>
  </w:style>
  <w:style w:type="paragraph" w:customStyle="1" w:styleId="1053">
    <w:name w:val="条(四级)"/>
    <w:basedOn w:val="1"/>
    <w:next w:val="1"/>
    <w:autoRedefine/>
    <w:qFormat/>
    <w:uiPriority w:val="0"/>
    <w:pPr>
      <w:keepNext/>
      <w:keepLines/>
      <w:spacing w:line="460" w:lineRule="exact"/>
      <w:ind w:firstLine="200"/>
      <w:textAlignment w:val="bottom"/>
    </w:pPr>
    <w:rPr>
      <w:rFonts w:ascii="Sim Sun" w:hAnsi="ˎ̥" w:cs="Vladimir Script"/>
      <w:bCs/>
      <w:color w:val="000000"/>
      <w:spacing w:val="3"/>
      <w:kern w:val="24"/>
      <w:sz w:val="26"/>
      <w:szCs w:val="20"/>
    </w:rPr>
  </w:style>
  <w:style w:type="paragraph" w:customStyle="1" w:styleId="1054">
    <w:name w:val="Char Char Char1 Char1"/>
    <w:basedOn w:val="1"/>
    <w:autoRedefine/>
    <w:qFormat/>
    <w:uiPriority w:val="0"/>
    <w:pPr>
      <w:spacing w:line="440" w:lineRule="exact"/>
      <w:ind w:left="432" w:hanging="432"/>
    </w:pPr>
    <w:rPr>
      <w:rFonts w:ascii="Arial Unicode MS" w:hAnsi="Arial Unicode MS" w:cs="Vladimir Script"/>
      <w:bCs/>
      <w:color w:val="000000"/>
      <w:kern w:val="24"/>
      <w:szCs w:val="20"/>
    </w:rPr>
  </w:style>
  <w:style w:type="paragraph" w:customStyle="1" w:styleId="1055">
    <w:name w:val="xl34"/>
    <w:basedOn w:val="1"/>
    <w:autoRedefine/>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ascii="Arial Unicode MS" w:hAnsi="Arial Unicode MS" w:eastAsia="Arial Unicode MS" w:cs="Arial Unicode MS"/>
      <w:bCs/>
      <w:color w:val="000000"/>
      <w:kern w:val="0"/>
      <w:sz w:val="20"/>
      <w:szCs w:val="20"/>
    </w:rPr>
  </w:style>
  <w:style w:type="paragraph" w:customStyle="1" w:styleId="1056">
    <w:name w:val="报告书表格5"/>
    <w:basedOn w:val="940"/>
    <w:autoRedefine/>
    <w:qFormat/>
    <w:uiPriority w:val="0"/>
    <w:pPr>
      <w:ind w:left="-96" w:leftChars="-40" w:right="-110" w:rightChars="-46"/>
    </w:pPr>
  </w:style>
  <w:style w:type="paragraph" w:customStyle="1" w:styleId="1057">
    <w:name w:val="xl42"/>
    <w:basedOn w:val="1"/>
    <w:autoRedefine/>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58">
    <w:name w:val="表格居中"/>
    <w:basedOn w:val="1"/>
    <w:autoRedefine/>
    <w:qFormat/>
    <w:uiPriority w:val="0"/>
    <w:pPr>
      <w:jc w:val="center"/>
    </w:pPr>
    <w:rPr>
      <w:rFonts w:cs="宋体"/>
      <w:bCs/>
      <w:color w:val="000000"/>
      <w:kern w:val="24"/>
      <w:szCs w:val="20"/>
    </w:rPr>
  </w:style>
  <w:style w:type="paragraph" w:customStyle="1" w:styleId="1059">
    <w:name w:val="wtext"/>
    <w:basedOn w:val="1"/>
    <w:autoRedefine/>
    <w:qFormat/>
    <w:uiPriority w:val="0"/>
    <w:pPr>
      <w:spacing w:before="100" w:beforeAutospacing="1" w:after="100" w:afterAutospacing="1"/>
      <w:ind w:firstLine="480"/>
    </w:pPr>
    <w:rPr>
      <w:bCs/>
      <w:color w:val="000000"/>
      <w:kern w:val="0"/>
      <w:sz w:val="22"/>
      <w:szCs w:val="22"/>
    </w:rPr>
  </w:style>
  <w:style w:type="paragraph" w:customStyle="1" w:styleId="1060">
    <w:name w:val="样式 首行缩进:  2 字符2"/>
    <w:basedOn w:val="1"/>
    <w:autoRedefine/>
    <w:qFormat/>
    <w:uiPriority w:val="0"/>
    <w:pPr>
      <w:spacing w:line="520" w:lineRule="exact"/>
      <w:ind w:firstLine="560"/>
    </w:pPr>
    <w:rPr>
      <w:rFonts w:cs="宋体"/>
      <w:bCs/>
      <w:color w:val="000000"/>
      <w:kern w:val="24"/>
      <w:szCs w:val="20"/>
    </w:rPr>
  </w:style>
  <w:style w:type="paragraph" w:customStyle="1" w:styleId="1061">
    <w:name w:val="表格内文字"/>
    <w:basedOn w:val="135"/>
    <w:autoRedefine/>
    <w:qFormat/>
    <w:uiPriority w:val="0"/>
    <w:pPr>
      <w:adjustRightInd/>
      <w:spacing w:beforeLines="0" w:afterLines="0" w:line="240" w:lineRule="auto"/>
      <w:ind w:left="-60" w:leftChars="-44" w:right="-108" w:rightChars="-45" w:hanging="46" w:hangingChars="22"/>
    </w:pPr>
    <w:rPr>
      <w:rFonts w:hAnsi="宋体"/>
      <w:bCs/>
      <w:color w:val="000000"/>
      <w:kern w:val="2"/>
      <w:lang w:val="zh-CN"/>
    </w:rPr>
  </w:style>
  <w:style w:type="paragraph" w:customStyle="1" w:styleId="1062">
    <w:name w:val="表头居右"/>
    <w:basedOn w:val="543"/>
    <w:autoRedefine/>
    <w:qFormat/>
    <w:uiPriority w:val="0"/>
    <w:pPr>
      <w:adjustRightInd/>
      <w:snapToGrid/>
      <w:spacing w:beforeLines="100" w:line="240" w:lineRule="auto"/>
      <w:ind w:firstLine="240" w:firstLineChars="100"/>
    </w:pPr>
    <w:rPr>
      <w:b w:val="0"/>
      <w:kern w:val="0"/>
      <w:szCs w:val="20"/>
    </w:rPr>
  </w:style>
  <w:style w:type="paragraph" w:customStyle="1" w:styleId="1063">
    <w:name w:val="样式 首行缩进:  0.80 厘米 段前: 7.8 磅"/>
    <w:basedOn w:val="1"/>
    <w:autoRedefine/>
    <w:qFormat/>
    <w:uiPriority w:val="0"/>
    <w:pPr>
      <w:spacing w:before="156" w:line="312" w:lineRule="auto"/>
      <w:ind w:firstLine="480"/>
    </w:pPr>
    <w:rPr>
      <w:bCs/>
      <w:color w:val="000000"/>
      <w:kern w:val="24"/>
      <w:szCs w:val="20"/>
    </w:rPr>
  </w:style>
  <w:style w:type="paragraph" w:customStyle="1" w:styleId="1064">
    <w:name w:val="标题后正文"/>
    <w:basedOn w:val="1"/>
    <w:autoRedefine/>
    <w:qFormat/>
    <w:uiPriority w:val="0"/>
    <w:pPr>
      <w:ind w:firstLine="200"/>
      <w:textAlignment w:val="baseline"/>
    </w:pPr>
    <w:rPr>
      <w:rFonts w:ascii="Arial" w:hAnsi="Arial"/>
      <w:bCs/>
      <w:snapToGrid w:val="0"/>
      <w:color w:val="000000"/>
      <w:kern w:val="28"/>
      <w:szCs w:val="20"/>
    </w:rPr>
  </w:style>
  <w:style w:type="paragraph" w:customStyle="1" w:styleId="1065">
    <w:name w:val="c"/>
    <w:autoRedefine/>
    <w:semiHidden/>
    <w:qFormat/>
    <w:uiPriority w:val="0"/>
    <w:pPr>
      <w:widowControl w:val="0"/>
      <w:autoSpaceDE w:val="0"/>
      <w:autoSpaceDN w:val="0"/>
      <w:adjustRightInd w:val="0"/>
      <w:jc w:val="both"/>
    </w:pPr>
    <w:rPr>
      <w:rFonts w:ascii="Arial" w:hAnsi="Arial" w:eastAsia="宋体" w:cs="Times New Roman"/>
      <w:bCs/>
      <w:color w:val="000000"/>
      <w:sz w:val="24"/>
      <w:szCs w:val="24"/>
      <w:lang w:val="en-US" w:eastAsia="zh-CN" w:bidi="ar-SA"/>
    </w:rPr>
  </w:style>
  <w:style w:type="paragraph" w:customStyle="1" w:styleId="1066">
    <w:name w:val="a)"/>
    <w:basedOn w:val="1"/>
    <w:autoRedefine/>
    <w:qFormat/>
    <w:uiPriority w:val="0"/>
    <w:rPr>
      <w:bCs/>
      <w:color w:val="000000"/>
      <w:kern w:val="24"/>
    </w:rPr>
  </w:style>
  <w:style w:type="paragraph" w:customStyle="1" w:styleId="1067">
    <w:name w:val="样式 热电厂正文 + 四号 首行缩进:  2 字符"/>
    <w:basedOn w:val="1"/>
    <w:autoRedefine/>
    <w:qFormat/>
    <w:uiPriority w:val="0"/>
    <w:pPr>
      <w:spacing w:line="480" w:lineRule="exact"/>
      <w:ind w:firstLine="200"/>
    </w:pPr>
    <w:rPr>
      <w:rFonts w:cs="宋体"/>
      <w:bCs/>
      <w:color w:val="000000"/>
      <w:kern w:val="24"/>
      <w:szCs w:val="20"/>
    </w:rPr>
  </w:style>
  <w:style w:type="paragraph" w:customStyle="1" w:styleId="1068">
    <w:name w:val="小四表格"/>
    <w:basedOn w:val="1"/>
    <w:next w:val="1"/>
    <w:autoRedefine/>
    <w:semiHidden/>
    <w:qFormat/>
    <w:uiPriority w:val="0"/>
    <w:pPr>
      <w:jc w:val="center"/>
    </w:pPr>
    <w:rPr>
      <w:rFonts w:ascii="ˎ̥" w:hAnsi="ˎ̥" w:cs="Batang"/>
      <w:bCs/>
      <w:snapToGrid w:val="0"/>
      <w:color w:val="000000"/>
      <w:kern w:val="24"/>
      <w:szCs w:val="20"/>
    </w:rPr>
  </w:style>
  <w:style w:type="paragraph" w:customStyle="1" w:styleId="1069">
    <w:name w:val="Char2 Char Char Char Char Char Char"/>
    <w:basedOn w:val="1"/>
    <w:autoRedefine/>
    <w:qFormat/>
    <w:uiPriority w:val="0"/>
    <w:rPr>
      <w:rFonts w:ascii="Batang" w:hAnsi="Batang" w:cs="Batang"/>
      <w:bCs/>
      <w:color w:val="000000"/>
      <w:kern w:val="24"/>
    </w:rPr>
  </w:style>
  <w:style w:type="paragraph" w:customStyle="1" w:styleId="1070">
    <w:name w:val="样式 首行缩进:  2 字符9"/>
    <w:basedOn w:val="1"/>
    <w:autoRedefine/>
    <w:qFormat/>
    <w:uiPriority w:val="0"/>
    <w:pPr>
      <w:spacing w:line="520" w:lineRule="exact"/>
      <w:ind w:firstLine="560"/>
    </w:pPr>
    <w:rPr>
      <w:rFonts w:cs="宋体"/>
      <w:bCs/>
      <w:color w:val="000000"/>
      <w:kern w:val="24"/>
      <w:szCs w:val="20"/>
    </w:rPr>
  </w:style>
  <w:style w:type="paragraph" w:customStyle="1" w:styleId="1071">
    <w:name w:val="样式 小四 首行缩进:  0.74 厘米 行距: 固定值 20 磅"/>
    <w:basedOn w:val="1"/>
    <w:autoRedefine/>
    <w:qFormat/>
    <w:uiPriority w:val="0"/>
    <w:pPr>
      <w:spacing w:line="440" w:lineRule="exact"/>
      <w:ind w:firstLine="454"/>
    </w:pPr>
    <w:rPr>
      <w:bCs/>
      <w:color w:val="000000"/>
      <w:kern w:val="24"/>
      <w:szCs w:val="20"/>
    </w:rPr>
  </w:style>
  <w:style w:type="paragraph" w:customStyle="1" w:styleId="1072">
    <w:name w:val="样式 标题 3 + 宋体"/>
    <w:basedOn w:val="7"/>
    <w:autoRedefine/>
    <w:qFormat/>
    <w:uiPriority w:val="0"/>
    <w:pPr>
      <w:spacing w:before="40" w:after="40" w:line="440" w:lineRule="exact"/>
    </w:pPr>
    <w:rPr>
      <w:rFonts w:ascii="Sim Sun" w:hAnsi="Sim Sun" w:eastAsia="Sim Sun" w:cs="Batang"/>
      <w:b w:val="0"/>
      <w:bCs w:val="0"/>
      <w:color w:val="000000"/>
      <w:kern w:val="24"/>
      <w:sz w:val="28"/>
    </w:rPr>
  </w:style>
  <w:style w:type="paragraph" w:customStyle="1" w:styleId="1073">
    <w:name w:val="1说明"/>
    <w:basedOn w:val="723"/>
    <w:autoRedefine/>
    <w:qFormat/>
    <w:uiPriority w:val="0"/>
    <w:rPr>
      <w:bCs/>
      <w:snapToGrid/>
      <w:kern w:val="2"/>
    </w:rPr>
  </w:style>
  <w:style w:type="paragraph" w:customStyle="1" w:styleId="1074">
    <w:name w:val="样式 题注 + 两端对齐"/>
    <w:basedOn w:val="21"/>
    <w:autoRedefine/>
    <w:qFormat/>
    <w:uiPriority w:val="0"/>
    <w:pPr>
      <w:tabs>
        <w:tab w:val="clear" w:pos="2445"/>
        <w:tab w:val="clear" w:pos="4156"/>
      </w:tabs>
    </w:pPr>
    <w:rPr>
      <w:rFonts w:cs="宋体"/>
      <w:b w:val="0"/>
      <w:bCs/>
      <w:snapToGrid/>
      <w:color w:val="000000"/>
      <w:kern w:val="24"/>
    </w:rPr>
  </w:style>
  <w:style w:type="paragraph" w:customStyle="1" w:styleId="1075">
    <w:name w:val="封皮字体3"/>
    <w:basedOn w:val="788"/>
    <w:autoRedefine/>
    <w:qFormat/>
    <w:uiPriority w:val="0"/>
    <w:pPr>
      <w:spacing w:line="720" w:lineRule="auto"/>
    </w:pPr>
    <w:rPr>
      <w:sz w:val="30"/>
    </w:rPr>
  </w:style>
  <w:style w:type="paragraph" w:customStyle="1" w:styleId="1076">
    <w:name w:val="样式 标题 1章标题 1文章标题h11st levelSection Headl1章b1H1章节标题1标题..."/>
    <w:basedOn w:val="5"/>
    <w:autoRedefine/>
    <w:qFormat/>
    <w:uiPriority w:val="0"/>
    <w:pPr>
      <w:keepNext w:val="0"/>
      <w:tabs>
        <w:tab w:val="left" w:pos="1260"/>
      </w:tabs>
      <w:overflowPunct/>
      <w:snapToGrid/>
      <w:spacing w:before="0" w:after="0" w:line="360" w:lineRule="auto"/>
      <w:ind w:left="1260" w:hanging="780"/>
      <w:textAlignment w:val="baseline"/>
    </w:pPr>
    <w:rPr>
      <w:rFonts w:ascii="Arial Unicode MS" w:hAnsi="Arial Unicode MS" w:eastAsia="仿宋体" w:cs="Vladimir Script"/>
      <w:b w:val="0"/>
      <w:color w:val="0000FF"/>
      <w:sz w:val="32"/>
      <w:szCs w:val="32"/>
    </w:rPr>
  </w:style>
  <w:style w:type="paragraph" w:customStyle="1" w:styleId="1077">
    <w:name w:val="主要行岗位规范"/>
    <w:basedOn w:val="1"/>
    <w:autoRedefine/>
    <w:qFormat/>
    <w:uiPriority w:val="0"/>
    <w:pPr>
      <w:spacing w:line="280" w:lineRule="atLeast"/>
      <w:jc w:val="center"/>
    </w:pPr>
    <w:rPr>
      <w:bCs/>
      <w:color w:val="000000"/>
      <w:kern w:val="0"/>
      <w:szCs w:val="20"/>
    </w:rPr>
  </w:style>
  <w:style w:type="paragraph" w:customStyle="1" w:styleId="1078">
    <w:name w:val="目录1.1"/>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079">
    <w:name w:val="标记文字"/>
    <w:basedOn w:val="21"/>
    <w:autoRedefine/>
    <w:qFormat/>
    <w:uiPriority w:val="0"/>
    <w:pPr>
      <w:keepNext w:val="0"/>
      <w:tabs>
        <w:tab w:val="clear" w:pos="2445"/>
        <w:tab w:val="clear" w:pos="4156"/>
      </w:tabs>
      <w:ind w:left="200" w:hanging="200" w:hangingChars="200"/>
      <w:jc w:val="both"/>
    </w:pPr>
    <w:rPr>
      <w:rFonts w:ascii="Arial" w:hAnsi="Arial" w:eastAsia="黑体" w:cs="Times New Roman"/>
      <w:b w:val="0"/>
      <w:bCs/>
      <w:snapToGrid/>
      <w:color w:val="000000"/>
      <w:kern w:val="24"/>
      <w:szCs w:val="20"/>
    </w:rPr>
  </w:style>
  <w:style w:type="paragraph" w:customStyle="1" w:styleId="1080">
    <w:name w:val="表格文字"/>
    <w:basedOn w:val="1"/>
    <w:autoRedefine/>
    <w:qFormat/>
    <w:uiPriority w:val="0"/>
    <w:pPr>
      <w:spacing w:line="400" w:lineRule="exact"/>
      <w:jc w:val="center"/>
    </w:pPr>
    <w:rPr>
      <w:bCs/>
      <w:color w:val="000000"/>
      <w:kern w:val="24"/>
    </w:rPr>
  </w:style>
  <w:style w:type="paragraph" w:customStyle="1" w:styleId="1081">
    <w:name w:val="表格左对齐"/>
    <w:basedOn w:val="1"/>
    <w:autoRedefine/>
    <w:semiHidden/>
    <w:qFormat/>
    <w:uiPriority w:val="0"/>
    <w:pPr>
      <w:spacing w:line="264" w:lineRule="auto"/>
      <w:jc w:val="center"/>
    </w:pPr>
    <w:rPr>
      <w:rFonts w:eastAsia="仿宋_GB2312"/>
      <w:color w:val="000000"/>
      <w:kern w:val="24"/>
    </w:rPr>
  </w:style>
  <w:style w:type="paragraph" w:customStyle="1" w:styleId="1082">
    <w:name w:val="列表编号 41"/>
    <w:basedOn w:val="1"/>
    <w:autoRedefine/>
    <w:qFormat/>
    <w:uiPriority w:val="0"/>
    <w:pPr>
      <w:tabs>
        <w:tab w:val="left" w:pos="1620"/>
      </w:tabs>
      <w:spacing w:line="480" w:lineRule="exact"/>
      <w:ind w:left="1620" w:leftChars="600" w:hanging="360" w:hangingChars="200"/>
    </w:pPr>
    <w:rPr>
      <w:rFonts w:ascii="Arial Unicode MS" w:hAnsi="Arial Unicode MS" w:cs="Vladimir Script"/>
      <w:bCs/>
      <w:color w:val="000000"/>
      <w:kern w:val="24"/>
    </w:rPr>
  </w:style>
  <w:style w:type="paragraph" w:customStyle="1" w:styleId="1083">
    <w:name w:val="样式 题注 + 首行缩进:  2 字符1"/>
    <w:basedOn w:val="21"/>
    <w:autoRedefine/>
    <w:qFormat/>
    <w:uiPriority w:val="0"/>
    <w:pPr>
      <w:tabs>
        <w:tab w:val="clear" w:pos="2445"/>
        <w:tab w:val="clear" w:pos="4156"/>
      </w:tabs>
      <w:spacing w:after="160"/>
      <w:ind w:firstLine="200"/>
      <w:jc w:val="both"/>
    </w:pPr>
    <w:rPr>
      <w:rFonts w:ascii="Arial" w:hAnsi="Arial" w:eastAsia="黑体" w:cs="Times New Roman"/>
      <w:b w:val="0"/>
      <w:bCs/>
      <w:snapToGrid/>
      <w:color w:val="000000"/>
      <w:kern w:val="24"/>
      <w:szCs w:val="20"/>
    </w:rPr>
  </w:style>
  <w:style w:type="paragraph" w:customStyle="1" w:styleId="1084">
    <w:name w:val="样式 标题 3标题 3 Char条标题1.1.13h33rd levelH3l3CT + 段前: 0.5 行 ..."/>
    <w:basedOn w:val="7"/>
    <w:autoRedefine/>
    <w:qFormat/>
    <w:uiPriority w:val="0"/>
    <w:pPr>
      <w:tabs>
        <w:tab w:val="left" w:pos="720"/>
        <w:tab w:val="left" w:pos="900"/>
        <w:tab w:val="left" w:pos="1260"/>
        <w:tab w:val="left" w:pos="1800"/>
      </w:tabs>
      <w:spacing w:beforeLines="50" w:afterLines="50" w:line="240" w:lineRule="auto"/>
      <w:ind w:left="1080" w:hanging="1080"/>
      <w:textAlignment w:val="baseline"/>
    </w:pPr>
    <w:rPr>
      <w:rFonts w:ascii="宋体" w:hAnsi="宋体" w:cs="宋体"/>
      <w:b w:val="0"/>
      <w:bCs w:val="0"/>
      <w:color w:val="000000"/>
      <w:kern w:val="24"/>
      <w:sz w:val="28"/>
      <w:szCs w:val="28"/>
    </w:rPr>
  </w:style>
  <w:style w:type="paragraph" w:customStyle="1" w:styleId="1085">
    <w:name w:val="公式"/>
    <w:basedOn w:val="1"/>
    <w:autoRedefine/>
    <w:qFormat/>
    <w:uiPriority w:val="0"/>
    <w:pPr>
      <w:spacing w:before="50" w:after="50" w:line="440" w:lineRule="exact"/>
      <w:textAlignment w:val="baseline"/>
    </w:pPr>
    <w:rPr>
      <w:bCs/>
      <w:color w:val="000000"/>
      <w:kern w:val="24"/>
      <w:sz w:val="28"/>
      <w:szCs w:val="20"/>
    </w:rPr>
  </w:style>
  <w:style w:type="paragraph" w:customStyle="1" w:styleId="1086">
    <w:name w:val="正文小四"/>
    <w:basedOn w:val="1"/>
    <w:autoRedefine/>
    <w:qFormat/>
    <w:uiPriority w:val="0"/>
    <w:rPr>
      <w:rFonts w:ascii="Batang" w:hAnsi="Batang" w:cs="Batang"/>
      <w:bCs/>
      <w:color w:val="000000"/>
      <w:kern w:val="24"/>
      <w:szCs w:val="20"/>
    </w:rPr>
  </w:style>
  <w:style w:type="paragraph" w:customStyle="1" w:styleId="1087">
    <w:name w:val="table"/>
    <w:basedOn w:val="1"/>
    <w:autoRedefine/>
    <w:qFormat/>
    <w:uiPriority w:val="0"/>
    <w:pPr>
      <w:spacing w:line="240" w:lineRule="atLeast"/>
      <w:textAlignment w:val="baseline"/>
    </w:pPr>
    <w:rPr>
      <w:rFonts w:ascii="Arial" w:hAnsi="Arial"/>
      <w:bCs/>
      <w:color w:val="000000"/>
      <w:spacing w:val="-2"/>
      <w:kern w:val="0"/>
      <w:szCs w:val="20"/>
    </w:rPr>
  </w:style>
  <w:style w:type="paragraph" w:customStyle="1" w:styleId="1088">
    <w:name w:val="7表格(治)"/>
    <w:autoRedefine/>
    <w:qFormat/>
    <w:uiPriority w:val="0"/>
    <w:pPr>
      <w:widowControl w:val="0"/>
      <w:spacing w:line="320" w:lineRule="exact"/>
      <w:jc w:val="center"/>
    </w:pPr>
    <w:rPr>
      <w:rFonts w:ascii="宋体" w:hAnsi="宋体" w:eastAsia="宋体" w:cs="Times New Roman"/>
      <w:bCs/>
      <w:color w:val="000000"/>
      <w:sz w:val="21"/>
      <w:szCs w:val="21"/>
      <w:lang w:val="en-US" w:eastAsia="zh-CN" w:bidi="ar-SA"/>
    </w:rPr>
  </w:style>
  <w:style w:type="paragraph" w:customStyle="1" w:styleId="1089">
    <w:name w:val="三级正文"/>
    <w:basedOn w:val="832"/>
    <w:autoRedefine/>
    <w:qFormat/>
    <w:uiPriority w:val="0"/>
    <w:pPr>
      <w:keepNext w:val="0"/>
      <w:keepLines w:val="0"/>
      <w:tabs>
        <w:tab w:val="clear" w:pos="1260"/>
        <w:tab w:val="clear" w:pos="1800"/>
      </w:tabs>
      <w:spacing w:line="300" w:lineRule="auto"/>
      <w:ind w:firstLine="567"/>
      <w:outlineLvl w:val="9"/>
    </w:pPr>
    <w:rPr>
      <w:rFonts w:ascii="Batang" w:hAnsi="Batang" w:eastAsia="Sim Sun" w:cs="Batang"/>
      <w:kern w:val="28"/>
    </w:rPr>
  </w:style>
  <w:style w:type="paragraph" w:customStyle="1" w:styleId="1090">
    <w:name w:val="ljw子标题"/>
    <w:basedOn w:val="1"/>
    <w:next w:val="30"/>
    <w:autoRedefine/>
    <w:qFormat/>
    <w:uiPriority w:val="0"/>
    <w:pPr>
      <w:spacing w:beforeLines="50" w:afterLines="50" w:line="440" w:lineRule="exact"/>
      <w:ind w:firstLine="200"/>
    </w:pPr>
    <w:rPr>
      <w:rFonts w:ascii="Sim Sun" w:hAnsi="Sim Sun" w:cs="Vladimir Script"/>
      <w:b/>
      <w:bCs/>
      <w:color w:val="000000"/>
      <w:kern w:val="24"/>
      <w:szCs w:val="28"/>
    </w:rPr>
  </w:style>
  <w:style w:type="paragraph" w:customStyle="1" w:styleId="1091">
    <w:name w:val="正文缩进2字符"/>
    <w:basedOn w:val="1"/>
    <w:autoRedefine/>
    <w:qFormat/>
    <w:uiPriority w:val="0"/>
    <w:pPr>
      <w:spacing w:line="520" w:lineRule="exact"/>
      <w:ind w:firstLine="200"/>
    </w:pPr>
    <w:rPr>
      <w:bCs/>
      <w:color w:val="000000"/>
      <w:kern w:val="24"/>
      <w:sz w:val="28"/>
    </w:rPr>
  </w:style>
  <w:style w:type="paragraph" w:customStyle="1" w:styleId="1092">
    <w:name w:val="新正文"/>
    <w:basedOn w:val="1"/>
    <w:autoRedefine/>
    <w:qFormat/>
    <w:uiPriority w:val="0"/>
    <w:pPr>
      <w:spacing w:line="480" w:lineRule="exact"/>
      <w:ind w:firstLine="482"/>
    </w:pPr>
    <w:rPr>
      <w:rFonts w:hint="eastAsia" w:ascii="仿宋_GB2312" w:eastAsia="仿宋_GB2312"/>
      <w:color w:val="000000"/>
      <w:kern w:val="0"/>
      <w:sz w:val="28"/>
      <w:szCs w:val="20"/>
    </w:rPr>
  </w:style>
  <w:style w:type="paragraph" w:customStyle="1" w:styleId="1093">
    <w:name w:val="WW-纯文本"/>
    <w:basedOn w:val="1"/>
    <w:autoRedefine/>
    <w:qFormat/>
    <w:uiPriority w:val="0"/>
    <w:pPr>
      <w:suppressAutoHyphens/>
    </w:pPr>
    <w:rPr>
      <w:rFonts w:ascii="宋体" w:hAnsi="宋体" w:cs="宋体"/>
      <w:bCs/>
      <w:color w:val="000000"/>
      <w:kern w:val="1"/>
      <w:lang w:eastAsia="ar-SA"/>
    </w:rPr>
  </w:style>
  <w:style w:type="paragraph" w:customStyle="1" w:styleId="1094">
    <w:name w:val="1目录"/>
    <w:basedOn w:val="1051"/>
    <w:autoRedefine/>
    <w:qFormat/>
    <w:uiPriority w:val="0"/>
    <w:pPr>
      <w:keepNext w:val="0"/>
      <w:tabs>
        <w:tab w:val="left" w:leader="middleDot" w:pos="8190"/>
      </w:tabs>
      <w:spacing w:before="120" w:after="120"/>
      <w:ind w:left="80" w:leftChars="80"/>
      <w:jc w:val="both"/>
      <w:textAlignment w:val="center"/>
    </w:pPr>
    <w:rPr>
      <w:rFonts w:eastAsia="宋体"/>
      <w:b w:val="0"/>
      <w:bCs w:val="0"/>
    </w:rPr>
  </w:style>
  <w:style w:type="paragraph" w:customStyle="1" w:styleId="1095">
    <w:name w:val="正文样式"/>
    <w:basedOn w:val="1"/>
    <w:autoRedefine/>
    <w:semiHidden/>
    <w:qFormat/>
    <w:uiPriority w:val="0"/>
    <w:pPr>
      <w:ind w:firstLine="480"/>
    </w:pPr>
    <w:rPr>
      <w:rFonts w:ascii="Sim Sun" w:hAnsi="Sim Sun" w:cs="Batang"/>
      <w:bCs/>
      <w:color w:val="000000"/>
      <w:kern w:val="24"/>
    </w:rPr>
  </w:style>
  <w:style w:type="paragraph" w:customStyle="1" w:styleId="1096">
    <w:name w:val="样式 标题 2h22Header 2nd PageA.B.C.h2 main h标题2 + 仿宋_GB2312 行距..."/>
    <w:basedOn w:val="6"/>
    <w:autoRedefine/>
    <w:qFormat/>
    <w:uiPriority w:val="0"/>
    <w:pPr>
      <w:spacing w:line="360" w:lineRule="auto"/>
      <w:ind w:firstLine="455" w:firstLineChars="162"/>
    </w:pPr>
    <w:rPr>
      <w:rFonts w:ascii="@幼圆" w:hAnsi="华文新魏" w:eastAsia="@幼圆" w:cs="Sim Sun"/>
      <w:b w:val="0"/>
      <w:bCs w:val="0"/>
      <w:color w:val="000000"/>
      <w:kern w:val="24"/>
      <w:sz w:val="28"/>
      <w:szCs w:val="20"/>
    </w:rPr>
  </w:style>
  <w:style w:type="paragraph" w:customStyle="1" w:styleId="1097">
    <w:name w:val="Char Char Char6"/>
    <w:basedOn w:val="1"/>
    <w:autoRedefine/>
    <w:qFormat/>
    <w:uiPriority w:val="0"/>
    <w:rPr>
      <w:rFonts w:ascii="Batang" w:hAnsi="Batang" w:cs="Batang"/>
      <w:bCs/>
      <w:color w:val="000000"/>
      <w:kern w:val="24"/>
      <w:szCs w:val="20"/>
    </w:rPr>
  </w:style>
  <w:style w:type="paragraph" w:customStyle="1" w:styleId="1098">
    <w:name w:val="样式 正文首行缩进 2 + 首行缩进:  2 字符"/>
    <w:basedOn w:val="83"/>
    <w:autoRedefine/>
    <w:qFormat/>
    <w:uiPriority w:val="0"/>
    <w:pPr>
      <w:ind w:left="0" w:leftChars="0" w:firstLine="480"/>
    </w:pPr>
    <w:rPr>
      <w:bCs/>
      <w:color w:val="000000"/>
      <w:kern w:val="24"/>
      <w:sz w:val="24"/>
      <w:szCs w:val="20"/>
    </w:rPr>
  </w:style>
  <w:style w:type="paragraph" w:customStyle="1" w:styleId="1099">
    <w:name w:val="表头居左"/>
    <w:basedOn w:val="1062"/>
    <w:autoRedefine/>
    <w:qFormat/>
    <w:uiPriority w:val="0"/>
    <w:pPr>
      <w:spacing w:before="326" w:line="260" w:lineRule="exact"/>
      <w:ind w:firstLine="254"/>
      <w:jc w:val="both"/>
    </w:pPr>
  </w:style>
  <w:style w:type="paragraph" w:customStyle="1" w:styleId="1100">
    <w:name w:val="称呼1"/>
    <w:basedOn w:val="1"/>
    <w:next w:val="1"/>
    <w:autoRedefine/>
    <w:qFormat/>
    <w:uiPriority w:val="0"/>
    <w:pPr>
      <w:spacing w:line="440" w:lineRule="exact"/>
      <w:ind w:firstLine="200"/>
    </w:pPr>
    <w:rPr>
      <w:rFonts w:ascii="Arial Unicode MS" w:hAnsi="Arial Unicode MS" w:eastAsia="Times New Roman"/>
      <w:bCs/>
      <w:color w:val="000000"/>
      <w:kern w:val="0"/>
      <w:sz w:val="28"/>
      <w:szCs w:val="20"/>
    </w:rPr>
  </w:style>
  <w:style w:type="paragraph" w:customStyle="1" w:styleId="1101">
    <w:name w:val="表注"/>
    <w:basedOn w:val="1"/>
    <w:autoRedefine/>
    <w:qFormat/>
    <w:uiPriority w:val="0"/>
    <w:pPr>
      <w:tabs>
        <w:tab w:val="left" w:pos="625"/>
      </w:tabs>
      <w:overflowPunct w:val="0"/>
      <w:topLinePunct/>
      <w:spacing w:before="120" w:afterLines="50" w:line="288" w:lineRule="auto"/>
      <w:ind w:left="625" w:hanging="425"/>
      <w:jc w:val="center"/>
      <w:textAlignment w:val="baseline"/>
    </w:pPr>
    <w:rPr>
      <w:b/>
      <w:bCs/>
      <w:color w:val="000000"/>
      <w:spacing w:val="20"/>
      <w:kern w:val="0"/>
      <w:sz w:val="28"/>
      <w:szCs w:val="20"/>
    </w:rPr>
  </w:style>
  <w:style w:type="paragraph" w:customStyle="1" w:styleId="1102">
    <w:name w:val="生物中文名"/>
    <w:basedOn w:val="1"/>
    <w:autoRedefine/>
    <w:qFormat/>
    <w:uiPriority w:val="0"/>
    <w:pPr>
      <w:tabs>
        <w:tab w:val="left" w:pos="-120"/>
      </w:tabs>
      <w:overflowPunct w:val="0"/>
      <w:topLinePunct/>
      <w:spacing w:before="60" w:afterLines="50" w:line="0" w:lineRule="atLeast"/>
      <w:ind w:firstLine="454"/>
    </w:pPr>
    <w:rPr>
      <w:bCs/>
      <w:color w:val="000000"/>
      <w:spacing w:val="20"/>
      <w:kern w:val="24"/>
      <w:szCs w:val="20"/>
    </w:rPr>
  </w:style>
  <w:style w:type="paragraph" w:customStyle="1" w:styleId="1103">
    <w:name w:val="表内五中"/>
    <w:basedOn w:val="1"/>
    <w:autoRedefine/>
    <w:qFormat/>
    <w:uiPriority w:val="0"/>
    <w:pPr>
      <w:tabs>
        <w:tab w:val="left" w:pos="-120"/>
      </w:tabs>
      <w:spacing w:before="60" w:line="310" w:lineRule="atLeast"/>
      <w:jc w:val="center"/>
    </w:pPr>
    <w:rPr>
      <w:bCs/>
      <w:color w:val="000000"/>
      <w:kern w:val="24"/>
      <w:szCs w:val="20"/>
    </w:rPr>
  </w:style>
  <w:style w:type="paragraph" w:customStyle="1" w:styleId="1104">
    <w:name w:val="表注-西江"/>
    <w:basedOn w:val="886"/>
    <w:autoRedefine/>
    <w:qFormat/>
    <w:uiPriority w:val="0"/>
    <w:pPr>
      <w:spacing w:before="120"/>
      <w:jc w:val="both"/>
    </w:pPr>
    <w:rPr>
      <w:rFonts w:ascii="宋体" w:hAnsi="宋体"/>
      <w:szCs w:val="21"/>
    </w:rPr>
  </w:style>
  <w:style w:type="paragraph" w:customStyle="1" w:styleId="1105">
    <w:name w:val="表中"/>
    <w:basedOn w:val="224"/>
    <w:autoRedefine/>
    <w:qFormat/>
    <w:uiPriority w:val="0"/>
    <w:pPr>
      <w:textAlignment w:val="bottom"/>
      <w:outlineLvl w:val="7"/>
    </w:pPr>
    <w:rPr>
      <w:rFonts w:ascii="ˎ̥" w:hAnsi="ˎ̥" w:eastAsia="Garamond"/>
    </w:rPr>
  </w:style>
  <w:style w:type="paragraph" w:customStyle="1" w:styleId="1106">
    <w:name w:val="二"/>
    <w:basedOn w:val="1"/>
    <w:autoRedefine/>
    <w:qFormat/>
    <w:uiPriority w:val="0"/>
    <w:rPr>
      <w:rFonts w:ascii="FLGPEK+TimesNewRoman,Italic" w:hAnsi="Batang" w:eastAsia="FLGPEK+TimesNewRoman,Italic" w:cs="Batang"/>
      <w:b/>
      <w:bCs/>
      <w:color w:val="000000"/>
      <w:kern w:val="24"/>
      <w:szCs w:val="20"/>
    </w:rPr>
  </w:style>
  <w:style w:type="paragraph" w:customStyle="1" w:styleId="1107">
    <w:name w:val="6"/>
    <w:basedOn w:val="7"/>
    <w:autoRedefine/>
    <w:qFormat/>
    <w:uiPriority w:val="0"/>
    <w:pPr>
      <w:tabs>
        <w:tab w:val="left" w:pos="360"/>
        <w:tab w:val="left" w:pos="900"/>
      </w:tabs>
      <w:spacing w:before="120" w:after="120" w:line="360" w:lineRule="auto"/>
      <w:ind w:left="542" w:leftChars="-12" w:firstLine="200"/>
    </w:pPr>
    <w:rPr>
      <w:rFonts w:ascii="Arial" w:hAnsi="Arial"/>
      <w:color w:val="000000"/>
      <w:kern w:val="24"/>
      <w:sz w:val="28"/>
      <w:szCs w:val="20"/>
    </w:rPr>
  </w:style>
  <w:style w:type="paragraph" w:customStyle="1" w:styleId="1108">
    <w:name w:val="默认段落字体 Para Char"/>
    <w:basedOn w:val="1"/>
    <w:autoRedefine/>
    <w:qFormat/>
    <w:uiPriority w:val="0"/>
    <w:rPr>
      <w:bCs/>
      <w:color w:val="000000"/>
      <w:kern w:val="24"/>
      <w:szCs w:val="20"/>
    </w:rPr>
  </w:style>
  <w:style w:type="paragraph" w:customStyle="1" w:styleId="1109">
    <w:name w:val="基准页脚样式"/>
    <w:basedOn w:val="30"/>
    <w:autoRedefine/>
    <w:qFormat/>
    <w:uiPriority w:val="0"/>
    <w:pPr>
      <w:widowControl w:val="0"/>
      <w:snapToGrid/>
      <w:spacing w:before="0" w:after="0" w:line="360" w:lineRule="exact"/>
      <w:ind w:right="0"/>
      <w:jc w:val="center"/>
    </w:pPr>
    <w:rPr>
      <w:rFonts w:hAnsi="宋体"/>
      <w:bCs/>
      <w:color w:val="000000"/>
      <w:kern w:val="24"/>
      <w:sz w:val="21"/>
    </w:rPr>
  </w:style>
  <w:style w:type="paragraph" w:customStyle="1" w:styleId="1110">
    <w:name w:val="Main"/>
    <w:basedOn w:val="1"/>
    <w:autoRedefine/>
    <w:qFormat/>
    <w:uiPriority w:val="0"/>
    <w:pPr>
      <w:spacing w:line="480" w:lineRule="atLeast"/>
      <w:ind w:left="400" w:leftChars="400" w:right="400" w:rightChars="400" w:firstLine="200"/>
    </w:pPr>
    <w:rPr>
      <w:rFonts w:ascii="仿宋_GB2312" w:hAnsi="仿宋_GB2312" w:cs="Batang"/>
      <w:bCs/>
      <w:color w:val="000000"/>
      <w:kern w:val="24"/>
      <w:sz w:val="28"/>
      <w:szCs w:val="28"/>
    </w:rPr>
  </w:style>
  <w:style w:type="paragraph" w:customStyle="1" w:styleId="1111">
    <w:name w:val="LT表内容"/>
    <w:basedOn w:val="1"/>
    <w:autoRedefine/>
    <w:qFormat/>
    <w:uiPriority w:val="0"/>
    <w:pPr>
      <w:jc w:val="center"/>
    </w:pPr>
    <w:rPr>
      <w:bCs/>
      <w:snapToGrid w:val="0"/>
      <w:color w:val="000000"/>
      <w:kern w:val="28"/>
      <w:szCs w:val="20"/>
    </w:rPr>
  </w:style>
  <w:style w:type="paragraph" w:customStyle="1" w:styleId="1112">
    <w:name w:val="2.1.1"/>
    <w:basedOn w:val="1"/>
    <w:autoRedefine/>
    <w:qFormat/>
    <w:uiPriority w:val="0"/>
    <w:rPr>
      <w:rFonts w:ascii="Batang" w:hAnsi="Batang" w:cs="Batang"/>
      <w:bCs/>
      <w:color w:val="000000"/>
      <w:kern w:val="24"/>
      <w:szCs w:val="20"/>
    </w:rPr>
  </w:style>
  <w:style w:type="paragraph" w:customStyle="1" w:styleId="1113">
    <w:name w:val="3级"/>
    <w:basedOn w:val="1"/>
    <w:autoRedefine/>
    <w:qFormat/>
    <w:uiPriority w:val="0"/>
    <w:rPr>
      <w:rFonts w:ascii="Batang" w:hAnsi="Batang" w:cs="Batang"/>
      <w:bCs/>
      <w:color w:val="000000"/>
      <w:kern w:val="24"/>
      <w:szCs w:val="20"/>
    </w:rPr>
  </w:style>
  <w:style w:type="paragraph" w:customStyle="1" w:styleId="1114">
    <w:name w:val="一级"/>
    <w:basedOn w:val="1"/>
    <w:autoRedefine/>
    <w:qFormat/>
    <w:uiPriority w:val="0"/>
    <w:pPr>
      <w:ind w:firstLine="539"/>
    </w:pPr>
    <w:rPr>
      <w:rFonts w:ascii="Batang" w:hAnsi="Batang" w:cs="Batang"/>
      <w:b/>
      <w:bCs/>
      <w:color w:val="000000"/>
      <w:kern w:val="24"/>
      <w:sz w:val="28"/>
      <w:szCs w:val="20"/>
    </w:rPr>
  </w:style>
  <w:style w:type="paragraph" w:customStyle="1" w:styleId="1115">
    <w:name w:val="标题二"/>
    <w:basedOn w:val="1"/>
    <w:autoRedefine/>
    <w:qFormat/>
    <w:uiPriority w:val="0"/>
    <w:rPr>
      <w:rFonts w:ascii="Batang" w:hAnsi="Batang" w:cs="Batang"/>
      <w:bCs/>
      <w:color w:val="000000"/>
      <w:kern w:val="24"/>
      <w:szCs w:val="20"/>
    </w:rPr>
  </w:style>
  <w:style w:type="paragraph" w:customStyle="1" w:styleId="1116">
    <w:name w:val="正文一"/>
    <w:autoRedefine/>
    <w:qFormat/>
    <w:uiPriority w:val="0"/>
    <w:pPr>
      <w:ind w:firstLine="200" w:firstLineChars="200"/>
    </w:pPr>
    <w:rPr>
      <w:rFonts w:ascii="Times New Roman" w:hAnsi="Times New Roman" w:eastAsia="宋体" w:cs="Times New Roman"/>
      <w:lang w:val="en-US" w:eastAsia="zh-CN" w:bidi="ar-SA"/>
    </w:rPr>
  </w:style>
  <w:style w:type="paragraph" w:customStyle="1" w:styleId="1117">
    <w:name w:val="Char Char Char Char Char Char1 Char"/>
    <w:basedOn w:val="1"/>
    <w:autoRedefine/>
    <w:qFormat/>
    <w:uiPriority w:val="0"/>
    <w:pPr>
      <w:spacing w:after="160" w:line="240" w:lineRule="exact"/>
    </w:pPr>
    <w:rPr>
      <w:rFonts w:ascii="ˎ̥" w:hAnsi="ˎ̥" w:eastAsia="Batang" w:cs="Wingdings"/>
      <w:b/>
      <w:bCs/>
      <w:color w:val="000000"/>
      <w:kern w:val="0"/>
      <w:szCs w:val="20"/>
      <w:lang w:eastAsia="en-US"/>
    </w:rPr>
  </w:style>
  <w:style w:type="paragraph" w:customStyle="1" w:styleId="1118">
    <w:name w:val="二级条标题"/>
    <w:basedOn w:val="741"/>
    <w:next w:val="1"/>
    <w:autoRedefine/>
    <w:qFormat/>
    <w:uiPriority w:val="0"/>
    <w:pPr>
      <w:tabs>
        <w:tab w:val="left" w:pos="2160"/>
      </w:tabs>
      <w:ind w:left="2160"/>
      <w:outlineLvl w:val="3"/>
    </w:pPr>
  </w:style>
  <w:style w:type="paragraph" w:customStyle="1" w:styleId="1119">
    <w:name w:val="三级条标题"/>
    <w:basedOn w:val="1118"/>
    <w:next w:val="1"/>
    <w:autoRedefine/>
    <w:qFormat/>
    <w:uiPriority w:val="0"/>
    <w:pPr>
      <w:tabs>
        <w:tab w:val="left" w:pos="2580"/>
      </w:tabs>
      <w:ind w:left="2580"/>
      <w:outlineLvl w:val="4"/>
    </w:pPr>
  </w:style>
  <w:style w:type="paragraph" w:customStyle="1" w:styleId="1120">
    <w:name w:val="四级条标题"/>
    <w:basedOn w:val="1119"/>
    <w:next w:val="1"/>
    <w:autoRedefine/>
    <w:qFormat/>
    <w:uiPriority w:val="0"/>
    <w:pPr>
      <w:tabs>
        <w:tab w:val="left" w:pos="3000"/>
      </w:tabs>
      <w:ind w:left="3000"/>
      <w:outlineLvl w:val="5"/>
    </w:pPr>
  </w:style>
  <w:style w:type="paragraph" w:customStyle="1" w:styleId="1121">
    <w:name w:val="五级条标题"/>
    <w:basedOn w:val="1120"/>
    <w:next w:val="1"/>
    <w:autoRedefine/>
    <w:qFormat/>
    <w:uiPriority w:val="0"/>
    <w:pPr>
      <w:tabs>
        <w:tab w:val="left" w:pos="3420"/>
      </w:tabs>
      <w:ind w:left="3420"/>
      <w:outlineLvl w:val="6"/>
    </w:pPr>
  </w:style>
  <w:style w:type="paragraph" w:customStyle="1" w:styleId="1122">
    <w:name w:val="表格001"/>
    <w:basedOn w:val="1"/>
    <w:autoRedefine/>
    <w:qFormat/>
    <w:uiPriority w:val="0"/>
    <w:pPr>
      <w:jc w:val="center"/>
    </w:pPr>
    <w:rPr>
      <w:rFonts w:ascii="Batang" w:hAnsi="Batang" w:cs="Batang"/>
      <w:bCs/>
      <w:color w:val="000000"/>
      <w:kern w:val="24"/>
      <w:szCs w:val="20"/>
    </w:rPr>
  </w:style>
  <w:style w:type="paragraph" w:customStyle="1" w:styleId="1123">
    <w:name w:val="编号1"/>
    <w:basedOn w:val="1"/>
    <w:autoRedefine/>
    <w:qFormat/>
    <w:uiPriority w:val="0"/>
    <w:pPr>
      <w:tabs>
        <w:tab w:val="left" w:pos="1200"/>
      </w:tabs>
      <w:ind w:left="1200" w:hanging="720"/>
    </w:pPr>
    <w:rPr>
      <w:rFonts w:ascii="Batang" w:hAnsi="Batang" w:cs="Batang"/>
      <w:bCs/>
      <w:color w:val="000000"/>
      <w:kern w:val="24"/>
      <w:szCs w:val="20"/>
    </w:rPr>
  </w:style>
  <w:style w:type="paragraph" w:customStyle="1" w:styleId="1124">
    <w:name w:val="f4"/>
    <w:basedOn w:val="1"/>
    <w:autoRedefine/>
    <w:qFormat/>
    <w:uiPriority w:val="0"/>
    <w:pPr>
      <w:spacing w:before="100" w:beforeAutospacing="1" w:after="100" w:afterAutospacing="1"/>
    </w:pPr>
    <w:rPr>
      <w:rFonts w:ascii="Sim Sun" w:hAnsi="Sim Sun" w:cs="Batang"/>
      <w:bCs/>
      <w:color w:val="333333"/>
      <w:kern w:val="0"/>
      <w:szCs w:val="21"/>
    </w:rPr>
  </w:style>
  <w:style w:type="paragraph" w:customStyle="1" w:styleId="1125">
    <w:name w:val="Date1"/>
    <w:basedOn w:val="1"/>
    <w:next w:val="1"/>
    <w:autoRedefine/>
    <w:qFormat/>
    <w:uiPriority w:val="0"/>
    <w:pPr>
      <w:textAlignment w:val="baseline"/>
    </w:pPr>
    <w:rPr>
      <w:rFonts w:ascii="Batang" w:hAnsi="Batang" w:cs="Batang"/>
      <w:bCs/>
      <w:color w:val="000000"/>
      <w:kern w:val="24"/>
      <w:szCs w:val="20"/>
    </w:rPr>
  </w:style>
  <w:style w:type="paragraph" w:customStyle="1" w:styleId="1126">
    <w:name w:val="Section Title"/>
    <w:basedOn w:val="1"/>
    <w:next w:val="1"/>
    <w:autoRedefine/>
    <w:qFormat/>
    <w:uiPriority w:val="0"/>
    <w:pPr>
      <w:pBdr>
        <w:top w:val="single" w:color="FFFFFF" w:sz="6" w:space="2"/>
        <w:left w:val="single" w:color="FFFFFF" w:sz="6" w:space="2"/>
        <w:bottom w:val="single" w:color="FFFFFF" w:sz="6" w:space="2"/>
        <w:right w:val="single" w:color="FFFFFF" w:sz="6" w:space="2"/>
      </w:pBdr>
      <w:shd w:val="pct10" w:color="auto" w:fill="auto"/>
      <w:spacing w:before="120" w:line="280" w:lineRule="atLeast"/>
      <w:ind w:firstLine="200"/>
    </w:pPr>
    <w:rPr>
      <w:rFonts w:ascii="ˎ̥" w:hAnsi="ˎ̥" w:cs="Vladimir Script"/>
      <w:b/>
      <w:bCs/>
      <w:color w:val="000000"/>
      <w:spacing w:val="-10"/>
      <w:kern w:val="0"/>
      <w:position w:val="7"/>
      <w:sz w:val="20"/>
      <w:szCs w:val="20"/>
    </w:rPr>
  </w:style>
  <w:style w:type="paragraph" w:customStyle="1" w:styleId="1127">
    <w:name w:val="环表头"/>
    <w:basedOn w:val="1"/>
    <w:next w:val="1"/>
    <w:autoRedefine/>
    <w:qFormat/>
    <w:uiPriority w:val="0"/>
    <w:pPr>
      <w:suppressAutoHyphens/>
      <w:spacing w:line="420" w:lineRule="exact"/>
      <w:ind w:right="28"/>
      <w:jc w:val="center"/>
      <w:textAlignment w:val="baseline"/>
    </w:pPr>
    <w:rPr>
      <w:rFonts w:ascii="FLGPEK+TimesNewRoman,Italic" w:hAnsi="Sim Sun" w:eastAsia="FLGPEK+TimesNewRoman,Italic" w:cs="Batang"/>
      <w:bCs/>
      <w:color w:val="000000"/>
      <w:kern w:val="0"/>
      <w:szCs w:val="20"/>
    </w:rPr>
  </w:style>
  <w:style w:type="paragraph" w:customStyle="1" w:styleId="1128">
    <w:name w:val="列表接续 21"/>
    <w:basedOn w:val="1"/>
    <w:autoRedefine/>
    <w:qFormat/>
    <w:uiPriority w:val="0"/>
    <w:pPr>
      <w:spacing w:after="120" w:line="480" w:lineRule="exact"/>
      <w:ind w:left="840" w:leftChars="400" w:firstLine="200"/>
    </w:pPr>
    <w:rPr>
      <w:rFonts w:ascii="Arial Unicode MS" w:hAnsi="Arial Unicode MS" w:cs="Vladimir Script"/>
      <w:bCs/>
      <w:color w:val="000000"/>
      <w:kern w:val="24"/>
    </w:rPr>
  </w:style>
  <w:style w:type="paragraph" w:customStyle="1" w:styleId="1129">
    <w:name w:val="表第一列"/>
    <w:basedOn w:val="82"/>
    <w:autoRedefine/>
    <w:qFormat/>
    <w:uiPriority w:val="0"/>
    <w:pPr>
      <w:keepNext/>
      <w:keepLines/>
      <w:tabs>
        <w:tab w:val="left" w:pos="1727"/>
        <w:tab w:val="left" w:pos="1884"/>
        <w:tab w:val="left" w:pos="2940"/>
      </w:tabs>
      <w:snapToGrid w:val="0"/>
      <w:spacing w:line="0" w:lineRule="atLeast"/>
      <w:ind w:firstLine="0"/>
      <w:jc w:val="center"/>
      <w:textAlignment w:val="auto"/>
    </w:pPr>
    <w:rPr>
      <w:rFonts w:ascii="Sim Sun" w:hAnsi="Sim Sun" w:cs="Batang"/>
      <w:spacing w:val="-4"/>
      <w:kern w:val="2"/>
    </w:rPr>
  </w:style>
  <w:style w:type="paragraph" w:customStyle="1" w:styleId="1130">
    <w:name w:val="正文王"/>
    <w:basedOn w:val="40"/>
    <w:autoRedefine/>
    <w:semiHidden/>
    <w:qFormat/>
    <w:uiPriority w:val="0"/>
    <w:pPr>
      <w:widowControl w:val="0"/>
      <w:spacing w:line="440" w:lineRule="exact"/>
      <w:jc w:val="both"/>
    </w:pPr>
    <w:rPr>
      <w:rFonts w:ascii="ˎ̥" w:hAnsi="ˎ̥" w:cs="Batang"/>
      <w:snapToGrid w:val="0"/>
    </w:rPr>
  </w:style>
  <w:style w:type="paragraph" w:customStyle="1" w:styleId="1131">
    <w:name w:val="Char Char Char Char3"/>
    <w:basedOn w:val="1"/>
    <w:autoRedefine/>
    <w:semiHidden/>
    <w:qFormat/>
    <w:uiPriority w:val="0"/>
    <w:rPr>
      <w:rFonts w:ascii="Batang" w:hAnsi="Batang" w:cs="Batang"/>
      <w:bCs/>
      <w:color w:val="000000"/>
      <w:kern w:val="24"/>
    </w:rPr>
  </w:style>
  <w:style w:type="paragraph" w:customStyle="1" w:styleId="1132">
    <w:name w:val="环正文"/>
    <w:basedOn w:val="1"/>
    <w:autoRedefine/>
    <w:qFormat/>
    <w:uiPriority w:val="0"/>
    <w:pPr>
      <w:suppressAutoHyphens/>
      <w:spacing w:line="480" w:lineRule="exact"/>
      <w:ind w:firstLine="480"/>
      <w:textAlignment w:val="baseline"/>
    </w:pPr>
    <w:rPr>
      <w:rFonts w:ascii="Batang" w:hAnsi="Batang" w:cs="Batang"/>
      <w:color w:val="000000"/>
      <w:kern w:val="24"/>
    </w:rPr>
  </w:style>
  <w:style w:type="paragraph" w:customStyle="1" w:styleId="1133">
    <w:name w:val="环标3"/>
    <w:basedOn w:val="7"/>
    <w:autoRedefine/>
    <w:qFormat/>
    <w:uiPriority w:val="0"/>
    <w:pPr>
      <w:keepNext w:val="0"/>
      <w:keepLines w:val="0"/>
      <w:spacing w:before="0" w:after="0" w:line="312" w:lineRule="atLeast"/>
      <w:textAlignment w:val="baseline"/>
    </w:pPr>
    <w:rPr>
      <w:rFonts w:ascii="Sim Sun" w:hAnsi="Sim Sun" w:eastAsia="Sim Sun" w:cs="Batang"/>
      <w:b w:val="0"/>
      <w:color w:val="000000"/>
      <w:kern w:val="0"/>
      <w:sz w:val="24"/>
      <w:szCs w:val="20"/>
    </w:rPr>
  </w:style>
  <w:style w:type="paragraph" w:customStyle="1" w:styleId="1134">
    <w:name w:val="Char Char Char Char Char Char Char Char Char Char Char Char Char"/>
    <w:basedOn w:val="1"/>
    <w:autoRedefine/>
    <w:qFormat/>
    <w:uiPriority w:val="0"/>
    <w:rPr>
      <w:rFonts w:ascii="Batang" w:hAnsi="Batang" w:cs="Batang"/>
      <w:bCs/>
      <w:color w:val="000000"/>
      <w:kern w:val="24"/>
    </w:rPr>
  </w:style>
  <w:style w:type="paragraph" w:customStyle="1" w:styleId="1135">
    <w:name w:val="xl80"/>
    <w:basedOn w:val="1"/>
    <w:autoRedefine/>
    <w:qFormat/>
    <w:uiPriority w:val="0"/>
    <w:pPr>
      <w:pBdr>
        <w:bottom w:val="single" w:color="auto" w:sz="8" w:space="0"/>
        <w:right w:val="single" w:color="auto" w:sz="8" w:space="0"/>
      </w:pBdr>
      <w:spacing w:before="100" w:after="100"/>
      <w:jc w:val="center"/>
      <w:textAlignment w:val="center"/>
    </w:pPr>
    <w:rPr>
      <w:rFonts w:ascii="Batang" w:hAnsi="Batang" w:cs="Batang"/>
      <w:bCs/>
      <w:color w:val="000000"/>
      <w:kern w:val="0"/>
    </w:rPr>
  </w:style>
  <w:style w:type="paragraph" w:customStyle="1" w:styleId="1136">
    <w:name w:val="Char Char5 Char Char Char Char Char Char Char Char Char2"/>
    <w:basedOn w:val="7"/>
    <w:autoRedefine/>
    <w:qFormat/>
    <w:uiPriority w:val="0"/>
    <w:pPr>
      <w:tabs>
        <w:tab w:val="left" w:pos="360"/>
        <w:tab w:val="left" w:pos="900"/>
      </w:tabs>
      <w:spacing w:before="120" w:after="120" w:line="360" w:lineRule="auto"/>
      <w:ind w:left="542" w:leftChars="-12" w:firstLine="200"/>
    </w:pPr>
    <w:rPr>
      <w:rFonts w:ascii="Batang" w:hAnsi="Batang" w:eastAsia="FLGPEK+TimesNewRoman,Italic" w:cs="Batang"/>
      <w:b w:val="0"/>
      <w:snapToGrid w:val="0"/>
      <w:color w:val="000000"/>
      <w:kern w:val="24"/>
      <w:sz w:val="24"/>
      <w:szCs w:val="24"/>
    </w:rPr>
  </w:style>
  <w:style w:type="paragraph" w:customStyle="1" w:styleId="1137">
    <w:name w:val="样式 样式 样式 样式 标题 3标题3H3h33rd level第二层条头小标题小节标题标题 3 Char Char一海港标....."/>
    <w:basedOn w:val="1138"/>
    <w:autoRedefine/>
    <w:qFormat/>
    <w:uiPriority w:val="0"/>
    <w:pPr>
      <w:tabs>
        <w:tab w:val="left" w:pos="720"/>
      </w:tabs>
    </w:pPr>
  </w:style>
  <w:style w:type="paragraph" w:customStyle="1" w:styleId="1138">
    <w:name w:val="样式 样式 样式 标题 3标题3H3h33rd level第二层条头小标题小节标题标题 3 Char Char一海港标... +..."/>
    <w:basedOn w:val="1139"/>
    <w:autoRedefine/>
    <w:qFormat/>
    <w:uiPriority w:val="0"/>
    <w:pPr>
      <w:tabs>
        <w:tab w:val="left" w:pos="720"/>
      </w:tabs>
    </w:pPr>
  </w:style>
  <w:style w:type="paragraph" w:customStyle="1" w:styleId="1139">
    <w:name w:val="样式 样式 标题 3标题3H3h33rd level第二层条头小标题小节标题标题 3 Char Char一海港标... +1"/>
    <w:basedOn w:val="1140"/>
    <w:autoRedefine/>
    <w:qFormat/>
    <w:uiPriority w:val="0"/>
    <w:pPr>
      <w:tabs>
        <w:tab w:val="left" w:pos="720"/>
      </w:tabs>
      <w:spacing w:beforeLines="50" w:afterLines="50" w:line="360" w:lineRule="auto"/>
      <w:ind w:left="0" w:firstLine="0"/>
    </w:pPr>
    <w:rPr>
      <w:rFonts w:ascii="仿宋体" w:hAnsi="Arial Unicode MS" w:eastAsia="仿宋体"/>
      <w:b/>
      <w:kern w:val="2"/>
    </w:rPr>
  </w:style>
  <w:style w:type="paragraph" w:customStyle="1" w:styleId="1140">
    <w:name w:val="样式 标题 3标题3H3h33rd level第二层条头小标题小节标题标题 3 Char Char一海港标..."/>
    <w:basedOn w:val="7"/>
    <w:autoRedefine/>
    <w:qFormat/>
    <w:uiPriority w:val="0"/>
    <w:pPr>
      <w:keepLines w:val="0"/>
      <w:tabs>
        <w:tab w:val="left" w:pos="720"/>
      </w:tabs>
      <w:spacing w:before="120" w:after="48" w:line="360" w:lineRule="exact"/>
      <w:ind w:left="720" w:hanging="720"/>
      <w:textAlignment w:val="baseline"/>
    </w:pPr>
    <w:rPr>
      <w:rFonts w:ascii="ˎ̥" w:hAnsi="ˎ̥" w:eastAsia="Garamond" w:cs="Vladimir Script"/>
      <w:b w:val="0"/>
      <w:bCs w:val="0"/>
      <w:color w:val="000000"/>
      <w:kern w:val="0"/>
      <w:sz w:val="30"/>
    </w:rPr>
  </w:style>
  <w:style w:type="paragraph" w:customStyle="1" w:styleId="1141">
    <w:name w:val="xl60"/>
    <w:basedOn w:val="1"/>
    <w:autoRedefine/>
    <w:qFormat/>
    <w:uiPriority w:val="0"/>
    <w:pPr>
      <w:pBdr>
        <w:left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42">
    <w:name w:val="xl62"/>
    <w:basedOn w:val="1"/>
    <w:autoRedefine/>
    <w:qFormat/>
    <w:uiPriority w:val="0"/>
    <w:pPr>
      <w:pBdr>
        <w:top w:val="single" w:color="auto" w:sz="8" w:space="0"/>
        <w:left w:val="single" w:color="auto" w:sz="4" w:space="0"/>
      </w:pBdr>
      <w:spacing w:before="100" w:after="100"/>
      <w:jc w:val="center"/>
      <w:textAlignment w:val="top"/>
    </w:pPr>
    <w:rPr>
      <w:rFonts w:ascii="Batang" w:hAnsi="Batang" w:cs="Batang"/>
      <w:bCs/>
      <w:color w:val="000000"/>
      <w:kern w:val="0"/>
    </w:rPr>
  </w:style>
  <w:style w:type="paragraph" w:customStyle="1" w:styleId="1143">
    <w:name w:val="图标"/>
    <w:basedOn w:val="1"/>
    <w:next w:val="1"/>
    <w:autoRedefine/>
    <w:qFormat/>
    <w:uiPriority w:val="0"/>
    <w:pPr>
      <w:spacing w:line="440" w:lineRule="exact"/>
      <w:ind w:firstLine="200"/>
      <w:jc w:val="center"/>
    </w:pPr>
    <w:rPr>
      <w:rFonts w:ascii="ˎ̥" w:hAnsi="ˎ̥" w:cs="ˎ̥"/>
      <w:bCs/>
      <w:color w:val="000000"/>
      <w:kern w:val="24"/>
    </w:rPr>
  </w:style>
  <w:style w:type="paragraph" w:customStyle="1" w:styleId="1144">
    <w:name w:val="分标题"/>
    <w:basedOn w:val="1"/>
    <w:next w:val="1"/>
    <w:autoRedefine/>
    <w:qFormat/>
    <w:uiPriority w:val="0"/>
    <w:pPr>
      <w:spacing w:before="60" w:after="60"/>
      <w:ind w:firstLine="200"/>
    </w:pPr>
    <w:rPr>
      <w:rFonts w:ascii="Sim Sun" w:hAnsi="Arial Unicode MS" w:cs="Vladimir Script"/>
      <w:b/>
      <w:bCs/>
      <w:color w:val="000000"/>
      <w:kern w:val="0"/>
    </w:rPr>
  </w:style>
  <w:style w:type="paragraph" w:customStyle="1" w:styleId="1145">
    <w:name w:val="样式 燕山正文 + 首行缩进:  2 字符"/>
    <w:basedOn w:val="1"/>
    <w:autoRedefine/>
    <w:qFormat/>
    <w:uiPriority w:val="0"/>
    <w:pPr>
      <w:tabs>
        <w:tab w:val="left" w:pos="4680"/>
      </w:tabs>
      <w:ind w:firstLine="480"/>
    </w:pPr>
    <w:rPr>
      <w:rFonts w:ascii="宋体" w:hAnsi="宋体" w:cs="宋体"/>
      <w:bCs/>
      <w:color w:val="000000"/>
      <w:kern w:val="24"/>
      <w:szCs w:val="20"/>
    </w:rPr>
  </w:style>
  <w:style w:type="paragraph" w:customStyle="1" w:styleId="1146">
    <w:name w:val="Char Char Char Char Char Char Char Char Char Char Char Char Char Char Char Char Char Char Char Char Char Char Char Char"/>
    <w:basedOn w:val="1"/>
    <w:autoRedefine/>
    <w:qFormat/>
    <w:uiPriority w:val="0"/>
    <w:rPr>
      <w:rFonts w:ascii="Batang" w:hAnsi="Batang" w:cs="Batang"/>
      <w:bCs/>
      <w:color w:val="000000"/>
      <w:kern w:val="24"/>
    </w:rPr>
  </w:style>
  <w:style w:type="paragraph" w:customStyle="1" w:styleId="1147">
    <w:name w:val="表内字"/>
    <w:autoRedefine/>
    <w:qFormat/>
    <w:uiPriority w:val="0"/>
    <w:pPr>
      <w:spacing w:line="312" w:lineRule="auto"/>
      <w:jc w:val="center"/>
    </w:pPr>
    <w:rPr>
      <w:rFonts w:ascii="Batang" w:hAnsi="Batang" w:eastAsia="宋体" w:cs="Batang"/>
      <w:bCs/>
      <w:color w:val="000000"/>
      <w:sz w:val="21"/>
      <w:szCs w:val="24"/>
      <w:lang w:val="en-US" w:eastAsia="zh-CN" w:bidi="ar-SA"/>
    </w:rPr>
  </w:style>
  <w:style w:type="paragraph" w:customStyle="1" w:styleId="1148">
    <w:name w:val="reader-word-layer reader-word-s3-1"/>
    <w:basedOn w:val="1"/>
    <w:autoRedefine/>
    <w:qFormat/>
    <w:uiPriority w:val="0"/>
    <w:pPr>
      <w:spacing w:before="100" w:beforeAutospacing="1" w:after="100" w:afterAutospacing="1"/>
    </w:pPr>
    <w:rPr>
      <w:rFonts w:ascii="宋体" w:hAnsi="宋体" w:cs="宋体"/>
      <w:bCs/>
      <w:color w:val="000000"/>
      <w:kern w:val="0"/>
    </w:rPr>
  </w:style>
  <w:style w:type="paragraph" w:customStyle="1" w:styleId="1149">
    <w:name w:val="设计文本"/>
    <w:basedOn w:val="1"/>
    <w:autoRedefine/>
    <w:qFormat/>
    <w:uiPriority w:val="0"/>
    <w:pPr>
      <w:spacing w:line="560" w:lineRule="exact"/>
      <w:jc w:val="center"/>
    </w:pPr>
    <w:rPr>
      <w:rFonts w:ascii="Batang" w:hAnsi="Batang" w:cs="Batang"/>
      <w:bCs/>
      <w:color w:val="FF0000"/>
      <w:kern w:val="24"/>
      <w:szCs w:val="20"/>
    </w:rPr>
  </w:style>
  <w:style w:type="paragraph" w:customStyle="1" w:styleId="1150">
    <w:name w:val="Plain Text1"/>
    <w:basedOn w:val="1"/>
    <w:autoRedefine/>
    <w:qFormat/>
    <w:uiPriority w:val="0"/>
    <w:pPr>
      <w:textAlignment w:val="baseline"/>
    </w:pPr>
    <w:rPr>
      <w:rFonts w:ascii="Sim Sun" w:hAnsi="DFKai-SB" w:cs="Batang"/>
      <w:bCs/>
      <w:color w:val="000000"/>
      <w:kern w:val="24"/>
      <w:szCs w:val="20"/>
    </w:rPr>
  </w:style>
  <w:style w:type="paragraph" w:customStyle="1" w:styleId="1151">
    <w:name w:val="表格，五宋"/>
    <w:autoRedefine/>
    <w:qFormat/>
    <w:uiPriority w:val="0"/>
    <w:pPr>
      <w:keepNext/>
      <w:widowControl w:val="0"/>
      <w:adjustRightInd w:val="0"/>
      <w:spacing w:line="360" w:lineRule="exact"/>
      <w:jc w:val="both"/>
    </w:pPr>
    <w:rPr>
      <w:rFonts w:ascii="Batang" w:hAnsi="Batang" w:eastAsia="宋体" w:cs="Batang"/>
      <w:bCs/>
      <w:color w:val="000000"/>
      <w:sz w:val="21"/>
      <w:szCs w:val="24"/>
      <w:lang w:val="en-US" w:eastAsia="zh-CN" w:bidi="ar-SA"/>
    </w:rPr>
  </w:style>
  <w:style w:type="paragraph" w:customStyle="1" w:styleId="1152">
    <w:name w:val="样式 样式 首行缩进:  1.69 厘米 + (中文) 宋体"/>
    <w:basedOn w:val="1"/>
    <w:autoRedefine/>
    <w:qFormat/>
    <w:uiPriority w:val="0"/>
    <w:pPr>
      <w:tabs>
        <w:tab w:val="left" w:pos="-180"/>
      </w:tabs>
      <w:spacing w:before="60" w:line="440" w:lineRule="exact"/>
      <w:ind w:firstLine="200"/>
      <w:textAlignment w:val="baseline"/>
    </w:pPr>
    <w:rPr>
      <w:rFonts w:ascii="Sim Sun" w:hAnsi="Arial Unicode MS" w:eastAsia="Garamond" w:cs="Vladimir Script"/>
      <w:bCs/>
      <w:color w:val="000000"/>
      <w:kern w:val="24"/>
      <w:szCs w:val="20"/>
    </w:rPr>
  </w:style>
  <w:style w:type="paragraph" w:customStyle="1" w:styleId="1153">
    <w:name w:val="unnamed1"/>
    <w:basedOn w:val="1"/>
    <w:autoRedefine/>
    <w:qFormat/>
    <w:uiPriority w:val="0"/>
    <w:pPr>
      <w:spacing w:before="100" w:beforeAutospacing="1" w:after="100" w:afterAutospacing="1" w:line="375" w:lineRule="atLeast"/>
    </w:pPr>
    <w:rPr>
      <w:rFonts w:ascii="Sim Sun" w:hAnsi="Sim Sun" w:cs="Batang"/>
      <w:bCs/>
      <w:color w:val="000000"/>
      <w:kern w:val="0"/>
    </w:rPr>
  </w:style>
  <w:style w:type="paragraph" w:customStyle="1" w:styleId="1154">
    <w:name w:val="表内"/>
    <w:basedOn w:val="1"/>
    <w:autoRedefine/>
    <w:qFormat/>
    <w:uiPriority w:val="0"/>
    <w:pPr>
      <w:jc w:val="center"/>
    </w:pPr>
    <w:rPr>
      <w:rFonts w:ascii="ˎ̥" w:hAnsi="ˎ̥" w:eastAsia="FLGPEK+TimesNewRoman,Italic" w:cs="ˎ̥"/>
      <w:bCs/>
      <w:color w:val="000000"/>
      <w:kern w:val="24"/>
      <w:szCs w:val="20"/>
    </w:rPr>
  </w:style>
  <w:style w:type="paragraph" w:customStyle="1" w:styleId="1155">
    <w:name w:val="Char Char1 Char Char Char Char Char Char"/>
    <w:basedOn w:val="1"/>
    <w:autoRedefine/>
    <w:qFormat/>
    <w:uiPriority w:val="0"/>
    <w:rPr>
      <w:rFonts w:ascii="Batang" w:hAnsi="Batang" w:cs="Batang"/>
      <w:bCs/>
      <w:color w:val="000000"/>
      <w:kern w:val="24"/>
    </w:rPr>
  </w:style>
  <w:style w:type="paragraph" w:customStyle="1" w:styleId="1156">
    <w:name w:val="2 Char Char Char Char Char Char Char"/>
    <w:basedOn w:val="1"/>
    <w:autoRedefine/>
    <w:qFormat/>
    <w:uiPriority w:val="0"/>
    <w:rPr>
      <w:rFonts w:ascii="Batang" w:hAnsi="Batang" w:cs="Batang"/>
      <w:bCs/>
      <w:color w:val="000000"/>
      <w:kern w:val="24"/>
    </w:rPr>
  </w:style>
  <w:style w:type="paragraph" w:customStyle="1" w:styleId="1157">
    <w:name w:val="puce"/>
    <w:basedOn w:val="1"/>
    <w:autoRedefine/>
    <w:qFormat/>
    <w:uiPriority w:val="0"/>
    <w:pPr>
      <w:tabs>
        <w:tab w:val="left" w:pos="425"/>
        <w:tab w:val="left" w:pos="945"/>
        <w:tab w:val="left" w:pos="1200"/>
      </w:tabs>
      <w:spacing w:line="336" w:lineRule="auto"/>
      <w:ind w:left="425" w:firstLine="480"/>
    </w:pPr>
    <w:rPr>
      <w:rFonts w:ascii="ˎ̥" w:hAnsi="ˎ̥" w:cs="Batang"/>
      <w:bCs/>
      <w:color w:val="000000"/>
      <w:kern w:val="0"/>
      <w:szCs w:val="20"/>
    </w:rPr>
  </w:style>
  <w:style w:type="paragraph" w:customStyle="1" w:styleId="1158">
    <w:name w:val="BG1"/>
    <w:basedOn w:val="1"/>
    <w:autoRedefine/>
    <w:qFormat/>
    <w:uiPriority w:val="0"/>
    <w:pPr>
      <w:jc w:val="center"/>
    </w:pPr>
    <w:rPr>
      <w:rFonts w:ascii="Batang" w:hAnsi="Batang" w:cs="Batang"/>
      <w:bCs/>
      <w:color w:val="000000"/>
      <w:kern w:val="24"/>
    </w:rPr>
  </w:style>
  <w:style w:type="paragraph" w:customStyle="1" w:styleId="1159">
    <w:name w:val="段落标题"/>
    <w:basedOn w:val="1"/>
    <w:autoRedefine/>
    <w:qFormat/>
    <w:uiPriority w:val="0"/>
    <w:pPr>
      <w:tabs>
        <w:tab w:val="left" w:pos="425"/>
      </w:tabs>
      <w:spacing w:line="400" w:lineRule="exact"/>
      <w:textAlignment w:val="baseline"/>
    </w:pPr>
    <w:rPr>
      <w:rFonts w:ascii="Batang" w:hAnsi="Batang" w:cs="Batang"/>
      <w:b/>
      <w:bCs/>
      <w:color w:val="000000"/>
      <w:kern w:val="24"/>
      <w:sz w:val="28"/>
      <w:szCs w:val="20"/>
    </w:rPr>
  </w:style>
  <w:style w:type="paragraph" w:customStyle="1" w:styleId="1160">
    <w:name w:val="Char Char Char Char Char Char Char Char Char Char Char1 Char Char Char Char Char Char Char Char Char1"/>
    <w:basedOn w:val="1"/>
    <w:autoRedefine/>
    <w:qFormat/>
    <w:uiPriority w:val="0"/>
    <w:rPr>
      <w:rFonts w:ascii="Batang" w:hAnsi="Batang" w:cs="Batang"/>
      <w:bCs/>
      <w:color w:val="000000"/>
      <w:kern w:val="24"/>
    </w:rPr>
  </w:style>
  <w:style w:type="paragraph" w:customStyle="1" w:styleId="1161">
    <w:name w:val="Char Char Char Char Char Char Char Char Char Char Char Char Char Char Char Char Char Char"/>
    <w:basedOn w:val="1"/>
    <w:autoRedefine/>
    <w:qFormat/>
    <w:uiPriority w:val="0"/>
    <w:rPr>
      <w:rFonts w:ascii="Batang" w:hAnsi="Batang" w:cs="Batang"/>
      <w:bCs/>
      <w:color w:val="000000"/>
      <w:kern w:val="24"/>
    </w:rPr>
  </w:style>
  <w:style w:type="paragraph" w:customStyle="1" w:styleId="1162">
    <w:name w:val="样式 标题 4标题 4 Char标题 4（修改） + 段前: 0.5 行 段后: 0.2 行 行距: 多倍行距 1.2 ..."/>
    <w:basedOn w:val="8"/>
    <w:autoRedefine/>
    <w:qFormat/>
    <w:uiPriority w:val="0"/>
    <w:pPr>
      <w:tabs>
        <w:tab w:val="left" w:pos="864"/>
      </w:tabs>
      <w:spacing w:beforeLines="50" w:afterLines="20" w:line="288" w:lineRule="auto"/>
      <w:ind w:left="864" w:hanging="864"/>
    </w:pPr>
    <w:rPr>
      <w:rFonts w:ascii="Arial Unicode MS" w:hAnsi="Arial Unicode MS" w:eastAsia="Garamond" w:cs="Vladimir Script"/>
      <w:b w:val="0"/>
      <w:color w:val="000000"/>
      <w:kern w:val="24"/>
      <w:sz w:val="24"/>
      <w:szCs w:val="20"/>
    </w:rPr>
  </w:style>
  <w:style w:type="paragraph" w:customStyle="1" w:styleId="1163">
    <w:name w:val="基准脚注"/>
    <w:basedOn w:val="1"/>
    <w:autoRedefine/>
    <w:qFormat/>
    <w:uiPriority w:val="0"/>
    <w:rPr>
      <w:rFonts w:ascii="幼圆" w:hAnsi="幼圆" w:cs="Batang"/>
      <w:bCs/>
      <w:color w:val="000000"/>
      <w:kern w:val="0"/>
      <w:szCs w:val="20"/>
    </w:rPr>
  </w:style>
  <w:style w:type="paragraph" w:customStyle="1" w:styleId="1164">
    <w:name w:val="样式 标题 4标4 + (符号) 宋体"/>
    <w:basedOn w:val="8"/>
    <w:autoRedefine/>
    <w:qFormat/>
    <w:uiPriority w:val="0"/>
    <w:pPr>
      <w:tabs>
        <w:tab w:val="left" w:pos="360"/>
      </w:tabs>
      <w:spacing w:line="336" w:lineRule="auto"/>
      <w:ind w:left="245" w:hanging="245"/>
    </w:pPr>
    <w:rPr>
      <w:rFonts w:ascii="Sim Sun" w:hAnsi="Arial Unicode MS" w:eastAsia="宋体" w:cs="Vladimir Script"/>
      <w:b w:val="0"/>
      <w:color w:val="000000"/>
      <w:kern w:val="0"/>
      <w:sz w:val="24"/>
      <w:szCs w:val="20"/>
    </w:rPr>
  </w:style>
  <w:style w:type="paragraph" w:customStyle="1" w:styleId="1165">
    <w:name w:val="Text tab"/>
    <w:basedOn w:val="1"/>
    <w:autoRedefine/>
    <w:qFormat/>
    <w:uiPriority w:val="0"/>
    <w:pPr>
      <w:overflowPunct w:val="0"/>
      <w:spacing w:before="60" w:after="60"/>
      <w:textAlignment w:val="baseline"/>
    </w:pPr>
    <w:rPr>
      <w:rFonts w:ascii="ˎ̥" w:hAnsi="ˎ̥" w:cs="Batang"/>
      <w:bCs/>
      <w:color w:val="000000"/>
      <w:kern w:val="0"/>
      <w:sz w:val="22"/>
      <w:szCs w:val="20"/>
      <w:lang w:val="en-GB"/>
    </w:rPr>
  </w:style>
  <w:style w:type="paragraph" w:customStyle="1" w:styleId="1166">
    <w:name w:val="xl43"/>
    <w:basedOn w:val="1"/>
    <w:autoRedefine/>
    <w:qFormat/>
    <w:uiPriority w:val="0"/>
    <w:pPr>
      <w:pBdr>
        <w:top w:val="single" w:color="auto" w:sz="4" w:space="0"/>
        <w:left w:val="single" w:color="auto" w:sz="4" w:space="0"/>
      </w:pBdr>
      <w:spacing w:before="100" w:beforeAutospacing="1" w:after="100" w:afterAutospacing="1"/>
      <w:jc w:val="center"/>
    </w:pPr>
    <w:rPr>
      <w:rFonts w:ascii="Verdana" w:hAnsi="Verdana" w:eastAsia="黑体" w:cs="黑体"/>
      <w:b/>
      <w:color w:val="000000"/>
      <w:kern w:val="0"/>
      <w:sz w:val="18"/>
      <w:szCs w:val="18"/>
    </w:rPr>
  </w:style>
  <w:style w:type="paragraph" w:customStyle="1" w:styleId="1167">
    <w:name w:val="xl74"/>
    <w:basedOn w:val="1"/>
    <w:autoRedefine/>
    <w:qFormat/>
    <w:uiPriority w:val="0"/>
    <w:pPr>
      <w:pBdr>
        <w:top w:val="single" w:color="auto" w:sz="8" w:space="0"/>
        <w:right w:val="single" w:color="auto" w:sz="8" w:space="0"/>
      </w:pBdr>
      <w:spacing w:before="100" w:after="100"/>
      <w:jc w:val="center"/>
      <w:textAlignment w:val="center"/>
    </w:pPr>
    <w:rPr>
      <w:rFonts w:ascii="Batang" w:hAnsi="Batang" w:cs="Batang"/>
      <w:bCs/>
      <w:color w:val="000000"/>
      <w:kern w:val="0"/>
    </w:rPr>
  </w:style>
  <w:style w:type="paragraph" w:customStyle="1" w:styleId="1168">
    <w:name w:val="xl44"/>
    <w:basedOn w:val="1"/>
    <w:autoRedefine/>
    <w:qFormat/>
    <w:uiPriority w:val="0"/>
    <w:pPr>
      <w:pBdr>
        <w:top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9">
    <w:name w:val="xl45"/>
    <w:basedOn w:val="1"/>
    <w:autoRedefine/>
    <w:qFormat/>
    <w:uiPriority w:val="0"/>
    <w:pPr>
      <w:pBdr>
        <w:left w:val="single" w:color="auto" w:sz="4" w:space="0"/>
        <w:bottom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70">
    <w:name w:val="xl46"/>
    <w:basedOn w:val="1"/>
    <w:autoRedefine/>
    <w:qFormat/>
    <w:uiPriority w:val="0"/>
    <w:pPr>
      <w:pBdr>
        <w:bottom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71">
    <w:name w:val="样式 小四 Char"/>
    <w:basedOn w:val="1"/>
    <w:autoRedefine/>
    <w:qFormat/>
    <w:uiPriority w:val="0"/>
    <w:pPr>
      <w:spacing w:line="480" w:lineRule="atLeast"/>
      <w:ind w:firstLine="510"/>
      <w:textAlignment w:val="baseline"/>
    </w:pPr>
    <w:rPr>
      <w:bCs/>
      <w:color w:val="000000"/>
      <w:kern w:val="0"/>
      <w:szCs w:val="21"/>
    </w:rPr>
  </w:style>
  <w:style w:type="paragraph" w:customStyle="1" w:styleId="1172">
    <w:name w:val="Char2"/>
    <w:basedOn w:val="1"/>
    <w:autoRedefine/>
    <w:qFormat/>
    <w:uiPriority w:val="0"/>
    <w:rPr>
      <w:rFonts w:ascii="Sim Sun" w:hAnsi="Sim Sun" w:cs="DFKai-SB"/>
      <w:bCs/>
      <w:color w:val="000000"/>
      <w:kern w:val="24"/>
      <w:sz w:val="32"/>
      <w:szCs w:val="32"/>
    </w:rPr>
  </w:style>
  <w:style w:type="paragraph" w:customStyle="1" w:styleId="1173">
    <w:name w:val="xl48"/>
    <w:basedOn w:val="1"/>
    <w:autoRedefine/>
    <w:qFormat/>
    <w:uiPriority w:val="0"/>
    <w:pPr>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1174">
    <w:name w:val="样式 样式 表格1 + 首行缩进:  2 字符 + 首行缩进:  2 字符"/>
    <w:basedOn w:val="1"/>
    <w:autoRedefine/>
    <w:qFormat/>
    <w:uiPriority w:val="0"/>
    <w:pPr>
      <w:spacing w:line="400" w:lineRule="exact"/>
      <w:ind w:firstLine="200"/>
    </w:pPr>
    <w:rPr>
      <w:rFonts w:ascii="Arial Unicode MS" w:hAnsi="Arial Unicode MS" w:cs="Sim Sun"/>
      <w:bCs/>
      <w:color w:val="000000"/>
      <w:kern w:val="24"/>
      <w:szCs w:val="20"/>
    </w:rPr>
  </w:style>
  <w:style w:type="paragraph" w:customStyle="1" w:styleId="1175">
    <w:name w:val="索引 51"/>
    <w:basedOn w:val="1"/>
    <w:next w:val="1"/>
    <w:autoRedefine/>
    <w:qFormat/>
    <w:uiPriority w:val="0"/>
    <w:pPr>
      <w:spacing w:line="440" w:lineRule="exact"/>
      <w:ind w:left="1250" w:hanging="250"/>
    </w:pPr>
    <w:rPr>
      <w:rFonts w:ascii="ˎ̥" w:hAnsi="ˎ̥" w:eastAsia="仿宋体" w:cs="ˎ̥"/>
      <w:bCs/>
      <w:color w:val="000000"/>
      <w:spacing w:val="5"/>
      <w:kern w:val="24"/>
      <w:sz w:val="20"/>
      <w:szCs w:val="20"/>
    </w:rPr>
  </w:style>
  <w:style w:type="paragraph" w:customStyle="1" w:styleId="1176">
    <w:name w:val="xl50"/>
    <w:basedOn w:val="1"/>
    <w:autoRedefine/>
    <w:qFormat/>
    <w:uiPriority w:val="0"/>
    <w:pPr>
      <w:pBdr>
        <w:top w:val="single" w:color="auto" w:sz="4" w:space="0"/>
        <w:bottom w:val="single" w:color="auto" w:sz="4" w:space="0"/>
        <w:right w:val="single" w:color="auto" w:sz="4" w:space="0"/>
      </w:pBdr>
      <w:spacing w:before="100" w:beforeAutospacing="1" w:after="100" w:afterAutospacing="1"/>
      <w:jc w:val="center"/>
      <w:textAlignment w:val="center"/>
    </w:pPr>
    <w:rPr>
      <w:rFonts w:ascii="ˎ̥" w:hAnsi="ˎ̥" w:eastAsia="黑体" w:cs="ˎ̥"/>
      <w:bCs/>
      <w:color w:val="000000"/>
      <w:kern w:val="0"/>
      <w:sz w:val="18"/>
      <w:szCs w:val="18"/>
    </w:rPr>
  </w:style>
  <w:style w:type="paragraph" w:customStyle="1" w:styleId="1177">
    <w:name w:val="Char Char Char Char Char Char Char Char Char Char Char Char Char Char Char Char1"/>
    <w:basedOn w:val="7"/>
    <w:autoRedefine/>
    <w:qFormat/>
    <w:uiPriority w:val="0"/>
    <w:pPr>
      <w:tabs>
        <w:tab w:val="left" w:pos="360"/>
        <w:tab w:val="left" w:pos="900"/>
      </w:tabs>
      <w:spacing w:before="120" w:after="120" w:line="360" w:lineRule="auto"/>
      <w:ind w:left="542" w:leftChars="-12" w:firstLine="200"/>
    </w:pPr>
    <w:rPr>
      <w:rFonts w:ascii="ˎ̥" w:hAnsi="ˎ̥" w:eastAsia="Garamond" w:cs="ˎ̥"/>
      <w:b w:val="0"/>
      <w:bCs w:val="0"/>
      <w:snapToGrid w:val="0"/>
      <w:color w:val="000000"/>
      <w:kern w:val="24"/>
      <w:sz w:val="30"/>
      <w:szCs w:val="24"/>
    </w:rPr>
  </w:style>
  <w:style w:type="paragraph" w:customStyle="1" w:styleId="1178">
    <w:name w:val="Char Char9 Char Char Char Char Char Char Char Char Char1 Char Char Char Char Char Char Char"/>
    <w:basedOn w:val="7"/>
    <w:autoRedefine/>
    <w:qFormat/>
    <w:uiPriority w:val="0"/>
    <w:pPr>
      <w:tabs>
        <w:tab w:val="left" w:pos="360"/>
        <w:tab w:val="left" w:pos="900"/>
      </w:tabs>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1179">
    <w:name w:val="xl52"/>
    <w:basedOn w:val="1"/>
    <w:autoRedefine/>
    <w:qFormat/>
    <w:uiPriority w:val="0"/>
    <w:pPr>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1180">
    <w:name w:val="副标题4"/>
    <w:basedOn w:val="709"/>
    <w:autoRedefine/>
    <w:qFormat/>
    <w:uiPriority w:val="0"/>
    <w:pPr>
      <w:tabs>
        <w:tab w:val="left" w:pos="1275"/>
        <w:tab w:val="left" w:pos="2100"/>
        <w:tab w:val="left" w:pos="2580"/>
      </w:tabs>
      <w:ind w:left="1275" w:hanging="705"/>
      <w:outlineLvl w:val="4"/>
    </w:pPr>
  </w:style>
  <w:style w:type="paragraph" w:customStyle="1" w:styleId="1181">
    <w:name w:val="font0"/>
    <w:basedOn w:val="1"/>
    <w:autoRedefine/>
    <w:qFormat/>
    <w:uiPriority w:val="0"/>
    <w:pPr>
      <w:spacing w:before="100" w:beforeAutospacing="1" w:after="100" w:afterAutospacing="1"/>
    </w:pPr>
    <w:rPr>
      <w:rFonts w:hint="eastAsia" w:ascii="Sim Sun" w:hAnsi="Sim Sun" w:cs="Batang"/>
      <w:bCs/>
      <w:color w:val="000000"/>
      <w:kern w:val="0"/>
    </w:rPr>
  </w:style>
  <w:style w:type="paragraph" w:customStyle="1" w:styleId="1182">
    <w:name w:val="font1"/>
    <w:basedOn w:val="1"/>
    <w:autoRedefine/>
    <w:qFormat/>
    <w:uiPriority w:val="0"/>
    <w:pPr>
      <w:spacing w:before="100" w:beforeAutospacing="1" w:after="100" w:afterAutospacing="1"/>
    </w:pPr>
    <w:rPr>
      <w:rFonts w:ascii="ˎ̥" w:hAnsi="ˎ̥" w:eastAsia="黑体" w:cs="ˎ̥"/>
      <w:b/>
      <w:color w:val="000000"/>
      <w:kern w:val="0"/>
      <w:sz w:val="20"/>
      <w:szCs w:val="20"/>
    </w:rPr>
  </w:style>
  <w:style w:type="paragraph" w:customStyle="1" w:styleId="1183">
    <w:name w:val="Char1 Char Char"/>
    <w:basedOn w:val="1"/>
    <w:autoRedefine/>
    <w:qFormat/>
    <w:uiPriority w:val="0"/>
    <w:rPr>
      <w:rFonts w:ascii="Batang" w:hAnsi="Batang" w:cs="Batang"/>
      <w:bCs/>
      <w:color w:val="000000"/>
      <w:kern w:val="24"/>
    </w:rPr>
  </w:style>
  <w:style w:type="paragraph" w:customStyle="1" w:styleId="1184">
    <w:name w:val="z表格"/>
    <w:basedOn w:val="1"/>
    <w:autoRedefine/>
    <w:qFormat/>
    <w:uiPriority w:val="0"/>
    <w:pPr>
      <w:spacing w:line="360" w:lineRule="exact"/>
      <w:jc w:val="center"/>
    </w:pPr>
    <w:rPr>
      <w:bCs/>
      <w:color w:val="000000"/>
      <w:kern w:val="24"/>
      <w:szCs w:val="21"/>
    </w:rPr>
  </w:style>
  <w:style w:type="paragraph" w:customStyle="1" w:styleId="1185">
    <w:name w:val="正文段落"/>
    <w:basedOn w:val="1"/>
    <w:autoRedefine/>
    <w:qFormat/>
    <w:uiPriority w:val="0"/>
    <w:pPr>
      <w:spacing w:line="500" w:lineRule="atLeast"/>
      <w:ind w:firstLine="567"/>
      <w:textAlignment w:val="baseline"/>
    </w:pPr>
    <w:rPr>
      <w:rFonts w:ascii="ˎ̥" w:hAnsi="ˎ̥" w:cs="Batang"/>
      <w:bCs/>
      <w:color w:val="000000"/>
      <w:w w:val="90"/>
      <w:kern w:val="28"/>
      <w:sz w:val="28"/>
      <w:szCs w:val="20"/>
    </w:rPr>
  </w:style>
  <w:style w:type="paragraph" w:customStyle="1" w:styleId="1186">
    <w:name w:val="Char Char Char Char Char Char Char Char Char Char Char1 Char Char Char Char Char Char Char"/>
    <w:basedOn w:val="1"/>
    <w:autoRedefine/>
    <w:qFormat/>
    <w:uiPriority w:val="0"/>
    <w:rPr>
      <w:rFonts w:ascii="Batang" w:hAnsi="Batang" w:cs="Batang"/>
      <w:bCs/>
      <w:color w:val="000000"/>
      <w:kern w:val="24"/>
    </w:rPr>
  </w:style>
  <w:style w:type="paragraph" w:customStyle="1" w:styleId="1187">
    <w:name w:val="xl53"/>
    <w:basedOn w:val="1"/>
    <w:autoRedefine/>
    <w:qFormat/>
    <w:uiPriority w:val="0"/>
    <w:pPr>
      <w:pBdr>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8">
    <w:name w:val="xl56"/>
    <w:basedOn w:val="1"/>
    <w:autoRedefine/>
    <w:qFormat/>
    <w:uiPriority w:val="0"/>
    <w:pPr>
      <w:pBdr>
        <w:top w:val="single" w:color="auto" w:sz="8" w:space="0"/>
        <w:left w:val="single" w:color="auto" w:sz="4"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9">
    <w:name w:val="xl58"/>
    <w:basedOn w:val="1"/>
    <w:autoRedefine/>
    <w:qFormat/>
    <w:uiPriority w:val="0"/>
    <w:pPr>
      <w:pBdr>
        <w:top w:val="single" w:color="auto" w:sz="8" w:space="0"/>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1190">
    <w:name w:val="xl59"/>
    <w:basedOn w:val="1"/>
    <w:autoRedefine/>
    <w:qFormat/>
    <w:uiPriority w:val="0"/>
    <w:pPr>
      <w:pBdr>
        <w:top w:val="single" w:color="auto" w:sz="8" w:space="0"/>
        <w:left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91">
    <w:name w:val="xl61"/>
    <w:basedOn w:val="1"/>
    <w:autoRedefine/>
    <w:qFormat/>
    <w:uiPriority w:val="0"/>
    <w:pPr>
      <w:pBdr>
        <w:left w:val="single" w:color="auto" w:sz="8" w:space="0"/>
        <w:bottom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92">
    <w:name w:val="xl63"/>
    <w:basedOn w:val="1"/>
    <w:autoRedefine/>
    <w:qFormat/>
    <w:uiPriority w:val="0"/>
    <w:pPr>
      <w:pBdr>
        <w:top w:val="single" w:color="auto" w:sz="8" w:space="0"/>
      </w:pBdr>
      <w:spacing w:before="100" w:after="100"/>
      <w:jc w:val="center"/>
      <w:textAlignment w:val="top"/>
    </w:pPr>
    <w:rPr>
      <w:rFonts w:ascii="Batang" w:hAnsi="Batang" w:cs="Batang"/>
      <w:bCs/>
      <w:color w:val="000000"/>
      <w:kern w:val="0"/>
    </w:rPr>
  </w:style>
  <w:style w:type="paragraph" w:customStyle="1" w:styleId="1193">
    <w:name w:val="xl64"/>
    <w:basedOn w:val="1"/>
    <w:autoRedefine/>
    <w:qFormat/>
    <w:uiPriority w:val="0"/>
    <w:pPr>
      <w:pBdr>
        <w:top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94">
    <w:name w:val="xl65"/>
    <w:basedOn w:val="1"/>
    <w:autoRedefine/>
    <w:qFormat/>
    <w:uiPriority w:val="0"/>
    <w:pPr>
      <w:pBdr>
        <w:left w:val="single" w:color="auto" w:sz="4" w:space="0"/>
      </w:pBdr>
      <w:spacing w:before="100" w:after="100"/>
      <w:jc w:val="center"/>
      <w:textAlignment w:val="top"/>
    </w:pPr>
    <w:rPr>
      <w:rFonts w:ascii="Batang" w:hAnsi="Batang" w:cs="Batang"/>
      <w:bCs/>
      <w:color w:val="000000"/>
      <w:kern w:val="0"/>
    </w:rPr>
  </w:style>
  <w:style w:type="paragraph" w:customStyle="1" w:styleId="1195">
    <w:name w:val="xl67"/>
    <w:basedOn w:val="1"/>
    <w:autoRedefine/>
    <w:qFormat/>
    <w:uiPriority w:val="0"/>
    <w:pPr>
      <w:pBdr>
        <w:right w:val="single" w:color="auto" w:sz="4" w:space="0"/>
      </w:pBdr>
      <w:spacing w:before="100" w:after="100"/>
      <w:jc w:val="center"/>
      <w:textAlignment w:val="top"/>
    </w:pPr>
    <w:rPr>
      <w:rFonts w:ascii="Batang" w:hAnsi="Batang" w:cs="Batang"/>
      <w:bCs/>
      <w:color w:val="000000"/>
      <w:kern w:val="0"/>
    </w:rPr>
  </w:style>
  <w:style w:type="paragraph" w:customStyle="1" w:styleId="1196">
    <w:name w:val="样式 正文文本正文文字 + 四号 红色 首行缩进:  2 字符"/>
    <w:basedOn w:val="30"/>
    <w:autoRedefine/>
    <w:qFormat/>
    <w:uiPriority w:val="0"/>
    <w:pPr>
      <w:widowControl w:val="0"/>
      <w:spacing w:after="60" w:line="264" w:lineRule="auto"/>
      <w:ind w:right="0" w:firstLine="560"/>
      <w:textAlignment w:val="baseline"/>
    </w:pPr>
    <w:rPr>
      <w:rFonts w:ascii="Arial Unicode MS" w:hAnsi="Arial Unicode MS" w:eastAsia="Garamond" w:cs="Vladimir Script"/>
      <w:bCs/>
      <w:snapToGrid w:val="0"/>
      <w:color w:val="FF0000"/>
      <w:sz w:val="24"/>
    </w:rPr>
  </w:style>
  <w:style w:type="paragraph" w:customStyle="1" w:styleId="1197">
    <w:name w:val="xl69"/>
    <w:basedOn w:val="1"/>
    <w:autoRedefine/>
    <w:qFormat/>
    <w:uiPriority w:val="0"/>
    <w:pPr>
      <w:pBdr>
        <w:bottom w:val="single" w:color="auto" w:sz="8" w:space="0"/>
      </w:pBdr>
      <w:spacing w:before="100" w:after="100"/>
      <w:jc w:val="center"/>
      <w:textAlignment w:val="top"/>
    </w:pPr>
    <w:rPr>
      <w:rFonts w:ascii="Batang" w:hAnsi="Batang" w:cs="Batang"/>
      <w:bCs/>
      <w:color w:val="000000"/>
      <w:kern w:val="0"/>
    </w:rPr>
  </w:style>
  <w:style w:type="paragraph" w:customStyle="1" w:styleId="1198">
    <w:name w:val="xl70"/>
    <w:basedOn w:val="1"/>
    <w:autoRedefine/>
    <w:qFormat/>
    <w:uiPriority w:val="0"/>
    <w:pPr>
      <w:pBdr>
        <w:bottom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99">
    <w:name w:val="xl72"/>
    <w:basedOn w:val="1"/>
    <w:autoRedefine/>
    <w:qFormat/>
    <w:uiPriority w:val="0"/>
    <w:pPr>
      <w:pBdr>
        <w:top w:val="single" w:color="auto" w:sz="8" w:space="0"/>
        <w:left w:val="single" w:color="auto" w:sz="4" w:space="0"/>
      </w:pBdr>
      <w:spacing w:before="100" w:after="100"/>
      <w:jc w:val="center"/>
      <w:textAlignment w:val="center"/>
    </w:pPr>
    <w:rPr>
      <w:rFonts w:ascii="Sim Sun" w:hAnsi="Sim Sun" w:cs="Batang"/>
      <w:bCs/>
      <w:color w:val="000000"/>
      <w:kern w:val="0"/>
    </w:rPr>
  </w:style>
  <w:style w:type="paragraph" w:customStyle="1" w:styleId="1200">
    <w:name w:val="xl73"/>
    <w:basedOn w:val="1"/>
    <w:autoRedefine/>
    <w:qFormat/>
    <w:uiPriority w:val="0"/>
    <w:pPr>
      <w:pBdr>
        <w:top w:val="single" w:color="auto" w:sz="8" w:space="0"/>
      </w:pBdr>
      <w:spacing w:before="100" w:after="100"/>
      <w:jc w:val="center"/>
      <w:textAlignment w:val="center"/>
    </w:pPr>
    <w:rPr>
      <w:rFonts w:ascii="Batang" w:hAnsi="Batang" w:cs="Batang"/>
      <w:bCs/>
      <w:color w:val="000000"/>
      <w:kern w:val="0"/>
    </w:rPr>
  </w:style>
  <w:style w:type="paragraph" w:customStyle="1" w:styleId="1201">
    <w:name w:val="xl75"/>
    <w:basedOn w:val="1"/>
    <w:autoRedefine/>
    <w:qFormat/>
    <w:uiPriority w:val="0"/>
    <w:pPr>
      <w:pBdr>
        <w:left w:val="single" w:color="auto" w:sz="4" w:space="0"/>
      </w:pBdr>
      <w:spacing w:before="100" w:after="100"/>
      <w:jc w:val="center"/>
      <w:textAlignment w:val="center"/>
    </w:pPr>
    <w:rPr>
      <w:rFonts w:ascii="Batang" w:hAnsi="Batang" w:cs="Batang"/>
      <w:bCs/>
      <w:color w:val="000000"/>
      <w:kern w:val="0"/>
    </w:rPr>
  </w:style>
  <w:style w:type="paragraph" w:customStyle="1" w:styleId="1202">
    <w:name w:val="xl77"/>
    <w:basedOn w:val="1"/>
    <w:autoRedefine/>
    <w:qFormat/>
    <w:uiPriority w:val="0"/>
    <w:pPr>
      <w:pBdr>
        <w:right w:val="single" w:color="auto" w:sz="8" w:space="0"/>
      </w:pBdr>
      <w:spacing w:before="100" w:after="100"/>
      <w:jc w:val="center"/>
      <w:textAlignment w:val="center"/>
    </w:pPr>
    <w:rPr>
      <w:rFonts w:ascii="Batang" w:hAnsi="Batang" w:cs="Batang"/>
      <w:bCs/>
      <w:color w:val="000000"/>
      <w:kern w:val="0"/>
    </w:rPr>
  </w:style>
  <w:style w:type="paragraph" w:customStyle="1" w:styleId="1203">
    <w:name w:val="xl79"/>
    <w:basedOn w:val="1"/>
    <w:autoRedefine/>
    <w:qFormat/>
    <w:uiPriority w:val="0"/>
    <w:pPr>
      <w:pBdr>
        <w:bottom w:val="single" w:color="auto" w:sz="8" w:space="0"/>
      </w:pBdr>
      <w:spacing w:before="100" w:after="100"/>
      <w:jc w:val="center"/>
      <w:textAlignment w:val="center"/>
    </w:pPr>
    <w:rPr>
      <w:rFonts w:ascii="Batang" w:hAnsi="Batang" w:cs="Batang"/>
      <w:bCs/>
      <w:color w:val="000000"/>
      <w:kern w:val="0"/>
    </w:rPr>
  </w:style>
  <w:style w:type="paragraph" w:customStyle="1" w:styleId="1204">
    <w:name w:val="日期11"/>
    <w:basedOn w:val="1"/>
    <w:next w:val="1"/>
    <w:autoRedefine/>
    <w:qFormat/>
    <w:uiPriority w:val="0"/>
    <w:pPr>
      <w:spacing w:line="440" w:lineRule="exact"/>
      <w:ind w:firstLine="200"/>
      <w:textAlignment w:val="baseline"/>
    </w:pPr>
    <w:rPr>
      <w:rFonts w:ascii="Arial Unicode MS" w:hAnsi="Arial Unicode MS" w:cs="Vladimir Script"/>
      <w:bCs/>
      <w:color w:val="000000"/>
      <w:kern w:val="24"/>
      <w:szCs w:val="20"/>
    </w:rPr>
  </w:style>
  <w:style w:type="paragraph" w:customStyle="1" w:styleId="1205">
    <w:name w:val="xl81"/>
    <w:basedOn w:val="1"/>
    <w:autoRedefine/>
    <w:qFormat/>
    <w:uiPriority w:val="0"/>
    <w:pPr>
      <w:pBdr>
        <w:top w:val="single" w:color="auto" w:sz="8" w:space="0"/>
        <w:left w:val="single" w:color="auto" w:sz="4" w:space="0"/>
        <w:right w:val="single" w:color="auto" w:sz="4" w:space="0"/>
      </w:pBdr>
      <w:spacing w:before="100" w:after="100"/>
      <w:jc w:val="center"/>
      <w:textAlignment w:val="center"/>
    </w:pPr>
    <w:rPr>
      <w:rFonts w:ascii="Sim Sun" w:hAnsi="Sim Sun" w:cs="Batang"/>
      <w:bCs/>
      <w:color w:val="000000"/>
      <w:kern w:val="0"/>
    </w:rPr>
  </w:style>
  <w:style w:type="paragraph" w:customStyle="1" w:styleId="1206">
    <w:name w:val="xl82"/>
    <w:basedOn w:val="1"/>
    <w:autoRedefine/>
    <w:qFormat/>
    <w:uiPriority w:val="0"/>
    <w:pPr>
      <w:pBdr>
        <w:left w:val="single" w:color="auto" w:sz="4" w:space="0"/>
        <w:right w:val="single" w:color="auto" w:sz="4" w:space="0"/>
      </w:pBdr>
      <w:spacing w:before="100" w:after="100"/>
      <w:jc w:val="center"/>
      <w:textAlignment w:val="center"/>
    </w:pPr>
    <w:rPr>
      <w:rFonts w:ascii="Batang" w:hAnsi="Batang" w:cs="Batang"/>
      <w:bCs/>
      <w:color w:val="000000"/>
      <w:kern w:val="0"/>
    </w:rPr>
  </w:style>
  <w:style w:type="paragraph" w:customStyle="1" w:styleId="1207">
    <w:name w:val="xl83"/>
    <w:basedOn w:val="1"/>
    <w:autoRedefine/>
    <w:qFormat/>
    <w:uiPriority w:val="0"/>
    <w:pPr>
      <w:pBdr>
        <w:left w:val="single" w:color="auto" w:sz="4" w:space="0"/>
        <w:bottom w:val="single" w:color="auto" w:sz="8" w:space="0"/>
        <w:right w:val="single" w:color="auto" w:sz="4" w:space="0"/>
      </w:pBdr>
      <w:spacing w:before="100" w:after="100"/>
      <w:jc w:val="center"/>
      <w:textAlignment w:val="center"/>
    </w:pPr>
    <w:rPr>
      <w:rFonts w:ascii="Batang" w:hAnsi="Batang" w:cs="Batang"/>
      <w:bCs/>
      <w:color w:val="000000"/>
      <w:kern w:val="0"/>
    </w:rPr>
  </w:style>
  <w:style w:type="paragraph" w:customStyle="1" w:styleId="1208">
    <w:name w:val="xl84"/>
    <w:basedOn w:val="1"/>
    <w:autoRedefine/>
    <w:qFormat/>
    <w:uiPriority w:val="0"/>
    <w:pPr>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rPr>
  </w:style>
  <w:style w:type="paragraph" w:customStyle="1" w:styleId="1209">
    <w:name w:val="Header Base"/>
    <w:basedOn w:val="1"/>
    <w:autoRedefine/>
    <w:qFormat/>
    <w:uiPriority w:val="0"/>
    <w:pPr>
      <w:spacing w:line="440" w:lineRule="exact"/>
      <w:ind w:right="-360" w:firstLine="200"/>
    </w:pPr>
    <w:rPr>
      <w:rFonts w:ascii="Arial Unicode MS" w:hAnsi="Arial Unicode MS" w:cs="Vladimir Script"/>
      <w:bCs/>
      <w:color w:val="000000"/>
      <w:kern w:val="0"/>
      <w:sz w:val="20"/>
      <w:szCs w:val="20"/>
    </w:rPr>
  </w:style>
  <w:style w:type="paragraph" w:customStyle="1" w:styleId="1210">
    <w:name w:val="样式1 + 四号 居中"/>
    <w:basedOn w:val="1"/>
    <w:autoRedefine/>
    <w:qFormat/>
    <w:uiPriority w:val="0"/>
    <w:pPr>
      <w:spacing w:line="336" w:lineRule="auto"/>
      <w:jc w:val="center"/>
    </w:pPr>
    <w:rPr>
      <w:rFonts w:ascii="Batang" w:hAnsi="Batang" w:cs="Batang"/>
      <w:bCs/>
      <w:color w:val="000000"/>
      <w:kern w:val="24"/>
      <w:sz w:val="28"/>
      <w:szCs w:val="20"/>
    </w:rPr>
  </w:style>
  <w:style w:type="paragraph" w:customStyle="1" w:styleId="1211">
    <w:name w:val="样式 首行缩进:  2 字符8"/>
    <w:basedOn w:val="1"/>
    <w:autoRedefine/>
    <w:qFormat/>
    <w:uiPriority w:val="0"/>
    <w:pPr>
      <w:spacing w:line="520" w:lineRule="exact"/>
      <w:ind w:firstLine="560"/>
    </w:pPr>
    <w:rPr>
      <w:rFonts w:cs="宋体"/>
      <w:bCs/>
      <w:color w:val="000000"/>
      <w:kern w:val="24"/>
      <w:szCs w:val="20"/>
    </w:rPr>
  </w:style>
  <w:style w:type="paragraph" w:customStyle="1" w:styleId="1212">
    <w:name w:val="2 Char"/>
    <w:basedOn w:val="1"/>
    <w:autoRedefine/>
    <w:qFormat/>
    <w:uiPriority w:val="0"/>
    <w:rPr>
      <w:rFonts w:ascii="Batang" w:hAnsi="Batang" w:cs="Batang"/>
      <w:bCs/>
      <w:color w:val="000000"/>
      <w:kern w:val="24"/>
    </w:rPr>
  </w:style>
  <w:style w:type="paragraph" w:customStyle="1" w:styleId="1213">
    <w:name w:val="Char Char Char Char Char"/>
    <w:basedOn w:val="1"/>
    <w:autoRedefine/>
    <w:qFormat/>
    <w:uiPriority w:val="0"/>
    <w:rPr>
      <w:rFonts w:ascii="Batang" w:hAnsi="Batang" w:cs="Batang"/>
      <w:bCs/>
      <w:color w:val="000000"/>
      <w:kern w:val="24"/>
    </w:rPr>
  </w:style>
  <w:style w:type="paragraph" w:customStyle="1" w:styleId="1214">
    <w:name w:val="Char Char Char Char Char Char Char Char Char Char Char1 Char Char Char Char Char Char Char Char Char"/>
    <w:basedOn w:val="1"/>
    <w:autoRedefine/>
    <w:qFormat/>
    <w:uiPriority w:val="0"/>
    <w:rPr>
      <w:rFonts w:ascii="Batang" w:hAnsi="Batang" w:cs="Batang"/>
      <w:bCs/>
      <w:color w:val="000000"/>
      <w:kern w:val="24"/>
    </w:rPr>
  </w:style>
  <w:style w:type="paragraph" w:customStyle="1" w:styleId="1215">
    <w:name w:val="Char Char Char Char Char Char Char Char Char Char Char Char Char Char Char Char Char"/>
    <w:basedOn w:val="1"/>
    <w:autoRedefine/>
    <w:qFormat/>
    <w:uiPriority w:val="0"/>
    <w:rPr>
      <w:rFonts w:ascii="Batang" w:hAnsi="Batang" w:cs="Batang"/>
      <w:bCs/>
      <w:color w:val="000000"/>
      <w:kern w:val="24"/>
    </w:rPr>
  </w:style>
  <w:style w:type="paragraph" w:customStyle="1" w:styleId="1216">
    <w:name w:val="基准标题"/>
    <w:basedOn w:val="30"/>
    <w:next w:val="30"/>
    <w:autoRedefine/>
    <w:qFormat/>
    <w:uiPriority w:val="0"/>
    <w:pPr>
      <w:widowControl w:val="0"/>
      <w:spacing w:beforeLines="30" w:afterLines="30" w:line="240" w:lineRule="auto"/>
      <w:ind w:right="0"/>
      <w:jc w:val="center"/>
    </w:pPr>
    <w:rPr>
      <w:rFonts w:ascii="Sim Sun" w:hAnsi="Batang" w:cs="Batang"/>
      <w:bCs/>
      <w:color w:val="000000"/>
      <w:kern w:val="24"/>
      <w:sz w:val="21"/>
    </w:rPr>
  </w:style>
  <w:style w:type="paragraph" w:customStyle="1" w:styleId="1217">
    <w:name w:val="Char1 Char Char Char Char Char Char Char Char Char Char Char Char"/>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218">
    <w:name w:val="p7"/>
    <w:basedOn w:val="1"/>
    <w:autoRedefine/>
    <w:qFormat/>
    <w:uiPriority w:val="0"/>
    <w:pPr>
      <w:tabs>
        <w:tab w:val="left" w:pos="720"/>
      </w:tabs>
      <w:spacing w:line="240" w:lineRule="atLeast"/>
      <w:ind w:left="1480" w:hanging="740"/>
    </w:pPr>
    <w:rPr>
      <w:rFonts w:ascii="Arial" w:hAnsi="Arial" w:eastAsia="Arial Narrow" w:cs="Arial"/>
      <w:bCs/>
      <w:color w:val="000000"/>
      <w:kern w:val="0"/>
      <w:szCs w:val="20"/>
      <w:lang w:eastAsia="en-US"/>
    </w:rPr>
  </w:style>
  <w:style w:type="paragraph" w:customStyle="1" w:styleId="1219">
    <w:name w:val="样式 仿宋_GB2312 四号 行距: 1.5 倍行距 首行缩进:  2 字符"/>
    <w:basedOn w:val="1"/>
    <w:autoRedefine/>
    <w:qFormat/>
    <w:uiPriority w:val="0"/>
    <w:pPr>
      <w:ind w:firstLine="560"/>
    </w:pPr>
    <w:rPr>
      <w:rFonts w:ascii="@幼圆" w:hAnsi="Batang" w:eastAsia="@幼圆" w:cs="Sim Sun"/>
      <w:bCs/>
      <w:color w:val="000000"/>
      <w:kern w:val="24"/>
      <w:sz w:val="28"/>
      <w:szCs w:val="20"/>
    </w:rPr>
  </w:style>
  <w:style w:type="paragraph" w:customStyle="1" w:styleId="1220">
    <w:name w:val="样式 样式 标题 2h22Header 2nd PageA.B.C.h2 main h标题2 + 仿宋_GB2312 行距......1"/>
    <w:basedOn w:val="1096"/>
    <w:autoRedefine/>
    <w:qFormat/>
    <w:uiPriority w:val="0"/>
    <w:pPr>
      <w:ind w:firstLine="454"/>
    </w:pPr>
    <w:rPr>
      <w:b/>
      <w:bCs/>
    </w:rPr>
  </w:style>
  <w:style w:type="paragraph" w:customStyle="1" w:styleId="1221">
    <w:name w:val="Char Char Char1 Char Char Char Char Char Char Char Char Char1"/>
    <w:basedOn w:val="1"/>
    <w:autoRedefine/>
    <w:qFormat/>
    <w:uiPriority w:val="0"/>
    <w:pPr>
      <w:spacing w:line="440" w:lineRule="exact"/>
      <w:ind w:firstLine="200"/>
    </w:pPr>
    <w:rPr>
      <w:rFonts w:ascii="Arial Unicode MS" w:hAnsi="Arial Unicode MS" w:cs="Vladimir Script"/>
      <w:b/>
      <w:bCs/>
      <w:color w:val="000000"/>
      <w:kern w:val="24"/>
      <w:sz w:val="28"/>
      <w:szCs w:val="28"/>
    </w:rPr>
  </w:style>
  <w:style w:type="paragraph" w:customStyle="1" w:styleId="1222">
    <w:name w:val="节正文"/>
    <w:basedOn w:val="1"/>
    <w:autoRedefine/>
    <w:qFormat/>
    <w:uiPriority w:val="0"/>
    <w:pPr>
      <w:spacing w:beforeLines="20" w:afterLines="20"/>
      <w:ind w:left="100" w:leftChars="100" w:firstLine="200"/>
    </w:pPr>
    <w:rPr>
      <w:rFonts w:ascii="Batang" w:hAnsi="Batang" w:cs="Batang"/>
      <w:bCs/>
      <w:color w:val="000000"/>
      <w:kern w:val="24"/>
    </w:rPr>
  </w:style>
  <w:style w:type="paragraph" w:customStyle="1" w:styleId="1223">
    <w:name w:val="通用"/>
    <w:basedOn w:val="1"/>
    <w:autoRedefine/>
    <w:qFormat/>
    <w:uiPriority w:val="0"/>
    <w:pPr>
      <w:spacing w:before="120" w:after="120" w:line="300" w:lineRule="exact"/>
      <w:ind w:right="216"/>
    </w:pPr>
    <w:rPr>
      <w:rFonts w:ascii="幼圆" w:hAnsi="幼圆" w:cs="Batang"/>
      <w:bCs/>
      <w:color w:val="000000"/>
      <w:spacing w:val="40"/>
      <w:kern w:val="0"/>
      <w:szCs w:val="20"/>
    </w:rPr>
  </w:style>
  <w:style w:type="paragraph" w:customStyle="1" w:styleId="1224">
    <w:name w:val="样式2－王鹏"/>
    <w:basedOn w:val="1"/>
    <w:autoRedefine/>
    <w:qFormat/>
    <w:uiPriority w:val="0"/>
    <w:pPr>
      <w:spacing w:line="300" w:lineRule="auto"/>
      <w:jc w:val="center"/>
      <w:textAlignment w:val="baseline"/>
    </w:pPr>
    <w:rPr>
      <w:rFonts w:ascii="Sim Sun" w:hAnsi="Sim Sun" w:cs="Batang"/>
      <w:bCs/>
      <w:snapToGrid w:val="0"/>
      <w:color w:val="000000"/>
      <w:kern w:val="0"/>
      <w:szCs w:val="21"/>
    </w:rPr>
  </w:style>
  <w:style w:type="paragraph" w:customStyle="1" w:styleId="1225">
    <w:name w:val="样式 标题 2 + Arial 五号 两端对齐 段前: 15.6 磅 段后: 15.6 磅 行距: 多倍行距 1.3 ..."/>
    <w:basedOn w:val="1"/>
    <w:autoRedefine/>
    <w:qFormat/>
    <w:uiPriority w:val="0"/>
    <w:pPr>
      <w:tabs>
        <w:tab w:val="left" w:pos="576"/>
      </w:tabs>
      <w:ind w:left="576" w:hanging="576"/>
    </w:pPr>
    <w:rPr>
      <w:rFonts w:ascii="Sim Sun" w:hAnsi="Batang" w:cs="Batang"/>
      <w:bCs/>
      <w:color w:val="000000"/>
      <w:kern w:val="24"/>
      <w:szCs w:val="20"/>
    </w:rPr>
  </w:style>
  <w:style w:type="paragraph" w:customStyle="1" w:styleId="1226">
    <w:name w:val="样式 居中 段前: 1.55 磅 段后: 1.55 磅 底端: (单实线 自动设置  0.75 磅 行宽) 行距: ..."/>
    <w:basedOn w:val="1"/>
    <w:next w:val="1"/>
    <w:autoRedefine/>
    <w:qFormat/>
    <w:uiPriority w:val="0"/>
    <w:pPr>
      <w:pBdr>
        <w:bottom w:val="single" w:color="auto" w:sz="6" w:space="1"/>
      </w:pBdr>
      <w:spacing w:before="31" w:after="31" w:line="40" w:lineRule="atLeast"/>
      <w:jc w:val="center"/>
    </w:pPr>
    <w:rPr>
      <w:rFonts w:ascii="Batang" w:hAnsi="Batang" w:cs="Sim Sun"/>
      <w:bCs/>
      <w:color w:val="000000"/>
      <w:kern w:val="24"/>
      <w:szCs w:val="21"/>
    </w:rPr>
  </w:style>
  <w:style w:type="paragraph" w:customStyle="1" w:styleId="1227">
    <w:name w:val="TOCI"/>
    <w:basedOn w:val="53"/>
    <w:next w:val="53"/>
    <w:autoRedefine/>
    <w:qFormat/>
    <w:uiPriority w:val="0"/>
    <w:rPr>
      <w:rFonts w:ascii="Sim Sun" w:hAnsi="Batang" w:cs="Batang"/>
      <w:color w:val="auto"/>
    </w:rPr>
  </w:style>
  <w:style w:type="paragraph" w:customStyle="1" w:styleId="1228">
    <w:name w:val="Tabella"/>
    <w:basedOn w:val="1"/>
    <w:autoRedefine/>
    <w:qFormat/>
    <w:uiPriority w:val="0"/>
    <w:pPr>
      <w:tabs>
        <w:tab w:val="left" w:pos="851"/>
        <w:tab w:val="left" w:pos="3969"/>
        <w:tab w:val="right" w:pos="5387"/>
        <w:tab w:val="left" w:pos="6237"/>
      </w:tabs>
      <w:spacing w:before="120"/>
    </w:pPr>
    <w:rPr>
      <w:rFonts w:ascii="ˎ̥" w:hAnsi="ˎ̥" w:cs="ˎ̥"/>
      <w:bCs/>
      <w:color w:val="000000"/>
      <w:kern w:val="0"/>
      <w:sz w:val="20"/>
      <w:szCs w:val="20"/>
      <w:lang w:val="en-GB" w:eastAsia="it-IT"/>
    </w:rPr>
  </w:style>
  <w:style w:type="paragraph" w:customStyle="1" w:styleId="1229">
    <w:name w:val="Normal2"/>
    <w:basedOn w:val="1"/>
    <w:autoRedefine/>
    <w:qFormat/>
    <w:uiPriority w:val="0"/>
    <w:pPr>
      <w:spacing w:line="480" w:lineRule="exact"/>
      <w:textAlignment w:val="baseline"/>
    </w:pPr>
    <w:rPr>
      <w:rFonts w:ascii="Batang" w:hAnsi="Batang" w:cs="Batang"/>
      <w:bCs/>
      <w:color w:val="000000"/>
      <w:spacing w:val="-2"/>
      <w:kern w:val="0"/>
      <w:sz w:val="28"/>
      <w:szCs w:val="20"/>
    </w:rPr>
  </w:style>
  <w:style w:type="paragraph" w:customStyle="1" w:styleId="1230">
    <w:name w:val="自定义正文"/>
    <w:autoRedefine/>
    <w:qFormat/>
    <w:uiPriority w:val="0"/>
    <w:pPr>
      <w:spacing w:line="440" w:lineRule="exact"/>
      <w:ind w:firstLine="480" w:firstLineChars="200"/>
      <w:jc w:val="both"/>
    </w:pPr>
    <w:rPr>
      <w:rFonts w:ascii="Batang" w:hAnsi="Batang" w:eastAsia="宋体" w:cs="Batang"/>
      <w:bCs/>
      <w:color w:val="000000"/>
      <w:kern w:val="2"/>
      <w:sz w:val="24"/>
      <w:szCs w:val="24"/>
      <w:lang w:val="en-US" w:eastAsia="zh-CN" w:bidi="ar-SA"/>
    </w:rPr>
  </w:style>
  <w:style w:type="paragraph" w:customStyle="1" w:styleId="1231">
    <w:name w:val="样式 一般正文 + 行距: 多倍行距 1.15 字行"/>
    <w:basedOn w:val="524"/>
    <w:autoRedefine/>
    <w:qFormat/>
    <w:uiPriority w:val="0"/>
    <w:pPr>
      <w:spacing w:line="240" w:lineRule="auto"/>
      <w:ind w:right="0" w:rightChars="0" w:firstLine="200"/>
    </w:pPr>
    <w:rPr>
      <w:rFonts w:cs="Sim Sun"/>
    </w:rPr>
  </w:style>
  <w:style w:type="paragraph" w:customStyle="1" w:styleId="1232">
    <w:name w:val="Char12 Char Char Char"/>
    <w:basedOn w:val="1"/>
    <w:autoRedefine/>
    <w:qFormat/>
    <w:uiPriority w:val="0"/>
    <w:pPr>
      <w:spacing w:after="160" w:line="240" w:lineRule="exact"/>
    </w:pPr>
    <w:rPr>
      <w:rFonts w:ascii="ˎ̥" w:hAnsi="ˎ̥" w:eastAsia="Batang" w:cs="Wingdings"/>
      <w:b/>
      <w:bCs/>
      <w:color w:val="000000"/>
      <w:kern w:val="0"/>
      <w:lang w:eastAsia="en-US"/>
    </w:rPr>
  </w:style>
  <w:style w:type="paragraph" w:customStyle="1" w:styleId="1233">
    <w:name w:val="WPS Plain"/>
    <w:autoRedefine/>
    <w:qFormat/>
    <w:uiPriority w:val="0"/>
    <w:rPr>
      <w:rFonts w:ascii="Batang" w:hAnsi="Batang" w:eastAsia="宋体" w:cs="Batang"/>
      <w:bCs/>
      <w:color w:val="000000"/>
      <w:sz w:val="24"/>
      <w:szCs w:val="24"/>
      <w:lang w:val="en-US" w:eastAsia="zh-CN" w:bidi="ar-SA"/>
    </w:rPr>
  </w:style>
  <w:style w:type="paragraph" w:customStyle="1" w:styleId="1234">
    <w:name w:val="CM110"/>
    <w:basedOn w:val="1"/>
    <w:next w:val="1"/>
    <w:autoRedefine/>
    <w:qFormat/>
    <w:uiPriority w:val="0"/>
    <w:pPr>
      <w:spacing w:after="313"/>
    </w:pPr>
    <w:rPr>
      <w:rFonts w:ascii="Arial Unicode MS" w:hAnsi="Batang" w:eastAsia="Arial Unicode MS" w:cs="Batang"/>
      <w:bCs/>
      <w:color w:val="000000"/>
      <w:kern w:val="0"/>
    </w:rPr>
  </w:style>
  <w:style w:type="paragraph" w:customStyle="1" w:styleId="1235">
    <w:name w:val="CM102"/>
    <w:basedOn w:val="53"/>
    <w:next w:val="53"/>
    <w:autoRedefine/>
    <w:qFormat/>
    <w:uiPriority w:val="0"/>
    <w:pPr>
      <w:spacing w:after="190"/>
    </w:pPr>
    <w:rPr>
      <w:rFonts w:hAnsi="Batang" w:cs="Batang"/>
      <w:color w:val="auto"/>
    </w:rPr>
  </w:style>
  <w:style w:type="paragraph" w:customStyle="1" w:styleId="1236">
    <w:name w:val="Sun"/>
    <w:basedOn w:val="1"/>
    <w:autoRedefine/>
    <w:qFormat/>
    <w:uiPriority w:val="0"/>
    <w:pPr>
      <w:ind w:firstLine="567"/>
      <w:textAlignment w:val="baseline"/>
    </w:pPr>
    <w:rPr>
      <w:rFonts w:ascii="Arial Unicode MS" w:hAnsi="Arial Unicode MS" w:cs="Vladimir Script"/>
      <w:bCs/>
      <w:color w:val="000000"/>
      <w:kern w:val="28"/>
      <w:sz w:val="28"/>
      <w:szCs w:val="20"/>
    </w:rPr>
  </w:style>
  <w:style w:type="paragraph" w:customStyle="1" w:styleId="1237">
    <w:name w:val="表、图名"/>
    <w:basedOn w:val="1"/>
    <w:autoRedefine/>
    <w:qFormat/>
    <w:uiPriority w:val="0"/>
    <w:pPr>
      <w:jc w:val="center"/>
    </w:pPr>
    <w:rPr>
      <w:rFonts w:ascii="宋体" w:hAnsi="宋体"/>
      <w:bCs/>
      <w:color w:val="000000"/>
      <w:kern w:val="0"/>
    </w:rPr>
  </w:style>
  <w:style w:type="paragraph" w:customStyle="1" w:styleId="1238">
    <w:name w:val="CM72"/>
    <w:basedOn w:val="53"/>
    <w:next w:val="53"/>
    <w:autoRedefine/>
    <w:qFormat/>
    <w:uiPriority w:val="0"/>
    <w:pPr>
      <w:spacing w:line="323" w:lineRule="atLeast"/>
    </w:pPr>
    <w:rPr>
      <w:rFonts w:hAnsi="Batang" w:cs="Batang"/>
      <w:color w:val="auto"/>
    </w:rPr>
  </w:style>
  <w:style w:type="paragraph" w:customStyle="1" w:styleId="1239">
    <w:name w:val="索引 11"/>
    <w:basedOn w:val="1"/>
    <w:next w:val="1"/>
    <w:autoRedefine/>
    <w:qFormat/>
    <w:uiPriority w:val="0"/>
    <w:pPr>
      <w:tabs>
        <w:tab w:val="left" w:pos="3420"/>
      </w:tabs>
      <w:spacing w:line="380" w:lineRule="exact"/>
      <w:ind w:firstLine="200"/>
      <w:jc w:val="center"/>
    </w:pPr>
    <w:rPr>
      <w:rFonts w:ascii="Arial Unicode MS" w:hAnsi="Arial Unicode MS" w:cs="Vladimir Script"/>
      <w:bCs/>
      <w:color w:val="000000"/>
      <w:kern w:val="24"/>
      <w:szCs w:val="20"/>
    </w:rPr>
  </w:style>
  <w:style w:type="paragraph" w:customStyle="1" w:styleId="1240">
    <w:name w:val="CM108"/>
    <w:basedOn w:val="53"/>
    <w:next w:val="53"/>
    <w:autoRedefine/>
    <w:qFormat/>
    <w:uiPriority w:val="0"/>
    <w:pPr>
      <w:spacing w:after="78"/>
    </w:pPr>
    <w:rPr>
      <w:rFonts w:hAnsi="Batang" w:cs="Batang"/>
      <w:color w:val="auto"/>
    </w:rPr>
  </w:style>
  <w:style w:type="paragraph" w:customStyle="1" w:styleId="1241">
    <w:name w:val="CM107"/>
    <w:basedOn w:val="53"/>
    <w:next w:val="53"/>
    <w:autoRedefine/>
    <w:qFormat/>
    <w:uiPriority w:val="0"/>
    <w:pPr>
      <w:spacing w:after="127"/>
    </w:pPr>
    <w:rPr>
      <w:rFonts w:hAnsi="Batang" w:cs="Batang"/>
      <w:color w:val="auto"/>
    </w:rPr>
  </w:style>
  <w:style w:type="paragraph" w:customStyle="1" w:styleId="1242">
    <w:name w:val="CM115"/>
    <w:basedOn w:val="53"/>
    <w:next w:val="53"/>
    <w:autoRedefine/>
    <w:qFormat/>
    <w:uiPriority w:val="0"/>
    <w:pPr>
      <w:spacing w:after="368"/>
    </w:pPr>
    <w:rPr>
      <w:rFonts w:hAnsi="Batang" w:cs="Batang"/>
      <w:color w:val="auto"/>
    </w:rPr>
  </w:style>
  <w:style w:type="paragraph" w:customStyle="1" w:styleId="1243">
    <w:name w:val="CM112"/>
    <w:basedOn w:val="53"/>
    <w:next w:val="53"/>
    <w:autoRedefine/>
    <w:qFormat/>
    <w:uiPriority w:val="0"/>
    <w:pPr>
      <w:spacing w:after="128"/>
    </w:pPr>
    <w:rPr>
      <w:rFonts w:hAnsi="Batang" w:cs="Batang"/>
      <w:color w:val="auto"/>
    </w:rPr>
  </w:style>
  <w:style w:type="paragraph" w:customStyle="1" w:styleId="1244">
    <w:name w:val="缩进"/>
    <w:basedOn w:val="1"/>
    <w:autoRedefine/>
    <w:qFormat/>
    <w:uiPriority w:val="0"/>
    <w:pPr>
      <w:spacing w:line="400" w:lineRule="atLeast"/>
      <w:ind w:firstLine="425"/>
      <w:textAlignment w:val="baseline"/>
    </w:pPr>
    <w:rPr>
      <w:rFonts w:ascii="Sim Sun" w:hAnsi="Sim Sun" w:cs="Sim Sun"/>
      <w:bCs/>
      <w:color w:val="000000"/>
      <w:kern w:val="24"/>
    </w:rPr>
  </w:style>
  <w:style w:type="paragraph" w:customStyle="1" w:styleId="1245">
    <w:name w:val="CM106"/>
    <w:basedOn w:val="53"/>
    <w:next w:val="53"/>
    <w:autoRedefine/>
    <w:qFormat/>
    <w:uiPriority w:val="0"/>
    <w:pPr>
      <w:spacing w:after="653"/>
    </w:pPr>
    <w:rPr>
      <w:rFonts w:hAnsi="Batang" w:cs="Batang"/>
      <w:color w:val="auto"/>
    </w:rPr>
  </w:style>
  <w:style w:type="paragraph" w:customStyle="1" w:styleId="1246">
    <w:name w:val="CM75"/>
    <w:basedOn w:val="53"/>
    <w:next w:val="53"/>
    <w:autoRedefine/>
    <w:qFormat/>
    <w:uiPriority w:val="0"/>
    <w:rPr>
      <w:rFonts w:hAnsi="Batang" w:cs="Batang"/>
      <w:color w:val="auto"/>
    </w:rPr>
  </w:style>
  <w:style w:type="paragraph" w:customStyle="1" w:styleId="1247">
    <w:name w:val="reader-word-layer reader-word-s5-11"/>
    <w:basedOn w:val="1"/>
    <w:autoRedefine/>
    <w:qFormat/>
    <w:uiPriority w:val="0"/>
    <w:pPr>
      <w:spacing w:before="100" w:beforeAutospacing="1" w:after="100" w:afterAutospacing="1"/>
    </w:pPr>
    <w:rPr>
      <w:rFonts w:ascii="宋体" w:hAnsi="宋体" w:cs="宋体"/>
      <w:bCs/>
      <w:color w:val="000000"/>
      <w:kern w:val="0"/>
    </w:rPr>
  </w:style>
  <w:style w:type="paragraph" w:customStyle="1" w:styleId="1248">
    <w:name w:val="表格中"/>
    <w:basedOn w:val="1"/>
    <w:autoRedefine/>
    <w:qFormat/>
    <w:uiPriority w:val="0"/>
    <w:pPr>
      <w:spacing w:line="0" w:lineRule="atLeast"/>
      <w:ind w:right="358" w:rightChars="136"/>
      <w:jc w:val="center"/>
    </w:pPr>
    <w:rPr>
      <w:rFonts w:ascii="Sim Sun" w:hAnsi="Batang" w:cs="Batang"/>
      <w:bCs/>
      <w:color w:val="000000"/>
      <w:kern w:val="24"/>
      <w:sz w:val="18"/>
    </w:rPr>
  </w:style>
  <w:style w:type="paragraph" w:customStyle="1" w:styleId="1249">
    <w:name w:val="J【表中文字】"/>
    <w:basedOn w:val="1"/>
    <w:autoRedefine/>
    <w:qFormat/>
    <w:uiPriority w:val="0"/>
    <w:pPr>
      <w:jc w:val="center"/>
      <w:textAlignment w:val="center"/>
    </w:pPr>
    <w:rPr>
      <w:rFonts w:ascii="Batang" w:hAnsi="Batang" w:cs="Sim Sun"/>
      <w:bCs/>
      <w:color w:val="000000"/>
      <w:kern w:val="24"/>
      <w:szCs w:val="21"/>
    </w:rPr>
  </w:style>
  <w:style w:type="paragraph" w:customStyle="1" w:styleId="1250">
    <w:name w:val="样式 样式 标题 3标题3H3h33rd level第二层条头小标题小节标题标题 3 Char Char一海港标... +"/>
    <w:basedOn w:val="1140"/>
    <w:autoRedefine/>
    <w:qFormat/>
    <w:uiPriority w:val="0"/>
    <w:rPr>
      <w:rFonts w:ascii="Arial Unicode MS" w:hAnsi="Arial Unicode MS"/>
      <w:kern w:val="2"/>
    </w:rPr>
  </w:style>
  <w:style w:type="paragraph" w:customStyle="1" w:styleId="1251">
    <w:name w:val="lz3"/>
    <w:basedOn w:val="1"/>
    <w:autoRedefine/>
    <w:qFormat/>
    <w:uiPriority w:val="0"/>
    <w:pPr>
      <w:spacing w:line="540" w:lineRule="exact"/>
    </w:pPr>
    <w:rPr>
      <w:rFonts w:ascii="ӗԲ" w:hAnsi="Sim Sun" w:eastAsia="ӗԲ" w:cs="Batang"/>
      <w:bCs/>
      <w:color w:val="000000"/>
      <w:kern w:val="24"/>
      <w:sz w:val="30"/>
      <w:szCs w:val="20"/>
    </w:rPr>
  </w:style>
  <w:style w:type="paragraph" w:customStyle="1" w:styleId="1252">
    <w:name w:val="文-5"/>
    <w:basedOn w:val="1"/>
    <w:autoRedefine/>
    <w:qFormat/>
    <w:uiPriority w:val="0"/>
    <w:pPr>
      <w:tabs>
        <w:tab w:val="right" w:leader="dot" w:pos="8789"/>
      </w:tabs>
      <w:spacing w:before="120"/>
      <w:ind w:left="1276" w:firstLine="482"/>
    </w:pPr>
    <w:rPr>
      <w:rFonts w:ascii="Batang" w:hAnsi="Batang" w:cs="Batang"/>
      <w:bCs/>
      <w:color w:val="000000"/>
      <w:kern w:val="24"/>
      <w:szCs w:val="20"/>
    </w:rPr>
  </w:style>
  <w:style w:type="paragraph" w:customStyle="1" w:styleId="1253">
    <w:name w:val="正文文本缩进 211"/>
    <w:basedOn w:val="1"/>
    <w:autoRedefine/>
    <w:qFormat/>
    <w:uiPriority w:val="0"/>
    <w:pPr>
      <w:spacing w:line="440" w:lineRule="exact"/>
      <w:ind w:firstLine="640"/>
      <w:textAlignment w:val="baseline"/>
    </w:pPr>
    <w:rPr>
      <w:rFonts w:ascii="Arial Unicode MS" w:hAnsi="Arial Unicode MS" w:eastAsia="Garamond" w:cs="Vladimir Script"/>
      <w:bCs/>
      <w:color w:val="0000FF"/>
      <w:kern w:val="24"/>
      <w:sz w:val="32"/>
      <w:szCs w:val="20"/>
    </w:rPr>
  </w:style>
  <w:style w:type="paragraph" w:customStyle="1" w:styleId="1254">
    <w:name w:val="样式 样式4 + 段前: 0.5 行 段后: 0.5 行"/>
    <w:basedOn w:val="489"/>
    <w:autoRedefine/>
    <w:qFormat/>
    <w:uiPriority w:val="0"/>
    <w:pPr>
      <w:keepNext w:val="0"/>
      <w:keepLines w:val="0"/>
      <w:tabs>
        <w:tab w:val="left" w:pos="987"/>
        <w:tab w:val="left" w:pos="1086"/>
        <w:tab w:val="clear" w:pos="780"/>
      </w:tabs>
      <w:spacing w:beforeLines="20" w:afterLines="20" w:line="360" w:lineRule="auto"/>
      <w:ind w:left="1086" w:hanging="576"/>
      <w:outlineLvl w:val="1"/>
    </w:pPr>
    <w:rPr>
      <w:rFonts w:eastAsia="黑体" w:cs="宋体"/>
      <w:sz w:val="24"/>
      <w:szCs w:val="20"/>
    </w:rPr>
  </w:style>
  <w:style w:type="paragraph" w:customStyle="1" w:styleId="1255">
    <w:name w:val="标-4"/>
    <w:basedOn w:val="1"/>
    <w:autoRedefine/>
    <w:qFormat/>
    <w:uiPriority w:val="0"/>
    <w:pPr>
      <w:spacing w:before="120"/>
      <w:ind w:left="851" w:hanging="851"/>
    </w:pPr>
    <w:rPr>
      <w:rFonts w:ascii="Batang" w:hAnsi="Batang" w:cs="Batang"/>
      <w:bCs/>
      <w:color w:val="000000"/>
      <w:kern w:val="24"/>
      <w:szCs w:val="20"/>
    </w:rPr>
  </w:style>
  <w:style w:type="paragraph" w:customStyle="1" w:styleId="1256">
    <w:name w:val="标-5"/>
    <w:basedOn w:val="1"/>
    <w:autoRedefine/>
    <w:qFormat/>
    <w:uiPriority w:val="0"/>
    <w:pPr>
      <w:tabs>
        <w:tab w:val="right" w:leader="dot" w:pos="8789"/>
      </w:tabs>
      <w:spacing w:before="120"/>
      <w:ind w:left="1276" w:hanging="425"/>
    </w:pPr>
    <w:rPr>
      <w:rFonts w:ascii="Batang" w:hAnsi="Batang" w:cs="Batang"/>
      <w:bCs/>
      <w:color w:val="000000"/>
      <w:kern w:val="24"/>
      <w:szCs w:val="20"/>
    </w:rPr>
  </w:style>
  <w:style w:type="paragraph" w:customStyle="1" w:styleId="1257">
    <w:name w:val="标-7"/>
    <w:basedOn w:val="1"/>
    <w:autoRedefine/>
    <w:qFormat/>
    <w:uiPriority w:val="0"/>
    <w:pPr>
      <w:tabs>
        <w:tab w:val="left" w:pos="420"/>
      </w:tabs>
      <w:spacing w:before="120"/>
      <w:ind w:left="1701" w:hanging="425"/>
    </w:pPr>
    <w:rPr>
      <w:rFonts w:ascii="Batang" w:hAnsi="Batang" w:cs="Batang"/>
      <w:bCs/>
      <w:color w:val="000000"/>
      <w:kern w:val="24"/>
      <w:szCs w:val="20"/>
    </w:rPr>
  </w:style>
  <w:style w:type="paragraph" w:customStyle="1" w:styleId="1258">
    <w:name w:val="文-7"/>
    <w:basedOn w:val="1252"/>
    <w:autoRedefine/>
    <w:qFormat/>
    <w:uiPriority w:val="0"/>
    <w:pPr>
      <w:ind w:left="1701"/>
    </w:pPr>
  </w:style>
  <w:style w:type="paragraph" w:customStyle="1" w:styleId="1259">
    <w:name w:val="font12"/>
    <w:basedOn w:val="1"/>
    <w:autoRedefine/>
    <w:qFormat/>
    <w:uiPriority w:val="0"/>
    <w:pPr>
      <w:spacing w:before="100" w:beforeAutospacing="1" w:after="100" w:afterAutospacing="1"/>
    </w:pPr>
    <w:rPr>
      <w:rFonts w:ascii="Batang" w:hAnsi="Batang" w:eastAsia="黑体" w:cs="Batang"/>
      <w:bCs/>
      <w:color w:val="000000"/>
      <w:kern w:val="0"/>
      <w:sz w:val="18"/>
      <w:szCs w:val="18"/>
    </w:rPr>
  </w:style>
  <w:style w:type="paragraph" w:customStyle="1" w:styleId="1260">
    <w:name w:val="王表头"/>
    <w:basedOn w:val="1"/>
    <w:autoRedefine/>
    <w:qFormat/>
    <w:uiPriority w:val="0"/>
    <w:pPr>
      <w:spacing w:beforeLines="30" w:line="560" w:lineRule="exact"/>
      <w:jc w:val="center"/>
    </w:pPr>
    <w:rPr>
      <w:rFonts w:ascii="Batang" w:hAnsi="Batang" w:eastAsia="FLGPEK+TimesNewRoman,Italic" w:cs="Batang"/>
      <w:color w:val="000000"/>
      <w:kern w:val="24"/>
    </w:rPr>
  </w:style>
  <w:style w:type="paragraph" w:customStyle="1" w:styleId="1261">
    <w:name w:val="可研正文k"/>
    <w:basedOn w:val="1"/>
    <w:next w:val="1"/>
    <w:autoRedefine/>
    <w:qFormat/>
    <w:uiPriority w:val="0"/>
    <w:rPr>
      <w:rFonts w:ascii="ˎ̥" w:hAnsi="ˎ̥" w:eastAsia="FLGPEK+TimesNewRoman,Italic" w:cs="ˎ̥"/>
      <w:bCs/>
      <w:color w:val="000000"/>
      <w:kern w:val="0"/>
      <w:sz w:val="28"/>
      <w:szCs w:val="20"/>
    </w:rPr>
  </w:style>
  <w:style w:type="paragraph" w:customStyle="1" w:styleId="1262">
    <w:name w:val="图表标题"/>
    <w:basedOn w:val="1"/>
    <w:next w:val="1263"/>
    <w:autoRedefine/>
    <w:qFormat/>
    <w:uiPriority w:val="0"/>
    <w:pPr>
      <w:spacing w:line="500" w:lineRule="exact"/>
      <w:ind w:firstLine="480"/>
      <w:textAlignment w:val="baseline"/>
    </w:pPr>
    <w:rPr>
      <w:rFonts w:ascii="@幼圆" w:hAnsi="FLGPEK+TimesNewRoman,Italic" w:eastAsia="@幼圆" w:cs="ˎ̥"/>
      <w:color w:val="000000"/>
      <w:kern w:val="0"/>
    </w:rPr>
  </w:style>
  <w:style w:type="paragraph" w:customStyle="1" w:styleId="1263">
    <w:name w:val="报告表格"/>
    <w:basedOn w:val="1"/>
    <w:autoRedefine/>
    <w:qFormat/>
    <w:uiPriority w:val="0"/>
    <w:pPr>
      <w:spacing w:before="40" w:after="40"/>
      <w:jc w:val="center"/>
      <w:textAlignment w:val="bottom"/>
    </w:pPr>
    <w:rPr>
      <w:rFonts w:ascii="ˎ̥" w:hAnsi="ˎ̥" w:eastAsia="FLGPEK+TimesNewRoman,Italic" w:cs="ˎ̥"/>
      <w:bCs/>
      <w:color w:val="000000"/>
      <w:kern w:val="0"/>
      <w:szCs w:val="20"/>
    </w:rPr>
  </w:style>
  <w:style w:type="paragraph" w:customStyle="1" w:styleId="1264">
    <w:name w:val="样式 样式 正文首行缩进 2 + 小四 首行缩进:  2 字符 + 左侧:  2 字符 首行缩进:  2 字符 段后: 0 ..."/>
    <w:basedOn w:val="1"/>
    <w:autoRedefine/>
    <w:qFormat/>
    <w:uiPriority w:val="0"/>
    <w:pPr>
      <w:ind w:left="200" w:leftChars="200" w:firstLine="200"/>
    </w:pPr>
    <w:rPr>
      <w:rFonts w:cs="Century"/>
      <w:bCs/>
      <w:color w:val="000000"/>
      <w:kern w:val="24"/>
      <w:szCs w:val="20"/>
    </w:rPr>
  </w:style>
  <w:style w:type="paragraph" w:customStyle="1" w:styleId="1265">
    <w:name w:val="样式 居中 段前: 4 磅 段后: 4 磅"/>
    <w:basedOn w:val="1"/>
    <w:autoRedefine/>
    <w:qFormat/>
    <w:uiPriority w:val="0"/>
    <w:pPr>
      <w:spacing w:before="80" w:after="80"/>
      <w:jc w:val="center"/>
    </w:pPr>
    <w:rPr>
      <w:rFonts w:ascii="Batang" w:hAnsi="Batang" w:cs="Sim Sun"/>
      <w:bCs/>
      <w:color w:val="000000"/>
      <w:kern w:val="24"/>
      <w:szCs w:val="20"/>
    </w:rPr>
  </w:style>
  <w:style w:type="paragraph" w:customStyle="1" w:styleId="1266">
    <w:name w:val="二级标题 Char Char Char"/>
    <w:basedOn w:val="1"/>
    <w:next w:val="1"/>
    <w:autoRedefine/>
    <w:qFormat/>
    <w:uiPriority w:val="0"/>
    <w:pPr>
      <w:spacing w:line="529" w:lineRule="exact"/>
      <w:ind w:firstLine="200"/>
    </w:pPr>
    <w:rPr>
      <w:rFonts w:ascii="Batang" w:hAnsi="Batang" w:cs="Batang"/>
      <w:bCs/>
      <w:color w:val="000000"/>
      <w:kern w:val="24"/>
      <w:szCs w:val="20"/>
    </w:rPr>
  </w:style>
  <w:style w:type="paragraph" w:customStyle="1" w:styleId="1267">
    <w:name w:val="PP 行"/>
    <w:basedOn w:val="55"/>
    <w:autoRedefine/>
    <w:qFormat/>
    <w:uiPriority w:val="0"/>
  </w:style>
  <w:style w:type="paragraph" w:customStyle="1" w:styleId="1268">
    <w:name w:val="表格文字居中 Char Char"/>
    <w:basedOn w:val="259"/>
    <w:autoRedefine/>
    <w:qFormat/>
    <w:uiPriority w:val="0"/>
    <w:pPr>
      <w:keepNext/>
      <w:tabs>
        <w:tab w:val="left" w:pos="628"/>
        <w:tab w:val="left" w:pos="980"/>
        <w:tab w:val="left" w:pos="1727"/>
        <w:tab w:val="left" w:pos="1884"/>
        <w:tab w:val="left" w:pos="4900"/>
      </w:tabs>
      <w:snapToGrid w:val="0"/>
      <w:spacing w:before="100" w:beforeAutospacing="1" w:after="0"/>
      <w:ind w:left="-139" w:leftChars="-58" w:firstLine="0" w:firstLineChars="0"/>
      <w:jc w:val="center"/>
    </w:pPr>
    <w:rPr>
      <w:rFonts w:ascii="Sim Sun" w:hAnsi="Sim Sun"/>
      <w:color w:val="FF0000"/>
      <w:spacing w:val="-12"/>
      <w:sz w:val="28"/>
      <w:szCs w:val="28"/>
      <w:lang w:val="zh-CN"/>
    </w:rPr>
  </w:style>
  <w:style w:type="paragraph" w:customStyle="1" w:styleId="1269">
    <w:name w:val="Char Char1 Char Char Char Char"/>
    <w:basedOn w:val="1"/>
    <w:autoRedefine/>
    <w:semiHidden/>
    <w:qFormat/>
    <w:uiPriority w:val="0"/>
    <w:pPr>
      <w:ind w:firstLine="200"/>
    </w:pPr>
    <w:rPr>
      <w:rFonts w:ascii="Batang" w:hAnsi="Batang" w:cs="Batang"/>
      <w:bCs/>
      <w:color w:val="000000"/>
      <w:kern w:val="24"/>
    </w:rPr>
  </w:style>
  <w:style w:type="paragraph" w:customStyle="1" w:styleId="1270">
    <w:name w:val="Char Char7 Char Char Char"/>
    <w:basedOn w:val="7"/>
    <w:autoRedefine/>
    <w:qFormat/>
    <w:uiPriority w:val="0"/>
    <w:pPr>
      <w:tabs>
        <w:tab w:val="left" w:pos="360"/>
        <w:tab w:val="left" w:pos="900"/>
      </w:tabs>
      <w:spacing w:before="120" w:after="120" w:line="360" w:lineRule="auto"/>
      <w:ind w:left="542" w:leftChars="-12" w:firstLine="200"/>
    </w:pPr>
    <w:rPr>
      <w:rFonts w:ascii="Batang" w:hAnsi="Batang" w:eastAsia="FLGPEK+TimesNewRoman,Italic" w:cs="Batang"/>
      <w:b w:val="0"/>
      <w:snapToGrid w:val="0"/>
      <w:color w:val="000000"/>
      <w:kern w:val="24"/>
      <w:sz w:val="24"/>
      <w:szCs w:val="24"/>
    </w:rPr>
  </w:style>
  <w:style w:type="paragraph" w:customStyle="1" w:styleId="1271">
    <w:name w:val="标题2 Char Char Char"/>
    <w:basedOn w:val="1"/>
    <w:autoRedefine/>
    <w:qFormat/>
    <w:uiPriority w:val="0"/>
    <w:rPr>
      <w:rFonts w:ascii="Batang" w:hAnsi="Batang" w:cs="Batang"/>
      <w:bCs/>
      <w:color w:val="000000"/>
      <w:kern w:val="24"/>
      <w:sz w:val="30"/>
    </w:rPr>
  </w:style>
  <w:style w:type="paragraph" w:customStyle="1" w:styleId="1272">
    <w:name w:val="正文格式111"/>
    <w:basedOn w:val="1"/>
    <w:autoRedefine/>
    <w:semiHidden/>
    <w:qFormat/>
    <w:uiPriority w:val="0"/>
    <w:pPr>
      <w:spacing w:line="300" w:lineRule="auto"/>
      <w:ind w:firstLine="480"/>
    </w:pPr>
    <w:rPr>
      <w:rFonts w:ascii="Sim Sun" w:hAnsi="Sim Sun" w:cs="Batang"/>
      <w:bCs/>
      <w:color w:val="000000"/>
      <w:kern w:val="24"/>
    </w:rPr>
  </w:style>
  <w:style w:type="paragraph" w:customStyle="1" w:styleId="1273">
    <w:name w:val="表内5"/>
    <w:basedOn w:val="1"/>
    <w:autoRedefine/>
    <w:qFormat/>
    <w:uiPriority w:val="0"/>
    <w:pPr>
      <w:spacing w:line="300" w:lineRule="auto"/>
      <w:ind w:firstLine="200"/>
    </w:pPr>
    <w:rPr>
      <w:rFonts w:ascii="Sim Sun" w:hAnsi="Arial Unicode MS" w:cs="Vladimir Script"/>
      <w:bCs/>
      <w:color w:val="000000"/>
      <w:kern w:val="24"/>
      <w:szCs w:val="20"/>
    </w:rPr>
  </w:style>
  <w:style w:type="paragraph" w:customStyle="1" w:styleId="1274">
    <w:name w:val="7"/>
    <w:basedOn w:val="1"/>
    <w:next w:val="77"/>
    <w:autoRedefine/>
    <w:qFormat/>
    <w:uiPriority w:val="0"/>
    <w:pPr>
      <w:spacing w:before="100" w:beforeAutospacing="1" w:after="100" w:afterAutospacing="1"/>
    </w:pPr>
    <w:rPr>
      <w:rFonts w:ascii="宋体" w:hAnsi="宋体" w:cs="宋体"/>
      <w:bCs/>
      <w:color w:val="000000"/>
      <w:kern w:val="0"/>
    </w:rPr>
  </w:style>
  <w:style w:type="paragraph" w:customStyle="1" w:styleId="1275">
    <w:name w:val="列表项目符号1."/>
    <w:basedOn w:val="1"/>
    <w:autoRedefine/>
    <w:qFormat/>
    <w:uiPriority w:val="0"/>
    <w:pPr>
      <w:keepNext/>
      <w:spacing w:line="312" w:lineRule="atLeast"/>
      <w:ind w:left="425" w:hanging="425"/>
      <w:textAlignment w:val="baseline"/>
    </w:pPr>
    <w:rPr>
      <w:rFonts w:ascii="Arial Unicode MS" w:hAnsi="Arial Unicode MS" w:cs="Vladimir Script"/>
      <w:bCs/>
      <w:color w:val="000000"/>
      <w:kern w:val="0"/>
      <w:szCs w:val="21"/>
    </w:rPr>
  </w:style>
  <w:style w:type="paragraph" w:customStyle="1" w:styleId="1276">
    <w:name w:val="普通(网站)1"/>
    <w:basedOn w:val="1"/>
    <w:autoRedefine/>
    <w:qFormat/>
    <w:uiPriority w:val="0"/>
    <w:pPr>
      <w:spacing w:before="100" w:after="100" w:line="440" w:lineRule="exact"/>
      <w:ind w:firstLine="200"/>
      <w:textAlignment w:val="baseline"/>
    </w:pPr>
    <w:rPr>
      <w:rFonts w:ascii="Sim Sun" w:hAnsi="Sim Sun" w:cs="Vladimir Script"/>
      <w:bCs/>
      <w:color w:val="000000"/>
      <w:kern w:val="0"/>
      <w:szCs w:val="20"/>
    </w:rPr>
  </w:style>
  <w:style w:type="paragraph" w:customStyle="1" w:styleId="1277">
    <w:name w:val="样式 小四 居中 行距: 单倍行距"/>
    <w:basedOn w:val="1"/>
    <w:autoRedefine/>
    <w:qFormat/>
    <w:uiPriority w:val="0"/>
    <w:pPr>
      <w:spacing w:line="500" w:lineRule="atLeast"/>
      <w:ind w:firstLine="567"/>
      <w:jc w:val="center"/>
    </w:pPr>
    <w:rPr>
      <w:rFonts w:ascii="Arial Unicode MS" w:hAnsi="Arial Unicode MS" w:cs="Vladimir Script"/>
      <w:bCs/>
      <w:color w:val="000000"/>
      <w:kern w:val="0"/>
      <w:szCs w:val="20"/>
    </w:rPr>
  </w:style>
  <w:style w:type="paragraph" w:customStyle="1" w:styleId="1278">
    <w:name w:val="样式 样式 标题 2 + 宋体 行距: 固定值 30 磅 + 字距调整三号"/>
    <w:basedOn w:val="784"/>
    <w:autoRedefine/>
    <w:qFormat/>
    <w:uiPriority w:val="0"/>
    <w:pPr>
      <w:snapToGrid/>
    </w:pPr>
    <w:rPr>
      <w:rFonts w:ascii="Gungsuh" w:hAnsi="Gungsuh" w:eastAsia="黑体"/>
      <w:kern w:val="32"/>
      <w:sz w:val="28"/>
      <w:szCs w:val="24"/>
    </w:rPr>
  </w:style>
  <w:style w:type="paragraph" w:customStyle="1" w:styleId="1279">
    <w:name w:val="表头0"/>
    <w:basedOn w:val="338"/>
    <w:autoRedefine/>
    <w:qFormat/>
    <w:uiPriority w:val="0"/>
    <w:pPr>
      <w:spacing w:line="240" w:lineRule="auto"/>
      <w:ind w:firstLine="0" w:firstLineChars="0"/>
      <w:jc w:val="center"/>
    </w:pPr>
  </w:style>
  <w:style w:type="paragraph" w:customStyle="1" w:styleId="1280">
    <w:name w:val="三级 标题"/>
    <w:basedOn w:val="1"/>
    <w:autoRedefine/>
    <w:qFormat/>
    <w:uiPriority w:val="0"/>
    <w:pPr>
      <w:spacing w:before="60" w:after="60" w:line="440" w:lineRule="exact"/>
      <w:ind w:firstLine="560"/>
    </w:pPr>
    <w:rPr>
      <w:b/>
      <w:bCs/>
      <w:color w:val="000000"/>
      <w:kern w:val="24"/>
    </w:rPr>
  </w:style>
  <w:style w:type="paragraph" w:customStyle="1" w:styleId="1281">
    <w:name w:val="样式 首行缩进:  2 字符14"/>
    <w:basedOn w:val="1"/>
    <w:autoRedefine/>
    <w:qFormat/>
    <w:uiPriority w:val="0"/>
    <w:pPr>
      <w:spacing w:line="520" w:lineRule="exact"/>
      <w:ind w:firstLine="560"/>
    </w:pPr>
    <w:rPr>
      <w:rFonts w:ascii="ˎ̥" w:hAnsi="ˎ̥" w:eastAsia="FLGPEK+TimesNewRoman,Italic" w:cs="ˎ̥"/>
      <w:bCs/>
      <w:color w:val="000000"/>
      <w:kern w:val="24"/>
      <w:szCs w:val="20"/>
    </w:rPr>
  </w:style>
  <w:style w:type="paragraph" w:customStyle="1" w:styleId="1282">
    <w:name w:val="Char1 Char Char Char2"/>
    <w:basedOn w:val="1"/>
    <w:autoRedefine/>
    <w:qFormat/>
    <w:uiPriority w:val="0"/>
    <w:pPr>
      <w:ind w:firstLine="529"/>
    </w:pPr>
    <w:rPr>
      <w:rFonts w:ascii="FLGPEK+TimesNewRoman,Italic" w:hAnsi="FLGPEK+TimesNewRoman,Italic" w:eastAsia="FLGPEK+TimesNewRoman,Italic" w:cs="ˎ̥"/>
      <w:b/>
      <w:bCs/>
      <w:color w:val="000000"/>
      <w:kern w:val="24"/>
      <w:szCs w:val="20"/>
    </w:rPr>
  </w:style>
  <w:style w:type="paragraph" w:customStyle="1" w:styleId="1283">
    <w:name w:val="修订1"/>
    <w:autoRedefine/>
    <w:qFormat/>
    <w:uiPriority w:val="0"/>
    <w:rPr>
      <w:rFonts w:ascii="ˎ̥" w:hAnsi="ˎ̥" w:eastAsia="FLGPEK+TimesNewRoman,Italic" w:cs="ˎ̥"/>
      <w:bCs/>
      <w:color w:val="000000"/>
      <w:kern w:val="2"/>
      <w:sz w:val="24"/>
      <w:szCs w:val="24"/>
      <w:lang w:val="en-US" w:eastAsia="zh-CN" w:bidi="ar-SA"/>
    </w:rPr>
  </w:style>
  <w:style w:type="paragraph" w:customStyle="1" w:styleId="1284">
    <w:name w:val="正文文本 211"/>
    <w:basedOn w:val="1"/>
    <w:autoRedefine/>
    <w:qFormat/>
    <w:uiPriority w:val="0"/>
    <w:pPr>
      <w:spacing w:line="432" w:lineRule="auto"/>
      <w:ind w:firstLine="480"/>
    </w:pPr>
    <w:rPr>
      <w:rFonts w:ascii="ˎ̥" w:hAnsi="ˎ̥" w:eastAsia="FLGPEK+TimesNewRoman,Italic" w:cs="ˎ̥"/>
      <w:bCs/>
      <w:color w:val="000000"/>
      <w:kern w:val="24"/>
      <w:szCs w:val="20"/>
    </w:rPr>
  </w:style>
  <w:style w:type="paragraph" w:customStyle="1" w:styleId="1285">
    <w:name w:val="样式 小四 行距: 1.5 倍行距 首行缩进:  2 字符"/>
    <w:basedOn w:val="1"/>
    <w:autoRedefine/>
    <w:qFormat/>
    <w:uiPriority w:val="0"/>
    <w:pPr>
      <w:ind w:firstLine="480"/>
    </w:pPr>
    <w:rPr>
      <w:rFonts w:ascii="ˎ̥" w:hAnsi="ˎ̥" w:eastAsia="FLGPEK+TimesNewRoman,Italic" w:cs="ˎ̥"/>
      <w:bCs/>
      <w:color w:val="000000"/>
      <w:kern w:val="24"/>
      <w:szCs w:val="20"/>
    </w:rPr>
  </w:style>
  <w:style w:type="paragraph" w:customStyle="1" w:styleId="1286">
    <w:name w:val="Char Char Char Char Char Char Char Char Char Char Char Char Char Char Char Char Char Char Char"/>
    <w:basedOn w:val="1"/>
    <w:autoRedefine/>
    <w:qFormat/>
    <w:uiPriority w:val="0"/>
    <w:pPr>
      <w:ind w:firstLine="200"/>
    </w:pPr>
    <w:rPr>
      <w:rFonts w:ascii="FLGPEK+TimesNewRoman,Italic" w:hAnsi="FLGPEK+TimesNewRoman,Italic" w:eastAsia="FLGPEK+TimesNewRoman,Italic" w:cs="ˎ̥"/>
      <w:bCs/>
      <w:color w:val="000000"/>
      <w:kern w:val="24"/>
      <w:szCs w:val="20"/>
    </w:rPr>
  </w:style>
  <w:style w:type="paragraph" w:customStyle="1" w:styleId="1287">
    <w:name w:val="样式 正文（首行缩进两字） + 宋体 小四 加粗 行距: 固定值 24 磅"/>
    <w:basedOn w:val="2"/>
    <w:autoRedefine/>
    <w:qFormat/>
    <w:uiPriority w:val="0"/>
    <w:pPr>
      <w:spacing w:line="480" w:lineRule="exact"/>
      <w:ind w:firstLine="480"/>
      <w:textAlignment w:val="baseline"/>
    </w:pPr>
    <w:rPr>
      <w:rFonts w:ascii="Batang" w:hAnsi="Batang" w:eastAsia="FLGPEK+TimesNewRoman,Italic" w:cs="Batang"/>
      <w:bCs/>
      <w:color w:val="000000"/>
      <w:kern w:val="24"/>
      <w:sz w:val="24"/>
      <w:lang w:val="en-GB"/>
    </w:rPr>
  </w:style>
  <w:style w:type="paragraph" w:customStyle="1" w:styleId="1288">
    <w:name w:val="a"/>
    <w:basedOn w:val="1"/>
    <w:autoRedefine/>
    <w:qFormat/>
    <w:uiPriority w:val="0"/>
    <w:pPr>
      <w:spacing w:before="100" w:beforeAutospacing="1" w:after="100" w:afterAutospacing="1"/>
    </w:pPr>
    <w:rPr>
      <w:rFonts w:ascii="FLGPEK+TimesNewRoman,Italic" w:hAnsi="FLGPEK+TimesNewRoman,Italic" w:eastAsia="FLGPEK+TimesNewRoman,Italic" w:cs="ˎ̥"/>
      <w:bCs/>
      <w:color w:val="000000"/>
      <w:kern w:val="0"/>
      <w:szCs w:val="20"/>
    </w:rPr>
  </w:style>
  <w:style w:type="paragraph" w:customStyle="1" w:styleId="1289">
    <w:name w:val="样式 标题 2节标题 1.1b21.1标题2b21 Char1.1标题2 Char标题 21节标题 1.11b2..."/>
    <w:basedOn w:val="6"/>
    <w:autoRedefine/>
    <w:qFormat/>
    <w:uiPriority w:val="0"/>
    <w:pPr>
      <w:keepNext w:val="0"/>
      <w:keepLines w:val="0"/>
      <w:tabs>
        <w:tab w:val="left" w:pos="0"/>
        <w:tab w:val="left" w:pos="576"/>
      </w:tabs>
      <w:spacing w:before="360" w:after="0" w:line="480" w:lineRule="auto"/>
      <w:ind w:firstLine="200"/>
    </w:pPr>
    <w:rPr>
      <w:rFonts w:ascii="仿宋体" w:hAnsi="Arial Unicode MS" w:eastAsia="仿宋体" w:cs="Sim Sun"/>
      <w:b w:val="0"/>
      <w:bCs w:val="0"/>
      <w:color w:val="000000"/>
      <w:kern w:val="0"/>
      <w:sz w:val="28"/>
      <w:szCs w:val="28"/>
    </w:rPr>
  </w:style>
  <w:style w:type="paragraph" w:customStyle="1" w:styleId="1290">
    <w:name w:val="样式 正文（首行缩进两字） + 宋体 小四 加粗 首行缩进:  0.85 厘米 行距: 固定值 24 磅"/>
    <w:basedOn w:val="2"/>
    <w:autoRedefine/>
    <w:qFormat/>
    <w:uiPriority w:val="0"/>
    <w:pPr>
      <w:spacing w:line="480" w:lineRule="exact"/>
      <w:ind w:firstLine="482"/>
      <w:textAlignment w:val="baseline"/>
    </w:pPr>
    <w:rPr>
      <w:rFonts w:ascii="FLGPEK+TimesNewRoman,Italic" w:hAnsi="FLGPEK+TimesNewRoman,Italic" w:eastAsia="FLGPEK+TimesNewRoman,Italic" w:cs="Batang"/>
      <w:bCs/>
      <w:color w:val="000000"/>
      <w:kern w:val="24"/>
      <w:sz w:val="24"/>
    </w:rPr>
  </w:style>
  <w:style w:type="paragraph" w:customStyle="1" w:styleId="1291">
    <w:name w:val="样式 标题 3 + 段前: 0.5 行"/>
    <w:basedOn w:val="7"/>
    <w:autoRedefine/>
    <w:qFormat/>
    <w:uiPriority w:val="0"/>
    <w:pPr>
      <w:keepNext w:val="0"/>
      <w:keepLines w:val="0"/>
      <w:spacing w:before="0" w:after="0" w:line="240" w:lineRule="exact"/>
      <w:jc w:val="center"/>
      <w:outlineLvl w:val="9"/>
    </w:pPr>
    <w:rPr>
      <w:rFonts w:ascii="ˎ̥" w:hAnsi="ˎ̥" w:eastAsia="FLGPEK+TimesNewRoman,Italic" w:cs="ˎ̥"/>
      <w:b w:val="0"/>
      <w:color w:val="000000"/>
      <w:kern w:val="24"/>
      <w:sz w:val="21"/>
      <w:szCs w:val="20"/>
    </w:rPr>
  </w:style>
  <w:style w:type="paragraph" w:customStyle="1" w:styleId="1292">
    <w:name w:val="样式 四号 行距: 固定值 25 磅"/>
    <w:basedOn w:val="1"/>
    <w:autoRedefine/>
    <w:qFormat/>
    <w:uiPriority w:val="0"/>
    <w:pPr>
      <w:spacing w:line="480" w:lineRule="atLeast"/>
      <w:ind w:firstLine="200"/>
    </w:pPr>
    <w:rPr>
      <w:rFonts w:ascii="ˎ̥" w:hAnsi="ˎ̥" w:eastAsia="FLGPEK+TimesNewRoman,Italic" w:cs="ˎ̥"/>
      <w:bCs/>
      <w:color w:val="000000"/>
      <w:kern w:val="24"/>
      <w:szCs w:val="20"/>
    </w:rPr>
  </w:style>
  <w:style w:type="paragraph" w:customStyle="1" w:styleId="1293">
    <w:name w:val="样式 热电厂正文 + 首行缩进:  2 字符"/>
    <w:basedOn w:val="1"/>
    <w:autoRedefine/>
    <w:qFormat/>
    <w:uiPriority w:val="0"/>
    <w:pPr>
      <w:spacing w:line="480" w:lineRule="exact"/>
      <w:ind w:firstLine="480"/>
    </w:pPr>
    <w:rPr>
      <w:rFonts w:ascii="ˎ̥" w:hAnsi="ˎ̥" w:eastAsia="FLGPEK+TimesNewRoman,Italic" w:cs="ˎ̥"/>
      <w:bCs/>
      <w:color w:val="000000"/>
      <w:kern w:val="24"/>
      <w:szCs w:val="20"/>
    </w:rPr>
  </w:style>
  <w:style w:type="paragraph" w:customStyle="1" w:styleId="1294">
    <w:name w:val="Char1 Char Char Char1"/>
    <w:basedOn w:val="1"/>
    <w:autoRedefine/>
    <w:qFormat/>
    <w:uiPriority w:val="0"/>
    <w:pPr>
      <w:ind w:firstLine="529"/>
    </w:pPr>
    <w:rPr>
      <w:rFonts w:ascii="FLGPEK+TimesNewRoman,Italic" w:hAnsi="FLGPEK+TimesNewRoman,Italic" w:eastAsia="FLGPEK+TimesNewRoman,Italic" w:cs="ˎ̥"/>
      <w:b/>
      <w:bCs/>
      <w:color w:val="000000"/>
      <w:kern w:val="24"/>
      <w:szCs w:val="20"/>
    </w:rPr>
  </w:style>
  <w:style w:type="paragraph" w:customStyle="1" w:styleId="1295">
    <w:name w:val="TOC 标题2"/>
    <w:basedOn w:val="5"/>
    <w:next w:val="1"/>
    <w:autoRedefine/>
    <w:qFormat/>
    <w:uiPriority w:val="39"/>
    <w:pPr>
      <w:keepLines/>
      <w:overflowPunct/>
      <w:snapToGrid/>
      <w:spacing w:before="480" w:after="0" w:line="276" w:lineRule="auto"/>
      <w:ind w:left="0" w:firstLine="0"/>
      <w:outlineLvl w:val="9"/>
    </w:pPr>
    <w:rPr>
      <w:rFonts w:ascii="Sim Sun" w:hAnsi="Sim Sun" w:eastAsia="FLGPEK+TimesNewRoman,Italic" w:cs="ˎ̥"/>
      <w:color w:val="365F91"/>
      <w:kern w:val="2"/>
      <w:sz w:val="28"/>
      <w:szCs w:val="20"/>
    </w:rPr>
  </w:style>
  <w:style w:type="paragraph" w:customStyle="1" w:styleId="1296">
    <w:name w:val="表格内容居中"/>
    <w:autoRedefine/>
    <w:qFormat/>
    <w:uiPriority w:val="0"/>
    <w:pPr>
      <w:adjustRightInd w:val="0"/>
      <w:snapToGrid w:val="0"/>
      <w:jc w:val="center"/>
    </w:pPr>
    <w:rPr>
      <w:rFonts w:ascii="ˎ̥" w:hAnsi="ˎ̥" w:eastAsia="FLGPEK+TimesNewRoman,Italic" w:cs="ˎ̥"/>
      <w:bCs/>
      <w:snapToGrid w:val="0"/>
      <w:color w:val="000000"/>
      <w:sz w:val="21"/>
      <w:szCs w:val="24"/>
      <w:lang w:val="en-US" w:eastAsia="zh-CN" w:bidi="ar-SA"/>
    </w:rPr>
  </w:style>
  <w:style w:type="paragraph" w:customStyle="1" w:styleId="1297">
    <w:name w:val="样式 标题 2 + 段前: 1 行"/>
    <w:basedOn w:val="6"/>
    <w:autoRedefine/>
    <w:qFormat/>
    <w:uiPriority w:val="0"/>
    <w:pPr>
      <w:spacing w:before="320" w:after="160" w:line="360" w:lineRule="auto"/>
      <w:ind w:firstLine="567"/>
      <w:textAlignment w:val="baseline"/>
    </w:pPr>
    <w:rPr>
      <w:rFonts w:ascii="FLGPEK+TimesNewRoman,Italic" w:hAnsi="ˎ̥" w:eastAsia="FLGPEK+TimesNewRoman,Italic" w:cs="FLGPEK+TimesNewRoman,Italic"/>
      <w:color w:val="000000"/>
      <w:kern w:val="0"/>
      <w:sz w:val="28"/>
      <w:szCs w:val="20"/>
    </w:rPr>
  </w:style>
  <w:style w:type="paragraph" w:customStyle="1" w:styleId="1298">
    <w:name w:val="样式 标题 1 + 首行缩进:  0 厘米"/>
    <w:basedOn w:val="5"/>
    <w:autoRedefine/>
    <w:qFormat/>
    <w:uiPriority w:val="0"/>
    <w:pPr>
      <w:keepLines/>
      <w:overflowPunct/>
      <w:spacing w:before="400" w:after="200" w:line="360" w:lineRule="auto"/>
      <w:ind w:left="0" w:firstLine="567"/>
      <w:textAlignment w:val="baseline"/>
    </w:pPr>
    <w:rPr>
      <w:rFonts w:ascii="ˎ̥" w:hAnsi="ˎ̥" w:eastAsia="FLGPEK+TimesNewRoman,Italic" w:cs="FLGPEK+TimesNewRoman,Italic"/>
      <w:sz w:val="32"/>
      <w:szCs w:val="20"/>
    </w:rPr>
  </w:style>
  <w:style w:type="paragraph" w:customStyle="1" w:styleId="1299">
    <w:name w:val="样式 标题 3 + 首行缩进:  0 厘米"/>
    <w:basedOn w:val="7"/>
    <w:autoRedefine/>
    <w:qFormat/>
    <w:uiPriority w:val="0"/>
    <w:pPr>
      <w:spacing w:before="240" w:after="120" w:line="360" w:lineRule="auto"/>
      <w:ind w:firstLine="567"/>
      <w:textAlignment w:val="baseline"/>
    </w:pPr>
    <w:rPr>
      <w:rFonts w:ascii="ˎ̥" w:hAnsi="ˎ̥" w:eastAsia="FLGPEK+TimesNewRoman,Italic" w:cs="FLGPEK+TimesNewRoman,Italic"/>
      <w:bCs w:val="0"/>
      <w:color w:val="000000"/>
      <w:kern w:val="0"/>
      <w:sz w:val="24"/>
      <w:szCs w:val="20"/>
    </w:rPr>
  </w:style>
  <w:style w:type="paragraph" w:customStyle="1" w:styleId="1300">
    <w:name w:val="表文2"/>
    <w:basedOn w:val="1"/>
    <w:autoRedefine/>
    <w:qFormat/>
    <w:uiPriority w:val="0"/>
    <w:pPr>
      <w:spacing w:line="360" w:lineRule="exact"/>
      <w:ind w:firstLine="200"/>
      <w:jc w:val="center"/>
    </w:pPr>
    <w:rPr>
      <w:rFonts w:ascii="ˎ̥" w:hAnsi="ˎ̥" w:cs="Vladimir Script"/>
      <w:bCs/>
      <w:color w:val="000000"/>
      <w:kern w:val="24"/>
      <w:szCs w:val="20"/>
    </w:rPr>
  </w:style>
  <w:style w:type="paragraph" w:styleId="1301">
    <w:name w:val="List Paragraph"/>
    <w:basedOn w:val="1"/>
    <w:autoRedefine/>
    <w:qFormat/>
    <w:uiPriority w:val="99"/>
    <w:rPr>
      <w:rFonts w:ascii="宋体" w:hAnsi="宋体" w:eastAsia="FLGPEK+TimesNewRoman,Italic" w:cs="ˎ̥"/>
      <w:bCs/>
      <w:color w:val="000000"/>
      <w:kern w:val="24"/>
      <w:szCs w:val="22"/>
    </w:rPr>
  </w:style>
  <w:style w:type="paragraph" w:customStyle="1" w:styleId="1302">
    <w:name w:val="样式 小四 行距: 1.5 倍行距"/>
    <w:basedOn w:val="1"/>
    <w:autoRedefine/>
    <w:qFormat/>
    <w:uiPriority w:val="0"/>
    <w:pPr>
      <w:ind w:firstLine="200"/>
    </w:pPr>
    <w:rPr>
      <w:rFonts w:ascii="ˎ̥" w:hAnsi="ˎ̥" w:eastAsia="FLGPEK+TimesNewRoman,Italic" w:cs="ˎ̥"/>
      <w:bCs/>
      <w:color w:val="000000"/>
      <w:kern w:val="24"/>
    </w:rPr>
  </w:style>
  <w:style w:type="paragraph" w:customStyle="1" w:styleId="1303">
    <w:name w:val="海港文字"/>
    <w:basedOn w:val="30"/>
    <w:autoRedefine/>
    <w:qFormat/>
    <w:uiPriority w:val="0"/>
    <w:pPr>
      <w:widowControl w:val="0"/>
      <w:snapToGrid/>
      <w:spacing w:before="0" w:after="0" w:line="360" w:lineRule="auto"/>
      <w:ind w:right="0" w:firstLine="480"/>
    </w:pPr>
    <w:rPr>
      <w:rFonts w:ascii="Sim Sun" w:hAnsi="Sim Sun" w:eastAsia="Vladimir Script" w:cs="Vladimir Script"/>
      <w:bCs/>
      <w:color w:val="000000"/>
      <w:sz w:val="24"/>
    </w:rPr>
  </w:style>
  <w:style w:type="paragraph" w:customStyle="1" w:styleId="1304">
    <w:name w:val="CM126"/>
    <w:basedOn w:val="1"/>
    <w:next w:val="1"/>
    <w:autoRedefine/>
    <w:qFormat/>
    <w:uiPriority w:val="0"/>
    <w:pPr>
      <w:spacing w:after="310"/>
    </w:pPr>
    <w:rPr>
      <w:rFonts w:ascii="FLGPEK+TimesNewRoman,Italic" w:hAnsi="ˎ̥" w:eastAsia="FLGPEK+TimesNewRoman,Italic" w:cs="ˎ̥"/>
      <w:bCs/>
      <w:color w:val="000000"/>
      <w:kern w:val="0"/>
    </w:rPr>
  </w:style>
  <w:style w:type="paragraph" w:customStyle="1" w:styleId="1305">
    <w:name w:val="样式 标题 4 + 行距: 1.5 倍行距"/>
    <w:basedOn w:val="8"/>
    <w:autoRedefine/>
    <w:qFormat/>
    <w:uiPriority w:val="0"/>
    <w:pPr>
      <w:spacing w:line="360" w:lineRule="auto"/>
    </w:pPr>
    <w:rPr>
      <w:rFonts w:ascii="宋体" w:hAnsi="宋体" w:eastAsia="宋体-方正超大字符集" w:cs="宋体"/>
      <w:color w:val="000000"/>
      <w:kern w:val="24"/>
      <w:sz w:val="24"/>
      <w:szCs w:val="20"/>
    </w:rPr>
  </w:style>
  <w:style w:type="paragraph" w:customStyle="1" w:styleId="1306">
    <w:name w:val="5 Char Char Char Char"/>
    <w:basedOn w:val="1"/>
    <w:autoRedefine/>
    <w:qFormat/>
    <w:uiPriority w:val="0"/>
    <w:rPr>
      <w:rFonts w:ascii="ˎ̥" w:hAnsi="ˎ̥" w:eastAsia="FLGPEK+TimesNewRoman,Italic" w:cs="ˎ̥"/>
      <w:bCs/>
      <w:color w:val="000000"/>
      <w:kern w:val="24"/>
    </w:rPr>
  </w:style>
  <w:style w:type="paragraph" w:customStyle="1" w:styleId="1307">
    <w:name w:val="表内文字小"/>
    <w:basedOn w:val="1"/>
    <w:autoRedefine/>
    <w:qFormat/>
    <w:uiPriority w:val="0"/>
    <w:pPr>
      <w:spacing w:line="440" w:lineRule="exact"/>
      <w:ind w:left="-25" w:firstLine="200"/>
      <w:jc w:val="center"/>
    </w:pPr>
    <w:rPr>
      <w:rFonts w:ascii="Arial Unicode MS" w:hAnsi="Arial Unicode MS" w:cs="Vladimir Script"/>
      <w:bCs/>
      <w:color w:val="000000"/>
      <w:kern w:val="24"/>
      <w:sz w:val="18"/>
      <w:szCs w:val="18"/>
    </w:rPr>
  </w:style>
  <w:style w:type="paragraph" w:customStyle="1" w:styleId="1308">
    <w:name w:val="列表项目符号1.缩2"/>
    <w:basedOn w:val="1275"/>
    <w:autoRedefine/>
    <w:qFormat/>
    <w:uiPriority w:val="0"/>
    <w:pPr>
      <w:tabs>
        <w:tab w:val="left" w:pos="945"/>
      </w:tabs>
      <w:spacing w:line="360" w:lineRule="auto"/>
      <w:ind w:left="0" w:firstLine="425"/>
    </w:pPr>
    <w:rPr>
      <w:szCs w:val="24"/>
    </w:rPr>
  </w:style>
  <w:style w:type="paragraph" w:customStyle="1" w:styleId="1309">
    <w:name w:val="3 级样式"/>
    <w:basedOn w:val="7"/>
    <w:autoRedefine/>
    <w:qFormat/>
    <w:uiPriority w:val="0"/>
    <w:pPr>
      <w:tabs>
        <w:tab w:val="left" w:pos="425"/>
      </w:tabs>
      <w:spacing w:beforeLines="20" w:afterLines="30" w:line="360" w:lineRule="auto"/>
      <w:ind w:left="425" w:hanging="425"/>
    </w:pPr>
    <w:rPr>
      <w:rFonts w:ascii="Sim Sun" w:hAnsi="Sim Sun" w:eastAsia="仿宋体" w:cs="Sim Sun"/>
      <w:b w:val="0"/>
      <w:bCs w:val="0"/>
      <w:color w:val="000000"/>
      <w:kern w:val="28"/>
      <w:sz w:val="28"/>
      <w:szCs w:val="28"/>
    </w:rPr>
  </w:style>
  <w:style w:type="paragraph" w:customStyle="1" w:styleId="1310">
    <w:name w:val="Char Char Char Char Char Char Char Char Char Char Char Char Char Char Char Char"/>
    <w:basedOn w:val="7"/>
    <w:autoRedefine/>
    <w:qFormat/>
    <w:uiPriority w:val="0"/>
    <w:pPr>
      <w:tabs>
        <w:tab w:val="left" w:pos="360"/>
        <w:tab w:val="left" w:pos="900"/>
      </w:tabs>
      <w:spacing w:before="120" w:after="120" w:line="360" w:lineRule="auto"/>
      <w:ind w:left="542" w:leftChars="-12" w:firstLine="200"/>
    </w:pPr>
    <w:rPr>
      <w:rFonts w:ascii="ˎ̥" w:hAnsi="ˎ̥" w:eastAsia="@幼圆" w:cs="ˎ̥"/>
      <w:b w:val="0"/>
      <w:snapToGrid w:val="0"/>
      <w:color w:val="000000"/>
      <w:kern w:val="24"/>
      <w:sz w:val="24"/>
      <w:szCs w:val="24"/>
    </w:rPr>
  </w:style>
  <w:style w:type="paragraph" w:customStyle="1" w:styleId="1311">
    <w:name w:val="样式 表格标题 + 段前: 0.5 行1"/>
    <w:basedOn w:val="1"/>
    <w:autoRedefine/>
    <w:qFormat/>
    <w:uiPriority w:val="0"/>
    <w:pPr>
      <w:spacing w:beforeLines="50" w:line="400" w:lineRule="exact"/>
      <w:jc w:val="center"/>
    </w:pPr>
    <w:rPr>
      <w:rFonts w:ascii="@幼圆" w:hAnsi="ˎ̥" w:eastAsia="@幼圆" w:cs="FLGPEK+TimesNewRoman,Italic"/>
      <w:color w:val="000000"/>
      <w:kern w:val="24"/>
      <w:szCs w:val="20"/>
      <w:lang w:val="zh-CN"/>
    </w:rPr>
  </w:style>
  <w:style w:type="paragraph" w:customStyle="1" w:styleId="1312">
    <w:name w:val="样式 标题 3 + 行距: 固定值 28 磅"/>
    <w:basedOn w:val="7"/>
    <w:autoRedefine/>
    <w:qFormat/>
    <w:uiPriority w:val="0"/>
    <w:pPr>
      <w:keepLines w:val="0"/>
      <w:spacing w:before="120" w:after="120" w:line="440" w:lineRule="exact"/>
    </w:pPr>
    <w:rPr>
      <w:rFonts w:eastAsia="黑体" w:cs="宋体"/>
      <w:bCs w:val="0"/>
      <w:color w:val="000000"/>
      <w:kern w:val="24"/>
      <w:sz w:val="24"/>
      <w:szCs w:val="20"/>
    </w:rPr>
  </w:style>
  <w:style w:type="paragraph" w:customStyle="1" w:styleId="1313">
    <w:name w:val="样式 标题 3头标题3H3h33rd level第二层条标题 3 Char小标题小节标题标题 3 Char ...1"/>
    <w:basedOn w:val="7"/>
    <w:autoRedefine/>
    <w:qFormat/>
    <w:uiPriority w:val="0"/>
    <w:pPr>
      <w:tabs>
        <w:tab w:val="left" w:pos="1740"/>
      </w:tabs>
      <w:spacing w:before="240" w:after="240" w:line="240" w:lineRule="exact"/>
      <w:ind w:left="1740" w:hanging="420"/>
    </w:pPr>
    <w:rPr>
      <w:rFonts w:ascii="Sim Sun" w:hAnsi="Sim Sun" w:eastAsia="Garamond" w:cs="Vladimir Script"/>
      <w:bCs w:val="0"/>
      <w:color w:val="000000"/>
      <w:kern w:val="0"/>
      <w:sz w:val="30"/>
    </w:rPr>
  </w:style>
  <w:style w:type="paragraph" w:customStyle="1" w:styleId="1314">
    <w:name w:val="Document Label"/>
    <w:basedOn w:val="1"/>
    <w:next w:val="1"/>
    <w:autoRedefine/>
    <w:qFormat/>
    <w:uiPriority w:val="0"/>
    <w:pPr>
      <w:spacing w:after="220" w:line="440" w:lineRule="exact"/>
      <w:ind w:right="-360" w:firstLine="200"/>
    </w:pPr>
    <w:rPr>
      <w:rFonts w:ascii="Arial Unicode MS" w:hAnsi="Arial Unicode MS" w:cs="Vladimir Script"/>
      <w:bCs/>
      <w:color w:val="000000"/>
      <w:spacing w:val="-20"/>
      <w:kern w:val="0"/>
      <w:sz w:val="48"/>
      <w:szCs w:val="20"/>
    </w:rPr>
  </w:style>
  <w:style w:type="paragraph" w:customStyle="1" w:styleId="1315">
    <w:name w:val="待定小"/>
    <w:basedOn w:val="1307"/>
    <w:autoRedefine/>
    <w:qFormat/>
    <w:uiPriority w:val="0"/>
    <w:rPr>
      <w:rFonts w:ascii="Sim Sun"/>
      <w:color w:val="0000FF"/>
      <w:sz w:val="21"/>
      <w:szCs w:val="20"/>
    </w:rPr>
  </w:style>
  <w:style w:type="paragraph" w:customStyle="1" w:styleId="1316">
    <w:name w:val="Char Char Char Char4"/>
    <w:basedOn w:val="1"/>
    <w:autoRedefine/>
    <w:qFormat/>
    <w:uiPriority w:val="0"/>
    <w:pPr>
      <w:ind w:firstLine="600"/>
    </w:pPr>
  </w:style>
  <w:style w:type="paragraph" w:customStyle="1" w:styleId="1317">
    <w:name w:val="自定义缩进"/>
    <w:basedOn w:val="1"/>
    <w:autoRedefine/>
    <w:qFormat/>
    <w:uiPriority w:val="0"/>
    <w:pPr>
      <w:keepNext/>
      <w:spacing w:line="336" w:lineRule="auto"/>
      <w:ind w:firstLine="480"/>
    </w:pPr>
    <w:rPr>
      <w:rFonts w:ascii="Sim Sun" w:hAnsi="Sim Sun" w:cs="Vladimir Script"/>
      <w:bCs/>
      <w:color w:val="000000"/>
      <w:kern w:val="0"/>
      <w:szCs w:val="20"/>
    </w:rPr>
  </w:style>
  <w:style w:type="paragraph" w:customStyle="1" w:styleId="1318">
    <w:name w:val="Char Char Char1 Char"/>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319">
    <w:name w:val="Char Char Char Char Char Char3"/>
    <w:basedOn w:val="1"/>
    <w:autoRedefine/>
    <w:qFormat/>
    <w:uiPriority w:val="0"/>
    <w:pPr>
      <w:spacing w:after="160" w:line="240" w:lineRule="exact"/>
      <w:ind w:firstLine="200"/>
    </w:pPr>
    <w:rPr>
      <w:rFonts w:ascii="Chicago" w:hAnsi="Chicago" w:cs="Vladimir Script"/>
      <w:bCs/>
      <w:color w:val="000000"/>
      <w:kern w:val="0"/>
      <w:sz w:val="20"/>
      <w:szCs w:val="20"/>
      <w:lang w:eastAsia="en-US"/>
    </w:rPr>
  </w:style>
  <w:style w:type="paragraph" w:customStyle="1" w:styleId="1320">
    <w:name w:val="索引 21"/>
    <w:basedOn w:val="1"/>
    <w:next w:val="1"/>
    <w:autoRedefine/>
    <w:qFormat/>
    <w:uiPriority w:val="0"/>
    <w:pPr>
      <w:spacing w:line="440" w:lineRule="exact"/>
      <w:ind w:left="500" w:hanging="250"/>
    </w:pPr>
    <w:rPr>
      <w:rFonts w:ascii="ˎ̥" w:hAnsi="ˎ̥" w:eastAsia="仿宋体" w:cs="ˎ̥"/>
      <w:bCs/>
      <w:color w:val="000000"/>
      <w:spacing w:val="5"/>
      <w:kern w:val="24"/>
      <w:sz w:val="20"/>
      <w:szCs w:val="20"/>
    </w:rPr>
  </w:style>
  <w:style w:type="paragraph" w:customStyle="1" w:styleId="1321">
    <w:name w:val="样式 标题 4标题 4 Char标题 4（修改） + 左 段前: 0.5 行 段后: 0.2 行 行距: 多倍行距 1..."/>
    <w:basedOn w:val="8"/>
    <w:autoRedefine/>
    <w:qFormat/>
    <w:uiPriority w:val="0"/>
    <w:pPr>
      <w:tabs>
        <w:tab w:val="left" w:pos="864"/>
      </w:tabs>
      <w:spacing w:beforeLines="50" w:afterLines="20" w:line="264" w:lineRule="auto"/>
      <w:ind w:left="864" w:hanging="864"/>
    </w:pPr>
    <w:rPr>
      <w:rFonts w:ascii="Arial Unicode MS" w:hAnsi="Arial Unicode MS" w:eastAsia="DFKai-SB" w:cs="Vladimir Script"/>
      <w:b w:val="0"/>
      <w:color w:val="000000"/>
      <w:kern w:val="24"/>
      <w:sz w:val="24"/>
      <w:szCs w:val="20"/>
    </w:rPr>
  </w:style>
  <w:style w:type="paragraph" w:customStyle="1" w:styleId="1322">
    <w:name w:val="Institution"/>
    <w:basedOn w:val="1"/>
    <w:next w:val="801"/>
    <w:autoRedefine/>
    <w:qFormat/>
    <w:uiPriority w:val="0"/>
    <w:pPr>
      <w:tabs>
        <w:tab w:val="left" w:pos="2160"/>
        <w:tab w:val="right" w:pos="6480"/>
      </w:tabs>
      <w:spacing w:before="220" w:after="60" w:line="220" w:lineRule="atLeast"/>
      <w:ind w:right="-360" w:firstLine="200"/>
    </w:pPr>
    <w:rPr>
      <w:rFonts w:ascii="Arial Unicode MS" w:hAnsi="Arial Unicode MS" w:cs="Vladimir Script"/>
      <w:bCs/>
      <w:color w:val="000000"/>
      <w:kern w:val="0"/>
      <w:sz w:val="20"/>
      <w:szCs w:val="20"/>
    </w:rPr>
  </w:style>
  <w:style w:type="paragraph" w:customStyle="1" w:styleId="1323">
    <w:name w:val="样式 标题 1一、 + (中文) 仿宋_GB2312 段前: 6 磅"/>
    <w:basedOn w:val="5"/>
    <w:autoRedefine/>
    <w:qFormat/>
    <w:uiPriority w:val="0"/>
    <w:pPr>
      <w:keepLines/>
      <w:tabs>
        <w:tab w:val="left" w:pos="845"/>
      </w:tabs>
      <w:overflowPunct/>
      <w:spacing w:before="240" w:after="240" w:line="440" w:lineRule="exact"/>
      <w:ind w:left="845" w:hanging="420"/>
      <w:textAlignment w:val="baseline"/>
    </w:pPr>
    <w:rPr>
      <w:rFonts w:ascii="Arial Unicode MS" w:hAnsi="Arial Unicode MS" w:eastAsia="Garamond" w:cs="Vladimir Script"/>
      <w:szCs w:val="20"/>
    </w:rPr>
  </w:style>
  <w:style w:type="paragraph" w:customStyle="1" w:styleId="1324">
    <w:name w:val="Char21"/>
    <w:basedOn w:val="1"/>
    <w:autoRedefine/>
    <w:qFormat/>
    <w:uiPriority w:val="0"/>
    <w:pPr>
      <w:spacing w:line="440" w:lineRule="exact"/>
      <w:ind w:firstLine="200"/>
    </w:pPr>
    <w:rPr>
      <w:rFonts w:ascii="Sim Sun" w:hAnsi="Sim Sun" w:cs="DFKai-SB"/>
      <w:bCs/>
      <w:color w:val="000000"/>
      <w:kern w:val="24"/>
      <w:sz w:val="32"/>
      <w:szCs w:val="32"/>
    </w:rPr>
  </w:style>
  <w:style w:type="paragraph" w:customStyle="1" w:styleId="1325">
    <w:name w:val="表文字"/>
    <w:basedOn w:val="1"/>
    <w:autoRedefine/>
    <w:qFormat/>
    <w:uiPriority w:val="0"/>
    <w:pPr>
      <w:spacing w:line="440" w:lineRule="exact"/>
      <w:ind w:firstLine="200"/>
      <w:jc w:val="center"/>
    </w:pPr>
    <w:rPr>
      <w:rFonts w:ascii="ˎ̥" w:hAnsi="ˎ̥" w:cs="ˎ̥"/>
      <w:bCs/>
      <w:color w:val="000000"/>
      <w:kern w:val="24"/>
    </w:rPr>
  </w:style>
  <w:style w:type="paragraph" w:customStyle="1" w:styleId="1326">
    <w:name w:val="Char Char1 Char Char1 Char Char1 Char Char1 Char Char Char Char Char Char Char"/>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327">
    <w:name w:val="插图1"/>
    <w:basedOn w:val="1"/>
    <w:autoRedefine/>
    <w:qFormat/>
    <w:uiPriority w:val="0"/>
    <w:pPr>
      <w:spacing w:before="120" w:after="120" w:line="440" w:lineRule="exact"/>
      <w:ind w:firstLine="200"/>
    </w:pPr>
    <w:rPr>
      <w:rFonts w:ascii="Arial Unicode MS" w:hAnsi="Arial Unicode MS" w:cs="Vladimir Script"/>
      <w:bCs/>
      <w:color w:val="000000"/>
      <w:kern w:val="0"/>
      <w:szCs w:val="28"/>
    </w:rPr>
  </w:style>
  <w:style w:type="paragraph" w:customStyle="1" w:styleId="1328">
    <w:name w:val="插图"/>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1329">
    <w:name w:val="说明-正文"/>
    <w:basedOn w:val="1"/>
    <w:autoRedefine/>
    <w:qFormat/>
    <w:uiPriority w:val="0"/>
    <w:pPr>
      <w:ind w:firstLine="480"/>
    </w:pPr>
    <w:rPr>
      <w:rFonts w:ascii="Arial Unicode MS" w:hAnsi="Arial Unicode MS" w:cs="Vladimir Script"/>
      <w:bCs/>
      <w:color w:val="000000"/>
      <w:kern w:val="0"/>
      <w:szCs w:val="20"/>
    </w:rPr>
  </w:style>
  <w:style w:type="paragraph" w:customStyle="1" w:styleId="1330">
    <w:name w:val="Char Char Char Char Char1"/>
    <w:basedOn w:val="1"/>
    <w:autoRedefine/>
    <w:qFormat/>
    <w:uiPriority w:val="0"/>
    <w:rPr>
      <w:rFonts w:ascii="Batang" w:hAnsi="Batang" w:cs="Batang"/>
      <w:bCs/>
      <w:color w:val="000000"/>
      <w:kern w:val="24"/>
    </w:rPr>
  </w:style>
  <w:style w:type="paragraph" w:customStyle="1" w:styleId="1331">
    <w:name w:val="样式 标题 3 + Times New Roman 四号 加粗"/>
    <w:basedOn w:val="7"/>
    <w:autoRedefine/>
    <w:qFormat/>
    <w:uiPriority w:val="0"/>
    <w:pPr>
      <w:spacing w:before="0" w:after="0" w:line="320" w:lineRule="atLeast"/>
      <w:ind w:firstLine="200"/>
    </w:pPr>
    <w:rPr>
      <w:rFonts w:ascii="Sim Sun" w:hAnsi="Sim Sun" w:eastAsia="宋体-方正超大字符集" w:cs="Vladimir Script"/>
      <w:bCs w:val="0"/>
      <w:color w:val="000000"/>
      <w:kern w:val="0"/>
      <w:sz w:val="28"/>
      <w:szCs w:val="28"/>
    </w:rPr>
  </w:style>
  <w:style w:type="paragraph" w:customStyle="1" w:styleId="1332">
    <w:name w:val="样式 样式 蓝色 首行缩进:  1 厘米 行距: 固定值 25 磅 + 首行缩进:  2 字符"/>
    <w:basedOn w:val="1"/>
    <w:autoRedefine/>
    <w:qFormat/>
    <w:uiPriority w:val="0"/>
    <w:pPr>
      <w:spacing w:line="500" w:lineRule="exact"/>
      <w:ind w:firstLine="560"/>
    </w:pPr>
    <w:rPr>
      <w:rFonts w:ascii="Arial Unicode MS" w:hAnsi="Arial Unicode MS" w:cs="Sim Sun"/>
      <w:bCs/>
      <w:color w:val="000000"/>
      <w:kern w:val="24"/>
      <w:sz w:val="28"/>
      <w:szCs w:val="20"/>
    </w:rPr>
  </w:style>
  <w:style w:type="paragraph" w:customStyle="1" w:styleId="1333">
    <w:name w:val="表标题4.4 行"/>
    <w:basedOn w:val="1"/>
    <w:autoRedefine/>
    <w:qFormat/>
    <w:uiPriority w:val="0"/>
    <w:pPr>
      <w:tabs>
        <w:tab w:val="left" w:pos="1260"/>
        <w:tab w:val="left" w:pos="2723"/>
      </w:tabs>
      <w:spacing w:beforeLines="100" w:line="0" w:lineRule="atLeast"/>
      <w:ind w:left="1260" w:hanging="780"/>
      <w:jc w:val="center"/>
    </w:pPr>
    <w:rPr>
      <w:rFonts w:ascii="Arial Unicode MS" w:hAnsi="Arial Unicode MS" w:eastAsia="仿宋体" w:cs="Sim Sun"/>
      <w:b/>
      <w:color w:val="000000"/>
      <w:kern w:val="24"/>
      <w:szCs w:val="20"/>
    </w:rPr>
  </w:style>
  <w:style w:type="paragraph" w:customStyle="1" w:styleId="1334">
    <w:name w:val="Items"/>
    <w:basedOn w:val="1"/>
    <w:autoRedefine/>
    <w:qFormat/>
    <w:uiPriority w:val="0"/>
    <w:pPr>
      <w:tabs>
        <w:tab w:val="left" w:pos="992"/>
        <w:tab w:val="left" w:pos="1553"/>
      </w:tabs>
      <w:spacing w:before="10" w:after="20" w:line="460" w:lineRule="atLeast"/>
      <w:ind w:left="992" w:hanging="425"/>
    </w:pPr>
    <w:rPr>
      <w:rFonts w:ascii="@幼圆" w:hAnsi="@幼圆" w:eastAsia="仿宋_GB2312" w:cs="Vladimir Script"/>
      <w:bCs/>
      <w:color w:val="000000"/>
      <w:kern w:val="24"/>
      <w:sz w:val="28"/>
      <w:szCs w:val="20"/>
    </w:rPr>
  </w:style>
  <w:style w:type="paragraph" w:customStyle="1" w:styleId="1335">
    <w:name w:val="图片"/>
    <w:basedOn w:val="31"/>
    <w:next w:val="1"/>
    <w:autoRedefine/>
    <w:qFormat/>
    <w:uiPriority w:val="0"/>
    <w:pPr>
      <w:spacing w:after="0"/>
      <w:ind w:left="0" w:leftChars="0" w:firstLine="200"/>
    </w:pPr>
    <w:rPr>
      <w:rFonts w:ascii="仿宋体" w:hAnsi="Arial Unicode MS" w:eastAsia="仿宋体" w:cs="Vladimir Script"/>
      <w:b/>
      <w:bCs/>
      <w:color w:val="000000"/>
      <w:szCs w:val="24"/>
    </w:rPr>
  </w:style>
  <w:style w:type="paragraph" w:customStyle="1" w:styleId="1336">
    <w:name w:val="正文文本缩进11"/>
    <w:basedOn w:val="1"/>
    <w:autoRedefine/>
    <w:qFormat/>
    <w:uiPriority w:val="0"/>
    <w:pPr>
      <w:spacing w:line="360" w:lineRule="exact"/>
      <w:ind w:firstLine="480"/>
    </w:pPr>
    <w:rPr>
      <w:rFonts w:ascii="Arial Unicode MS" w:hAnsi="Arial Unicode MS" w:cs="Vladimir Script"/>
      <w:bCs/>
      <w:color w:val="000000"/>
      <w:kern w:val="24"/>
      <w:szCs w:val="20"/>
    </w:rPr>
  </w:style>
  <w:style w:type="paragraph" w:customStyle="1" w:styleId="1337">
    <w:name w:val="列表 31"/>
    <w:basedOn w:val="1"/>
    <w:autoRedefine/>
    <w:qFormat/>
    <w:uiPriority w:val="0"/>
    <w:pPr>
      <w:spacing w:line="480" w:lineRule="exact"/>
      <w:ind w:left="100" w:leftChars="400" w:hanging="200" w:hangingChars="200"/>
    </w:pPr>
    <w:rPr>
      <w:rFonts w:ascii="Arial Unicode MS" w:hAnsi="Arial Unicode MS" w:cs="Vladimir Script"/>
      <w:bCs/>
      <w:color w:val="000000"/>
      <w:kern w:val="24"/>
    </w:rPr>
  </w:style>
  <w:style w:type="paragraph" w:customStyle="1" w:styleId="1338">
    <w:name w:val="条文1"/>
    <w:basedOn w:val="1"/>
    <w:autoRedefine/>
    <w:qFormat/>
    <w:uiPriority w:val="0"/>
    <w:pPr>
      <w:spacing w:line="460" w:lineRule="exact"/>
      <w:ind w:left="907" w:hanging="425"/>
      <w:textAlignment w:val="bottom"/>
    </w:pPr>
    <w:rPr>
      <w:rFonts w:ascii="Sim Sun" w:hAnsi="幼圆" w:cs="Vladimir Script"/>
      <w:bCs/>
      <w:color w:val="000000"/>
      <w:spacing w:val="3"/>
      <w:kern w:val="24"/>
      <w:sz w:val="26"/>
      <w:szCs w:val="20"/>
    </w:rPr>
  </w:style>
  <w:style w:type="paragraph" w:customStyle="1" w:styleId="1339">
    <w:name w:val="索引 61"/>
    <w:basedOn w:val="1"/>
    <w:next w:val="1"/>
    <w:autoRedefine/>
    <w:qFormat/>
    <w:uiPriority w:val="0"/>
    <w:pPr>
      <w:spacing w:line="440" w:lineRule="exact"/>
      <w:ind w:left="1260" w:hanging="210"/>
    </w:pPr>
    <w:rPr>
      <w:rFonts w:ascii="ˎ̥" w:hAnsi="ˎ̥" w:eastAsia="仿宋体" w:cs="ˎ̥"/>
      <w:bCs/>
      <w:color w:val="000000"/>
      <w:kern w:val="24"/>
      <w:szCs w:val="20"/>
    </w:rPr>
  </w:style>
  <w:style w:type="paragraph" w:customStyle="1" w:styleId="1340">
    <w:name w:val="Char Char Char Char Char Char11"/>
    <w:basedOn w:val="1"/>
    <w:autoRedefine/>
    <w:qFormat/>
    <w:uiPriority w:val="0"/>
    <w:pPr>
      <w:spacing w:after="160" w:line="240" w:lineRule="exact"/>
      <w:ind w:firstLine="200"/>
    </w:pPr>
    <w:rPr>
      <w:rFonts w:ascii="华文仿宋" w:hAnsi="华文仿宋" w:eastAsia="仿宋体" w:cs="ˎ̥"/>
      <w:bCs/>
      <w:color w:val="000000"/>
      <w:kern w:val="0"/>
      <w:sz w:val="20"/>
      <w:szCs w:val="20"/>
      <w:lang w:eastAsia="en-US"/>
    </w:rPr>
  </w:style>
  <w:style w:type="paragraph" w:customStyle="1" w:styleId="1341">
    <w:name w:val="Heading Base"/>
    <w:basedOn w:val="30"/>
    <w:next w:val="30"/>
    <w:autoRedefine/>
    <w:qFormat/>
    <w:uiPriority w:val="0"/>
    <w:pPr>
      <w:keepNext/>
      <w:keepLines/>
      <w:snapToGrid/>
      <w:spacing w:before="0" w:after="0" w:line="220" w:lineRule="atLeast"/>
      <w:ind w:right="-360" w:firstLine="200"/>
    </w:pPr>
    <w:rPr>
      <w:rFonts w:ascii="ˎ̥" w:hAnsi="ˎ̥" w:eastAsia="Vladimir Script" w:cs="Vladimir Script"/>
      <w:bCs/>
      <w:color w:val="000000"/>
      <w:spacing w:val="-4"/>
    </w:rPr>
  </w:style>
  <w:style w:type="paragraph" w:customStyle="1" w:styleId="1342">
    <w:name w:val="表格目录"/>
    <w:basedOn w:val="1"/>
    <w:next w:val="1"/>
    <w:autoRedefine/>
    <w:qFormat/>
    <w:uiPriority w:val="0"/>
    <w:pPr>
      <w:spacing w:line="440" w:lineRule="exact"/>
      <w:ind w:firstLine="200"/>
      <w:jc w:val="center"/>
    </w:pPr>
    <w:rPr>
      <w:rFonts w:ascii="Arial Unicode MS" w:hAnsi="Arial Unicode MS" w:cs="Vladimir Script"/>
      <w:b/>
      <w:bCs/>
      <w:color w:val="000000"/>
      <w:kern w:val="0"/>
      <w:sz w:val="22"/>
      <w:szCs w:val="20"/>
    </w:rPr>
  </w:style>
  <w:style w:type="paragraph" w:customStyle="1" w:styleId="1343">
    <w:name w:val="样式 正文首行缩进 + 首行缩进:  0 厘米"/>
    <w:basedOn w:val="259"/>
    <w:autoRedefine/>
    <w:qFormat/>
    <w:uiPriority w:val="0"/>
    <w:pPr>
      <w:spacing w:after="0" w:line="240" w:lineRule="exact"/>
      <w:ind w:firstLine="0" w:firstLineChars="0"/>
    </w:pPr>
    <w:rPr>
      <w:rFonts w:ascii="Sim Sun" w:hAnsi="Sim Sun" w:cs="Sim Sun"/>
    </w:rPr>
  </w:style>
  <w:style w:type="paragraph" w:customStyle="1" w:styleId="1344">
    <w:name w:val="样式 正文文本缩进 2正文文字缩进 2 + 四号 蓝色 Char Char Char Char Char"/>
    <w:basedOn w:val="314"/>
    <w:autoRedefine/>
    <w:qFormat/>
    <w:uiPriority w:val="0"/>
    <w:pPr>
      <w:autoSpaceDE/>
      <w:autoSpaceDN/>
      <w:spacing w:after="0" w:line="480" w:lineRule="exact"/>
      <w:ind w:left="0" w:leftChars="0" w:firstLine="709"/>
      <w:jc w:val="both"/>
      <w:textAlignment w:val="baseline"/>
    </w:pPr>
    <w:rPr>
      <w:rFonts w:ascii="Arial Unicode MS" w:hAnsi="Arial Unicode MS"/>
      <w:color w:val="0000FF"/>
    </w:rPr>
  </w:style>
  <w:style w:type="paragraph" w:customStyle="1" w:styleId="1345">
    <w:name w:val="样式 表格文字统一样式 + Arial 非加粗 自动设置 行距: 单倍行距"/>
    <w:basedOn w:val="270"/>
    <w:autoRedefine/>
    <w:qFormat/>
    <w:uiPriority w:val="0"/>
    <w:pPr>
      <w:ind w:firstLine="405" w:firstLineChars="193"/>
      <w:jc w:val="both"/>
    </w:pPr>
    <w:rPr>
      <w:rFonts w:ascii="ˎ̥" w:hAnsi="ˎ̥"/>
    </w:rPr>
  </w:style>
  <w:style w:type="paragraph" w:customStyle="1" w:styleId="1346">
    <w:name w:val="样式 正文标准 + 首行缩进:  2 字符"/>
    <w:basedOn w:val="1"/>
    <w:autoRedefine/>
    <w:qFormat/>
    <w:uiPriority w:val="0"/>
    <w:pPr>
      <w:tabs>
        <w:tab w:val="left" w:pos="547"/>
        <w:tab w:val="left" w:pos="1080"/>
      </w:tabs>
      <w:spacing w:line="440" w:lineRule="exact"/>
      <w:ind w:firstLine="560"/>
    </w:pPr>
    <w:rPr>
      <w:rFonts w:ascii="Arial Unicode MS" w:hAnsi="Arial Unicode MS" w:cs="Vladimir Script"/>
      <w:bCs/>
      <w:color w:val="000000"/>
      <w:kern w:val="24"/>
      <w:sz w:val="28"/>
      <w:szCs w:val="20"/>
    </w:rPr>
  </w:style>
  <w:style w:type="paragraph" w:customStyle="1" w:styleId="1347">
    <w:name w:val="正文居中"/>
    <w:basedOn w:val="1"/>
    <w:autoRedefine/>
    <w:qFormat/>
    <w:uiPriority w:val="0"/>
    <w:pPr>
      <w:spacing w:line="400" w:lineRule="exact"/>
      <w:ind w:firstLine="200"/>
      <w:jc w:val="center"/>
    </w:pPr>
    <w:rPr>
      <w:rFonts w:ascii="Arial Unicode MS" w:hAnsi="Arial Unicode MS" w:cs="Vladimir Script"/>
      <w:bCs/>
      <w:color w:val="000000"/>
      <w:kern w:val="24"/>
      <w:szCs w:val="20"/>
    </w:rPr>
  </w:style>
  <w:style w:type="paragraph" w:customStyle="1" w:styleId="1348">
    <w:name w:val="reader-word-layer reader-word-s1-34"/>
    <w:basedOn w:val="1"/>
    <w:autoRedefine/>
    <w:qFormat/>
    <w:uiPriority w:val="0"/>
    <w:pPr>
      <w:spacing w:before="100" w:beforeAutospacing="1" w:after="100" w:afterAutospacing="1"/>
    </w:pPr>
    <w:rPr>
      <w:rFonts w:ascii="宋体" w:hAnsi="宋体" w:cs="宋体"/>
      <w:bCs/>
      <w:color w:val="000000"/>
      <w:kern w:val="0"/>
    </w:rPr>
  </w:style>
  <w:style w:type="paragraph" w:customStyle="1" w:styleId="1349">
    <w:name w:val="zxl正文首行缩进  2 字符 行距: Char"/>
    <w:basedOn w:val="1"/>
    <w:autoRedefine/>
    <w:qFormat/>
    <w:uiPriority w:val="0"/>
    <w:pPr>
      <w:tabs>
        <w:tab w:val="left" w:pos="-1843"/>
        <w:tab w:val="left" w:pos="1727"/>
        <w:tab w:val="left" w:pos="1884"/>
      </w:tabs>
      <w:spacing w:line="336" w:lineRule="auto"/>
      <w:ind w:firstLine="560"/>
      <w:outlineLvl w:val="0"/>
    </w:pPr>
    <w:rPr>
      <w:rFonts w:ascii="Sim Sun" w:hAnsi="Sim Sun" w:cs="Vladimir Script"/>
      <w:bCs/>
      <w:color w:val="000000"/>
      <w:kern w:val="24"/>
      <w:sz w:val="28"/>
      <w:szCs w:val="28"/>
    </w:rPr>
  </w:style>
  <w:style w:type="paragraph" w:customStyle="1" w:styleId="1350">
    <w:name w:val="样式 表格文字居中 + 行距: 单倍行距"/>
    <w:basedOn w:val="1"/>
    <w:autoRedefine/>
    <w:qFormat/>
    <w:uiPriority w:val="0"/>
    <w:pPr>
      <w:keepNext/>
      <w:tabs>
        <w:tab w:val="left" w:pos="628"/>
        <w:tab w:val="left" w:pos="1727"/>
        <w:tab w:val="left" w:pos="1884"/>
      </w:tabs>
      <w:spacing w:beforeLines="10" w:line="440" w:lineRule="exact"/>
      <w:ind w:firstLine="200"/>
      <w:jc w:val="center"/>
    </w:pPr>
    <w:rPr>
      <w:rFonts w:ascii="Sim Sun" w:hAnsi="Sim Sun" w:cs="Sim Sun"/>
      <w:bCs/>
      <w:color w:val="FF0000"/>
      <w:kern w:val="0"/>
      <w:szCs w:val="21"/>
    </w:rPr>
  </w:style>
  <w:style w:type="paragraph" w:customStyle="1" w:styleId="1351">
    <w:name w:val="样式 标题 1 + 宋体 小四 加粗 行距: 1.5 倍行距"/>
    <w:basedOn w:val="5"/>
    <w:autoRedefine/>
    <w:qFormat/>
    <w:uiPriority w:val="0"/>
    <w:pPr>
      <w:overflowPunct/>
      <w:snapToGrid/>
      <w:spacing w:before="180" w:after="180" w:line="360" w:lineRule="auto"/>
      <w:ind w:left="0" w:firstLine="0"/>
    </w:pPr>
    <w:rPr>
      <w:rFonts w:ascii="黑体" w:cs="宋体"/>
      <w:kern w:val="2"/>
      <w:szCs w:val="28"/>
    </w:rPr>
  </w:style>
  <w:style w:type="paragraph" w:customStyle="1" w:styleId="1352">
    <w:name w:val="标题1样式"/>
    <w:basedOn w:val="5"/>
    <w:autoRedefine/>
    <w:qFormat/>
    <w:uiPriority w:val="0"/>
    <w:pPr>
      <w:keepLines/>
      <w:overflowPunct/>
      <w:snapToGrid/>
      <w:spacing w:before="180" w:after="180" w:line="500" w:lineRule="exact"/>
      <w:ind w:left="0" w:firstLine="0"/>
    </w:pPr>
    <w:rPr>
      <w:rFonts w:ascii="黑体" w:eastAsia="宋体-方正超大字符集"/>
      <w:color w:val="0000FF"/>
      <w:kern w:val="2"/>
      <w:sz w:val="24"/>
    </w:rPr>
  </w:style>
  <w:style w:type="paragraph" w:customStyle="1" w:styleId="1353">
    <w:name w:val="样式 标题 2标题2H2h2第一层条 + 段前: 7.8 磅"/>
    <w:basedOn w:val="6"/>
    <w:autoRedefine/>
    <w:qFormat/>
    <w:uiPriority w:val="0"/>
    <w:pPr>
      <w:keepNext w:val="0"/>
      <w:keepLines w:val="0"/>
      <w:spacing w:before="240" w:after="240" w:line="360" w:lineRule="exact"/>
      <w:ind w:left="578" w:hanging="578"/>
      <w:textAlignment w:val="baseline"/>
    </w:pPr>
    <w:rPr>
      <w:rFonts w:ascii="Arial Unicode MS" w:hAnsi="Arial Unicode MS" w:eastAsia="Garamond" w:cs="Vladimir Script"/>
      <w:color w:val="000000"/>
      <w:kern w:val="0"/>
      <w:sz w:val="24"/>
      <w:szCs w:val="20"/>
    </w:rPr>
  </w:style>
  <w:style w:type="paragraph" w:customStyle="1" w:styleId="1354">
    <w:name w:val="Char Char Char Char Char Char12"/>
    <w:basedOn w:val="1"/>
    <w:autoRedefine/>
    <w:qFormat/>
    <w:uiPriority w:val="0"/>
    <w:pPr>
      <w:spacing w:after="160" w:line="240" w:lineRule="exact"/>
      <w:ind w:firstLine="200"/>
    </w:pPr>
    <w:rPr>
      <w:rFonts w:ascii="Chicago" w:hAnsi="Chicago" w:cs="Vladimir Script"/>
      <w:bCs/>
      <w:color w:val="000000"/>
      <w:kern w:val="0"/>
      <w:sz w:val="20"/>
      <w:szCs w:val="20"/>
      <w:lang w:eastAsia="en-US"/>
    </w:rPr>
  </w:style>
  <w:style w:type="paragraph" w:customStyle="1" w:styleId="1355">
    <w:name w:val="Company Name"/>
    <w:basedOn w:val="1"/>
    <w:next w:val="1"/>
    <w:autoRedefine/>
    <w:qFormat/>
    <w:uiPriority w:val="0"/>
    <w:pPr>
      <w:tabs>
        <w:tab w:val="left" w:pos="2160"/>
        <w:tab w:val="right" w:pos="6480"/>
      </w:tabs>
      <w:spacing w:before="220" w:after="40" w:line="220" w:lineRule="atLeast"/>
      <w:ind w:right="-360" w:firstLine="200"/>
    </w:pPr>
    <w:rPr>
      <w:rFonts w:ascii="Arial Unicode MS" w:hAnsi="Arial Unicode MS" w:cs="Vladimir Script"/>
      <w:bCs/>
      <w:color w:val="000000"/>
      <w:kern w:val="0"/>
      <w:sz w:val="20"/>
      <w:szCs w:val="20"/>
    </w:rPr>
  </w:style>
  <w:style w:type="paragraph" w:customStyle="1" w:styleId="1356">
    <w:name w:val="首页脚注"/>
    <w:autoRedefine/>
    <w:qFormat/>
    <w:uiPriority w:val="0"/>
    <w:pPr>
      <w:keepLines/>
      <w:tabs>
        <w:tab w:val="center" w:pos="4320"/>
      </w:tabs>
      <w:overflowPunct w:val="0"/>
      <w:autoSpaceDE w:val="0"/>
      <w:autoSpaceDN w:val="0"/>
      <w:adjustRightInd w:val="0"/>
      <w:spacing w:line="360" w:lineRule="auto"/>
      <w:ind w:firstLine="200" w:firstLineChars="200"/>
      <w:jc w:val="center"/>
      <w:textAlignment w:val="baseline"/>
    </w:pPr>
    <w:rPr>
      <w:rFonts w:ascii="Times New Roman" w:hAnsi="Times New Roman" w:eastAsia="Sim Sun" w:cs="Vladimir Script"/>
      <w:bCs/>
      <w:color w:val="000000"/>
      <w:sz w:val="28"/>
      <w:lang w:val="en-US" w:eastAsia="zh-CN" w:bidi="ar-SA"/>
    </w:rPr>
  </w:style>
  <w:style w:type="paragraph" w:customStyle="1" w:styleId="1357">
    <w:name w:val="标题样式2"/>
    <w:basedOn w:val="6"/>
    <w:autoRedefine/>
    <w:qFormat/>
    <w:uiPriority w:val="0"/>
    <w:pPr>
      <w:keepNext w:val="0"/>
      <w:keepLines w:val="0"/>
      <w:tabs>
        <w:tab w:val="left" w:pos="4142"/>
        <w:tab w:val="left" w:pos="6833"/>
        <w:tab w:val="left" w:pos="9287"/>
      </w:tabs>
      <w:overflowPunct w:val="0"/>
      <w:topLinePunct/>
      <w:spacing w:beforeLines="5" w:afterLines="5" w:line="0" w:lineRule="atLeast"/>
      <w:ind w:firstLine="630" w:firstLineChars="300"/>
      <w:outlineLvl w:val="9"/>
    </w:pPr>
    <w:rPr>
      <w:rFonts w:ascii="Arial Unicode MS" w:hAnsi="Arial Unicode MS" w:eastAsia="宋体-方正超大字符集" w:cs="Vladimir Script"/>
      <w:b w:val="0"/>
      <w:bCs w:val="0"/>
      <w:color w:val="000000"/>
      <w:kern w:val="0"/>
      <w:sz w:val="21"/>
      <w:szCs w:val="20"/>
    </w:rPr>
  </w:style>
  <w:style w:type="paragraph" w:customStyle="1" w:styleId="1358">
    <w:name w:val="Char Char Char Char1"/>
    <w:basedOn w:val="1"/>
    <w:autoRedefine/>
    <w:qFormat/>
    <w:uiPriority w:val="0"/>
    <w:pPr>
      <w:spacing w:after="160" w:line="240" w:lineRule="exact"/>
      <w:ind w:firstLine="200"/>
    </w:pPr>
    <w:rPr>
      <w:rFonts w:ascii="Chicago" w:hAnsi="Chicago" w:cs="Vladimir Script"/>
      <w:bCs/>
      <w:color w:val="000000"/>
      <w:kern w:val="0"/>
      <w:sz w:val="20"/>
      <w:szCs w:val="20"/>
      <w:lang w:eastAsia="en-US"/>
    </w:rPr>
  </w:style>
  <w:style w:type="paragraph" w:customStyle="1" w:styleId="1359">
    <w:name w:val="样式 表格文字居中 + 左 首行缩进:  0 厘米"/>
    <w:basedOn w:val="620"/>
    <w:autoRedefine/>
    <w:qFormat/>
    <w:uiPriority w:val="0"/>
    <w:pPr>
      <w:keepNext/>
      <w:widowControl w:val="0"/>
      <w:tabs>
        <w:tab w:val="left" w:pos="628"/>
        <w:tab w:val="clear" w:pos="-1843"/>
        <w:tab w:val="clear" w:pos="1458"/>
        <w:tab w:val="clear" w:pos="1727"/>
        <w:tab w:val="clear" w:pos="1884"/>
      </w:tabs>
      <w:spacing w:line="240" w:lineRule="auto"/>
      <w:jc w:val="left"/>
      <w:textAlignment w:val="auto"/>
      <w:outlineLvl w:val="9"/>
    </w:pPr>
    <w:rPr>
      <w:rFonts w:ascii="Sim Sun" w:hAnsi="Sim Sun" w:cs="Sim Sun"/>
      <w:bCs/>
      <w:szCs w:val="20"/>
    </w:rPr>
  </w:style>
  <w:style w:type="paragraph" w:customStyle="1" w:styleId="1360">
    <w:name w:val="样式 样式 标题 2标题2二级 标题 2H2h2第一层条标题 2 Char节标题节11 Char标题 2 Cha... +"/>
    <w:basedOn w:val="930"/>
    <w:autoRedefine/>
    <w:qFormat/>
    <w:uiPriority w:val="0"/>
    <w:pPr>
      <w:ind w:left="180"/>
    </w:pPr>
    <w:rPr>
      <w:b/>
    </w:rPr>
  </w:style>
  <w:style w:type="paragraph" w:customStyle="1" w:styleId="1361">
    <w:name w:val="样式 (中文) 仿宋_GB2312 段前: 0 磅"/>
    <w:basedOn w:val="1"/>
    <w:autoRedefine/>
    <w:qFormat/>
    <w:uiPriority w:val="0"/>
    <w:pPr>
      <w:spacing w:line="440" w:lineRule="exact"/>
      <w:ind w:firstLine="200"/>
      <w:textAlignment w:val="baseline"/>
    </w:pPr>
    <w:rPr>
      <w:rFonts w:ascii="Arial Unicode MS" w:hAnsi="Arial Unicode MS" w:eastAsia="Garamond" w:cs="Vladimir Script"/>
      <w:bCs/>
      <w:color w:val="000000"/>
      <w:kern w:val="24"/>
      <w:szCs w:val="20"/>
    </w:rPr>
  </w:style>
  <w:style w:type="paragraph" w:customStyle="1" w:styleId="1362">
    <w:name w:val="表内小4"/>
    <w:basedOn w:val="1363"/>
    <w:autoRedefine/>
    <w:qFormat/>
    <w:uiPriority w:val="0"/>
    <w:pPr>
      <w:ind w:left="240" w:hanging="240"/>
    </w:pPr>
    <w:rPr>
      <w:sz w:val="18"/>
      <w:szCs w:val="18"/>
    </w:rPr>
  </w:style>
  <w:style w:type="paragraph" w:customStyle="1" w:styleId="1363">
    <w:name w:val="表内文字大"/>
    <w:basedOn w:val="1"/>
    <w:autoRedefine/>
    <w:qFormat/>
    <w:uiPriority w:val="0"/>
    <w:pPr>
      <w:spacing w:line="320" w:lineRule="exact"/>
      <w:ind w:firstLine="200"/>
      <w:jc w:val="center"/>
    </w:pPr>
    <w:rPr>
      <w:rFonts w:ascii="Arial Unicode MS" w:hAnsi="Arial Unicode MS" w:cs="Vladimir Script"/>
      <w:bCs/>
      <w:color w:val="000000"/>
      <w:kern w:val="24"/>
      <w:szCs w:val="21"/>
    </w:rPr>
  </w:style>
  <w:style w:type="paragraph" w:customStyle="1" w:styleId="1364">
    <w:name w:val="Char Char1 Char Char Char Char1"/>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1365">
    <w:name w:val="Section Subtitle"/>
    <w:basedOn w:val="1126"/>
    <w:next w:val="1"/>
    <w:autoRedefine/>
    <w:qFormat/>
    <w:uiPriority w:val="0"/>
    <w:pPr>
      <w:pBdr>
        <w:top w:val="none" w:color="auto" w:sz="0" w:space="0"/>
      </w:pBdr>
    </w:pPr>
    <w:rPr>
      <w:b w:val="0"/>
      <w:spacing w:val="0"/>
      <w:position w:val="6"/>
    </w:rPr>
  </w:style>
  <w:style w:type="paragraph" w:customStyle="1" w:styleId="1366">
    <w:name w:val="表格小四"/>
    <w:basedOn w:val="1"/>
    <w:autoRedefine/>
    <w:qFormat/>
    <w:uiPriority w:val="0"/>
    <w:pPr>
      <w:spacing w:line="440" w:lineRule="exact"/>
      <w:ind w:firstLine="200"/>
      <w:jc w:val="center"/>
    </w:pPr>
    <w:rPr>
      <w:rFonts w:ascii="Garamond" w:hAnsi="Arial Unicode MS" w:eastAsia="Garamond" w:cs="Vladimir Script"/>
      <w:bCs/>
      <w:color w:val="000000"/>
      <w:kern w:val="24"/>
      <w:szCs w:val="20"/>
    </w:rPr>
  </w:style>
  <w:style w:type="paragraph" w:customStyle="1" w:styleId="1367">
    <w:name w:val="Char2 Char Char Char1"/>
    <w:basedOn w:val="1"/>
    <w:autoRedefine/>
    <w:qFormat/>
    <w:uiPriority w:val="0"/>
    <w:pPr>
      <w:spacing w:line="440" w:lineRule="exact"/>
      <w:ind w:firstLine="200"/>
    </w:pPr>
    <w:rPr>
      <w:rFonts w:ascii="Arial Unicode MS" w:hAnsi="Arial Unicode MS" w:eastAsia="仿宋体" w:cs="Vladimir Script"/>
      <w:bCs/>
      <w:snapToGrid w:val="0"/>
      <w:color w:val="000000"/>
      <w:kern w:val="24"/>
    </w:rPr>
  </w:style>
  <w:style w:type="paragraph" w:customStyle="1" w:styleId="1368">
    <w:name w:val="Char Char Char Char Char Char Char Char Char Char Char Char Char Char Char Char Char Char Char11"/>
    <w:basedOn w:val="1"/>
    <w:autoRedefine/>
    <w:qFormat/>
    <w:uiPriority w:val="0"/>
    <w:pPr>
      <w:ind w:firstLine="200"/>
    </w:pPr>
    <w:rPr>
      <w:rFonts w:ascii="Sim Sun" w:hAnsi="Sim Sun" w:cs="Sim Sun"/>
      <w:bCs/>
      <w:color w:val="000000"/>
      <w:kern w:val="24"/>
    </w:rPr>
  </w:style>
  <w:style w:type="paragraph" w:customStyle="1" w:styleId="1369">
    <w:name w:val="ch中文正文"/>
    <w:autoRedefine/>
    <w:qFormat/>
    <w:uiPriority w:val="0"/>
    <w:pPr>
      <w:spacing w:beforeLines="50" w:afterLines="50" w:line="360" w:lineRule="auto"/>
      <w:ind w:firstLine="200" w:firstLineChars="200"/>
    </w:pPr>
    <w:rPr>
      <w:rFonts w:ascii="Arial Unicode MS" w:hAnsi="Arial Unicode MS" w:eastAsia="宋体" w:cs="Vladimir Script"/>
      <w:bCs/>
      <w:color w:val="000000"/>
      <w:sz w:val="24"/>
      <w:szCs w:val="24"/>
      <w:lang w:val="en-US" w:eastAsia="zh-CN" w:bidi="ar-SA"/>
    </w:rPr>
  </w:style>
  <w:style w:type="paragraph" w:customStyle="1" w:styleId="1370">
    <w:name w:val="样式 表格 + 五号1"/>
    <w:basedOn w:val="1"/>
    <w:autoRedefine/>
    <w:qFormat/>
    <w:uiPriority w:val="0"/>
    <w:pPr>
      <w:spacing w:line="400" w:lineRule="exact"/>
      <w:ind w:firstLine="200"/>
      <w:jc w:val="center"/>
    </w:pPr>
    <w:rPr>
      <w:rFonts w:ascii="Arial Unicode MS" w:hAnsi="Arial Unicode MS" w:cs="Vladimir Script"/>
      <w:bCs/>
      <w:color w:val="000000"/>
      <w:kern w:val="24"/>
      <w:szCs w:val="21"/>
    </w:rPr>
  </w:style>
  <w:style w:type="paragraph" w:customStyle="1" w:styleId="1371">
    <w:name w:val="图表目录1"/>
    <w:basedOn w:val="1"/>
    <w:next w:val="1"/>
    <w:autoRedefine/>
    <w:qFormat/>
    <w:uiPriority w:val="0"/>
    <w:pPr>
      <w:spacing w:line="440" w:lineRule="exact"/>
      <w:ind w:left="840" w:leftChars="200" w:hanging="420" w:hangingChars="200"/>
    </w:pPr>
    <w:rPr>
      <w:rFonts w:ascii="Arial Unicode MS" w:hAnsi="Arial Unicode MS" w:cs="Vladimir Script"/>
      <w:bCs/>
      <w:color w:val="000000"/>
      <w:kern w:val="24"/>
    </w:rPr>
  </w:style>
  <w:style w:type="paragraph" w:customStyle="1" w:styleId="1372">
    <w:name w:val="Plain Text2"/>
    <w:basedOn w:val="1"/>
    <w:autoRedefine/>
    <w:qFormat/>
    <w:uiPriority w:val="0"/>
    <w:pPr>
      <w:spacing w:line="440" w:lineRule="exact"/>
      <w:ind w:firstLine="200"/>
      <w:textAlignment w:val="baseline"/>
    </w:pPr>
    <w:rPr>
      <w:rFonts w:ascii="Sim Sun" w:hAnsi="DFKai-SB" w:cs="Vladimir Script"/>
      <w:bCs/>
      <w:color w:val="000000"/>
      <w:kern w:val="24"/>
      <w:szCs w:val="20"/>
    </w:rPr>
  </w:style>
  <w:style w:type="paragraph" w:customStyle="1" w:styleId="1373">
    <w:name w:val="小表格"/>
    <w:basedOn w:val="1"/>
    <w:autoRedefine/>
    <w:qFormat/>
    <w:uiPriority w:val="0"/>
    <w:pPr>
      <w:spacing w:line="440" w:lineRule="exact"/>
      <w:ind w:firstLine="200"/>
      <w:jc w:val="center"/>
    </w:pPr>
    <w:rPr>
      <w:rFonts w:ascii="Garamond" w:hAnsi="ˎ̥" w:cs="Garamond"/>
      <w:bCs/>
      <w:color w:val="000000"/>
      <w:kern w:val="0"/>
      <w:szCs w:val="21"/>
    </w:rPr>
  </w:style>
  <w:style w:type="paragraph" w:customStyle="1" w:styleId="1374">
    <w:name w:val="表格内"/>
    <w:basedOn w:val="1"/>
    <w:autoRedefine/>
    <w:qFormat/>
    <w:uiPriority w:val="0"/>
    <w:pPr>
      <w:spacing w:line="240" w:lineRule="atLeast"/>
      <w:ind w:firstLine="200"/>
      <w:jc w:val="center"/>
      <w:textAlignment w:val="baseline"/>
    </w:pPr>
    <w:rPr>
      <w:rFonts w:ascii="Sim Sun" w:hAnsi="Arial Unicode MS" w:cs="Vladimir Script"/>
      <w:bCs/>
      <w:color w:val="000000"/>
      <w:kern w:val="0"/>
      <w:sz w:val="28"/>
      <w:szCs w:val="20"/>
    </w:rPr>
  </w:style>
  <w:style w:type="paragraph" w:customStyle="1" w:styleId="1375">
    <w:name w:val="91"/>
    <w:basedOn w:val="1"/>
    <w:autoRedefine/>
    <w:qFormat/>
    <w:uiPriority w:val="0"/>
    <w:pPr>
      <w:keepNext/>
      <w:spacing w:beforeLines="30" w:afterLines="30"/>
      <w:ind w:firstLine="200"/>
    </w:pPr>
    <w:rPr>
      <w:rFonts w:ascii="Arial Unicode MS" w:hAnsi="Arial Unicode MS" w:cs="Vladimir Script"/>
      <w:bCs/>
      <w:color w:val="000000"/>
      <w:kern w:val="24"/>
    </w:rPr>
  </w:style>
  <w:style w:type="paragraph" w:customStyle="1" w:styleId="1376">
    <w:name w:val="In Table (II)"/>
    <w:basedOn w:val="787"/>
    <w:autoRedefine/>
    <w:qFormat/>
    <w:uiPriority w:val="0"/>
    <w:pPr>
      <w:spacing w:before="60" w:after="60"/>
      <w:ind w:left="52" w:firstLine="200"/>
      <w:jc w:val="left"/>
    </w:pPr>
    <w:rPr>
      <w:rFonts w:ascii="@幼圆" w:hAnsi="@幼圆" w:eastAsia="仿宋_GB2312" w:cs="Vladimir Script"/>
    </w:rPr>
  </w:style>
  <w:style w:type="paragraph" w:customStyle="1" w:styleId="1377">
    <w:name w:val="样式 段后: 6 磅 行距: 多倍行距 1.2 字行"/>
    <w:basedOn w:val="1"/>
    <w:autoRedefine/>
    <w:qFormat/>
    <w:uiPriority w:val="0"/>
    <w:pPr>
      <w:tabs>
        <w:tab w:val="left" w:pos="272"/>
      </w:tabs>
      <w:spacing w:after="120" w:line="288" w:lineRule="auto"/>
      <w:ind w:left="-227" w:firstLine="227"/>
    </w:pPr>
    <w:rPr>
      <w:rFonts w:ascii="Arial Unicode MS" w:hAnsi="Arial Unicode MS" w:eastAsia="Garamond" w:cs="Vladimir Script"/>
      <w:bCs/>
      <w:color w:val="000000"/>
      <w:kern w:val="24"/>
      <w:szCs w:val="20"/>
    </w:rPr>
  </w:style>
  <w:style w:type="paragraph" w:customStyle="1" w:styleId="1378">
    <w:name w:val="样式 标题 3标题3H3h33rd level第二层条头标题 3 Char Char小标题小节标题标题 3 ...3"/>
    <w:basedOn w:val="7"/>
    <w:autoRedefine/>
    <w:qFormat/>
    <w:uiPriority w:val="0"/>
    <w:pPr>
      <w:tabs>
        <w:tab w:val="left" w:pos="709"/>
      </w:tabs>
      <w:spacing w:beforeLines="50" w:after="240" w:line="240" w:lineRule="exact"/>
      <w:ind w:left="709" w:hanging="709"/>
    </w:pPr>
    <w:rPr>
      <w:rFonts w:ascii="Sim Sun" w:hAnsi="Sim Sun" w:eastAsia="宋体-方正超大字符集" w:cs="Vladimir Script"/>
      <w:bCs w:val="0"/>
      <w:color w:val="000000"/>
      <w:kern w:val="0"/>
      <w:sz w:val="30"/>
    </w:rPr>
  </w:style>
  <w:style w:type="paragraph" w:customStyle="1" w:styleId="1379">
    <w:name w:val="段标"/>
    <w:basedOn w:val="1"/>
    <w:autoRedefine/>
    <w:qFormat/>
    <w:uiPriority w:val="0"/>
    <w:pPr>
      <w:ind w:firstLine="567"/>
      <w:textAlignment w:val="baseline"/>
    </w:pPr>
    <w:rPr>
      <w:rFonts w:ascii="Arial Unicode MS" w:hAnsi="Arial Unicode MS" w:cs="Vladimir Script"/>
      <w:bCs/>
      <w:color w:val="000000"/>
      <w:kern w:val="0"/>
      <w:sz w:val="28"/>
      <w:szCs w:val="20"/>
    </w:rPr>
  </w:style>
  <w:style w:type="paragraph" w:customStyle="1" w:styleId="1380">
    <w:name w:val="±í"/>
    <w:basedOn w:val="1"/>
    <w:autoRedefine/>
    <w:qFormat/>
    <w:uiPriority w:val="0"/>
    <w:pPr>
      <w:tabs>
        <w:tab w:val="left" w:pos="480"/>
      </w:tabs>
      <w:spacing w:line="440" w:lineRule="exact"/>
      <w:ind w:firstLine="200"/>
    </w:pPr>
    <w:rPr>
      <w:rFonts w:ascii="Arial Unicode MS" w:hAnsi="Arial Unicode MS" w:eastAsia="Garamond" w:cs="Vladimir Script"/>
      <w:bCs/>
      <w:color w:val="000000"/>
      <w:kern w:val="24"/>
      <w:szCs w:val="20"/>
    </w:rPr>
  </w:style>
  <w:style w:type="paragraph" w:customStyle="1" w:styleId="1381">
    <w:name w:val="样式 标题 2 + 两端对齐 段前: 12 磅 段后: 12 磅 行距: 多倍行距 1.3 字行"/>
    <w:basedOn w:val="6"/>
    <w:autoRedefine/>
    <w:qFormat/>
    <w:uiPriority w:val="0"/>
    <w:pPr>
      <w:spacing w:before="120" w:after="120" w:line="312" w:lineRule="auto"/>
      <w:ind w:firstLine="200"/>
      <w:textAlignment w:val="baseline"/>
    </w:pPr>
    <w:rPr>
      <w:rFonts w:ascii="Arial Unicode MS" w:hAnsi="Arial Unicode MS" w:eastAsia="宋体-方正超大字符集" w:cs="Vladimir Script"/>
      <w:color w:val="000000"/>
      <w:kern w:val="24"/>
      <w:sz w:val="28"/>
      <w:szCs w:val="20"/>
    </w:rPr>
  </w:style>
  <w:style w:type="paragraph" w:customStyle="1" w:styleId="1382">
    <w:name w:val="Char Char Char Char Char Char Char Char Char Char Char Char Char Char Char Char Char Char Char12"/>
    <w:basedOn w:val="1"/>
    <w:autoRedefine/>
    <w:qFormat/>
    <w:uiPriority w:val="0"/>
    <w:pPr>
      <w:ind w:firstLine="200"/>
    </w:pPr>
    <w:rPr>
      <w:rFonts w:ascii="Sim Sun" w:hAnsi="Sim Sun" w:cs="Vladimir Script"/>
      <w:bCs/>
      <w:color w:val="000000"/>
      <w:kern w:val="24"/>
      <w:szCs w:val="20"/>
    </w:rPr>
  </w:style>
  <w:style w:type="paragraph" w:customStyle="1" w:styleId="1383">
    <w:name w:val="City/State"/>
    <w:basedOn w:val="30"/>
    <w:next w:val="30"/>
    <w:autoRedefine/>
    <w:qFormat/>
    <w:uiPriority w:val="0"/>
    <w:pPr>
      <w:keepNext/>
      <w:snapToGrid/>
      <w:spacing w:before="0" w:after="220" w:line="220" w:lineRule="atLeast"/>
      <w:ind w:right="-360" w:firstLine="200"/>
    </w:pPr>
    <w:rPr>
      <w:rFonts w:ascii="Arial Unicode MS" w:hAnsi="Arial Unicode MS" w:eastAsia="Vladimir Script" w:cs="Vladimir Script"/>
      <w:bCs/>
      <w:color w:val="000000"/>
      <w:sz w:val="20"/>
    </w:rPr>
  </w:style>
  <w:style w:type="paragraph" w:customStyle="1" w:styleId="1384">
    <w:name w:val="样式 标题 21.1标题 21.1_Heading 2标题 2 Char1节标2节标题 1.11.1标题2h..."/>
    <w:basedOn w:val="6"/>
    <w:autoRedefine/>
    <w:qFormat/>
    <w:uiPriority w:val="0"/>
    <w:pPr>
      <w:keepNext w:val="0"/>
      <w:keepLines w:val="0"/>
      <w:tabs>
        <w:tab w:val="left" w:pos="1320"/>
      </w:tabs>
      <w:spacing w:before="0" w:after="0" w:line="360" w:lineRule="auto"/>
      <w:ind w:left="1320" w:hanging="420"/>
    </w:pPr>
    <w:rPr>
      <w:rFonts w:ascii="Arial Unicode MS" w:hAnsi="Arial Unicode MS" w:eastAsia="仿宋体" w:cs="Vladimir Script"/>
      <w:b w:val="0"/>
      <w:color w:val="0000FF"/>
      <w:kern w:val="24"/>
      <w:sz w:val="28"/>
      <w:szCs w:val="28"/>
    </w:rPr>
  </w:style>
  <w:style w:type="paragraph" w:customStyle="1" w:styleId="1385">
    <w:name w:val="Char2 Char Char Char Char Char Char2"/>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1386">
    <w:name w:val="样式 标题 3一标题3H3h33rd level第二层条头标题 3 Char Char标题 3 Char2标...1"/>
    <w:basedOn w:val="7"/>
    <w:autoRedefine/>
    <w:qFormat/>
    <w:uiPriority w:val="0"/>
    <w:pPr>
      <w:tabs>
        <w:tab w:val="left" w:pos="720"/>
      </w:tabs>
      <w:spacing w:beforeLines="50" w:afterLines="20" w:line="288" w:lineRule="auto"/>
      <w:ind w:left="720" w:hanging="720"/>
    </w:pPr>
    <w:rPr>
      <w:rFonts w:ascii="Sim Sun" w:hAnsi="Sim Sun" w:eastAsia="Garamond" w:cs="Vladimir Script"/>
      <w:b w:val="0"/>
      <w:bCs w:val="0"/>
      <w:color w:val="000000"/>
      <w:kern w:val="24"/>
      <w:sz w:val="30"/>
    </w:rPr>
  </w:style>
  <w:style w:type="paragraph" w:customStyle="1" w:styleId="1387">
    <w:name w:val="Char Char5 Char Char Char Char Char Char Char Char Char2 Char1"/>
    <w:basedOn w:val="7"/>
    <w:autoRedefine/>
    <w:qFormat/>
    <w:uiPriority w:val="0"/>
    <w:pPr>
      <w:tabs>
        <w:tab w:val="left" w:pos="360"/>
        <w:tab w:val="left" w:pos="900"/>
      </w:tabs>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388">
    <w:name w:val="新标题1"/>
    <w:basedOn w:val="5"/>
    <w:autoRedefine/>
    <w:qFormat/>
    <w:uiPriority w:val="0"/>
    <w:pPr>
      <w:keepLines/>
      <w:tabs>
        <w:tab w:val="left" w:pos="845"/>
      </w:tabs>
      <w:topLinePunct/>
      <w:spacing w:after="120" w:line="440" w:lineRule="exact"/>
      <w:ind w:left="845" w:hanging="425"/>
      <w:textAlignment w:val="baseline"/>
    </w:pPr>
    <w:rPr>
      <w:rFonts w:ascii="Arial Unicode MS" w:hAnsi="Arial Unicode MS" w:eastAsia="Sim Sun" w:cs="Sim Sun"/>
      <w:szCs w:val="20"/>
    </w:rPr>
  </w:style>
  <w:style w:type="paragraph" w:customStyle="1" w:styleId="1389">
    <w:name w:val="区划正文"/>
    <w:basedOn w:val="1"/>
    <w:autoRedefine/>
    <w:qFormat/>
    <w:uiPriority w:val="0"/>
    <w:pPr>
      <w:spacing w:line="440" w:lineRule="exact"/>
      <w:ind w:firstLine="200"/>
    </w:pPr>
    <w:rPr>
      <w:rFonts w:ascii="Arial Unicode MS" w:hAnsi="Arial Unicode MS" w:cs="Sim Sun"/>
      <w:bCs/>
      <w:color w:val="000000"/>
      <w:kern w:val="24"/>
      <w:szCs w:val="20"/>
    </w:rPr>
  </w:style>
  <w:style w:type="paragraph" w:customStyle="1" w:styleId="1390">
    <w:name w:val="样式 标题 4款标题1.1.1.1标题 4 Char标题 4 Char CharL4 + 宋体 小四 非加粗"/>
    <w:basedOn w:val="8"/>
    <w:autoRedefine/>
    <w:qFormat/>
    <w:uiPriority w:val="0"/>
    <w:pPr>
      <w:spacing w:before="120" w:after="120" w:line="377" w:lineRule="auto"/>
      <w:ind w:firstLine="200"/>
    </w:pPr>
    <w:rPr>
      <w:rFonts w:ascii="Sim Sun" w:hAnsi="Sim Sun" w:eastAsia="宋体" w:cs="Vladimir Script"/>
      <w:b w:val="0"/>
      <w:color w:val="000000"/>
      <w:kern w:val="24"/>
      <w:sz w:val="24"/>
      <w:szCs w:val="24"/>
    </w:rPr>
  </w:style>
  <w:style w:type="paragraph" w:customStyle="1" w:styleId="1391">
    <w:name w:val="样式 标题 3标题3H3h33rd level第二层条头小标题小节标题标题 3 Char Char一海港标...1"/>
    <w:basedOn w:val="7"/>
    <w:autoRedefine/>
    <w:qFormat/>
    <w:uiPriority w:val="0"/>
    <w:pPr>
      <w:keepLines w:val="0"/>
      <w:spacing w:before="120" w:after="120" w:line="360" w:lineRule="exact"/>
      <w:ind w:left="720" w:hanging="720"/>
      <w:textAlignment w:val="baseline"/>
    </w:pPr>
    <w:rPr>
      <w:rFonts w:ascii="Sim Sun" w:hAnsi="Sim Sun" w:eastAsia="Garamond" w:cs="Vladimir Script"/>
      <w:b w:val="0"/>
      <w:bCs w:val="0"/>
      <w:color w:val="000000"/>
      <w:kern w:val="24"/>
      <w:sz w:val="30"/>
    </w:rPr>
  </w:style>
  <w:style w:type="paragraph" w:customStyle="1" w:styleId="1392">
    <w:name w:val="表格文字gh"/>
    <w:basedOn w:val="1"/>
    <w:autoRedefine/>
    <w:qFormat/>
    <w:uiPriority w:val="0"/>
    <w:pPr>
      <w:spacing w:line="280" w:lineRule="exact"/>
      <w:ind w:firstLine="200"/>
      <w:jc w:val="center"/>
    </w:pPr>
    <w:rPr>
      <w:rFonts w:ascii="Garamond" w:hAnsi="Arial Unicode MS" w:eastAsia="Garamond" w:cs="Vladimir Script"/>
      <w:bCs/>
      <w:color w:val="000000"/>
      <w:kern w:val="24"/>
      <w:szCs w:val="20"/>
    </w:rPr>
  </w:style>
  <w:style w:type="paragraph" w:customStyle="1" w:styleId="1393">
    <w:name w:val="样式 宋体 小四 首行缩进:  1.59 厘米 段后: 2.5 磅 行距: 固定值 20 磅"/>
    <w:basedOn w:val="1"/>
    <w:autoRedefine/>
    <w:qFormat/>
    <w:uiPriority w:val="0"/>
    <w:pPr>
      <w:spacing w:after="50" w:line="400" w:lineRule="exact"/>
      <w:ind w:firstLine="900"/>
    </w:pPr>
    <w:rPr>
      <w:rFonts w:ascii="Sim Sun" w:hAnsi="Sim Sun" w:eastAsia="Garamond" w:cs="Vladimir Script"/>
      <w:bCs/>
      <w:color w:val="000000"/>
      <w:kern w:val="24"/>
      <w:szCs w:val="20"/>
    </w:rPr>
  </w:style>
  <w:style w:type="paragraph" w:customStyle="1" w:styleId="1394">
    <w:name w:val="T表格"/>
    <w:autoRedefine/>
    <w:qFormat/>
    <w:uiPriority w:val="0"/>
    <w:pPr>
      <w:jc w:val="center"/>
    </w:pPr>
    <w:rPr>
      <w:rFonts w:ascii="Arial Unicode MS" w:hAnsi="Arial Unicode MS" w:eastAsia="宋体" w:cs="Vladimir Script"/>
      <w:bCs/>
      <w:color w:val="000000"/>
      <w:sz w:val="21"/>
      <w:szCs w:val="24"/>
      <w:lang w:val="en-US" w:eastAsia="zh-CN" w:bidi="ar-SA"/>
    </w:rPr>
  </w:style>
  <w:style w:type="paragraph" w:customStyle="1" w:styleId="1395">
    <w:name w:val="样式 样式 标题 2标题2二级 标题 2H2h2第一层条标题 2 Char节标题节11 Char标题 2 Cha... +1"/>
    <w:basedOn w:val="1"/>
    <w:autoRedefine/>
    <w:qFormat/>
    <w:uiPriority w:val="0"/>
    <w:pPr>
      <w:tabs>
        <w:tab w:val="left" w:pos="720"/>
      </w:tabs>
      <w:spacing w:before="240" w:after="160" w:line="312" w:lineRule="auto"/>
      <w:ind w:firstLine="200"/>
      <w:textAlignment w:val="baseline"/>
      <w:outlineLvl w:val="1"/>
    </w:pPr>
    <w:rPr>
      <w:rFonts w:ascii="Arial Unicode MS" w:hAnsi="Arial Unicode MS" w:eastAsia="Garamond" w:cs="Vladimir Script"/>
      <w:b/>
      <w:bCs/>
      <w:color w:val="000000"/>
      <w:kern w:val="24"/>
      <w:szCs w:val="20"/>
    </w:rPr>
  </w:style>
  <w:style w:type="paragraph" w:customStyle="1" w:styleId="1396">
    <w:name w:val="No Title"/>
    <w:basedOn w:val="1"/>
    <w:autoRedefine/>
    <w:qFormat/>
    <w:uiPriority w:val="0"/>
    <w:pPr>
      <w:pBdr>
        <w:top w:val="single" w:color="FFFFFF" w:sz="6" w:space="2"/>
        <w:left w:val="single" w:color="FFFFFF" w:sz="6" w:space="2"/>
        <w:bottom w:val="single" w:color="FFFFFF" w:sz="6" w:space="2"/>
        <w:right w:val="single" w:color="FFFFFF" w:sz="6" w:space="2"/>
      </w:pBdr>
      <w:spacing w:before="120" w:line="280" w:lineRule="atLeast"/>
      <w:ind w:firstLine="200"/>
    </w:pPr>
    <w:rPr>
      <w:rFonts w:ascii="ˎ̥" w:hAnsi="ˎ̥" w:cs="Vladimir Script"/>
      <w:b/>
      <w:bCs/>
      <w:color w:val="000000"/>
      <w:spacing w:val="-10"/>
      <w:kern w:val="0"/>
      <w:position w:val="7"/>
      <w:sz w:val="20"/>
      <w:szCs w:val="20"/>
    </w:rPr>
  </w:style>
  <w:style w:type="paragraph" w:customStyle="1" w:styleId="1397">
    <w:name w:val="样式 首行缩进:  2 字符 行距: 1.5 倍行距"/>
    <w:basedOn w:val="1"/>
    <w:autoRedefine/>
    <w:qFormat/>
    <w:uiPriority w:val="0"/>
    <w:pPr>
      <w:spacing w:line="440" w:lineRule="exact"/>
      <w:ind w:firstLine="200"/>
    </w:pPr>
    <w:rPr>
      <w:rFonts w:ascii="Arial Unicode MS" w:hAnsi="Arial Unicode MS" w:cs="Sim Sun"/>
      <w:bCs/>
      <w:color w:val="000000"/>
      <w:kern w:val="24"/>
      <w:szCs w:val="20"/>
    </w:rPr>
  </w:style>
  <w:style w:type="paragraph" w:customStyle="1" w:styleId="1398">
    <w:name w:val="样式 表格文字统一样式 + Arial 小五 非加粗 自动设置 行距: 单倍行距"/>
    <w:basedOn w:val="270"/>
    <w:autoRedefine/>
    <w:qFormat/>
    <w:uiPriority w:val="0"/>
    <w:rPr>
      <w:rFonts w:ascii="ˎ̥" w:hAnsi="ˎ̥"/>
      <w:b/>
    </w:rPr>
  </w:style>
  <w:style w:type="paragraph" w:customStyle="1" w:styleId="1399">
    <w:name w:val="标题1（新）"/>
    <w:basedOn w:val="1"/>
    <w:next w:val="1"/>
    <w:autoRedefine/>
    <w:qFormat/>
    <w:uiPriority w:val="0"/>
    <w:pPr>
      <w:tabs>
        <w:tab w:val="left" w:pos="1200"/>
      </w:tabs>
      <w:spacing w:beforeLines="50" w:afterLines="50" w:line="440" w:lineRule="exact"/>
      <w:ind w:left="1200" w:hanging="720"/>
    </w:pPr>
    <w:rPr>
      <w:rFonts w:ascii="Arial Unicode MS" w:hAnsi="Arial Unicode MS" w:eastAsia="仿宋体" w:cs="Vladimir Script"/>
      <w:bCs/>
      <w:color w:val="000000"/>
      <w:kern w:val="0"/>
      <w:szCs w:val="28"/>
    </w:rPr>
  </w:style>
  <w:style w:type="paragraph" w:customStyle="1" w:styleId="1400">
    <w:name w:val="jiu1"/>
    <w:basedOn w:val="1"/>
    <w:autoRedefine/>
    <w:qFormat/>
    <w:uiPriority w:val="0"/>
    <w:pPr>
      <w:spacing w:before="100" w:beforeAutospacing="1" w:after="100" w:afterAutospacing="1" w:line="440" w:lineRule="exact"/>
      <w:ind w:firstLine="200"/>
    </w:pPr>
    <w:rPr>
      <w:rFonts w:ascii="Sim Sun" w:hAnsi="Sim Sun" w:cs="Sim Sun"/>
      <w:bCs/>
      <w:color w:val="000000"/>
      <w:kern w:val="0"/>
    </w:rPr>
  </w:style>
  <w:style w:type="paragraph" w:customStyle="1" w:styleId="1401">
    <w:name w:val="列表编号 31"/>
    <w:basedOn w:val="1"/>
    <w:autoRedefine/>
    <w:qFormat/>
    <w:uiPriority w:val="0"/>
    <w:pPr>
      <w:tabs>
        <w:tab w:val="left" w:pos="1200"/>
      </w:tabs>
      <w:spacing w:line="480" w:lineRule="exact"/>
      <w:ind w:left="1200" w:leftChars="400" w:hanging="360" w:hangingChars="200"/>
    </w:pPr>
    <w:rPr>
      <w:rFonts w:ascii="Arial Unicode MS" w:hAnsi="Arial Unicode MS" w:cs="Vladimir Script"/>
      <w:bCs/>
      <w:color w:val="000000"/>
      <w:kern w:val="24"/>
    </w:rPr>
  </w:style>
  <w:style w:type="paragraph" w:customStyle="1" w:styleId="1402">
    <w:name w:val="样式 标题 3 + 段前: 1 行"/>
    <w:basedOn w:val="7"/>
    <w:autoRedefine/>
    <w:qFormat/>
    <w:uiPriority w:val="0"/>
    <w:pPr>
      <w:tabs>
        <w:tab w:val="left" w:pos="720"/>
      </w:tabs>
      <w:spacing w:beforeLines="50" w:after="0" w:line="440" w:lineRule="atLeast"/>
      <w:ind w:left="720" w:hanging="720"/>
    </w:pPr>
    <w:rPr>
      <w:rFonts w:ascii="Sim Sun" w:hAnsi="Sim Sun" w:eastAsia="Garamond" w:cs="Vladimir Script"/>
      <w:b w:val="0"/>
      <w:bCs w:val="0"/>
      <w:color w:val="000000"/>
      <w:kern w:val="24"/>
      <w:sz w:val="30"/>
    </w:rPr>
  </w:style>
  <w:style w:type="paragraph" w:customStyle="1" w:styleId="1403">
    <w:name w:val="样式 样式 标题 4款标题1.1.1.1标题 4 Char标题 4 Char CharL4 + 宋体 小四 非加粗1 + 段前:..."/>
    <w:basedOn w:val="1404"/>
    <w:autoRedefine/>
    <w:qFormat/>
    <w:uiPriority w:val="0"/>
    <w:rPr>
      <w:rFonts w:cs="Sim Sun"/>
    </w:rPr>
  </w:style>
  <w:style w:type="paragraph" w:customStyle="1" w:styleId="1404">
    <w:name w:val="样式 标题 4款标题1.1.1.1标题 4 Char标题 4 Char CharL4 + 宋体 小四 非加粗1"/>
    <w:basedOn w:val="8"/>
    <w:autoRedefine/>
    <w:qFormat/>
    <w:uiPriority w:val="0"/>
    <w:pPr>
      <w:spacing w:beforeLines="50" w:afterLines="50" w:line="377" w:lineRule="auto"/>
      <w:ind w:firstLine="200"/>
    </w:pPr>
    <w:rPr>
      <w:rFonts w:ascii="Sim Sun" w:hAnsi="Sim Sun" w:eastAsia="宋体" w:cs="Vladimir Script"/>
      <w:b w:val="0"/>
      <w:color w:val="000000"/>
      <w:kern w:val="24"/>
      <w:sz w:val="24"/>
      <w:szCs w:val="20"/>
    </w:rPr>
  </w:style>
  <w:style w:type="paragraph" w:customStyle="1" w:styleId="1405">
    <w:name w:val="Name"/>
    <w:basedOn w:val="1"/>
    <w:next w:val="1"/>
    <w:autoRedefine/>
    <w:qFormat/>
    <w:uiPriority w:val="0"/>
    <w:pPr>
      <w:spacing w:after="440" w:line="240" w:lineRule="atLeast"/>
      <w:ind w:left="2160" w:firstLine="200"/>
    </w:pPr>
    <w:rPr>
      <w:rFonts w:ascii="Arial Unicode MS" w:hAnsi="Arial Unicode MS" w:cs="Vladimir Script"/>
      <w:bCs/>
      <w:color w:val="000000"/>
      <w:spacing w:val="-20"/>
      <w:kern w:val="0"/>
      <w:sz w:val="48"/>
      <w:szCs w:val="20"/>
    </w:rPr>
  </w:style>
  <w:style w:type="paragraph" w:customStyle="1" w:styleId="1406">
    <w:name w:val="2 级样式"/>
    <w:basedOn w:val="6"/>
    <w:autoRedefine/>
    <w:qFormat/>
    <w:uiPriority w:val="0"/>
    <w:pPr>
      <w:tabs>
        <w:tab w:val="left" w:pos="425"/>
      </w:tabs>
      <w:spacing w:beforeLines="30" w:afterLines="30" w:line="360" w:lineRule="auto"/>
      <w:ind w:left="425" w:hanging="425"/>
    </w:pPr>
    <w:rPr>
      <w:rFonts w:ascii="Arial Unicode MS" w:hAnsi="Arial Unicode MS" w:eastAsia="仿宋体" w:cs="Sim Sun"/>
      <w:b w:val="0"/>
      <w:color w:val="003300"/>
      <w:kern w:val="24"/>
      <w:sz w:val="30"/>
      <w:szCs w:val="30"/>
    </w:rPr>
  </w:style>
  <w:style w:type="paragraph" w:customStyle="1" w:styleId="1407">
    <w:name w:val="样式 桔黄 首行缩进:  1 厘米 行距: 固定值 25 磅"/>
    <w:basedOn w:val="1"/>
    <w:autoRedefine/>
    <w:qFormat/>
    <w:uiPriority w:val="0"/>
    <w:pPr>
      <w:spacing w:line="500" w:lineRule="exact"/>
      <w:ind w:firstLine="560"/>
    </w:pPr>
    <w:rPr>
      <w:rFonts w:ascii="Sim Sun" w:hAnsi="Sim Sun" w:cs="Sim Sun"/>
      <w:bCs/>
      <w:color w:val="000000"/>
      <w:kern w:val="0"/>
      <w:sz w:val="28"/>
      <w:szCs w:val="20"/>
    </w:rPr>
  </w:style>
  <w:style w:type="paragraph" w:customStyle="1" w:styleId="1408">
    <w:name w:val="图题"/>
    <w:basedOn w:val="192"/>
    <w:autoRedefine/>
    <w:qFormat/>
    <w:uiPriority w:val="0"/>
    <w:pPr>
      <w:tabs>
        <w:tab w:val="clear" w:pos="0"/>
      </w:tabs>
      <w:spacing w:line="240" w:lineRule="auto"/>
      <w:ind w:firstLine="0"/>
      <w:jc w:val="center"/>
    </w:pPr>
    <w:rPr>
      <w:rFonts w:ascii="ӗԲ" w:eastAsia="ӗԲ"/>
      <w:color w:val="auto"/>
      <w:szCs w:val="24"/>
    </w:rPr>
  </w:style>
  <w:style w:type="paragraph" w:customStyle="1" w:styleId="1409">
    <w:name w:val="索引 91"/>
    <w:basedOn w:val="1"/>
    <w:next w:val="1"/>
    <w:autoRedefine/>
    <w:qFormat/>
    <w:uiPriority w:val="0"/>
    <w:pPr>
      <w:spacing w:line="440" w:lineRule="exact"/>
      <w:ind w:left="2250" w:hanging="250"/>
    </w:pPr>
    <w:rPr>
      <w:rFonts w:ascii="ˎ̥" w:hAnsi="ˎ̥" w:eastAsia="仿宋体" w:cs="ˎ̥"/>
      <w:bCs/>
      <w:color w:val="000000"/>
      <w:spacing w:val="5"/>
      <w:kern w:val="24"/>
      <w:sz w:val="20"/>
      <w:szCs w:val="20"/>
    </w:rPr>
  </w:style>
  <w:style w:type="paragraph" w:customStyle="1" w:styleId="1410">
    <w:name w:val="首选正文"/>
    <w:basedOn w:val="1"/>
    <w:autoRedefine/>
    <w:qFormat/>
    <w:uiPriority w:val="0"/>
    <w:pPr>
      <w:spacing w:line="460" w:lineRule="exact"/>
      <w:ind w:firstLine="480"/>
    </w:pPr>
    <w:rPr>
      <w:rFonts w:ascii="Arial Unicode MS" w:hAnsi="Arial Unicode MS" w:cs="Sim Sun"/>
      <w:bCs/>
      <w:color w:val="000000"/>
      <w:kern w:val="0"/>
    </w:rPr>
  </w:style>
  <w:style w:type="paragraph" w:customStyle="1" w:styleId="1411">
    <w:name w:val="列表 51"/>
    <w:basedOn w:val="1"/>
    <w:autoRedefine/>
    <w:qFormat/>
    <w:uiPriority w:val="0"/>
    <w:pPr>
      <w:ind w:left="100" w:leftChars="800" w:hanging="200" w:hangingChars="200"/>
    </w:pPr>
    <w:rPr>
      <w:rFonts w:ascii="Arial Unicode MS" w:hAnsi="Arial Unicode MS" w:cs="Vladimir Script"/>
      <w:bCs/>
      <w:color w:val="000000"/>
      <w:kern w:val="24"/>
    </w:rPr>
  </w:style>
  <w:style w:type="paragraph" w:customStyle="1" w:styleId="1412">
    <w:name w:val="样式 标题 2 + Times New Roman 段前: 0.5 行 段后: 0.5 行"/>
    <w:basedOn w:val="6"/>
    <w:autoRedefine/>
    <w:qFormat/>
    <w:uiPriority w:val="0"/>
    <w:pPr>
      <w:tabs>
        <w:tab w:val="left" w:pos="4500"/>
      </w:tabs>
      <w:spacing w:beforeLines="50" w:afterLines="50" w:line="460" w:lineRule="exact"/>
      <w:ind w:firstLine="200"/>
      <w:textAlignment w:val="baseline"/>
    </w:pPr>
    <w:rPr>
      <w:rFonts w:ascii="Arial Unicode MS" w:hAnsi="Arial Unicode MS" w:eastAsia="宋体-方正超大字符集" w:cs="Vladimir Script"/>
      <w:color w:val="000000"/>
      <w:kern w:val="0"/>
      <w:sz w:val="28"/>
      <w:szCs w:val="20"/>
    </w:rPr>
  </w:style>
  <w:style w:type="paragraph" w:customStyle="1" w:styleId="1413">
    <w:name w:val="样式 首行缩进:  2 字符7"/>
    <w:basedOn w:val="1"/>
    <w:autoRedefine/>
    <w:qFormat/>
    <w:uiPriority w:val="0"/>
    <w:pPr>
      <w:spacing w:line="520" w:lineRule="exact"/>
      <w:ind w:firstLine="560"/>
    </w:pPr>
    <w:rPr>
      <w:rFonts w:cs="宋体"/>
      <w:bCs/>
      <w:color w:val="000000"/>
      <w:kern w:val="24"/>
      <w:szCs w:val="20"/>
    </w:rPr>
  </w:style>
  <w:style w:type="paragraph" w:customStyle="1" w:styleId="1414">
    <w:name w:val="Char Char5 Char Char Char Char Char Char Char Char Char Char Char Char Char Char Char1 Char2"/>
    <w:basedOn w:val="7"/>
    <w:autoRedefine/>
    <w:qFormat/>
    <w:uiPriority w:val="0"/>
    <w:pPr>
      <w:tabs>
        <w:tab w:val="left" w:pos="360"/>
        <w:tab w:val="left" w:pos="900"/>
      </w:tabs>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1415">
    <w:name w:val="样式 样式 左侧:  2 字符 + 首行缩进:  2 字符"/>
    <w:basedOn w:val="1"/>
    <w:autoRedefine/>
    <w:qFormat/>
    <w:uiPriority w:val="0"/>
    <w:pPr>
      <w:spacing w:line="440" w:lineRule="exact"/>
      <w:ind w:firstLine="200"/>
    </w:pPr>
    <w:rPr>
      <w:rFonts w:ascii="Arial Unicode MS" w:hAnsi="Arial Unicode MS" w:cs="Sim Sun"/>
      <w:bCs/>
      <w:color w:val="000000"/>
      <w:kern w:val="24"/>
      <w:szCs w:val="20"/>
    </w:rPr>
  </w:style>
  <w:style w:type="paragraph" w:customStyle="1" w:styleId="1416">
    <w:name w:val="正文4"/>
    <w:autoRedefine/>
    <w:qFormat/>
    <w:uiPriority w:val="0"/>
    <w:pPr>
      <w:widowControl w:val="0"/>
      <w:adjustRightInd w:val="0"/>
      <w:spacing w:line="315" w:lineRule="atLeast"/>
      <w:jc w:val="both"/>
      <w:textAlignment w:val="baseline"/>
    </w:pPr>
    <w:rPr>
      <w:rFonts w:ascii="Sim Sun" w:hAnsi="Arial Unicode MS" w:eastAsia="宋体" w:cs="Vladimir Script"/>
      <w:bCs/>
      <w:color w:val="000000"/>
      <w:sz w:val="24"/>
      <w:szCs w:val="24"/>
      <w:lang w:val="en-US" w:eastAsia="zh-CN" w:bidi="ar-SA"/>
    </w:rPr>
  </w:style>
  <w:style w:type="paragraph" w:customStyle="1" w:styleId="1417">
    <w:name w:val="样式 正文文字 +"/>
    <w:basedOn w:val="30"/>
    <w:autoRedefine/>
    <w:qFormat/>
    <w:uiPriority w:val="0"/>
    <w:pPr>
      <w:widowControl w:val="0"/>
      <w:snapToGrid/>
      <w:spacing w:after="60" w:line="264" w:lineRule="auto"/>
      <w:ind w:right="0" w:firstLine="110" w:firstLineChars="110"/>
      <w:textAlignment w:val="baseline"/>
    </w:pPr>
    <w:rPr>
      <w:rFonts w:ascii="Arial Unicode MS" w:hAnsi="Arial Unicode MS" w:eastAsia="Garamond" w:cs="Vladimir Script"/>
      <w:bCs/>
      <w:color w:val="000000"/>
      <w:sz w:val="24"/>
    </w:rPr>
  </w:style>
  <w:style w:type="paragraph" w:customStyle="1" w:styleId="1418">
    <w:name w:val="Address 1"/>
    <w:basedOn w:val="1"/>
    <w:autoRedefine/>
    <w:qFormat/>
    <w:uiPriority w:val="0"/>
    <w:pPr>
      <w:spacing w:line="200" w:lineRule="atLeast"/>
      <w:ind w:firstLine="200"/>
    </w:pPr>
    <w:rPr>
      <w:rFonts w:ascii="Arial Unicode MS" w:hAnsi="Arial Unicode MS" w:cs="Vladimir Script"/>
      <w:bCs/>
      <w:color w:val="000000"/>
      <w:kern w:val="0"/>
      <w:sz w:val="16"/>
      <w:szCs w:val="20"/>
    </w:rPr>
  </w:style>
  <w:style w:type="paragraph" w:customStyle="1" w:styleId="1419">
    <w:name w:val="样式 宋体 小四 首行缩进:  1.59 厘米 段后: 6 磅 行距: 固定值 20 磅"/>
    <w:basedOn w:val="1"/>
    <w:autoRedefine/>
    <w:qFormat/>
    <w:uiPriority w:val="0"/>
    <w:pPr>
      <w:spacing w:after="120" w:line="400" w:lineRule="exact"/>
      <w:ind w:firstLine="900"/>
    </w:pPr>
    <w:rPr>
      <w:rFonts w:ascii="Sim Sun" w:hAnsi="Sim Sun" w:eastAsia="Garamond" w:cs="Vladimir Script"/>
      <w:bCs/>
      <w:color w:val="000000"/>
      <w:kern w:val="24"/>
      <w:szCs w:val="20"/>
    </w:rPr>
  </w:style>
  <w:style w:type="paragraph" w:customStyle="1" w:styleId="1420">
    <w:name w:val="题注+"/>
    <w:basedOn w:val="21"/>
    <w:next w:val="1"/>
    <w:autoRedefine/>
    <w:qFormat/>
    <w:uiPriority w:val="0"/>
    <w:pPr>
      <w:tabs>
        <w:tab w:val="clear" w:pos="2445"/>
        <w:tab w:val="clear" w:pos="4156"/>
      </w:tabs>
      <w:spacing w:line="336" w:lineRule="auto"/>
      <w:ind w:firstLine="200"/>
      <w:outlineLvl w:val="6"/>
    </w:pPr>
    <w:rPr>
      <w:rFonts w:ascii="仿宋体" w:hAnsi="ˎ̥" w:eastAsia="仿宋体" w:cs="Vladimir Script"/>
      <w:b w:val="0"/>
      <w:bCs/>
      <w:snapToGrid/>
      <w:color w:val="000000"/>
    </w:rPr>
  </w:style>
  <w:style w:type="paragraph" w:customStyle="1" w:styleId="1421">
    <w:name w:val="Char Char1 Char Char Char Char Char Char Char11"/>
    <w:basedOn w:val="1"/>
    <w:autoRedefine/>
    <w:qFormat/>
    <w:uiPriority w:val="0"/>
    <w:rPr>
      <w:rFonts w:ascii="Batang" w:hAnsi="Batang" w:cs="Batang"/>
      <w:bCs/>
      <w:color w:val="000000"/>
      <w:kern w:val="24"/>
    </w:rPr>
  </w:style>
  <w:style w:type="paragraph" w:customStyle="1" w:styleId="1422">
    <w:name w:val="样式 标题 1 + 宋体 小四 加粗 左1"/>
    <w:basedOn w:val="5"/>
    <w:autoRedefine/>
    <w:qFormat/>
    <w:uiPriority w:val="0"/>
    <w:pPr>
      <w:keepNext w:val="0"/>
      <w:pageBreakBefore/>
      <w:overflowPunct/>
      <w:snapToGrid/>
      <w:spacing w:before="180" w:after="180" w:line="440" w:lineRule="exact"/>
      <w:ind w:left="0" w:firstLine="0"/>
    </w:pPr>
    <w:rPr>
      <w:rFonts w:eastAsia="宋体-方正超大字符集" w:cs="宋体"/>
      <w:kern w:val="2"/>
      <w:sz w:val="24"/>
      <w:szCs w:val="20"/>
    </w:rPr>
  </w:style>
  <w:style w:type="paragraph" w:customStyle="1" w:styleId="1423">
    <w:name w:val="样式 标题 22级样式 + 段前: 0.3 行 段后: 0.3 行1"/>
    <w:basedOn w:val="6"/>
    <w:autoRedefine/>
    <w:qFormat/>
    <w:uiPriority w:val="0"/>
    <w:pPr>
      <w:spacing w:beforeLines="30" w:afterLines="30" w:line="360" w:lineRule="auto"/>
      <w:ind w:firstLine="200"/>
    </w:pPr>
    <w:rPr>
      <w:rFonts w:ascii="Arial Unicode MS" w:hAnsi="Arial Unicode MS" w:eastAsia="仿宋体" w:cs="Sim Sun"/>
      <w:b w:val="0"/>
      <w:color w:val="003300"/>
      <w:kern w:val="24"/>
      <w:sz w:val="28"/>
      <w:szCs w:val="20"/>
    </w:rPr>
  </w:style>
  <w:style w:type="paragraph" w:customStyle="1" w:styleId="1424">
    <w:name w:val="Char Char Char Char Char Char Char Char Char Char Char Char Char Char Char Char Char Char Char3"/>
    <w:basedOn w:val="1"/>
    <w:autoRedefine/>
    <w:semiHidden/>
    <w:qFormat/>
    <w:uiPriority w:val="0"/>
    <w:pPr>
      <w:ind w:firstLine="560"/>
    </w:pPr>
    <w:rPr>
      <w:szCs w:val="20"/>
    </w:rPr>
  </w:style>
  <w:style w:type="paragraph" w:customStyle="1" w:styleId="1425">
    <w:name w:val="Char6 Char Char Char Char Char Char Char Char Char2"/>
    <w:basedOn w:val="1"/>
    <w:autoRedefine/>
    <w:qFormat/>
    <w:uiPriority w:val="0"/>
    <w:pPr>
      <w:spacing w:line="440" w:lineRule="exact"/>
      <w:ind w:firstLine="200"/>
    </w:pPr>
    <w:rPr>
      <w:rFonts w:ascii="Sim Sun" w:hAnsi="Sim Sun" w:cs="Vladimir Script"/>
      <w:bCs/>
      <w:color w:val="000000"/>
      <w:kern w:val="24"/>
      <w:sz w:val="28"/>
      <w:szCs w:val="20"/>
    </w:rPr>
  </w:style>
  <w:style w:type="paragraph" w:customStyle="1" w:styleId="1426">
    <w:name w:val="Char Char8 Char"/>
    <w:basedOn w:val="7"/>
    <w:autoRedefine/>
    <w:qFormat/>
    <w:uiPriority w:val="0"/>
    <w:pPr>
      <w:tabs>
        <w:tab w:val="left" w:pos="360"/>
        <w:tab w:val="left" w:pos="900"/>
      </w:tabs>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27">
    <w:name w:val="Char Char Char Char Char Char Char2"/>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1428">
    <w:name w:val="font13"/>
    <w:basedOn w:val="1"/>
    <w:autoRedefine/>
    <w:qFormat/>
    <w:uiPriority w:val="0"/>
    <w:pPr>
      <w:spacing w:before="100" w:beforeAutospacing="1" w:after="100" w:afterAutospacing="1" w:line="440" w:lineRule="exact"/>
      <w:ind w:firstLine="200"/>
    </w:pPr>
    <w:rPr>
      <w:rFonts w:ascii="ˎ̥" w:hAnsi="ˎ̥" w:cs="Vladimir Script"/>
      <w:bCs/>
      <w:color w:val="000000"/>
      <w:kern w:val="0"/>
      <w:sz w:val="18"/>
      <w:szCs w:val="18"/>
    </w:rPr>
  </w:style>
  <w:style w:type="paragraph" w:customStyle="1" w:styleId="1429">
    <w:name w:val="样式 标题 4 + 段前: 7.8 磅"/>
    <w:basedOn w:val="8"/>
    <w:autoRedefine/>
    <w:qFormat/>
    <w:uiPriority w:val="0"/>
    <w:pPr>
      <w:tabs>
        <w:tab w:val="left" w:pos="360"/>
        <w:tab w:val="left" w:pos="1865"/>
      </w:tabs>
      <w:spacing w:before="156" w:line="240" w:lineRule="exact"/>
      <w:ind w:firstLine="200"/>
    </w:pPr>
    <w:rPr>
      <w:rFonts w:ascii="Arial Unicode MS" w:hAnsi="Arial Unicode MS" w:eastAsia="Garamond" w:cs="Vladimir Script"/>
      <w:color w:val="000000"/>
      <w:kern w:val="0"/>
      <w:sz w:val="21"/>
      <w:szCs w:val="20"/>
    </w:rPr>
  </w:style>
  <w:style w:type="paragraph" w:customStyle="1" w:styleId="1430">
    <w:name w:val="Char Char7 Char Char Char Char Char Char2"/>
    <w:basedOn w:val="7"/>
    <w:autoRedefine/>
    <w:qFormat/>
    <w:uiPriority w:val="0"/>
    <w:pPr>
      <w:tabs>
        <w:tab w:val="left" w:pos="360"/>
        <w:tab w:val="left" w:pos="900"/>
      </w:tabs>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31">
    <w:name w:val="表格统一样式 小五 局中"/>
    <w:basedOn w:val="1"/>
    <w:autoRedefine/>
    <w:qFormat/>
    <w:uiPriority w:val="0"/>
    <w:pPr>
      <w:spacing w:line="440" w:lineRule="exact"/>
      <w:ind w:firstLine="200"/>
      <w:jc w:val="center"/>
    </w:pPr>
    <w:rPr>
      <w:rFonts w:ascii="Arial Unicode MS" w:hAnsi="Arial Unicode MS" w:eastAsia="Garamond" w:cs="Vladimir Script"/>
      <w:bCs/>
      <w:color w:val="000000"/>
      <w:kern w:val="0"/>
      <w:sz w:val="18"/>
      <w:szCs w:val="20"/>
    </w:rPr>
  </w:style>
  <w:style w:type="paragraph" w:customStyle="1" w:styleId="1432">
    <w:name w:val="style1"/>
    <w:basedOn w:val="1"/>
    <w:autoRedefine/>
    <w:qFormat/>
    <w:uiPriority w:val="0"/>
    <w:pPr>
      <w:spacing w:before="100" w:beforeAutospacing="1" w:after="100" w:afterAutospacing="1" w:line="440" w:lineRule="exact"/>
      <w:ind w:firstLine="200"/>
    </w:pPr>
    <w:rPr>
      <w:rFonts w:ascii="Sim Sun" w:hAnsi="Sim Sun" w:cs="Sim Sun"/>
      <w:bCs/>
      <w:color w:val="000000"/>
      <w:kern w:val="0"/>
      <w:sz w:val="14"/>
      <w:szCs w:val="14"/>
    </w:rPr>
  </w:style>
  <w:style w:type="paragraph" w:customStyle="1" w:styleId="1433">
    <w:name w:val="Char Char5 Char Char Char Char Char Char Char Char Char Char Char Char Char Char Char1 Char1"/>
    <w:basedOn w:val="7"/>
    <w:autoRedefine/>
    <w:qFormat/>
    <w:uiPriority w:val="0"/>
    <w:pPr>
      <w:tabs>
        <w:tab w:val="left" w:pos="360"/>
        <w:tab w:val="left" w:pos="900"/>
      </w:tabs>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34">
    <w:name w:val="表题"/>
    <w:basedOn w:val="783"/>
    <w:autoRedefine/>
    <w:qFormat/>
    <w:uiPriority w:val="0"/>
    <w:pPr>
      <w:tabs>
        <w:tab w:val="left" w:pos="4305"/>
      </w:tabs>
      <w:spacing w:beforeLines="50" w:afterLines="50" w:line="240" w:lineRule="auto"/>
      <w:ind w:firstLine="0" w:firstLineChars="0"/>
    </w:pPr>
    <w:rPr>
      <w:rFonts w:ascii="Sim Sun" w:hAnsi="Sim Sun" w:eastAsia="Vladimir Script" w:cs="Vladimir Script"/>
      <w:szCs w:val="24"/>
    </w:rPr>
  </w:style>
  <w:style w:type="paragraph" w:customStyle="1" w:styleId="1435">
    <w:name w:val="Char Char7 Char Char Char Char Char Char1"/>
    <w:basedOn w:val="7"/>
    <w:autoRedefine/>
    <w:qFormat/>
    <w:uiPriority w:val="0"/>
    <w:pPr>
      <w:tabs>
        <w:tab w:val="left" w:pos="360"/>
        <w:tab w:val="left" w:pos="900"/>
      </w:tabs>
      <w:spacing w:before="120" w:after="120" w:line="24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36">
    <w:name w:val="Char Char Char Char Char Char Char Char Char Char Char Char Char Char Char Char Char Char Char2"/>
    <w:basedOn w:val="1"/>
    <w:autoRedefine/>
    <w:qFormat/>
    <w:uiPriority w:val="0"/>
    <w:pPr>
      <w:ind w:firstLine="200"/>
    </w:pPr>
    <w:rPr>
      <w:rFonts w:ascii="仿宋体" w:hAnsi="仿宋体" w:eastAsia="仿宋体" w:cs="ˎ̥"/>
      <w:bCs/>
      <w:color w:val="000000"/>
      <w:kern w:val="24"/>
      <w:szCs w:val="20"/>
    </w:rPr>
  </w:style>
  <w:style w:type="paragraph" w:customStyle="1" w:styleId="1437">
    <w:name w:val="列表编号 51"/>
    <w:basedOn w:val="1"/>
    <w:autoRedefine/>
    <w:qFormat/>
    <w:uiPriority w:val="0"/>
    <w:pPr>
      <w:tabs>
        <w:tab w:val="left" w:pos="2040"/>
      </w:tabs>
      <w:spacing w:line="480" w:lineRule="exact"/>
      <w:ind w:left="2040" w:leftChars="800" w:hanging="360" w:hangingChars="200"/>
    </w:pPr>
    <w:rPr>
      <w:rFonts w:ascii="Arial Unicode MS" w:hAnsi="Arial Unicode MS" w:cs="Vladimir Script"/>
      <w:bCs/>
      <w:color w:val="000000"/>
      <w:kern w:val="24"/>
    </w:rPr>
  </w:style>
  <w:style w:type="paragraph" w:customStyle="1" w:styleId="1438">
    <w:name w:val="Company Name One"/>
    <w:basedOn w:val="1355"/>
    <w:next w:val="1"/>
    <w:autoRedefine/>
    <w:qFormat/>
    <w:uiPriority w:val="0"/>
  </w:style>
  <w:style w:type="paragraph" w:customStyle="1" w:styleId="1439">
    <w:name w:val="档案号"/>
    <w:basedOn w:val="50"/>
    <w:autoRedefine/>
    <w:qFormat/>
    <w:uiPriority w:val="0"/>
    <w:pPr>
      <w:pBdr>
        <w:bottom w:val="none" w:color="auto" w:sz="0" w:space="0"/>
      </w:pBdr>
      <w:tabs>
        <w:tab w:val="center" w:pos="4320"/>
        <w:tab w:val="right" w:pos="8640"/>
        <w:tab w:val="clear" w:pos="4153"/>
        <w:tab w:val="clear" w:pos="8306"/>
      </w:tabs>
      <w:snapToGrid/>
      <w:spacing w:line="460" w:lineRule="exact"/>
      <w:ind w:firstLine="200"/>
      <w:jc w:val="right"/>
      <w:textAlignment w:val="baseline"/>
    </w:pPr>
    <w:rPr>
      <w:rFonts w:ascii="Sim Sun" w:hAnsi="ˎ̥" w:eastAsia="Sim Sun" w:cs="Vladimir Script"/>
      <w:bCs/>
      <w:color w:val="000000"/>
      <w:spacing w:val="3"/>
      <w:kern w:val="24"/>
      <w:sz w:val="24"/>
    </w:rPr>
  </w:style>
  <w:style w:type="paragraph" w:customStyle="1" w:styleId="1440">
    <w:name w:val="样式 标题 4标题 4 Char Char + 两端对齐 左侧:  0 厘米 段前: 0 磅 段后: 0 磅"/>
    <w:basedOn w:val="8"/>
    <w:autoRedefine/>
    <w:qFormat/>
    <w:uiPriority w:val="0"/>
    <w:pPr>
      <w:tabs>
        <w:tab w:val="left" w:pos="2160"/>
        <w:tab w:val="left" w:pos="4500"/>
      </w:tabs>
      <w:spacing w:line="440" w:lineRule="atLeast"/>
      <w:ind w:left="2160" w:hanging="420"/>
    </w:pPr>
    <w:rPr>
      <w:rFonts w:ascii="ˎ̥" w:hAnsi="ˎ̥" w:eastAsia="仿宋体" w:cs="Sim Sun"/>
      <w:b w:val="0"/>
      <w:color w:val="000000"/>
      <w:kern w:val="24"/>
      <w:sz w:val="24"/>
      <w:szCs w:val="20"/>
    </w:rPr>
  </w:style>
  <w:style w:type="paragraph" w:customStyle="1" w:styleId="1441">
    <w:name w:val="样式 正文（首行缩进两字） Char1标题4 + 宋体 小四 首行缩进:  0.85 厘米"/>
    <w:basedOn w:val="1"/>
    <w:autoRedefine/>
    <w:qFormat/>
    <w:uiPriority w:val="0"/>
    <w:pPr>
      <w:spacing w:line="440" w:lineRule="atLeast"/>
      <w:ind w:firstLine="482"/>
    </w:pPr>
    <w:rPr>
      <w:rFonts w:ascii="Sim Sun" w:hAnsi="Sim Sun" w:cs="Sim Sun"/>
      <w:bCs/>
      <w:color w:val="000000"/>
      <w:kern w:val="0"/>
      <w:szCs w:val="20"/>
    </w:rPr>
  </w:style>
  <w:style w:type="paragraph" w:customStyle="1" w:styleId="1442">
    <w:name w:val="索引 31"/>
    <w:basedOn w:val="1"/>
    <w:next w:val="1"/>
    <w:autoRedefine/>
    <w:qFormat/>
    <w:uiPriority w:val="0"/>
    <w:pPr>
      <w:spacing w:line="440" w:lineRule="exact"/>
      <w:ind w:left="750" w:hanging="250"/>
    </w:pPr>
    <w:rPr>
      <w:rFonts w:ascii="ˎ̥" w:hAnsi="ˎ̥" w:eastAsia="仿宋体" w:cs="ˎ̥"/>
      <w:bCs/>
      <w:color w:val="000000"/>
      <w:spacing w:val="5"/>
      <w:kern w:val="24"/>
      <w:sz w:val="20"/>
      <w:szCs w:val="20"/>
    </w:rPr>
  </w:style>
  <w:style w:type="paragraph" w:customStyle="1" w:styleId="1443">
    <w:name w:val="列图"/>
    <w:basedOn w:val="367"/>
    <w:next w:val="1"/>
    <w:autoRedefine/>
    <w:qFormat/>
    <w:uiPriority w:val="0"/>
    <w:pPr>
      <w:keepLines/>
      <w:spacing w:before="120" w:after="120" w:line="300" w:lineRule="atLeast"/>
      <w:jc w:val="both"/>
    </w:pPr>
    <w:rPr>
      <w:rFonts w:ascii="Arial Unicode MS"/>
      <w:snapToGrid/>
      <w:kern w:val="28"/>
    </w:rPr>
  </w:style>
  <w:style w:type="paragraph" w:customStyle="1" w:styleId="1444">
    <w:name w:val="样式 标题 1 + 左侧:  0 厘米 首行缩进:  0 厘米"/>
    <w:basedOn w:val="5"/>
    <w:autoRedefine/>
    <w:qFormat/>
    <w:uiPriority w:val="0"/>
    <w:pPr>
      <w:keepLines/>
      <w:tabs>
        <w:tab w:val="left" w:pos="0"/>
        <w:tab w:val="left" w:pos="432"/>
        <w:tab w:val="left" w:pos="1200"/>
      </w:tabs>
      <w:overflowPunct/>
      <w:snapToGrid/>
      <w:spacing w:after="120" w:line="440" w:lineRule="exact"/>
      <w:ind w:firstLine="200"/>
      <w:textAlignment w:val="bottom"/>
    </w:pPr>
    <w:rPr>
      <w:rFonts w:ascii="Arial Unicode MS" w:hAnsi="Arial Unicode MS" w:eastAsia="仿宋体" w:cs="Vladimir Script"/>
      <w:sz w:val="28"/>
      <w:szCs w:val="20"/>
    </w:rPr>
  </w:style>
  <w:style w:type="paragraph" w:customStyle="1" w:styleId="1445">
    <w:name w:val="索引 81"/>
    <w:basedOn w:val="1"/>
    <w:next w:val="1"/>
    <w:autoRedefine/>
    <w:qFormat/>
    <w:uiPriority w:val="0"/>
    <w:pPr>
      <w:spacing w:line="440" w:lineRule="exact"/>
      <w:ind w:left="2000" w:hanging="250"/>
    </w:pPr>
    <w:rPr>
      <w:rFonts w:ascii="ˎ̥" w:hAnsi="ˎ̥" w:eastAsia="仿宋体" w:cs="ˎ̥"/>
      <w:bCs/>
      <w:color w:val="000000"/>
      <w:spacing w:val="5"/>
      <w:kern w:val="24"/>
      <w:sz w:val="20"/>
      <w:szCs w:val="20"/>
    </w:rPr>
  </w:style>
  <w:style w:type="paragraph" w:customStyle="1" w:styleId="1446">
    <w:name w:val="列表 41"/>
    <w:basedOn w:val="1"/>
    <w:autoRedefine/>
    <w:qFormat/>
    <w:uiPriority w:val="0"/>
    <w:pPr>
      <w:ind w:left="100" w:leftChars="600" w:hanging="200" w:hangingChars="200"/>
    </w:pPr>
    <w:rPr>
      <w:rFonts w:ascii="Arial Unicode MS" w:hAnsi="Arial Unicode MS" w:cs="Vladimir Script"/>
      <w:bCs/>
      <w:color w:val="000000"/>
      <w:kern w:val="24"/>
    </w:rPr>
  </w:style>
  <w:style w:type="paragraph" w:customStyle="1" w:styleId="1447">
    <w:name w:val="Char Char Char Char Char Char Char Char Char1"/>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448">
    <w:name w:val="样式 标题 1标题 1 1 + 小二"/>
    <w:basedOn w:val="5"/>
    <w:autoRedefine/>
    <w:qFormat/>
    <w:uiPriority w:val="0"/>
    <w:pPr>
      <w:keepLines/>
      <w:tabs>
        <w:tab w:val="left" w:pos="432"/>
      </w:tabs>
      <w:overflowPunct/>
      <w:snapToGrid/>
      <w:spacing w:beforeLines="100" w:afterLines="50" w:line="440" w:lineRule="exact"/>
      <w:ind w:firstLine="200"/>
      <w:textAlignment w:val="baseline"/>
    </w:pPr>
    <w:rPr>
      <w:rFonts w:ascii="仿宋体" w:hAnsi="Arial Unicode MS" w:eastAsia="仿宋体" w:cs="Vladimir Script"/>
      <w:szCs w:val="20"/>
    </w:rPr>
  </w:style>
  <w:style w:type="paragraph" w:customStyle="1" w:styleId="1449">
    <w:name w:val="样式 标题 2标题2.1标题 1.1 + 黑体 四号 非加粗 蓝色 段前: 15.6 磅 段后: 7.8 磅 行..."/>
    <w:basedOn w:val="6"/>
    <w:autoRedefine/>
    <w:qFormat/>
    <w:uiPriority w:val="0"/>
    <w:pPr>
      <w:keepNext w:val="0"/>
      <w:keepLines w:val="0"/>
      <w:tabs>
        <w:tab w:val="left" w:pos="576"/>
      </w:tabs>
      <w:spacing w:before="312" w:after="240" w:line="360" w:lineRule="exact"/>
      <w:ind w:left="578" w:hanging="578"/>
      <w:textAlignment w:val="baseline"/>
    </w:pPr>
    <w:rPr>
      <w:rFonts w:ascii="仿宋体" w:hAnsi="Arial Unicode MS" w:eastAsia="仿宋体" w:cs="Vladimir Script"/>
      <w:color w:val="0000FF"/>
      <w:kern w:val="24"/>
      <w:sz w:val="28"/>
      <w:szCs w:val="20"/>
    </w:rPr>
  </w:style>
  <w:style w:type="paragraph" w:customStyle="1" w:styleId="1450">
    <w:name w:val="样式 正文文字 + 首行缩进:  2 字符"/>
    <w:basedOn w:val="30"/>
    <w:autoRedefine/>
    <w:qFormat/>
    <w:uiPriority w:val="0"/>
    <w:pPr>
      <w:snapToGrid/>
      <w:spacing w:before="0" w:after="0" w:line="420" w:lineRule="atLeast"/>
      <w:ind w:right="0" w:firstLine="200"/>
    </w:pPr>
    <w:rPr>
      <w:rFonts w:ascii="Arial Unicode MS" w:hAnsi="Arial Unicode MS" w:eastAsia="Vladimir Script" w:cs="Vladimir Script"/>
      <w:bCs/>
      <w:color w:val="FF0000"/>
      <w:sz w:val="24"/>
      <w:szCs w:val="24"/>
    </w:rPr>
  </w:style>
  <w:style w:type="paragraph" w:customStyle="1" w:styleId="1451">
    <w:name w:val="Char Char1 Char1"/>
    <w:basedOn w:val="1"/>
    <w:autoRedefine/>
    <w:qFormat/>
    <w:uiPriority w:val="0"/>
    <w:rPr>
      <w:rFonts w:ascii="Batang" w:hAnsi="Batang" w:cs="Batang"/>
      <w:bCs/>
      <w:color w:val="000000"/>
      <w:kern w:val="24"/>
    </w:rPr>
  </w:style>
  <w:style w:type="paragraph" w:customStyle="1" w:styleId="1452">
    <w:name w:val="样式 题注 + (西文) Times New Roman (中文) 宋体 小四 加粗 黑色 居中 段前: 3 磅 ..."/>
    <w:basedOn w:val="21"/>
    <w:autoRedefine/>
    <w:qFormat/>
    <w:uiPriority w:val="0"/>
    <w:pPr>
      <w:keepNext w:val="0"/>
      <w:tabs>
        <w:tab w:val="clear" w:pos="2445"/>
        <w:tab w:val="clear" w:pos="4156"/>
      </w:tabs>
      <w:spacing w:afterLines="100"/>
      <w:ind w:firstLine="200"/>
    </w:pPr>
    <w:rPr>
      <w:rFonts w:ascii="Vladimir Script" w:hAnsi="Vladimir Script" w:eastAsia="Vladimir Script" w:cs="Sim Sun"/>
      <w:snapToGrid/>
      <w:color w:val="000000"/>
      <w:szCs w:val="20"/>
    </w:rPr>
  </w:style>
  <w:style w:type="paragraph" w:customStyle="1" w:styleId="1453">
    <w:name w:val="Char Char5 Char Char Char Char Char Char Char Char Char2 Char2"/>
    <w:basedOn w:val="7"/>
    <w:autoRedefine/>
    <w:qFormat/>
    <w:uiPriority w:val="0"/>
    <w:pPr>
      <w:tabs>
        <w:tab w:val="left" w:pos="360"/>
        <w:tab w:val="left" w:pos="900"/>
      </w:tabs>
      <w:spacing w:before="120" w:after="120" w:line="440" w:lineRule="atLeast"/>
      <w:ind w:left="542" w:leftChars="-12" w:firstLine="200"/>
    </w:pPr>
    <w:rPr>
      <w:rFonts w:ascii="Sim Sun" w:hAnsi="Sim Sun" w:eastAsia="仿宋体" w:cs="Vladimir Script"/>
      <w:b w:val="0"/>
      <w:bCs w:val="0"/>
      <w:snapToGrid w:val="0"/>
      <w:color w:val="000000"/>
      <w:kern w:val="24"/>
      <w:sz w:val="30"/>
    </w:rPr>
  </w:style>
  <w:style w:type="paragraph" w:customStyle="1" w:styleId="1454">
    <w:name w:val="文章副标题"/>
    <w:basedOn w:val="1"/>
    <w:next w:val="5"/>
    <w:autoRedefine/>
    <w:qFormat/>
    <w:uiPriority w:val="0"/>
    <w:pPr>
      <w:spacing w:before="104" w:after="104" w:line="0" w:lineRule="atLeast"/>
      <w:ind w:left="1" w:firstLine="200"/>
      <w:jc w:val="center"/>
      <w:textAlignment w:val="bottom"/>
    </w:pPr>
    <w:rPr>
      <w:rFonts w:ascii="Arial Unicode MS" w:hAnsi="Arial Unicode MS" w:cs="Vladimir Script"/>
      <w:bCs/>
      <w:color w:val="000000"/>
      <w:kern w:val="0"/>
      <w:sz w:val="36"/>
      <w:szCs w:val="20"/>
    </w:rPr>
  </w:style>
  <w:style w:type="paragraph" w:customStyle="1" w:styleId="1455">
    <w:name w:val="正文文本缩进 22"/>
    <w:basedOn w:val="1"/>
    <w:autoRedefine/>
    <w:qFormat/>
    <w:uiPriority w:val="0"/>
    <w:pPr>
      <w:spacing w:line="312" w:lineRule="atLeast"/>
      <w:ind w:firstLine="540"/>
      <w:textAlignment w:val="baseline"/>
    </w:pPr>
    <w:rPr>
      <w:rFonts w:ascii="Arial Unicode MS" w:hAnsi="Arial Unicode MS" w:cs="Vladimir Script"/>
      <w:bCs/>
      <w:color w:val="000000"/>
      <w:kern w:val="0"/>
      <w:szCs w:val="20"/>
    </w:rPr>
  </w:style>
  <w:style w:type="paragraph" w:customStyle="1" w:styleId="1456">
    <w:name w:val="题图"/>
    <w:basedOn w:val="1"/>
    <w:autoRedefine/>
    <w:qFormat/>
    <w:uiPriority w:val="0"/>
    <w:pPr>
      <w:spacing w:line="440" w:lineRule="exact"/>
      <w:ind w:firstLine="200"/>
      <w:jc w:val="center"/>
    </w:pPr>
    <w:rPr>
      <w:rFonts w:ascii="Sim Sun" w:hAnsi="Arial Unicode MS" w:cs="Vladimir Script"/>
      <w:bCs/>
      <w:color w:val="000000"/>
      <w:kern w:val="24"/>
      <w:sz w:val="28"/>
    </w:rPr>
  </w:style>
  <w:style w:type="paragraph" w:customStyle="1" w:styleId="1457">
    <w:name w:val="索引 71"/>
    <w:basedOn w:val="1"/>
    <w:next w:val="1"/>
    <w:autoRedefine/>
    <w:qFormat/>
    <w:uiPriority w:val="0"/>
    <w:pPr>
      <w:spacing w:line="440" w:lineRule="exact"/>
      <w:ind w:left="1750" w:hanging="250"/>
    </w:pPr>
    <w:rPr>
      <w:rFonts w:ascii="ˎ̥" w:hAnsi="ˎ̥" w:eastAsia="仿宋体" w:cs="ˎ̥"/>
      <w:bCs/>
      <w:color w:val="000000"/>
      <w:spacing w:val="5"/>
      <w:kern w:val="24"/>
      <w:sz w:val="20"/>
      <w:szCs w:val="20"/>
    </w:rPr>
  </w:style>
  <w:style w:type="paragraph" w:customStyle="1" w:styleId="1458">
    <w:name w:val="Char12"/>
    <w:basedOn w:val="1"/>
    <w:autoRedefine/>
    <w:qFormat/>
    <w:uiPriority w:val="0"/>
    <w:pPr>
      <w:ind w:firstLine="200"/>
    </w:pPr>
    <w:rPr>
      <w:rFonts w:ascii="仿宋体" w:hAnsi="仿宋体" w:eastAsia="仿宋体" w:cs="仿宋体"/>
      <w:bCs/>
      <w:color w:val="000000"/>
      <w:kern w:val="24"/>
      <w:szCs w:val="21"/>
    </w:rPr>
  </w:style>
  <w:style w:type="paragraph" w:customStyle="1" w:styleId="1459">
    <w:name w:val="Char2 Char Char Char2"/>
    <w:basedOn w:val="1"/>
    <w:autoRedefine/>
    <w:qFormat/>
    <w:uiPriority w:val="0"/>
    <w:pPr>
      <w:spacing w:line="440" w:lineRule="exact"/>
      <w:ind w:firstLine="200"/>
    </w:pPr>
    <w:rPr>
      <w:rFonts w:ascii="Arial Unicode MS" w:hAnsi="Arial Unicode MS" w:eastAsia="仿宋体" w:cs="Vladimir Script"/>
      <w:bCs/>
      <w:snapToGrid w:val="0"/>
      <w:color w:val="000000"/>
      <w:kern w:val="24"/>
    </w:rPr>
  </w:style>
  <w:style w:type="paragraph" w:customStyle="1" w:styleId="1460">
    <w:name w:val="样式 标题 4 + 左侧:  -0 厘米 首行缩进:  0 厘米 段后: 1.8 磅"/>
    <w:basedOn w:val="8"/>
    <w:autoRedefine/>
    <w:qFormat/>
    <w:uiPriority w:val="0"/>
    <w:pPr>
      <w:keepLines w:val="0"/>
      <w:tabs>
        <w:tab w:val="left" w:pos="360"/>
        <w:tab w:val="left" w:pos="1800"/>
      </w:tabs>
      <w:spacing w:before="240" w:after="36" w:line="312" w:lineRule="auto"/>
      <w:ind w:left="360" w:hanging="360" w:hangingChars="200"/>
      <w:textAlignment w:val="bottom"/>
    </w:pPr>
    <w:rPr>
      <w:rFonts w:ascii="Arial Unicode MS" w:hAnsi="Arial Unicode MS" w:eastAsia="Garamond" w:cs="Vladimir Script"/>
      <w:b w:val="0"/>
      <w:color w:val="000000"/>
      <w:kern w:val="0"/>
      <w:sz w:val="24"/>
      <w:szCs w:val="20"/>
    </w:rPr>
  </w:style>
  <w:style w:type="paragraph" w:customStyle="1" w:styleId="1461">
    <w:name w:val="ljw表格"/>
    <w:basedOn w:val="1"/>
    <w:next w:val="1"/>
    <w:autoRedefine/>
    <w:qFormat/>
    <w:uiPriority w:val="0"/>
    <w:pPr>
      <w:spacing w:beforeLines="25" w:afterLines="25" w:line="440" w:lineRule="exact"/>
      <w:ind w:firstLine="200"/>
      <w:jc w:val="center"/>
    </w:pPr>
    <w:rPr>
      <w:rFonts w:ascii="Sim Sun" w:hAnsi="Sim Sun" w:cs="Vladimir Script"/>
      <w:color w:val="000000"/>
      <w:kern w:val="24"/>
      <w:sz w:val="22"/>
      <w:szCs w:val="28"/>
    </w:rPr>
  </w:style>
  <w:style w:type="paragraph" w:customStyle="1" w:styleId="1462">
    <w:name w:val="reader-word-layer reader-word-s2-16"/>
    <w:basedOn w:val="1"/>
    <w:autoRedefine/>
    <w:qFormat/>
    <w:uiPriority w:val="0"/>
    <w:pPr>
      <w:spacing w:before="100" w:beforeAutospacing="1" w:after="100" w:afterAutospacing="1"/>
    </w:pPr>
    <w:rPr>
      <w:rFonts w:ascii="宋体" w:hAnsi="宋体" w:cs="宋体"/>
      <w:bCs/>
      <w:color w:val="000000"/>
      <w:kern w:val="0"/>
    </w:rPr>
  </w:style>
  <w:style w:type="paragraph" w:customStyle="1" w:styleId="1463">
    <w:name w:val="目录 2 Char Char"/>
    <w:basedOn w:val="1"/>
    <w:next w:val="1"/>
    <w:autoRedefine/>
    <w:qFormat/>
    <w:uiPriority w:val="0"/>
    <w:pPr>
      <w:spacing w:line="461" w:lineRule="auto"/>
      <w:ind w:left="420" w:firstLine="200"/>
      <w:textAlignment w:val="bottom"/>
    </w:pPr>
    <w:rPr>
      <w:rFonts w:ascii="Arial Unicode MS" w:hAnsi="Arial Unicode MS" w:cs="Vladimir Script"/>
      <w:bCs/>
      <w:color w:val="000000"/>
      <w:kern w:val="0"/>
      <w:szCs w:val="20"/>
    </w:rPr>
  </w:style>
  <w:style w:type="paragraph" w:customStyle="1" w:styleId="1464">
    <w:name w:val="小标题(1)"/>
    <w:basedOn w:val="30"/>
    <w:autoRedefine/>
    <w:qFormat/>
    <w:uiPriority w:val="0"/>
    <w:pPr>
      <w:widowControl w:val="0"/>
      <w:spacing w:after="60" w:line="264" w:lineRule="auto"/>
      <w:ind w:right="0" w:firstLine="240" w:firstLineChars="100"/>
      <w:textAlignment w:val="baseline"/>
    </w:pPr>
    <w:rPr>
      <w:rFonts w:ascii="Arial Unicode MS" w:hAnsi="Arial Unicode MS" w:eastAsia="Garamond" w:cs="Vladimir Script"/>
      <w:bCs/>
      <w:snapToGrid w:val="0"/>
      <w:color w:val="000000"/>
      <w:sz w:val="24"/>
    </w:rPr>
  </w:style>
  <w:style w:type="paragraph" w:customStyle="1" w:styleId="1465">
    <w:name w:val="Char Char7 Char Char Char1"/>
    <w:basedOn w:val="7"/>
    <w:autoRedefine/>
    <w:qFormat/>
    <w:uiPriority w:val="0"/>
    <w:pPr>
      <w:tabs>
        <w:tab w:val="left" w:pos="360"/>
        <w:tab w:val="left" w:pos="900"/>
      </w:tabs>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66">
    <w:name w:val="表格文字中"/>
    <w:basedOn w:val="1"/>
    <w:autoRedefine/>
    <w:qFormat/>
    <w:uiPriority w:val="0"/>
    <w:pPr>
      <w:keepNext/>
      <w:tabs>
        <w:tab w:val="left" w:pos="628"/>
        <w:tab w:val="left" w:pos="980"/>
        <w:tab w:val="left" w:pos="1727"/>
        <w:tab w:val="left" w:pos="1884"/>
      </w:tabs>
      <w:spacing w:line="440" w:lineRule="exact"/>
      <w:ind w:firstLine="560"/>
      <w:outlineLvl w:val="0"/>
    </w:pPr>
    <w:rPr>
      <w:rFonts w:ascii="Sim Sun" w:hAnsi="Sim Sun" w:cs="Vladimir Script"/>
      <w:bCs/>
      <w:color w:val="000000"/>
      <w:kern w:val="0"/>
      <w:lang w:val="zh-CN"/>
    </w:rPr>
  </w:style>
  <w:style w:type="paragraph" w:customStyle="1" w:styleId="1467">
    <w:name w:val="redtext"/>
    <w:basedOn w:val="1"/>
    <w:autoRedefine/>
    <w:qFormat/>
    <w:uiPriority w:val="0"/>
    <w:pPr>
      <w:spacing w:before="100" w:beforeAutospacing="1" w:after="100" w:afterAutospacing="1" w:line="400" w:lineRule="atLeast"/>
      <w:ind w:firstLine="200"/>
    </w:pPr>
    <w:rPr>
      <w:rFonts w:ascii="ˎ̥" w:hAnsi="ˎ̥" w:eastAsia="Garamond" w:cs="Vladimir Script"/>
      <w:bCs/>
      <w:color w:val="000000"/>
      <w:kern w:val="0"/>
      <w:sz w:val="20"/>
      <w:szCs w:val="20"/>
    </w:rPr>
  </w:style>
  <w:style w:type="paragraph" w:customStyle="1" w:styleId="1468">
    <w:name w:val="修订11"/>
    <w:autoRedefine/>
    <w:qFormat/>
    <w:uiPriority w:val="0"/>
    <w:rPr>
      <w:rFonts w:ascii="ˎ̥" w:hAnsi="ˎ̥" w:eastAsia="仿宋体" w:cs="Vladimir Script"/>
      <w:bCs/>
      <w:color w:val="000000"/>
      <w:kern w:val="2"/>
      <w:sz w:val="24"/>
      <w:szCs w:val="24"/>
      <w:lang w:val="en-US" w:eastAsia="zh-CN" w:bidi="ar-SA"/>
    </w:rPr>
  </w:style>
  <w:style w:type="paragraph" w:customStyle="1" w:styleId="1469">
    <w:name w:val="Char Char Char Char Char Char2"/>
    <w:basedOn w:val="1"/>
    <w:autoRedefine/>
    <w:qFormat/>
    <w:uiPriority w:val="0"/>
    <w:pPr>
      <w:spacing w:after="160" w:line="240" w:lineRule="exact"/>
      <w:ind w:firstLine="200"/>
    </w:pPr>
    <w:rPr>
      <w:rFonts w:ascii="华文仿宋" w:hAnsi="华文仿宋" w:eastAsia="仿宋体" w:cs="ˎ̥"/>
      <w:bCs/>
      <w:color w:val="000000"/>
      <w:kern w:val="0"/>
      <w:sz w:val="20"/>
      <w:szCs w:val="20"/>
      <w:lang w:eastAsia="en-US"/>
    </w:rPr>
  </w:style>
  <w:style w:type="paragraph" w:customStyle="1" w:styleId="1470">
    <w:name w:val="样式 样式 标题 2 + 段后: 0.5 行 + (西文) Times New Roman (中文) 仿宋_GB2312 段..."/>
    <w:basedOn w:val="1471"/>
    <w:autoRedefine/>
    <w:qFormat/>
    <w:uiPriority w:val="0"/>
    <w:pPr>
      <w:tabs>
        <w:tab w:val="left" w:pos="567"/>
        <w:tab w:val="left" w:pos="576"/>
      </w:tabs>
      <w:ind w:left="567" w:hanging="567"/>
    </w:pPr>
    <w:rPr>
      <w:rFonts w:ascii="Arial Unicode MS" w:hAnsi="Arial Unicode MS" w:eastAsia="Garamond"/>
    </w:rPr>
  </w:style>
  <w:style w:type="paragraph" w:customStyle="1" w:styleId="1471">
    <w:name w:val="样式 标题 2 + 段后: 0.5 行"/>
    <w:basedOn w:val="6"/>
    <w:autoRedefine/>
    <w:qFormat/>
    <w:uiPriority w:val="0"/>
    <w:pPr>
      <w:tabs>
        <w:tab w:val="left" w:pos="576"/>
      </w:tabs>
      <w:spacing w:before="240" w:afterLines="20" w:line="440" w:lineRule="exact"/>
      <w:ind w:left="576" w:hanging="576"/>
    </w:pPr>
    <w:rPr>
      <w:rFonts w:ascii="ˎ̥" w:hAnsi="ˎ̥" w:eastAsia="仿宋体" w:cs="Vladimir Script"/>
      <w:b w:val="0"/>
      <w:color w:val="000000"/>
      <w:kern w:val="24"/>
      <w:sz w:val="24"/>
      <w:szCs w:val="20"/>
    </w:rPr>
  </w:style>
  <w:style w:type="paragraph" w:customStyle="1" w:styleId="1472">
    <w:name w:val="sms"/>
    <w:basedOn w:val="1"/>
    <w:autoRedefine/>
    <w:qFormat/>
    <w:uiPriority w:val="0"/>
    <w:pPr>
      <w:overflowPunct w:val="0"/>
      <w:ind w:left="2126" w:right="992" w:firstLine="709"/>
      <w:textAlignment w:val="baseline"/>
    </w:pPr>
    <w:rPr>
      <w:rFonts w:ascii="Sim Sun" w:hAnsi="Arial Unicode MS" w:cs="Vladimir Script"/>
      <w:bCs/>
      <w:color w:val="000000"/>
      <w:spacing w:val="20"/>
      <w:kern w:val="0"/>
      <w:sz w:val="26"/>
      <w:szCs w:val="20"/>
    </w:rPr>
  </w:style>
  <w:style w:type="paragraph" w:customStyle="1" w:styleId="1473">
    <w:name w:val="Char Char1 Char Char1 Char Char1 Char Char1 Char Char Char Char Char Char Char1"/>
    <w:basedOn w:val="1"/>
    <w:autoRedefine/>
    <w:qFormat/>
    <w:uiPriority w:val="0"/>
    <w:pPr>
      <w:spacing w:line="440" w:lineRule="exact"/>
      <w:ind w:firstLine="200"/>
    </w:pPr>
    <w:rPr>
      <w:rFonts w:ascii="@幼圆" w:hAnsi="@幼圆" w:cs="Vladimir Script"/>
      <w:bCs/>
      <w:color w:val="000000"/>
      <w:kern w:val="24"/>
    </w:rPr>
  </w:style>
  <w:style w:type="paragraph" w:customStyle="1" w:styleId="1474">
    <w:name w:val="正文样式3"/>
    <w:basedOn w:val="1"/>
    <w:autoRedefine/>
    <w:qFormat/>
    <w:uiPriority w:val="0"/>
    <w:pPr>
      <w:keepLines/>
      <w:spacing w:line="20" w:lineRule="atLeast"/>
      <w:ind w:firstLine="200"/>
      <w:jc w:val="center"/>
    </w:pPr>
    <w:rPr>
      <w:rFonts w:ascii="Arial Unicode MS" w:hAnsi="Arial Unicode MS" w:cs="Vladimir Script"/>
      <w:bCs/>
      <w:color w:val="000000"/>
      <w:kern w:val="0"/>
      <w:szCs w:val="20"/>
    </w:rPr>
  </w:style>
  <w:style w:type="paragraph" w:customStyle="1" w:styleId="1475">
    <w:name w:val="标题40"/>
    <w:basedOn w:val="192"/>
    <w:autoRedefine/>
    <w:qFormat/>
    <w:uiPriority w:val="0"/>
    <w:pPr>
      <w:tabs>
        <w:tab w:val="clear" w:pos="0"/>
      </w:tabs>
      <w:spacing w:beforeLines="50" w:line="360" w:lineRule="auto"/>
      <w:ind w:firstLine="0" w:firstLineChars="0"/>
      <w:jc w:val="both"/>
      <w:outlineLvl w:val="3"/>
    </w:pPr>
    <w:rPr>
      <w:rFonts w:ascii="Sim Sun" w:hAnsi="Sim Sun"/>
      <w:bCs/>
      <w:snapToGrid w:val="0"/>
      <w:color w:val="auto"/>
    </w:rPr>
  </w:style>
  <w:style w:type="paragraph" w:customStyle="1" w:styleId="1476">
    <w:name w:val="正文文本缩进 32"/>
    <w:basedOn w:val="1"/>
    <w:autoRedefine/>
    <w:qFormat/>
    <w:uiPriority w:val="0"/>
    <w:pPr>
      <w:spacing w:line="440" w:lineRule="exact"/>
      <w:ind w:firstLine="640"/>
      <w:textAlignment w:val="baseline"/>
    </w:pPr>
    <w:rPr>
      <w:rFonts w:ascii="Garamond" w:hAnsi="Arial Unicode MS" w:eastAsia="Garamond" w:cs="Vladimir Script"/>
      <w:bCs/>
      <w:color w:val="FF0000"/>
      <w:kern w:val="24"/>
      <w:sz w:val="32"/>
      <w:szCs w:val="20"/>
    </w:rPr>
  </w:style>
  <w:style w:type="paragraph" w:customStyle="1" w:styleId="1477">
    <w:name w:val="表粗"/>
    <w:basedOn w:val="1"/>
    <w:autoRedefine/>
    <w:qFormat/>
    <w:uiPriority w:val="0"/>
    <w:pPr>
      <w:spacing w:line="360" w:lineRule="exact"/>
      <w:ind w:firstLine="200"/>
      <w:jc w:val="center"/>
      <w:outlineLvl w:val="8"/>
    </w:pPr>
    <w:rPr>
      <w:rFonts w:ascii="ˎ̥" w:hAnsi="ˎ̥" w:eastAsia="Garamond" w:cs="Vladimir Script"/>
      <w:b/>
      <w:bCs/>
      <w:color w:val="000000"/>
      <w:kern w:val="24"/>
      <w:szCs w:val="20"/>
    </w:rPr>
  </w:style>
  <w:style w:type="paragraph" w:customStyle="1" w:styleId="1478">
    <w:name w:val="w2"/>
    <w:basedOn w:val="1"/>
    <w:autoRedefine/>
    <w:qFormat/>
    <w:uiPriority w:val="0"/>
    <w:pPr>
      <w:ind w:left="720" w:firstLine="360"/>
      <w:textAlignment w:val="baseline"/>
    </w:pPr>
    <w:rPr>
      <w:rFonts w:ascii="Sim Sun" w:hAnsi="Arial Unicode MS" w:cs="Vladimir Script"/>
      <w:bCs/>
      <w:color w:val="000000"/>
      <w:kern w:val="0"/>
      <w:sz w:val="28"/>
      <w:szCs w:val="20"/>
    </w:rPr>
  </w:style>
  <w:style w:type="paragraph" w:customStyle="1" w:styleId="1479">
    <w:name w:val="样式 标题 3标题3H3h33rd level第二层条头 + 小四 加粗 左侧:  0 厘米 首行缩进:  0..."/>
    <w:basedOn w:val="7"/>
    <w:autoRedefine/>
    <w:qFormat/>
    <w:uiPriority w:val="0"/>
    <w:pPr>
      <w:keepLines w:val="0"/>
      <w:tabs>
        <w:tab w:val="left" w:pos="607"/>
      </w:tabs>
      <w:spacing w:before="120" w:after="120" w:line="360" w:lineRule="exact"/>
      <w:ind w:left="607" w:hanging="607"/>
      <w:textAlignment w:val="baseline"/>
    </w:pPr>
    <w:rPr>
      <w:rFonts w:ascii="Sim Sun" w:hAnsi="Sim Sun" w:eastAsia="Garamond" w:cs="Vladimir Script"/>
      <w:b w:val="0"/>
      <w:bCs w:val="0"/>
      <w:color w:val="000000"/>
      <w:kern w:val="0"/>
      <w:sz w:val="30"/>
    </w:rPr>
  </w:style>
  <w:style w:type="paragraph" w:customStyle="1" w:styleId="1480">
    <w:name w:val="样式 标题 2 + 段前: 0.3 行 段后: 0.3 行"/>
    <w:basedOn w:val="6"/>
    <w:autoRedefine/>
    <w:qFormat/>
    <w:uiPriority w:val="0"/>
    <w:pPr>
      <w:spacing w:before="120" w:after="120" w:line="480" w:lineRule="exact"/>
      <w:ind w:firstLine="200"/>
    </w:pPr>
    <w:rPr>
      <w:rFonts w:ascii="Arial Unicode MS" w:hAnsi="Arial Unicode MS" w:eastAsia="仿宋体" w:cs="Sim Sun"/>
      <w:bCs w:val="0"/>
      <w:color w:val="000000"/>
      <w:kern w:val="0"/>
      <w:sz w:val="30"/>
      <w:szCs w:val="20"/>
    </w:rPr>
  </w:style>
  <w:style w:type="paragraph" w:customStyle="1" w:styleId="1481">
    <w:name w:val="样式 标题 3一标题3H3h33rd level第二层条头标题 3 Char Char标题 3 Char2标..."/>
    <w:basedOn w:val="7"/>
    <w:autoRedefine/>
    <w:qFormat/>
    <w:uiPriority w:val="0"/>
    <w:pPr>
      <w:tabs>
        <w:tab w:val="left" w:pos="720"/>
      </w:tabs>
      <w:spacing w:beforeLines="50" w:afterLines="20" w:line="360" w:lineRule="exact"/>
      <w:ind w:left="720" w:hanging="720"/>
    </w:pPr>
    <w:rPr>
      <w:rFonts w:ascii="Sim Sun" w:hAnsi="Sim Sun" w:eastAsia="Garamond" w:cs="Vladimir Script"/>
      <w:b w:val="0"/>
      <w:bCs w:val="0"/>
      <w:color w:val="000000"/>
      <w:kern w:val="24"/>
      <w:sz w:val="30"/>
    </w:rPr>
  </w:style>
  <w:style w:type="paragraph" w:customStyle="1" w:styleId="1482">
    <w:name w:val="列表 21"/>
    <w:basedOn w:val="1"/>
    <w:autoRedefine/>
    <w:qFormat/>
    <w:uiPriority w:val="0"/>
    <w:pPr>
      <w:spacing w:line="300" w:lineRule="auto"/>
      <w:ind w:left="100" w:leftChars="200" w:hanging="200" w:hangingChars="200"/>
    </w:pPr>
    <w:rPr>
      <w:rFonts w:ascii="Courier New" w:hAnsi="Courier New" w:eastAsia="Garamond" w:cs="Vladimir Script"/>
      <w:bCs/>
      <w:color w:val="000000"/>
      <w:kern w:val="24"/>
      <w:szCs w:val="20"/>
    </w:rPr>
  </w:style>
  <w:style w:type="paragraph" w:customStyle="1" w:styleId="1483">
    <w:name w:val="Objective"/>
    <w:basedOn w:val="1"/>
    <w:next w:val="30"/>
    <w:autoRedefine/>
    <w:qFormat/>
    <w:uiPriority w:val="0"/>
    <w:pPr>
      <w:spacing w:before="220" w:after="220" w:line="220" w:lineRule="atLeast"/>
      <w:ind w:firstLine="200"/>
    </w:pPr>
    <w:rPr>
      <w:rFonts w:ascii="Arial Unicode MS" w:hAnsi="Arial Unicode MS" w:cs="Vladimir Script"/>
      <w:bCs/>
      <w:color w:val="000000"/>
      <w:kern w:val="0"/>
      <w:sz w:val="20"/>
      <w:szCs w:val="20"/>
    </w:rPr>
  </w:style>
  <w:style w:type="paragraph" w:customStyle="1" w:styleId="1484">
    <w:name w:val="等核实"/>
    <w:basedOn w:val="783"/>
    <w:autoRedefine/>
    <w:qFormat/>
    <w:uiPriority w:val="0"/>
    <w:pPr>
      <w:tabs>
        <w:tab w:val="left" w:pos="4305"/>
      </w:tabs>
      <w:spacing w:line="300" w:lineRule="auto"/>
      <w:ind w:firstLine="567" w:firstLineChars="0"/>
    </w:pPr>
    <w:rPr>
      <w:rFonts w:ascii="Sim Sun" w:hAnsi="Sim Sun" w:eastAsia="Vladimir Script" w:cs="Vladimir Script"/>
      <w:color w:val="0000FF"/>
      <w:sz w:val="28"/>
    </w:rPr>
  </w:style>
  <w:style w:type="paragraph" w:customStyle="1" w:styleId="1485">
    <w:name w:val="Char Char1 Char Char Char Char Char Char Char2"/>
    <w:basedOn w:val="7"/>
    <w:autoRedefine/>
    <w:qFormat/>
    <w:uiPriority w:val="0"/>
    <w:pPr>
      <w:tabs>
        <w:tab w:val="left" w:pos="360"/>
        <w:tab w:val="left" w:pos="900"/>
      </w:tabs>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1486">
    <w:name w:val="样式 样式 样式 标题 3标题3H3h33rd level第二层条头小标题小节标题标题 3 Char Char一海港标... + +"/>
    <w:basedOn w:val="1250"/>
    <w:autoRedefine/>
    <w:qFormat/>
    <w:uiPriority w:val="0"/>
    <w:pPr>
      <w:spacing w:after="120"/>
    </w:pPr>
  </w:style>
  <w:style w:type="paragraph" w:customStyle="1" w:styleId="1487">
    <w:name w:val="ljw正文"/>
    <w:basedOn w:val="1"/>
    <w:autoRedefine/>
    <w:qFormat/>
    <w:uiPriority w:val="0"/>
    <w:pPr>
      <w:spacing w:afterLines="50" w:line="300" w:lineRule="auto"/>
      <w:ind w:firstLine="480"/>
    </w:pPr>
    <w:rPr>
      <w:rFonts w:ascii="Sim Sun" w:hAnsi="Sim Sun" w:cs="Vladimir Script"/>
      <w:color w:val="000000"/>
      <w:kern w:val="24"/>
      <w:szCs w:val="28"/>
    </w:rPr>
  </w:style>
  <w:style w:type="paragraph" w:customStyle="1" w:styleId="1488">
    <w:name w:val="正文首行缩进 21"/>
    <w:basedOn w:val="783"/>
    <w:autoRedefine/>
    <w:qFormat/>
    <w:uiPriority w:val="0"/>
    <w:pPr>
      <w:spacing w:after="120" w:line="360" w:lineRule="auto"/>
      <w:ind w:left="420" w:leftChars="200" w:firstLine="420"/>
    </w:pPr>
    <w:rPr>
      <w:rFonts w:ascii="Arial Unicode MS" w:hAnsi="Arial Unicode MS" w:eastAsia="Times New Roman"/>
      <w:kern w:val="0"/>
      <w:szCs w:val="24"/>
    </w:rPr>
  </w:style>
  <w:style w:type="paragraph" w:customStyle="1" w:styleId="1489">
    <w:name w:val="王标题3"/>
    <w:basedOn w:val="7"/>
    <w:autoRedefine/>
    <w:qFormat/>
    <w:uiPriority w:val="0"/>
    <w:pPr>
      <w:spacing w:beforeLines="30" w:afterLines="30" w:line="560" w:lineRule="exact"/>
      <w:ind w:firstLine="200"/>
    </w:pPr>
    <w:rPr>
      <w:rFonts w:ascii="Sim Sun" w:hAnsi="Sim Sun" w:eastAsia="仿宋体" w:cs="Vladimir Script"/>
      <w:bCs w:val="0"/>
      <w:color w:val="000000"/>
      <w:kern w:val="24"/>
      <w:sz w:val="28"/>
    </w:rPr>
  </w:style>
  <w:style w:type="paragraph" w:customStyle="1" w:styleId="1490">
    <w:name w:val="自定义表格文字居中"/>
    <w:basedOn w:val="1"/>
    <w:autoRedefine/>
    <w:qFormat/>
    <w:uiPriority w:val="0"/>
    <w:pPr>
      <w:keepNext/>
      <w:spacing w:line="360" w:lineRule="exact"/>
      <w:ind w:left="5" w:hanging="5"/>
      <w:jc w:val="center"/>
      <w:outlineLvl w:val="0"/>
    </w:pPr>
    <w:rPr>
      <w:rFonts w:ascii="Arial Unicode MS" w:hAnsi="Arial Unicode MS" w:cs="Vladimir Script"/>
      <w:bCs/>
      <w:color w:val="FF0000"/>
      <w:kern w:val="0"/>
      <w:szCs w:val="20"/>
    </w:rPr>
  </w:style>
  <w:style w:type="paragraph" w:customStyle="1" w:styleId="1491">
    <w:name w:val="索引标题1"/>
    <w:basedOn w:val="1"/>
    <w:next w:val="1239"/>
    <w:autoRedefine/>
    <w:qFormat/>
    <w:uiPriority w:val="0"/>
    <w:pPr>
      <w:spacing w:line="440" w:lineRule="exact"/>
      <w:ind w:firstLine="200"/>
    </w:pPr>
    <w:rPr>
      <w:rFonts w:ascii="Arial Unicode MS" w:hAnsi="Arial Unicode MS" w:cs="Vladimir Script"/>
      <w:bCs/>
      <w:color w:val="000000"/>
      <w:kern w:val="24"/>
    </w:rPr>
  </w:style>
  <w:style w:type="paragraph" w:customStyle="1" w:styleId="1492">
    <w:name w:val="样式 宋体 小四 段后: 2.5 磅 行距: 固定值 20 磅"/>
    <w:basedOn w:val="1"/>
    <w:autoRedefine/>
    <w:qFormat/>
    <w:uiPriority w:val="0"/>
    <w:pPr>
      <w:spacing w:after="50" w:line="400" w:lineRule="exact"/>
      <w:ind w:firstLine="300" w:firstLineChars="300"/>
    </w:pPr>
    <w:rPr>
      <w:rFonts w:ascii="Sim Sun" w:hAnsi="Sim Sun" w:eastAsia="Garamond" w:cs="Vladimir Script"/>
      <w:bCs/>
      <w:color w:val="000000"/>
      <w:kern w:val="24"/>
      <w:szCs w:val="20"/>
    </w:rPr>
  </w:style>
  <w:style w:type="paragraph" w:customStyle="1" w:styleId="1493">
    <w:name w:val="列表编号 21"/>
    <w:basedOn w:val="1"/>
    <w:autoRedefine/>
    <w:qFormat/>
    <w:uiPriority w:val="0"/>
    <w:pPr>
      <w:tabs>
        <w:tab w:val="left" w:pos="780"/>
      </w:tabs>
      <w:spacing w:line="480" w:lineRule="exact"/>
      <w:ind w:left="780" w:leftChars="200" w:hanging="360" w:hangingChars="200"/>
    </w:pPr>
    <w:rPr>
      <w:rFonts w:ascii="Arial Unicode MS" w:hAnsi="Arial Unicode MS" w:cs="Vladimir Script"/>
      <w:bCs/>
      <w:color w:val="000000"/>
      <w:kern w:val="24"/>
    </w:rPr>
  </w:style>
  <w:style w:type="paragraph" w:customStyle="1" w:styleId="1494">
    <w:name w:val="msoacetate"/>
    <w:basedOn w:val="1"/>
    <w:autoRedefine/>
    <w:qFormat/>
    <w:uiPriority w:val="0"/>
    <w:pPr>
      <w:spacing w:line="360" w:lineRule="atLeast"/>
      <w:ind w:firstLine="567"/>
    </w:pPr>
    <w:rPr>
      <w:rFonts w:ascii="Arial Unicode MS" w:hAnsi="Arial Unicode MS" w:cs="Vladimir Script"/>
      <w:bCs/>
      <w:color w:val="000000"/>
      <w:kern w:val="0"/>
      <w:sz w:val="18"/>
      <w:szCs w:val="18"/>
    </w:rPr>
  </w:style>
  <w:style w:type="paragraph" w:customStyle="1" w:styleId="1495">
    <w:name w:val="样式 首行缩进:  2 字符20"/>
    <w:basedOn w:val="1"/>
    <w:autoRedefine/>
    <w:qFormat/>
    <w:uiPriority w:val="0"/>
    <w:pPr>
      <w:spacing w:line="520" w:lineRule="exact"/>
      <w:ind w:firstLine="560"/>
    </w:pPr>
    <w:rPr>
      <w:rFonts w:ascii="Arial Unicode MS" w:hAnsi="Arial Unicode MS" w:cs="Sim Sun"/>
      <w:bCs/>
      <w:color w:val="000000"/>
      <w:kern w:val="24"/>
      <w:szCs w:val="20"/>
    </w:rPr>
  </w:style>
  <w:style w:type="paragraph" w:customStyle="1" w:styleId="1496">
    <w:name w:val="样式 样式2 + 首行缩进:  2 字符"/>
    <w:basedOn w:val="1"/>
    <w:autoRedefine/>
    <w:qFormat/>
    <w:uiPriority w:val="0"/>
    <w:pPr>
      <w:ind w:firstLine="200"/>
    </w:pPr>
    <w:rPr>
      <w:rFonts w:ascii="Sim Sun" w:hAnsi="Sim Sun" w:cs="Sim Sun"/>
      <w:b/>
      <w:bCs/>
      <w:color w:val="000000"/>
      <w:kern w:val="24"/>
      <w:sz w:val="28"/>
      <w:szCs w:val="28"/>
    </w:rPr>
  </w:style>
  <w:style w:type="paragraph" w:customStyle="1" w:styleId="1497">
    <w:name w:val="表加粗"/>
    <w:basedOn w:val="13"/>
    <w:autoRedefine/>
    <w:qFormat/>
    <w:uiPriority w:val="0"/>
    <w:pPr>
      <w:keepNext w:val="0"/>
      <w:keepLines w:val="0"/>
      <w:topLinePunct/>
      <w:spacing w:before="0" w:after="0" w:line="360" w:lineRule="exact"/>
      <w:ind w:left="0" w:firstLine="0"/>
      <w:jc w:val="center"/>
      <w:textAlignment w:val="baseline"/>
      <w:outlineLvl w:val="9"/>
    </w:pPr>
    <w:rPr>
      <w:rFonts w:ascii="ˎ̥" w:hAnsi="ˎ̥" w:eastAsia="Garamond" w:cs="Vladimir Script"/>
      <w:b/>
      <w:szCs w:val="20"/>
    </w:rPr>
  </w:style>
  <w:style w:type="paragraph" w:customStyle="1" w:styleId="1498">
    <w:name w:val="样式 样式 表格文字统一样式 + Arial 小五 非加粗 自动设置 行距: 单倍行距1 + 段后: 0.5 行"/>
    <w:basedOn w:val="820"/>
    <w:autoRedefine/>
    <w:qFormat/>
    <w:uiPriority w:val="0"/>
  </w:style>
  <w:style w:type="paragraph" w:customStyle="1" w:styleId="1499">
    <w:name w:val="小标题@"/>
    <w:basedOn w:val="1"/>
    <w:autoRedefine/>
    <w:qFormat/>
    <w:uiPriority w:val="0"/>
    <w:pPr>
      <w:tabs>
        <w:tab w:val="left" w:pos="840"/>
      </w:tabs>
      <w:spacing w:before="60" w:after="60" w:line="440" w:lineRule="exact"/>
      <w:ind w:left="828" w:hanging="348"/>
      <w:textAlignment w:val="baseline"/>
    </w:pPr>
    <w:rPr>
      <w:rFonts w:ascii="Arial Unicode MS" w:hAnsi="Arial Unicode MS" w:cs="Vladimir Script"/>
      <w:bCs/>
      <w:color w:val="000000"/>
      <w:kern w:val="24"/>
      <w:szCs w:val="20"/>
    </w:rPr>
  </w:style>
  <w:style w:type="paragraph" w:customStyle="1" w:styleId="1500">
    <w:name w:val="样式 表格1 + 首行缩进:  2 字符1"/>
    <w:basedOn w:val="1031"/>
    <w:autoRedefine/>
    <w:qFormat/>
    <w:uiPriority w:val="0"/>
    <w:pPr>
      <w:spacing w:line="400" w:lineRule="exact"/>
      <w:ind w:firstLine="200"/>
      <w:jc w:val="left"/>
    </w:pPr>
    <w:rPr>
      <w:rFonts w:hint="default" w:ascii="Arial Unicode MS" w:hAnsi="Arial Unicode MS" w:cs="Sim Sun"/>
    </w:rPr>
  </w:style>
  <w:style w:type="paragraph" w:customStyle="1" w:styleId="1501">
    <w:name w:val="样式 标题 11.标题 1一、标题 1 Char Char Char Char + 小四"/>
    <w:basedOn w:val="5"/>
    <w:autoRedefine/>
    <w:qFormat/>
    <w:uiPriority w:val="0"/>
    <w:pPr>
      <w:keepLines/>
      <w:tabs>
        <w:tab w:val="left" w:pos="432"/>
      </w:tabs>
      <w:overflowPunct/>
      <w:snapToGrid/>
      <w:spacing w:beforeLines="50" w:afterLines="50" w:line="440" w:lineRule="exact"/>
      <w:ind w:firstLine="200"/>
      <w:textAlignment w:val="baseline"/>
    </w:pPr>
    <w:rPr>
      <w:rFonts w:ascii="仿宋体" w:hAnsi="Arial Unicode MS" w:eastAsia="仿宋体" w:cs="Vladimir Script"/>
      <w:sz w:val="28"/>
      <w:szCs w:val="20"/>
    </w:rPr>
  </w:style>
  <w:style w:type="paragraph" w:customStyle="1" w:styleId="1502">
    <w:name w:val="Char2 Char Char Char Char Char Char1"/>
    <w:basedOn w:val="1"/>
    <w:autoRedefine/>
    <w:qFormat/>
    <w:uiPriority w:val="0"/>
    <w:pPr>
      <w:spacing w:line="440" w:lineRule="exact"/>
      <w:ind w:firstLine="200"/>
    </w:pPr>
    <w:rPr>
      <w:rFonts w:ascii="ˎ̥" w:hAnsi="ˎ̥" w:eastAsia="仿宋体" w:cs="ˎ̥"/>
      <w:bCs/>
      <w:color w:val="000000"/>
      <w:kern w:val="24"/>
      <w:szCs w:val="20"/>
    </w:rPr>
  </w:style>
  <w:style w:type="paragraph" w:customStyle="1" w:styleId="1503">
    <w:name w:val="Char Char Char Char Char Char Char Char Char2"/>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504">
    <w:name w:val="Address 2"/>
    <w:basedOn w:val="1"/>
    <w:autoRedefine/>
    <w:qFormat/>
    <w:uiPriority w:val="0"/>
    <w:pPr>
      <w:spacing w:line="200" w:lineRule="atLeast"/>
      <w:ind w:firstLine="200"/>
    </w:pPr>
    <w:rPr>
      <w:rFonts w:ascii="Arial Unicode MS" w:hAnsi="Arial Unicode MS" w:cs="Vladimir Script"/>
      <w:bCs/>
      <w:color w:val="000000"/>
      <w:kern w:val="0"/>
      <w:sz w:val="16"/>
      <w:szCs w:val="20"/>
    </w:rPr>
  </w:style>
  <w:style w:type="paragraph" w:customStyle="1" w:styleId="1505">
    <w:name w:val="样式 正文文本缩进 2正文文字缩进 2 + 四号 蓝色 Char"/>
    <w:basedOn w:val="314"/>
    <w:autoRedefine/>
    <w:qFormat/>
    <w:uiPriority w:val="0"/>
    <w:pPr>
      <w:autoSpaceDE/>
      <w:autoSpaceDN/>
      <w:spacing w:after="0" w:line="480" w:lineRule="exact"/>
      <w:ind w:left="0" w:leftChars="0" w:firstLine="709"/>
      <w:jc w:val="both"/>
    </w:pPr>
    <w:rPr>
      <w:rFonts w:ascii="Sim Sun" w:hAnsi="Sim Sun"/>
      <w:color w:val="0000FF"/>
      <w:spacing w:val="8"/>
    </w:rPr>
  </w:style>
  <w:style w:type="paragraph" w:customStyle="1" w:styleId="1506">
    <w:name w:val="1级样式."/>
    <w:basedOn w:val="1"/>
    <w:autoRedefine/>
    <w:qFormat/>
    <w:uiPriority w:val="0"/>
    <w:pPr>
      <w:keepNext/>
      <w:keepLines/>
      <w:tabs>
        <w:tab w:val="left" w:pos="900"/>
      </w:tabs>
      <w:spacing w:beforeLines="50" w:afterLines="100"/>
      <w:ind w:left="900" w:hanging="420"/>
      <w:outlineLvl w:val="0"/>
    </w:pPr>
    <w:rPr>
      <w:rFonts w:ascii="Arial Unicode MS" w:hAnsi="Arial Unicode MS" w:eastAsia="仿宋体" w:cs="Vladimir Script"/>
      <w:bCs/>
      <w:color w:val="000000"/>
      <w:kern w:val="44"/>
      <w:sz w:val="36"/>
      <w:szCs w:val="36"/>
    </w:rPr>
  </w:style>
  <w:style w:type="paragraph" w:customStyle="1" w:styleId="1507">
    <w:name w:val="Char Char Char Char2"/>
    <w:basedOn w:val="1"/>
    <w:autoRedefine/>
    <w:qFormat/>
    <w:uiPriority w:val="0"/>
    <w:pPr>
      <w:spacing w:after="160" w:line="240" w:lineRule="exact"/>
      <w:ind w:firstLine="200"/>
    </w:pPr>
    <w:rPr>
      <w:rFonts w:ascii="华文仿宋" w:hAnsi="华文仿宋" w:eastAsia="仿宋体" w:cs="ˎ̥"/>
      <w:bCs/>
      <w:color w:val="000000"/>
      <w:kern w:val="0"/>
      <w:sz w:val="20"/>
      <w:szCs w:val="20"/>
      <w:lang w:eastAsia="en-US"/>
    </w:rPr>
  </w:style>
  <w:style w:type="paragraph" w:customStyle="1" w:styleId="1508">
    <w:name w:val="日期2"/>
    <w:basedOn w:val="1"/>
    <w:next w:val="1"/>
    <w:autoRedefine/>
    <w:qFormat/>
    <w:uiPriority w:val="0"/>
    <w:pPr>
      <w:spacing w:line="312" w:lineRule="atLeast"/>
      <w:ind w:firstLine="200"/>
      <w:jc w:val="right"/>
      <w:textAlignment w:val="baseline"/>
    </w:pPr>
    <w:rPr>
      <w:rFonts w:ascii="Arial Unicode MS" w:hAnsi="Arial Unicode MS" w:cs="Vladimir Script"/>
      <w:bCs/>
      <w:color w:val="000000"/>
      <w:kern w:val="0"/>
      <w:szCs w:val="20"/>
    </w:rPr>
  </w:style>
  <w:style w:type="paragraph" w:customStyle="1" w:styleId="1509">
    <w:name w:val="海港表格文字"/>
    <w:basedOn w:val="172"/>
    <w:autoRedefine/>
    <w:qFormat/>
    <w:uiPriority w:val="0"/>
    <w:pPr>
      <w:spacing w:line="300" w:lineRule="exact"/>
      <w:ind w:left="-56" w:leftChars="-30" w:right="-63" w:rightChars="-30"/>
      <w:textAlignment w:val="baseline"/>
    </w:pPr>
    <w:rPr>
      <w:rFonts w:ascii="Arial Unicode MS" w:hAnsi="Arial Unicode MS" w:eastAsia="Garamond" w:cs="Vladimir Script"/>
      <w:bCs/>
      <w:color w:val="000000"/>
      <w:spacing w:val="0"/>
      <w:kern w:val="21"/>
      <w:szCs w:val="20"/>
    </w:rPr>
  </w:style>
  <w:style w:type="paragraph" w:customStyle="1" w:styleId="1510">
    <w:name w:val="框图文字1"/>
    <w:basedOn w:val="1"/>
    <w:autoRedefine/>
    <w:qFormat/>
    <w:uiPriority w:val="0"/>
    <w:pPr>
      <w:spacing w:beforeLines="25" w:line="440" w:lineRule="exact"/>
      <w:ind w:firstLine="200"/>
      <w:jc w:val="center"/>
      <w:textAlignment w:val="baseline"/>
    </w:pPr>
    <w:rPr>
      <w:rFonts w:ascii="Arial Unicode MS" w:hAnsi="Arial Unicode MS" w:cs="Vladimir Script"/>
      <w:bCs/>
      <w:color w:val="000000"/>
      <w:kern w:val="24"/>
      <w:sz w:val="18"/>
      <w:szCs w:val="20"/>
    </w:rPr>
  </w:style>
  <w:style w:type="paragraph" w:customStyle="1" w:styleId="1511">
    <w:name w:val="节标"/>
    <w:basedOn w:val="1"/>
    <w:autoRedefine/>
    <w:qFormat/>
    <w:uiPriority w:val="0"/>
    <w:pPr>
      <w:spacing w:line="480" w:lineRule="exact"/>
      <w:ind w:firstLine="567"/>
      <w:jc w:val="center"/>
      <w:textAlignment w:val="bottom"/>
    </w:pPr>
    <w:rPr>
      <w:rFonts w:ascii="Arial Unicode MS" w:hAnsi="Arial Unicode MS" w:cs="Vladimir Script"/>
      <w:b/>
      <w:bCs/>
      <w:color w:val="000000"/>
      <w:kern w:val="0"/>
      <w:sz w:val="30"/>
      <w:szCs w:val="20"/>
    </w:rPr>
  </w:style>
  <w:style w:type="paragraph" w:customStyle="1" w:styleId="1512">
    <w:name w:val="列出段落1"/>
    <w:basedOn w:val="1"/>
    <w:autoRedefine/>
    <w:qFormat/>
    <w:uiPriority w:val="0"/>
    <w:pPr>
      <w:spacing w:line="440" w:lineRule="exact"/>
    </w:pPr>
    <w:rPr>
      <w:rFonts w:cs="Vladimir Script"/>
      <w:bCs/>
      <w:color w:val="000000"/>
      <w:kern w:val="24"/>
      <w:szCs w:val="22"/>
    </w:rPr>
  </w:style>
  <w:style w:type="paragraph" w:customStyle="1" w:styleId="1513">
    <w:name w:val="正文缩近"/>
    <w:basedOn w:val="1"/>
    <w:autoRedefine/>
    <w:qFormat/>
    <w:uiPriority w:val="0"/>
    <w:pPr>
      <w:ind w:firstLine="560"/>
    </w:pPr>
    <w:rPr>
      <w:rFonts w:ascii="Arial Unicode MS" w:hAnsi="Arial Unicode MS" w:cs="Vladimir Script"/>
      <w:bCs/>
      <w:color w:val="000000"/>
      <w:kern w:val="24"/>
      <w:sz w:val="28"/>
      <w:szCs w:val="28"/>
    </w:rPr>
  </w:style>
  <w:style w:type="paragraph" w:customStyle="1" w:styleId="1514">
    <w:name w:val="样式 宋体 小四 左 首行缩进:  0.85 厘米 段后: 2.5 磅 行距: 固定值 20 磅"/>
    <w:basedOn w:val="1"/>
    <w:autoRedefine/>
    <w:qFormat/>
    <w:uiPriority w:val="0"/>
    <w:pPr>
      <w:spacing w:after="50" w:line="400" w:lineRule="exact"/>
      <w:ind w:firstLine="480"/>
    </w:pPr>
    <w:rPr>
      <w:rFonts w:ascii="Sim Sun" w:hAnsi="Sim Sun" w:eastAsia="Garamond" w:cs="Vladimir Script"/>
      <w:bCs/>
      <w:color w:val="000000"/>
      <w:kern w:val="24"/>
      <w:szCs w:val="20"/>
    </w:rPr>
  </w:style>
  <w:style w:type="paragraph" w:customStyle="1" w:styleId="1515">
    <w:name w:val="样式 样式 首行缩进:  2 字符 + 首行缩进:  2 字符"/>
    <w:basedOn w:val="1"/>
    <w:autoRedefine/>
    <w:qFormat/>
    <w:uiPriority w:val="0"/>
    <w:pPr>
      <w:spacing w:line="420" w:lineRule="atLeast"/>
      <w:ind w:firstLine="200"/>
    </w:pPr>
    <w:rPr>
      <w:rFonts w:ascii="Arial Unicode MS" w:hAnsi="Arial Unicode MS" w:cs="Vladimir Script"/>
      <w:bCs/>
      <w:color w:val="000000"/>
      <w:kern w:val="0"/>
      <w:szCs w:val="20"/>
    </w:rPr>
  </w:style>
  <w:style w:type="paragraph" w:customStyle="1" w:styleId="1516">
    <w:name w:val="Char Char Char1 Char11"/>
    <w:basedOn w:val="1"/>
    <w:autoRedefine/>
    <w:qFormat/>
    <w:uiPriority w:val="0"/>
    <w:pPr>
      <w:spacing w:line="440" w:lineRule="exact"/>
      <w:ind w:left="-45" w:firstLine="200"/>
    </w:pPr>
    <w:rPr>
      <w:rFonts w:ascii="Arial Unicode MS" w:hAnsi="Arial Unicode MS" w:cs="Vladimir Script"/>
      <w:bCs/>
      <w:color w:val="000000"/>
      <w:kern w:val="24"/>
    </w:rPr>
  </w:style>
  <w:style w:type="paragraph" w:customStyle="1" w:styleId="1517">
    <w:name w:val="标题 2 + 段前: 0.3 行 段后: 0.3 行1"/>
    <w:basedOn w:val="6"/>
    <w:next w:val="1"/>
    <w:autoRedefine/>
    <w:qFormat/>
    <w:uiPriority w:val="0"/>
    <w:pPr>
      <w:spacing w:before="120" w:after="120" w:line="480" w:lineRule="exact"/>
      <w:ind w:left="1" w:firstLine="1"/>
    </w:pPr>
    <w:rPr>
      <w:rFonts w:ascii="Arial Unicode MS" w:hAnsi="Arial Unicode MS" w:eastAsia="仿宋体" w:cs="Sim Sun"/>
      <w:b w:val="0"/>
      <w:bCs w:val="0"/>
      <w:color w:val="000000"/>
      <w:kern w:val="0"/>
      <w:sz w:val="30"/>
      <w:szCs w:val="20"/>
    </w:rPr>
  </w:style>
  <w:style w:type="paragraph" w:customStyle="1" w:styleId="1518">
    <w:name w:val="reader-word-layer reader-word-s5-30"/>
    <w:basedOn w:val="1"/>
    <w:autoRedefine/>
    <w:qFormat/>
    <w:uiPriority w:val="0"/>
    <w:pPr>
      <w:spacing w:before="100" w:beforeAutospacing="1" w:after="100" w:afterAutospacing="1"/>
    </w:pPr>
    <w:rPr>
      <w:rFonts w:ascii="宋体" w:hAnsi="宋体" w:cs="宋体"/>
      <w:bCs/>
      <w:color w:val="000000"/>
      <w:kern w:val="0"/>
    </w:rPr>
  </w:style>
  <w:style w:type="paragraph" w:customStyle="1" w:styleId="1519">
    <w:name w:val="p0"/>
    <w:basedOn w:val="1"/>
    <w:autoRedefine/>
    <w:qFormat/>
    <w:uiPriority w:val="0"/>
    <w:rPr>
      <w:rFonts w:ascii="Batang" w:hAnsi="Batang" w:cs="Batang"/>
      <w:bCs/>
      <w:color w:val="000000"/>
      <w:kern w:val="0"/>
      <w:szCs w:val="21"/>
    </w:rPr>
  </w:style>
  <w:style w:type="paragraph" w:customStyle="1" w:styleId="1520">
    <w:name w:val="p15"/>
    <w:basedOn w:val="1"/>
    <w:autoRedefine/>
    <w:qFormat/>
    <w:uiPriority w:val="0"/>
    <w:pPr>
      <w:spacing w:line="360" w:lineRule="atLeast"/>
      <w:jc w:val="center"/>
    </w:pPr>
    <w:rPr>
      <w:rFonts w:ascii="Vladimir Script" w:hAnsi="Vladimir Script" w:cs="Vladimir Script"/>
      <w:bCs/>
      <w:color w:val="000000"/>
      <w:spacing w:val="4"/>
      <w:kern w:val="0"/>
      <w:szCs w:val="21"/>
    </w:rPr>
  </w:style>
  <w:style w:type="paragraph" w:customStyle="1" w:styleId="1521">
    <w:name w:val="样式 小四"/>
    <w:basedOn w:val="1"/>
    <w:autoRedefine/>
    <w:qFormat/>
    <w:uiPriority w:val="0"/>
    <w:pPr>
      <w:spacing w:line="480" w:lineRule="atLeast"/>
      <w:ind w:firstLine="510"/>
      <w:textAlignment w:val="baseline"/>
    </w:pPr>
    <w:rPr>
      <w:rFonts w:ascii="Cambria" w:hAnsi="Cambria" w:cs="Cambria"/>
      <w:bCs/>
      <w:color w:val="000000"/>
      <w:kern w:val="0"/>
      <w:szCs w:val="20"/>
    </w:rPr>
  </w:style>
  <w:style w:type="paragraph" w:customStyle="1" w:styleId="1522">
    <w:name w:val="正文样式11"/>
    <w:basedOn w:val="1"/>
    <w:autoRedefine/>
    <w:qFormat/>
    <w:uiPriority w:val="0"/>
    <w:pPr>
      <w:ind w:firstLine="480"/>
    </w:pPr>
    <w:rPr>
      <w:rFonts w:ascii="宋体" w:hAnsi="宋体" w:cs="Arial"/>
      <w:color w:val="000000"/>
      <w:kern w:val="24"/>
    </w:rPr>
  </w:style>
  <w:style w:type="paragraph" w:customStyle="1" w:styleId="1523">
    <w:name w:val="Char Char7 Char Char Char Char Char Char Char Char Char Char Char Char Char"/>
    <w:basedOn w:val="1"/>
    <w:autoRedefine/>
    <w:qFormat/>
    <w:uiPriority w:val="0"/>
    <w:rPr>
      <w:bCs/>
      <w:color w:val="000000"/>
      <w:kern w:val="24"/>
      <w:sz w:val="28"/>
    </w:rPr>
  </w:style>
  <w:style w:type="paragraph" w:customStyle="1" w:styleId="1524">
    <w:name w:val="f14"/>
    <w:basedOn w:val="1"/>
    <w:autoRedefine/>
    <w:qFormat/>
    <w:uiPriority w:val="0"/>
    <w:pPr>
      <w:wordWrap w:val="0"/>
      <w:spacing w:before="100" w:beforeAutospacing="1" w:after="100" w:afterAutospacing="1"/>
    </w:pPr>
    <w:rPr>
      <w:rFonts w:ascii="宋体" w:hAnsi="宋体" w:cs="宋体"/>
      <w:bCs/>
      <w:color w:val="333333"/>
      <w:kern w:val="0"/>
      <w:szCs w:val="21"/>
    </w:rPr>
  </w:style>
  <w:style w:type="paragraph" w:customStyle="1" w:styleId="1525">
    <w:name w:val="二级标题"/>
    <w:basedOn w:val="1"/>
    <w:autoRedefine/>
    <w:qFormat/>
    <w:uiPriority w:val="0"/>
    <w:pPr>
      <w:spacing w:before="120" w:after="120" w:line="440" w:lineRule="exact"/>
      <w:ind w:firstLine="560"/>
    </w:pPr>
    <w:rPr>
      <w:bCs/>
      <w:color w:val="000000"/>
      <w:kern w:val="24"/>
      <w:sz w:val="28"/>
    </w:rPr>
  </w:style>
  <w:style w:type="paragraph" w:customStyle="1" w:styleId="1526">
    <w:name w:val="yyp"/>
    <w:basedOn w:val="1"/>
    <w:next w:val="1"/>
    <w:autoRedefine/>
    <w:qFormat/>
    <w:uiPriority w:val="0"/>
    <w:pPr>
      <w:spacing w:after="120"/>
      <w:ind w:firstLine="480"/>
    </w:pPr>
    <w:rPr>
      <w:bCs/>
      <w:color w:val="000000"/>
      <w:kern w:val="24"/>
    </w:rPr>
  </w:style>
  <w:style w:type="paragraph" w:customStyle="1" w:styleId="1527">
    <w:name w:val="dxj正文"/>
    <w:basedOn w:val="1"/>
    <w:autoRedefine/>
    <w:qFormat/>
    <w:uiPriority w:val="0"/>
    <w:pPr>
      <w:ind w:firstLine="200"/>
    </w:pPr>
    <w:rPr>
      <w:bCs/>
      <w:color w:val="000000"/>
      <w:kern w:val="24"/>
    </w:rPr>
  </w:style>
  <w:style w:type="paragraph" w:customStyle="1" w:styleId="1528">
    <w:name w:val="样式 表格图文 + 五号 行距: 固定值 18 磅"/>
    <w:basedOn w:val="135"/>
    <w:autoRedefine/>
    <w:qFormat/>
    <w:uiPriority w:val="0"/>
    <w:pPr>
      <w:snapToGrid/>
      <w:spacing w:beforeLines="0" w:afterLines="0" w:line="360" w:lineRule="exact"/>
      <w:textAlignment w:val="baseline"/>
    </w:pPr>
    <w:rPr>
      <w:rFonts w:ascii="Times New Roman" w:cs="宋体"/>
      <w:bCs/>
      <w:color w:val="000000"/>
    </w:rPr>
  </w:style>
  <w:style w:type="paragraph" w:customStyle="1" w:styleId="1529">
    <w:name w:val="reader-word-layer reader-word-s1-16"/>
    <w:basedOn w:val="1"/>
    <w:autoRedefine/>
    <w:qFormat/>
    <w:uiPriority w:val="0"/>
    <w:pPr>
      <w:spacing w:before="100" w:beforeAutospacing="1" w:after="100" w:afterAutospacing="1"/>
    </w:pPr>
    <w:rPr>
      <w:rFonts w:ascii="宋体" w:hAnsi="宋体" w:cs="宋体"/>
      <w:bCs/>
      <w:color w:val="000000"/>
      <w:kern w:val="0"/>
    </w:rPr>
  </w:style>
  <w:style w:type="paragraph" w:customStyle="1" w:styleId="1530">
    <w:name w:val="reader-word-layer reader-word-s1-19"/>
    <w:basedOn w:val="1"/>
    <w:autoRedefine/>
    <w:qFormat/>
    <w:uiPriority w:val="0"/>
    <w:pPr>
      <w:spacing w:before="100" w:beforeAutospacing="1" w:after="100" w:afterAutospacing="1"/>
    </w:pPr>
    <w:rPr>
      <w:rFonts w:ascii="宋体" w:hAnsi="宋体" w:cs="宋体"/>
      <w:bCs/>
      <w:color w:val="000000"/>
      <w:kern w:val="0"/>
    </w:rPr>
  </w:style>
  <w:style w:type="paragraph" w:customStyle="1" w:styleId="1531">
    <w:name w:val="reader-word-layer reader-word-s1-18"/>
    <w:basedOn w:val="1"/>
    <w:autoRedefine/>
    <w:qFormat/>
    <w:uiPriority w:val="0"/>
    <w:pPr>
      <w:spacing w:before="100" w:beforeAutospacing="1" w:after="100" w:afterAutospacing="1"/>
    </w:pPr>
    <w:rPr>
      <w:rFonts w:ascii="宋体" w:hAnsi="宋体" w:cs="宋体"/>
      <w:bCs/>
      <w:color w:val="000000"/>
      <w:kern w:val="0"/>
    </w:rPr>
  </w:style>
  <w:style w:type="paragraph" w:customStyle="1" w:styleId="1532">
    <w:name w:val="reader-word-layer reader-word-s1-23"/>
    <w:basedOn w:val="1"/>
    <w:autoRedefine/>
    <w:qFormat/>
    <w:uiPriority w:val="0"/>
    <w:pPr>
      <w:spacing w:before="100" w:beforeAutospacing="1" w:after="100" w:afterAutospacing="1"/>
    </w:pPr>
    <w:rPr>
      <w:rFonts w:ascii="宋体" w:hAnsi="宋体" w:cs="宋体"/>
      <w:bCs/>
      <w:color w:val="000000"/>
      <w:kern w:val="0"/>
    </w:rPr>
  </w:style>
  <w:style w:type="paragraph" w:customStyle="1" w:styleId="1533">
    <w:name w:val="表格标题"/>
    <w:basedOn w:val="30"/>
    <w:autoRedefine/>
    <w:semiHidden/>
    <w:qFormat/>
    <w:uiPriority w:val="0"/>
    <w:pPr>
      <w:widowControl w:val="0"/>
      <w:snapToGrid/>
      <w:spacing w:before="0" w:after="0" w:line="440" w:lineRule="exact"/>
      <w:ind w:right="0" w:firstLine="482"/>
    </w:pPr>
    <w:rPr>
      <w:rFonts w:ascii="Batang" w:hAnsi="Batang" w:cs="Batang"/>
      <w:b/>
      <w:bCs/>
      <w:color w:val="000000"/>
      <w:kern w:val="24"/>
      <w:sz w:val="24"/>
      <w:szCs w:val="24"/>
    </w:rPr>
  </w:style>
  <w:style w:type="paragraph" w:customStyle="1" w:styleId="1534">
    <w:name w:val="正文正文"/>
    <w:basedOn w:val="1"/>
    <w:autoRedefine/>
    <w:qFormat/>
    <w:uiPriority w:val="0"/>
    <w:pPr>
      <w:spacing w:before="156" w:after="156"/>
      <w:ind w:firstLine="480"/>
    </w:pPr>
    <w:rPr>
      <w:rFonts w:ascii="Batang" w:hAnsi="Batang" w:cs="宋体"/>
      <w:bCs/>
      <w:color w:val="000000"/>
      <w:kern w:val="24"/>
      <w:szCs w:val="20"/>
    </w:rPr>
  </w:style>
  <w:style w:type="paragraph" w:customStyle="1" w:styleId="1535">
    <w:name w:val="表内容"/>
    <w:autoRedefine/>
    <w:qFormat/>
    <w:uiPriority w:val="0"/>
    <w:pPr>
      <w:jc w:val="center"/>
    </w:pPr>
    <w:rPr>
      <w:rFonts w:ascii="Vladimir Script" w:hAnsi="Vladimir Script" w:eastAsia="宋体" w:cs="Times New Roman"/>
      <w:bCs/>
      <w:color w:val="000000"/>
      <w:sz w:val="21"/>
      <w:szCs w:val="24"/>
      <w:lang w:val="en-US" w:eastAsia="zh-CN" w:bidi="ar-SA"/>
    </w:rPr>
  </w:style>
  <w:style w:type="paragraph" w:customStyle="1" w:styleId="1536">
    <w:name w:val="新标题样式"/>
    <w:basedOn w:val="1"/>
    <w:autoRedefine/>
    <w:qFormat/>
    <w:uiPriority w:val="0"/>
    <w:pPr>
      <w:tabs>
        <w:tab w:val="left" w:pos="567"/>
      </w:tabs>
    </w:pPr>
    <w:rPr>
      <w:rFonts w:eastAsia="黑体"/>
      <w:b/>
      <w:bCs/>
      <w:color w:val="000000"/>
      <w:spacing w:val="20"/>
      <w:kern w:val="24"/>
      <w:szCs w:val="20"/>
    </w:rPr>
  </w:style>
  <w:style w:type="paragraph" w:customStyle="1" w:styleId="1537">
    <w:name w:val="样式 Times New Roman 两端对齐 首行缩进:  0.85 厘米 行距: 固定值 22 磅"/>
    <w:basedOn w:val="1"/>
    <w:autoRedefine/>
    <w:qFormat/>
    <w:uiPriority w:val="0"/>
    <w:pPr>
      <w:spacing w:line="440" w:lineRule="exact"/>
      <w:ind w:firstLine="200"/>
    </w:pPr>
    <w:rPr>
      <w:rFonts w:cs="宋体"/>
      <w:bCs/>
      <w:color w:val="000000"/>
      <w:kern w:val="0"/>
      <w:szCs w:val="20"/>
    </w:rPr>
  </w:style>
  <w:style w:type="paragraph" w:customStyle="1" w:styleId="1538">
    <w:name w:val="proposal"/>
    <w:basedOn w:val="1"/>
    <w:autoRedefine/>
    <w:qFormat/>
    <w:uiPriority w:val="0"/>
    <w:pPr>
      <w:spacing w:line="300" w:lineRule="auto"/>
      <w:ind w:left="1440" w:hanging="1440"/>
    </w:pPr>
    <w:rPr>
      <w:bCs/>
      <w:color w:val="000000"/>
      <w:kern w:val="0"/>
      <w:szCs w:val="20"/>
      <w:lang w:val="en-GB" w:eastAsia="en-GB"/>
    </w:rPr>
  </w:style>
  <w:style w:type="paragraph" w:customStyle="1" w:styleId="1539">
    <w:name w:val="pic-info"/>
    <w:basedOn w:val="1"/>
    <w:autoRedefine/>
    <w:qFormat/>
    <w:uiPriority w:val="0"/>
    <w:pPr>
      <w:spacing w:before="100" w:beforeAutospacing="1" w:after="100" w:afterAutospacing="1"/>
    </w:pPr>
    <w:rPr>
      <w:rFonts w:ascii="宋体" w:hAnsi="宋体" w:cs="宋体"/>
      <w:bCs/>
      <w:color w:val="000000"/>
      <w:kern w:val="0"/>
    </w:rPr>
  </w:style>
  <w:style w:type="paragraph" w:customStyle="1" w:styleId="1540">
    <w:name w:val="样式 正文首行缩进 + 首行缩进:  0 字符"/>
    <w:basedOn w:val="82"/>
    <w:autoRedefine/>
    <w:qFormat/>
    <w:uiPriority w:val="0"/>
    <w:pPr>
      <w:snapToGrid w:val="0"/>
      <w:spacing w:line="360" w:lineRule="auto"/>
      <w:textAlignment w:val="auto"/>
    </w:pPr>
    <w:rPr>
      <w:rFonts w:eastAsia="宋体-方正超大字符集"/>
      <w:color w:val="0000FF"/>
      <w:kern w:val="2"/>
      <w:szCs w:val="28"/>
    </w:rPr>
  </w:style>
  <w:style w:type="paragraph" w:customStyle="1" w:styleId="1541">
    <w:name w:val="样式4 Char Char"/>
    <w:basedOn w:val="2"/>
    <w:autoRedefine/>
    <w:qFormat/>
    <w:uiPriority w:val="0"/>
    <w:pPr>
      <w:spacing w:line="460" w:lineRule="exact"/>
      <w:ind w:firstLine="0"/>
    </w:pPr>
    <w:rPr>
      <w:rFonts w:ascii="Arial" w:hAnsi="Arial" w:eastAsia="宋体-方正超大字符集"/>
      <w:bCs/>
      <w:color w:val="000000"/>
      <w:kern w:val="0"/>
      <w:sz w:val="24"/>
      <w:szCs w:val="24"/>
    </w:rPr>
  </w:style>
  <w:style w:type="paragraph" w:customStyle="1" w:styleId="1542">
    <w:name w:val="安评 标题 2 + 宋体 四号 黑色 段前: 7.8 磅 段后: 0 磅 行距: 单倍行距"/>
    <w:basedOn w:val="6"/>
    <w:autoRedefine/>
    <w:qFormat/>
    <w:uiPriority w:val="0"/>
    <w:pPr>
      <w:spacing w:before="156" w:after="0" w:line="240" w:lineRule="auto"/>
    </w:pPr>
    <w:rPr>
      <w:rFonts w:ascii="宋体" w:hAnsi="宋体"/>
      <w:smallCaps/>
      <w:color w:val="000000"/>
      <w:kern w:val="24"/>
      <w:sz w:val="28"/>
      <w:szCs w:val="21"/>
    </w:rPr>
  </w:style>
  <w:style w:type="paragraph" w:customStyle="1" w:styleId="1543">
    <w:name w:val="Char Char1 Char Char Char Char Char Char Char Char Char Char Char Char Char Char Char Char Char Char Char Char1 Char"/>
    <w:basedOn w:val="1"/>
    <w:autoRedefine/>
    <w:qFormat/>
    <w:uiPriority w:val="0"/>
    <w:pPr>
      <w:ind w:firstLine="200"/>
    </w:pPr>
    <w:rPr>
      <w:bCs/>
      <w:color w:val="000000"/>
      <w:kern w:val="24"/>
      <w:szCs w:val="20"/>
    </w:rPr>
  </w:style>
  <w:style w:type="paragraph" w:customStyle="1" w:styleId="1544">
    <w:name w:val="表格名称"/>
    <w:basedOn w:val="1"/>
    <w:next w:val="1"/>
    <w:autoRedefine/>
    <w:qFormat/>
    <w:uiPriority w:val="0"/>
    <w:pPr>
      <w:jc w:val="center"/>
    </w:pPr>
    <w:rPr>
      <w:rFonts w:eastAsia="黑体"/>
      <w:color w:val="000000"/>
      <w:kern w:val="24"/>
    </w:rPr>
  </w:style>
  <w:style w:type="paragraph" w:customStyle="1" w:styleId="1545">
    <w:name w:val="样式 样式 标题 2 + 左侧:  2 字符 + 首行缩进:  2 字符1"/>
    <w:basedOn w:val="1"/>
    <w:autoRedefine/>
    <w:qFormat/>
    <w:uiPriority w:val="0"/>
    <w:pPr>
      <w:keepNext/>
      <w:keepLines/>
      <w:spacing w:before="260" w:after="260" w:line="416" w:lineRule="atLeast"/>
      <w:ind w:firstLine="640"/>
      <w:outlineLvl w:val="1"/>
    </w:pPr>
    <w:rPr>
      <w:rFonts w:ascii="Arial" w:hAnsi="Arial" w:eastAsia="黑体" w:cs="宋体"/>
      <w:b/>
      <w:color w:val="000000"/>
      <w:kern w:val="24"/>
      <w:sz w:val="28"/>
      <w:szCs w:val="20"/>
    </w:rPr>
  </w:style>
  <w:style w:type="paragraph" w:customStyle="1" w:styleId="1546">
    <w:name w:val="样式 样式7 + 小四"/>
    <w:basedOn w:val="343"/>
    <w:autoRedefine/>
    <w:qFormat/>
    <w:uiPriority w:val="0"/>
    <w:pPr>
      <w:tabs>
        <w:tab w:val="left" w:pos="560"/>
        <w:tab w:val="clear" w:pos="900"/>
        <w:tab w:val="clear" w:pos="1260"/>
        <w:tab w:val="clear" w:pos="1800"/>
      </w:tabs>
      <w:spacing w:before="120" w:line="480" w:lineRule="atLeast"/>
      <w:textAlignment w:val="baseline"/>
    </w:pPr>
    <w:rPr>
      <w:rFonts w:ascii="Times New Roman" w:hAnsi="Times New Roman" w:eastAsia="黑体"/>
      <w:bCs/>
      <w:kern w:val="0"/>
      <w:sz w:val="24"/>
      <w:szCs w:val="20"/>
    </w:rPr>
  </w:style>
  <w:style w:type="paragraph" w:customStyle="1" w:styleId="1547">
    <w:name w:val="Char Char Char Char Char1 Char"/>
    <w:basedOn w:val="7"/>
    <w:autoRedefine/>
    <w:semiHidden/>
    <w:qFormat/>
    <w:uiPriority w:val="0"/>
    <w:pPr>
      <w:tabs>
        <w:tab w:val="left" w:pos="360"/>
        <w:tab w:val="left" w:pos="900"/>
      </w:tabs>
      <w:spacing w:before="120" w:after="120" w:line="360" w:lineRule="auto"/>
      <w:ind w:left="542" w:leftChars="-12" w:firstLine="200"/>
    </w:pPr>
    <w:rPr>
      <w:snapToGrid w:val="0"/>
      <w:color w:val="000000"/>
      <w:kern w:val="24"/>
      <w:sz w:val="24"/>
      <w:szCs w:val="24"/>
    </w:rPr>
  </w:style>
  <w:style w:type="paragraph" w:customStyle="1" w:styleId="1548">
    <w:name w:val="LT表头表头表头表头表头表头"/>
    <w:basedOn w:val="1"/>
    <w:autoRedefine/>
    <w:qFormat/>
    <w:uiPriority w:val="0"/>
    <w:pPr>
      <w:spacing w:beforeLines="50" w:afterLines="50"/>
      <w:jc w:val="center"/>
    </w:pPr>
    <w:rPr>
      <w:bCs/>
      <w:snapToGrid w:val="0"/>
      <w:color w:val="000000"/>
      <w:kern w:val="28"/>
    </w:rPr>
  </w:style>
  <w:style w:type="paragraph" w:customStyle="1" w:styleId="1549">
    <w:name w:val="Char Char Char Char Char Char Char Char Char Char1"/>
    <w:basedOn w:val="1"/>
    <w:autoRedefine/>
    <w:qFormat/>
    <w:uiPriority w:val="0"/>
    <w:pPr>
      <w:ind w:firstLine="200"/>
    </w:pPr>
    <w:rPr>
      <w:rFonts w:ascii="宋体" w:hAnsi="宋体" w:cs="宋体"/>
      <w:bCs/>
      <w:color w:val="000000"/>
      <w:kern w:val="24"/>
    </w:rPr>
  </w:style>
  <w:style w:type="paragraph" w:customStyle="1" w:styleId="1550">
    <w:name w:val="Body Single"/>
    <w:autoRedefine/>
    <w:qFormat/>
    <w:uiPriority w:val="0"/>
    <w:pPr>
      <w:widowControl w:val="0"/>
      <w:autoSpaceDE w:val="0"/>
      <w:autoSpaceDN w:val="0"/>
      <w:adjustRightInd w:val="0"/>
    </w:pPr>
    <w:rPr>
      <w:rFonts w:ascii="MingLiU" w:hAnsi="Times New Roman" w:eastAsia="MingLiU" w:cs="Times New Roman"/>
      <w:bCs/>
      <w:color w:val="000000"/>
      <w:sz w:val="24"/>
      <w:szCs w:val="24"/>
      <w:lang w:val="en-US" w:eastAsia="zh-TW" w:bidi="ar-SA"/>
    </w:rPr>
  </w:style>
  <w:style w:type="paragraph" w:customStyle="1" w:styleId="1551">
    <w:name w:val="样式 小五 居中 首行缩进:  2 字符"/>
    <w:basedOn w:val="1"/>
    <w:autoRedefine/>
    <w:qFormat/>
    <w:uiPriority w:val="0"/>
    <w:pPr>
      <w:jc w:val="center"/>
    </w:pPr>
    <w:rPr>
      <w:rFonts w:cs="宋体"/>
      <w:bCs/>
      <w:color w:val="000000"/>
      <w:kern w:val="24"/>
      <w:sz w:val="18"/>
      <w:szCs w:val="20"/>
    </w:rPr>
  </w:style>
  <w:style w:type="paragraph" w:customStyle="1" w:styleId="1552">
    <w:name w:val="样式 标题 1 + 黑体 加粗 两端对齐 行距: 固定值 28 磅"/>
    <w:basedOn w:val="5"/>
    <w:autoRedefine/>
    <w:qFormat/>
    <w:uiPriority w:val="0"/>
    <w:pPr>
      <w:overflowPunct/>
      <w:snapToGrid/>
      <w:spacing w:before="180" w:after="180" w:line="240" w:lineRule="auto"/>
      <w:ind w:left="0" w:firstLine="0"/>
    </w:pPr>
    <w:rPr>
      <w:rFonts w:ascii="黑体" w:eastAsia="宋体-方正超大字符集" w:cs="宋体"/>
      <w:kern w:val="2"/>
    </w:rPr>
  </w:style>
  <w:style w:type="paragraph" w:customStyle="1" w:styleId="1553">
    <w:name w:val="中文报告书样式 Char"/>
    <w:basedOn w:val="1"/>
    <w:autoRedefine/>
    <w:qFormat/>
    <w:uiPriority w:val="0"/>
    <w:pPr>
      <w:spacing w:line="480" w:lineRule="atLeast"/>
      <w:ind w:firstLine="482"/>
      <w:textAlignment w:val="baseline"/>
    </w:pPr>
    <w:rPr>
      <w:bCs/>
      <w:color w:val="000000"/>
      <w:kern w:val="24"/>
      <w:szCs w:val="20"/>
    </w:rPr>
  </w:style>
  <w:style w:type="paragraph" w:customStyle="1" w:styleId="1554">
    <w:name w:val="样式 标题 1 + 宋体 小四 加粗 行距: 固定值 28 磅"/>
    <w:basedOn w:val="5"/>
    <w:autoRedefine/>
    <w:qFormat/>
    <w:uiPriority w:val="0"/>
    <w:pPr>
      <w:keepNext w:val="0"/>
      <w:pageBreakBefore/>
      <w:overflowPunct/>
      <w:snapToGrid/>
      <w:spacing w:before="180" w:after="180" w:line="560" w:lineRule="exact"/>
      <w:ind w:left="0" w:firstLine="0"/>
    </w:pPr>
    <w:rPr>
      <w:rFonts w:eastAsia="宋体-方正超大字符集" w:cs="宋体"/>
      <w:kern w:val="2"/>
      <w:sz w:val="24"/>
      <w:szCs w:val="24"/>
    </w:rPr>
  </w:style>
  <w:style w:type="paragraph" w:customStyle="1" w:styleId="1555">
    <w:name w:val="样式 样式 标题 2 + 宋体 行距: 固定值 30 磅 + 行距: 固定值 28 磅"/>
    <w:basedOn w:val="784"/>
    <w:autoRedefine/>
    <w:qFormat/>
    <w:uiPriority w:val="0"/>
    <w:pPr>
      <w:snapToGrid/>
      <w:spacing w:line="560" w:lineRule="exact"/>
    </w:pPr>
    <w:rPr>
      <w:rFonts w:eastAsia="黑体"/>
      <w:sz w:val="28"/>
    </w:rPr>
  </w:style>
  <w:style w:type="paragraph" w:customStyle="1" w:styleId="1556">
    <w:name w:val="样式 标题 1 + 宋体 小四 加粗 左"/>
    <w:basedOn w:val="5"/>
    <w:autoRedefine/>
    <w:qFormat/>
    <w:uiPriority w:val="0"/>
    <w:pPr>
      <w:keepNext w:val="0"/>
      <w:pageBreakBefore/>
      <w:overflowPunct/>
      <w:snapToGrid/>
      <w:spacing w:before="180" w:after="180" w:line="440" w:lineRule="exact"/>
      <w:ind w:left="0" w:firstLine="0"/>
    </w:pPr>
    <w:rPr>
      <w:rFonts w:eastAsia="宋体-方正超大字符集" w:cs="宋体"/>
      <w:kern w:val="2"/>
      <w:sz w:val="24"/>
      <w:szCs w:val="20"/>
    </w:rPr>
  </w:style>
  <w:style w:type="paragraph" w:customStyle="1" w:styleId="1557">
    <w:name w:val="样式 标题 1 + 非加粗 紧缩量  0.3 磅 行距: 单倍行距"/>
    <w:basedOn w:val="5"/>
    <w:autoRedefine/>
    <w:qFormat/>
    <w:uiPriority w:val="0"/>
    <w:pPr>
      <w:keepNext w:val="0"/>
      <w:pageBreakBefore/>
      <w:overflowPunct/>
      <w:snapToGrid/>
      <w:spacing w:before="180" w:after="180" w:line="440" w:lineRule="exact"/>
      <w:ind w:left="0" w:firstLine="0"/>
    </w:pPr>
    <w:rPr>
      <w:rFonts w:eastAsia="宋体-方正超大字符集" w:cs="宋体"/>
      <w:spacing w:val="-6"/>
      <w:kern w:val="2"/>
      <w:sz w:val="24"/>
      <w:szCs w:val="24"/>
    </w:rPr>
  </w:style>
  <w:style w:type="paragraph" w:customStyle="1" w:styleId="1558">
    <w:name w:val="样式 标题 1 + 非加粗 行距: 固定值 28 磅"/>
    <w:basedOn w:val="5"/>
    <w:autoRedefine/>
    <w:qFormat/>
    <w:uiPriority w:val="0"/>
    <w:pPr>
      <w:keepNext w:val="0"/>
      <w:pageBreakBefore/>
      <w:overflowPunct/>
      <w:snapToGrid/>
      <w:spacing w:before="180" w:after="180" w:line="440" w:lineRule="exact"/>
      <w:ind w:left="0" w:firstLine="0"/>
    </w:pPr>
    <w:rPr>
      <w:rFonts w:eastAsia="宋体-方正超大字符集" w:cs="宋体"/>
      <w:kern w:val="2"/>
      <w:sz w:val="24"/>
      <w:szCs w:val="24"/>
    </w:rPr>
  </w:style>
  <w:style w:type="paragraph" w:customStyle="1" w:styleId="1559">
    <w:name w:val="表题 Char"/>
    <w:basedOn w:val="1"/>
    <w:autoRedefine/>
    <w:qFormat/>
    <w:uiPriority w:val="0"/>
    <w:pPr>
      <w:jc w:val="center"/>
    </w:pPr>
    <w:rPr>
      <w:rFonts w:ascii="黑体" w:hAnsi="宋体" w:eastAsia="黑体"/>
      <w:b/>
      <w:color w:val="000000"/>
      <w:kern w:val="24"/>
    </w:rPr>
  </w:style>
  <w:style w:type="paragraph" w:customStyle="1" w:styleId="1560">
    <w:name w:val="标题样式3"/>
    <w:basedOn w:val="7"/>
    <w:autoRedefine/>
    <w:qFormat/>
    <w:uiPriority w:val="0"/>
    <w:pPr>
      <w:spacing w:before="120" w:after="120" w:line="360" w:lineRule="auto"/>
    </w:pPr>
    <w:rPr>
      <w:rFonts w:ascii="黑体"/>
      <w:bCs w:val="0"/>
      <w:color w:val="0000FF"/>
      <w:kern w:val="24"/>
      <w:sz w:val="24"/>
      <w:szCs w:val="24"/>
    </w:rPr>
  </w:style>
  <w:style w:type="paragraph" w:customStyle="1" w:styleId="1561">
    <w:name w:val="正文样式2"/>
    <w:basedOn w:val="957"/>
    <w:autoRedefine/>
    <w:qFormat/>
    <w:uiPriority w:val="0"/>
    <w:pPr>
      <w:adjustRightInd/>
      <w:snapToGrid/>
      <w:spacing w:line="240" w:lineRule="auto"/>
      <w:ind w:firstLine="420"/>
      <w:textAlignment w:val="auto"/>
    </w:pPr>
    <w:rPr>
      <w:rFonts w:ascii="宋体" w:hAnsi="Courier New" w:cs="Courier New"/>
      <w:kern w:val="0"/>
      <w:szCs w:val="21"/>
    </w:rPr>
  </w:style>
  <w:style w:type="paragraph" w:customStyle="1" w:styleId="1562">
    <w:name w:val="奇页页眉样式"/>
    <w:basedOn w:val="1"/>
    <w:autoRedefine/>
    <w:qFormat/>
    <w:uiPriority w:val="0"/>
    <w:pPr>
      <w:keepLines/>
      <w:tabs>
        <w:tab w:val="center" w:pos="-18551"/>
        <w:tab w:val="right" w:pos="4320"/>
      </w:tabs>
      <w:spacing w:after="480" w:line="240" w:lineRule="atLeast"/>
      <w:jc w:val="center"/>
    </w:pPr>
    <w:rPr>
      <w:rFonts w:ascii="Garamond" w:hAnsi="Garamond" w:cs="Garamond"/>
      <w:bCs/>
      <w:smallCaps/>
      <w:color w:val="000000"/>
      <w:spacing w:val="15"/>
      <w:kern w:val="0"/>
      <w:szCs w:val="21"/>
    </w:rPr>
  </w:style>
  <w:style w:type="paragraph" w:customStyle="1" w:styleId="1563">
    <w:name w:val="s16qcsl240slmult0nowidct"/>
    <w:autoRedefine/>
    <w:qFormat/>
    <w:uiPriority w:val="0"/>
    <w:pPr>
      <w:widowControl w:val="0"/>
      <w:adjustRightInd w:val="0"/>
      <w:textAlignment w:val="baseline"/>
    </w:pPr>
    <w:rPr>
      <w:rFonts w:ascii="Times New Roman" w:hAnsi="Times New Roman" w:eastAsia="宋体" w:cs="Times New Roman"/>
      <w:bCs/>
      <w:color w:val="000000"/>
      <w:sz w:val="21"/>
      <w:szCs w:val="24"/>
      <w:lang w:val="en-US" w:eastAsia="zh-CN" w:bidi="ar-SA"/>
    </w:rPr>
  </w:style>
  <w:style w:type="paragraph" w:customStyle="1" w:styleId="1564">
    <w:name w:val="奉读大示，心折殊深。"/>
    <w:autoRedefine/>
    <w:qFormat/>
    <w:uiPriority w:val="0"/>
    <w:pPr>
      <w:widowControl w:val="0"/>
      <w:jc w:val="both"/>
    </w:pPr>
    <w:rPr>
      <w:rFonts w:ascii="Times New Roman" w:hAnsi="Times New Roman" w:eastAsia="宋体" w:cs="Times New Roman"/>
      <w:bCs/>
      <w:color w:val="000000"/>
      <w:kern w:val="2"/>
      <w:sz w:val="21"/>
      <w:szCs w:val="24"/>
      <w:lang w:val="en-US" w:eastAsia="zh-CN" w:bidi="ar-SA"/>
    </w:rPr>
  </w:style>
  <w:style w:type="paragraph" w:customStyle="1" w:styleId="1565">
    <w:name w:val="标题样式1"/>
    <w:basedOn w:val="30"/>
    <w:autoRedefine/>
    <w:qFormat/>
    <w:uiPriority w:val="0"/>
    <w:pPr>
      <w:widowControl w:val="0"/>
      <w:spacing w:before="0" w:after="0" w:line="0" w:lineRule="atLeast"/>
      <w:ind w:right="0"/>
      <w:jc w:val="center"/>
      <w:textAlignment w:val="baseline"/>
    </w:pPr>
    <w:rPr>
      <w:rFonts w:eastAsia="宋体-方正超大字符集"/>
      <w:b/>
      <w:snapToGrid w:val="0"/>
      <w:color w:val="000000"/>
      <w:sz w:val="24"/>
    </w:rPr>
  </w:style>
  <w:style w:type="paragraph" w:customStyle="1" w:styleId="1566">
    <w:name w:val="注×："/>
    <w:autoRedefine/>
    <w:qFormat/>
    <w:uiPriority w:val="0"/>
    <w:pPr>
      <w:widowControl w:val="0"/>
      <w:tabs>
        <w:tab w:val="left" w:pos="630"/>
      </w:tabs>
      <w:autoSpaceDE w:val="0"/>
      <w:autoSpaceDN w:val="0"/>
      <w:jc w:val="both"/>
    </w:pPr>
    <w:rPr>
      <w:rFonts w:ascii="宋体" w:hAnsi="Times New Roman" w:eastAsia="宋体" w:cs="Times New Roman"/>
      <w:bCs/>
      <w:color w:val="000000"/>
      <w:sz w:val="18"/>
      <w:szCs w:val="24"/>
      <w:lang w:val="en-US" w:eastAsia="zh-CN" w:bidi="ar-SA"/>
    </w:rPr>
  </w:style>
  <w:style w:type="paragraph" w:customStyle="1" w:styleId="1567">
    <w:name w:val="reader-word-layer reader-word-s5-23"/>
    <w:basedOn w:val="1"/>
    <w:autoRedefine/>
    <w:qFormat/>
    <w:uiPriority w:val="0"/>
    <w:pPr>
      <w:spacing w:before="100" w:beforeAutospacing="1" w:after="100" w:afterAutospacing="1"/>
    </w:pPr>
    <w:rPr>
      <w:rFonts w:ascii="宋体" w:hAnsi="宋体" w:cs="宋体"/>
      <w:bCs/>
      <w:color w:val="000000"/>
      <w:kern w:val="0"/>
    </w:rPr>
  </w:style>
  <w:style w:type="paragraph" w:customStyle="1" w:styleId="1568">
    <w:name w:val="样式 左侧:  -0.52 厘米 悬挂缩进: 3.42 字符"/>
    <w:basedOn w:val="1"/>
    <w:autoRedefine/>
    <w:qFormat/>
    <w:uiPriority w:val="0"/>
    <w:pPr>
      <w:spacing w:line="240" w:lineRule="atLeast"/>
      <w:textAlignment w:val="baseline"/>
    </w:pPr>
    <w:rPr>
      <w:bCs/>
      <w:color w:val="000000"/>
      <w:kern w:val="0"/>
      <w:szCs w:val="21"/>
    </w:rPr>
  </w:style>
  <w:style w:type="paragraph" w:customStyle="1" w:styleId="1569">
    <w:name w:val="评价样式1"/>
    <w:basedOn w:val="1"/>
    <w:next w:val="30"/>
    <w:autoRedefine/>
    <w:qFormat/>
    <w:uiPriority w:val="0"/>
    <w:rPr>
      <w:rFonts w:ascii="Times" w:hAnsi="Times"/>
      <w:color w:val="000000"/>
      <w:kern w:val="24"/>
    </w:rPr>
  </w:style>
  <w:style w:type="paragraph" w:customStyle="1" w:styleId="1570">
    <w:name w:val="晓丹"/>
    <w:basedOn w:val="82"/>
    <w:autoRedefine/>
    <w:qFormat/>
    <w:uiPriority w:val="0"/>
    <w:pPr>
      <w:snapToGrid w:val="0"/>
      <w:spacing w:line="360" w:lineRule="auto"/>
      <w:ind w:firstLine="200"/>
    </w:pPr>
    <w:rPr>
      <w:rFonts w:ascii="宋体" w:hAnsi="宋体" w:eastAsia="宋体-方正超大字符集"/>
      <w:spacing w:val="6"/>
    </w:rPr>
  </w:style>
  <w:style w:type="paragraph" w:customStyle="1" w:styleId="1571">
    <w:name w:val="样式 标题 3 + 行距: 1.5 倍行距"/>
    <w:basedOn w:val="7"/>
    <w:autoRedefine/>
    <w:qFormat/>
    <w:uiPriority w:val="0"/>
    <w:pPr>
      <w:spacing w:before="120" w:after="120" w:line="520" w:lineRule="exact"/>
    </w:pPr>
    <w:rPr>
      <w:rFonts w:ascii="Gungsuh" w:hAnsi="Gungsuh" w:cs="宋体"/>
      <w:bCs w:val="0"/>
      <w:color w:val="000000"/>
      <w:kern w:val="24"/>
      <w:sz w:val="24"/>
      <w:szCs w:val="20"/>
    </w:rPr>
  </w:style>
  <w:style w:type="paragraph" w:customStyle="1" w:styleId="1572">
    <w:name w:val="Char1 Char Char Char Char Char Char Char Char Char Char Char Char1"/>
    <w:basedOn w:val="1"/>
    <w:autoRedefine/>
    <w:qFormat/>
    <w:uiPriority w:val="0"/>
    <w:rPr>
      <w:bCs/>
      <w:color w:val="000000"/>
      <w:kern w:val="24"/>
      <w:szCs w:val="20"/>
    </w:rPr>
  </w:style>
  <w:style w:type="paragraph" w:customStyle="1" w:styleId="1573">
    <w:name w:val="Char Char9 Char Char Char Char Char Char Char Char Char1 Char Char Char Char Char Char Char1"/>
    <w:basedOn w:val="7"/>
    <w:autoRedefine/>
    <w:qFormat/>
    <w:uiPriority w:val="0"/>
    <w:pPr>
      <w:tabs>
        <w:tab w:val="left" w:pos="360"/>
        <w:tab w:val="left" w:pos="900"/>
      </w:tabs>
      <w:spacing w:before="120" w:after="120" w:line="360" w:lineRule="auto"/>
      <w:ind w:left="542" w:leftChars="-12" w:firstLine="200"/>
    </w:pPr>
    <w:rPr>
      <w:rFonts w:eastAsia="黑体"/>
      <w:b w:val="0"/>
      <w:snapToGrid w:val="0"/>
      <w:color w:val="000000"/>
      <w:kern w:val="24"/>
      <w:sz w:val="24"/>
      <w:szCs w:val="24"/>
    </w:rPr>
  </w:style>
  <w:style w:type="paragraph" w:customStyle="1" w:styleId="1574">
    <w:name w:val="Char Char1 Char Char1 Char Char1 Char Char1 Char Char Char Char Char Char Char2"/>
    <w:basedOn w:val="1"/>
    <w:autoRedefine/>
    <w:qFormat/>
    <w:uiPriority w:val="0"/>
    <w:rPr>
      <w:bCs/>
      <w:color w:val="000000"/>
      <w:kern w:val="24"/>
      <w:szCs w:val="20"/>
    </w:rPr>
  </w:style>
  <w:style w:type="paragraph" w:customStyle="1" w:styleId="1575">
    <w:name w:val="正文文字缩进A"/>
    <w:basedOn w:val="1"/>
    <w:autoRedefine/>
    <w:qFormat/>
    <w:uiPriority w:val="0"/>
    <w:pPr>
      <w:ind w:firstLine="480"/>
    </w:pPr>
    <w:rPr>
      <w:rFonts w:ascii="黑体" w:hAnsi="黑体" w:eastAsia="黑体"/>
      <w:b/>
      <w:bCs/>
      <w:color w:val="000000"/>
      <w:kern w:val="0"/>
      <w:szCs w:val="20"/>
    </w:rPr>
  </w:style>
  <w:style w:type="paragraph" w:customStyle="1" w:styleId="1576">
    <w:name w:val="表格方案样式2"/>
    <w:basedOn w:val="1"/>
    <w:autoRedefine/>
    <w:qFormat/>
    <w:uiPriority w:val="0"/>
    <w:pPr>
      <w:tabs>
        <w:tab w:val="left" w:pos="567"/>
      </w:tabs>
      <w:jc w:val="center"/>
    </w:pPr>
    <w:rPr>
      <w:rFonts w:eastAsia="华文中宋"/>
      <w:bCs/>
      <w:color w:val="000000"/>
      <w:kern w:val="24"/>
      <w:szCs w:val="20"/>
    </w:rPr>
  </w:style>
  <w:style w:type="paragraph" w:customStyle="1" w:styleId="1577">
    <w:name w:val="图文框"/>
    <w:basedOn w:val="1"/>
    <w:autoRedefine/>
    <w:qFormat/>
    <w:uiPriority w:val="0"/>
    <w:pPr>
      <w:ind w:left="-111" w:leftChars="-53" w:right="-48" w:rightChars="-48"/>
      <w:jc w:val="center"/>
    </w:pPr>
    <w:rPr>
      <w:bCs/>
      <w:snapToGrid w:val="0"/>
      <w:color w:val="000000"/>
      <w:kern w:val="0"/>
      <w:szCs w:val="20"/>
    </w:rPr>
  </w:style>
  <w:style w:type="paragraph" w:customStyle="1" w:styleId="1578">
    <w:name w:val="90v"/>
    <w:basedOn w:val="1"/>
    <w:autoRedefine/>
    <w:qFormat/>
    <w:uiPriority w:val="0"/>
    <w:pPr>
      <w:spacing w:before="100" w:beforeAutospacing="1" w:after="100" w:afterAutospacing="1"/>
    </w:pPr>
    <w:rPr>
      <w:rFonts w:ascii="宋体" w:hAnsi="宋体"/>
      <w:bCs/>
      <w:color w:val="000000"/>
      <w:kern w:val="0"/>
      <w:szCs w:val="20"/>
    </w:rPr>
  </w:style>
  <w:style w:type="paragraph" w:customStyle="1" w:styleId="1579">
    <w:name w:val="表、图名宋旭峰"/>
    <w:basedOn w:val="1"/>
    <w:autoRedefine/>
    <w:qFormat/>
    <w:uiPriority w:val="0"/>
    <w:pPr>
      <w:spacing w:beforeLines="50"/>
      <w:jc w:val="center"/>
    </w:pPr>
    <w:rPr>
      <w:rFonts w:ascii="黑体" w:hAnsi="宋体" w:eastAsia="黑体"/>
      <w:bCs/>
      <w:color w:val="000000"/>
      <w:kern w:val="0"/>
      <w:szCs w:val="20"/>
    </w:rPr>
  </w:style>
  <w:style w:type="paragraph" w:customStyle="1" w:styleId="1580">
    <w:name w:val="表体宋旭峰"/>
    <w:basedOn w:val="1"/>
    <w:autoRedefine/>
    <w:qFormat/>
    <w:uiPriority w:val="0"/>
    <w:pPr>
      <w:overflowPunct w:val="0"/>
      <w:spacing w:line="280" w:lineRule="atLeast"/>
      <w:jc w:val="center"/>
      <w:textAlignment w:val="baseline"/>
    </w:pPr>
    <w:rPr>
      <w:rFonts w:ascii="宋体" w:hAnsi="Courier New"/>
      <w:bCs/>
      <w:snapToGrid w:val="0"/>
      <w:color w:val="000000"/>
      <w:kern w:val="24"/>
      <w:sz w:val="18"/>
      <w:szCs w:val="20"/>
    </w:rPr>
  </w:style>
  <w:style w:type="paragraph" w:customStyle="1" w:styleId="1581">
    <w:name w:val="wg"/>
    <w:basedOn w:val="1"/>
    <w:autoRedefine/>
    <w:qFormat/>
    <w:uiPriority w:val="0"/>
    <w:rPr>
      <w:bCs/>
      <w:color w:val="000000"/>
      <w:kern w:val="24"/>
      <w:sz w:val="28"/>
      <w:szCs w:val="20"/>
    </w:rPr>
  </w:style>
  <w:style w:type="paragraph" w:customStyle="1" w:styleId="1582">
    <w:name w:val="正文文字9"/>
    <w:next w:val="76"/>
    <w:autoRedefine/>
    <w:qFormat/>
    <w:uiPriority w:val="0"/>
    <w:pPr>
      <w:widowControl w:val="0"/>
      <w:autoSpaceDE w:val="0"/>
      <w:autoSpaceDN w:val="0"/>
      <w:spacing w:line="300" w:lineRule="auto"/>
      <w:jc w:val="center"/>
    </w:pPr>
    <w:rPr>
      <w:rFonts w:ascii="Times New Roman" w:hAnsi="Times New Roman" w:eastAsia="宋体" w:cs="Times New Roman"/>
      <w:bCs/>
      <w:color w:val="000000"/>
      <w:kern w:val="2"/>
      <w:sz w:val="24"/>
      <w:szCs w:val="24"/>
      <w:lang w:val="en-US" w:eastAsia="zh-CN" w:bidi="ar-SA"/>
    </w:rPr>
  </w:style>
  <w:style w:type="paragraph" w:customStyle="1" w:styleId="1583">
    <w:name w:val="默认段落字体 Para Char Char Char1 Char"/>
    <w:basedOn w:val="1"/>
    <w:autoRedefine/>
    <w:qFormat/>
    <w:uiPriority w:val="0"/>
    <w:pPr>
      <w:spacing w:line="240" w:lineRule="atLeast"/>
      <w:ind w:left="420"/>
    </w:pPr>
    <w:rPr>
      <w:bCs/>
      <w:color w:val="000000"/>
      <w:kern w:val="0"/>
      <w:szCs w:val="21"/>
    </w:rPr>
  </w:style>
  <w:style w:type="paragraph" w:customStyle="1" w:styleId="1584">
    <w:name w:val="样式 Times New Roman 行距: 固定值 22 磅"/>
    <w:basedOn w:val="1"/>
    <w:autoRedefine/>
    <w:qFormat/>
    <w:uiPriority w:val="0"/>
    <w:pPr>
      <w:spacing w:line="440" w:lineRule="exact"/>
      <w:ind w:firstLine="480"/>
    </w:pPr>
    <w:rPr>
      <w:bCs/>
      <w:color w:val="000000"/>
      <w:kern w:val="0"/>
      <w:szCs w:val="20"/>
    </w:rPr>
  </w:style>
  <w:style w:type="paragraph" w:customStyle="1" w:styleId="1585">
    <w:name w:val="reader-word-layer"/>
    <w:basedOn w:val="1"/>
    <w:autoRedefine/>
    <w:qFormat/>
    <w:uiPriority w:val="0"/>
    <w:pPr>
      <w:spacing w:before="100" w:beforeAutospacing="1" w:after="100" w:afterAutospacing="1"/>
    </w:pPr>
    <w:rPr>
      <w:rFonts w:ascii="宋体" w:hAnsi="宋体" w:cs="宋体"/>
      <w:bCs/>
      <w:color w:val="000000"/>
      <w:kern w:val="0"/>
    </w:rPr>
  </w:style>
  <w:style w:type="paragraph" w:customStyle="1" w:styleId="1586">
    <w:name w:val="reader-word-layer reader-word-s2-15"/>
    <w:basedOn w:val="1"/>
    <w:autoRedefine/>
    <w:qFormat/>
    <w:uiPriority w:val="0"/>
    <w:pPr>
      <w:spacing w:before="100" w:beforeAutospacing="1" w:after="100" w:afterAutospacing="1"/>
    </w:pPr>
    <w:rPr>
      <w:rFonts w:ascii="宋体" w:hAnsi="宋体" w:cs="宋体"/>
      <w:bCs/>
      <w:color w:val="000000"/>
      <w:kern w:val="0"/>
    </w:rPr>
  </w:style>
  <w:style w:type="paragraph" w:customStyle="1" w:styleId="1587">
    <w:name w:val="reader-word-layer reader-word-s2-0"/>
    <w:basedOn w:val="1"/>
    <w:autoRedefine/>
    <w:qFormat/>
    <w:uiPriority w:val="0"/>
    <w:pPr>
      <w:spacing w:before="100" w:beforeAutospacing="1" w:after="100" w:afterAutospacing="1"/>
    </w:pPr>
    <w:rPr>
      <w:rFonts w:ascii="宋体" w:hAnsi="宋体" w:cs="宋体"/>
      <w:bCs/>
      <w:color w:val="000000"/>
      <w:kern w:val="0"/>
    </w:rPr>
  </w:style>
  <w:style w:type="paragraph" w:customStyle="1" w:styleId="1588">
    <w:name w:val="reader-word-layer reader-word-s2-3"/>
    <w:basedOn w:val="1"/>
    <w:autoRedefine/>
    <w:qFormat/>
    <w:uiPriority w:val="0"/>
    <w:pPr>
      <w:spacing w:before="100" w:beforeAutospacing="1" w:after="100" w:afterAutospacing="1"/>
    </w:pPr>
    <w:rPr>
      <w:rFonts w:ascii="宋体" w:hAnsi="宋体" w:cs="宋体"/>
      <w:bCs/>
      <w:color w:val="000000"/>
      <w:kern w:val="0"/>
    </w:rPr>
  </w:style>
  <w:style w:type="paragraph" w:customStyle="1" w:styleId="1589">
    <w:name w:val="reader-word-layer reader-word-s2-7"/>
    <w:basedOn w:val="1"/>
    <w:autoRedefine/>
    <w:qFormat/>
    <w:uiPriority w:val="0"/>
    <w:pPr>
      <w:spacing w:before="100" w:beforeAutospacing="1" w:after="100" w:afterAutospacing="1"/>
    </w:pPr>
    <w:rPr>
      <w:rFonts w:ascii="宋体" w:hAnsi="宋体" w:cs="宋体"/>
      <w:bCs/>
      <w:color w:val="000000"/>
      <w:kern w:val="0"/>
    </w:rPr>
  </w:style>
  <w:style w:type="paragraph" w:customStyle="1" w:styleId="1590">
    <w:name w:val="reader-word-layer reader-word-s2-9"/>
    <w:basedOn w:val="1"/>
    <w:autoRedefine/>
    <w:qFormat/>
    <w:uiPriority w:val="0"/>
    <w:pPr>
      <w:spacing w:before="100" w:beforeAutospacing="1" w:after="100" w:afterAutospacing="1"/>
    </w:pPr>
    <w:rPr>
      <w:rFonts w:ascii="宋体" w:hAnsi="宋体" w:cs="宋体"/>
      <w:bCs/>
      <w:color w:val="000000"/>
      <w:kern w:val="0"/>
    </w:rPr>
  </w:style>
  <w:style w:type="paragraph" w:customStyle="1" w:styleId="1591">
    <w:name w:val="reader-word-layer reader-word-s5-24"/>
    <w:basedOn w:val="1"/>
    <w:autoRedefine/>
    <w:qFormat/>
    <w:uiPriority w:val="0"/>
    <w:pPr>
      <w:spacing w:before="100" w:beforeAutospacing="1" w:after="100" w:afterAutospacing="1"/>
    </w:pPr>
    <w:rPr>
      <w:rFonts w:ascii="宋体" w:hAnsi="宋体" w:cs="宋体"/>
      <w:bCs/>
      <w:color w:val="000000"/>
      <w:kern w:val="0"/>
    </w:rPr>
  </w:style>
  <w:style w:type="paragraph" w:customStyle="1" w:styleId="1592">
    <w:name w:val="蓝森正文"/>
    <w:basedOn w:val="1"/>
    <w:autoRedefine/>
    <w:qFormat/>
    <w:uiPriority w:val="0"/>
    <w:pPr>
      <w:spacing w:line="520" w:lineRule="exact"/>
      <w:ind w:firstLine="200"/>
    </w:pPr>
    <w:rPr>
      <w:bCs/>
      <w:color w:val="000000"/>
      <w:kern w:val="24"/>
    </w:rPr>
  </w:style>
  <w:style w:type="paragraph" w:customStyle="1" w:styleId="1593">
    <w:name w:val="样式 J2级标题 + (西文) Times New Roman 段前: 0.5 行"/>
    <w:basedOn w:val="1"/>
    <w:autoRedefine/>
    <w:qFormat/>
    <w:uiPriority w:val="0"/>
    <w:pPr>
      <w:keepNext/>
      <w:keepLines/>
      <w:spacing w:beforeLines="50"/>
      <w:outlineLvl w:val="1"/>
    </w:pPr>
    <w:rPr>
      <w:rFonts w:cs="宋体"/>
      <w:b/>
      <w:bCs/>
      <w:color w:val="000000"/>
      <w:kern w:val="0"/>
      <w:sz w:val="32"/>
      <w:szCs w:val="20"/>
    </w:rPr>
  </w:style>
  <w:style w:type="paragraph" w:customStyle="1" w:styleId="1594">
    <w:name w:val="样式 宋体 四号"/>
    <w:basedOn w:val="1"/>
    <w:autoRedefine/>
    <w:qFormat/>
    <w:uiPriority w:val="0"/>
    <w:pPr>
      <w:ind w:firstLine="480"/>
    </w:pPr>
    <w:rPr>
      <w:bCs/>
      <w:color w:val="000000"/>
    </w:rPr>
  </w:style>
  <w:style w:type="paragraph" w:customStyle="1" w:styleId="1595">
    <w:name w:val="Char Char1 Char Char Char Char Char Char1"/>
    <w:basedOn w:val="1"/>
    <w:autoRedefine/>
    <w:qFormat/>
    <w:uiPriority w:val="0"/>
    <w:rPr>
      <w:rFonts w:ascii="Batang" w:hAnsi="Batang" w:cs="Batang"/>
      <w:bCs/>
      <w:color w:val="000000"/>
      <w:kern w:val="24"/>
    </w:rPr>
  </w:style>
  <w:style w:type="paragraph" w:customStyle="1" w:styleId="1596">
    <w:name w:val="Char1 Char Char1"/>
    <w:basedOn w:val="1"/>
    <w:autoRedefine/>
    <w:qFormat/>
    <w:uiPriority w:val="0"/>
    <w:rPr>
      <w:rFonts w:ascii="Batang" w:hAnsi="Batang" w:cs="Batang"/>
      <w:bCs/>
      <w:color w:val="000000"/>
      <w:kern w:val="24"/>
    </w:rPr>
  </w:style>
  <w:style w:type="paragraph" w:customStyle="1" w:styleId="1597">
    <w:name w:val="Char Char Char Char Char Char Char Char Char Char Char1 Char Char Char Char Char Char Char1"/>
    <w:basedOn w:val="1"/>
    <w:autoRedefine/>
    <w:qFormat/>
    <w:uiPriority w:val="0"/>
    <w:rPr>
      <w:rFonts w:ascii="Batang" w:hAnsi="Batang" w:cs="Batang"/>
      <w:bCs/>
      <w:color w:val="000000"/>
      <w:kern w:val="24"/>
    </w:rPr>
  </w:style>
  <w:style w:type="paragraph" w:customStyle="1" w:styleId="1598">
    <w:name w:val="Char Char Char Char Char Char Char Char Char Char Char2"/>
    <w:basedOn w:val="1"/>
    <w:autoRedefine/>
    <w:qFormat/>
    <w:uiPriority w:val="0"/>
    <w:rPr>
      <w:rFonts w:ascii="Batang" w:hAnsi="Batang" w:cs="Batang"/>
      <w:bCs/>
      <w:color w:val="000000"/>
      <w:kern w:val="24"/>
    </w:rPr>
  </w:style>
  <w:style w:type="paragraph" w:customStyle="1" w:styleId="1599">
    <w:name w:val="Char Char Char Char Char Char Char Char Char Char Char11"/>
    <w:basedOn w:val="1"/>
    <w:autoRedefine/>
    <w:qFormat/>
    <w:uiPriority w:val="0"/>
    <w:rPr>
      <w:rFonts w:ascii="Batang" w:hAnsi="Batang" w:cs="Batang"/>
      <w:bCs/>
      <w:color w:val="000000"/>
      <w:kern w:val="24"/>
    </w:rPr>
  </w:style>
  <w:style w:type="paragraph" w:customStyle="1" w:styleId="1600">
    <w:name w:val="Char Char Char Char Char Char Char Char Char Char Char Char Char Char Char1"/>
    <w:basedOn w:val="1"/>
    <w:autoRedefine/>
    <w:qFormat/>
    <w:uiPriority w:val="0"/>
    <w:rPr>
      <w:rFonts w:ascii="Batang" w:hAnsi="Batang" w:cs="Batang"/>
      <w:bCs/>
      <w:color w:val="000000"/>
      <w:kern w:val="24"/>
    </w:rPr>
  </w:style>
  <w:style w:type="paragraph" w:customStyle="1" w:styleId="1601">
    <w:name w:val="Char Char Char Char Char Char Char Char Char Char Char Char Char Char Char Char Char1"/>
    <w:basedOn w:val="1"/>
    <w:autoRedefine/>
    <w:qFormat/>
    <w:uiPriority w:val="0"/>
    <w:rPr>
      <w:rFonts w:ascii="Batang" w:hAnsi="Batang" w:cs="Batang"/>
      <w:bCs/>
      <w:color w:val="000000"/>
      <w:kern w:val="24"/>
    </w:rPr>
  </w:style>
  <w:style w:type="paragraph" w:customStyle="1" w:styleId="1602">
    <w:name w:val="Char Char Char Char Char Char Char Char Char Char Char1 Char Char Char Char1"/>
    <w:basedOn w:val="1"/>
    <w:autoRedefine/>
    <w:qFormat/>
    <w:uiPriority w:val="0"/>
    <w:rPr>
      <w:rFonts w:ascii="Batang" w:hAnsi="Batang" w:cs="Batang"/>
      <w:bCs/>
      <w:color w:val="000000"/>
      <w:kern w:val="24"/>
    </w:rPr>
  </w:style>
  <w:style w:type="paragraph" w:customStyle="1" w:styleId="1603">
    <w:name w:val="Char12 Char Char Char1"/>
    <w:basedOn w:val="1"/>
    <w:autoRedefine/>
    <w:qFormat/>
    <w:uiPriority w:val="0"/>
    <w:pPr>
      <w:spacing w:after="160" w:line="240" w:lineRule="exact"/>
    </w:pPr>
    <w:rPr>
      <w:rFonts w:ascii="ˎ̥" w:hAnsi="ˎ̥" w:eastAsia="Batang" w:cs="Wingdings"/>
      <w:b/>
      <w:bCs/>
      <w:color w:val="000000"/>
      <w:kern w:val="0"/>
      <w:lang w:eastAsia="en-US"/>
    </w:rPr>
  </w:style>
  <w:style w:type="paragraph" w:customStyle="1" w:styleId="1604">
    <w:name w:val="Char Char Char Char Char2 Char Char Char Char1"/>
    <w:basedOn w:val="1"/>
    <w:autoRedefine/>
    <w:semiHidden/>
    <w:qFormat/>
    <w:uiPriority w:val="0"/>
    <w:pPr>
      <w:ind w:firstLine="200"/>
    </w:pPr>
    <w:rPr>
      <w:rFonts w:ascii="宋体" w:hAnsi="宋体" w:cs="宋体"/>
      <w:bCs/>
      <w:color w:val="000000"/>
      <w:kern w:val="24"/>
      <w:szCs w:val="26"/>
    </w:rPr>
  </w:style>
  <w:style w:type="paragraph" w:customStyle="1" w:styleId="1605">
    <w:name w:val="Char Char1 Char Char Char Char Char Char Char Char Char Char Char Char Char Char Char Char Char Char Char Char1 Char1"/>
    <w:basedOn w:val="1"/>
    <w:autoRedefine/>
    <w:qFormat/>
    <w:uiPriority w:val="0"/>
    <w:pPr>
      <w:ind w:firstLine="200"/>
    </w:pPr>
    <w:rPr>
      <w:bCs/>
      <w:color w:val="000000"/>
      <w:kern w:val="24"/>
      <w:szCs w:val="20"/>
    </w:rPr>
  </w:style>
  <w:style w:type="paragraph" w:customStyle="1" w:styleId="1606">
    <w:name w:val="Char Char Char Char Char Char Char Char Char1 Char1"/>
    <w:basedOn w:val="1"/>
    <w:autoRedefine/>
    <w:qFormat/>
    <w:uiPriority w:val="0"/>
    <w:pPr>
      <w:ind w:firstLine="200"/>
    </w:pPr>
    <w:rPr>
      <w:rFonts w:ascii="宋体" w:hAnsi="宋体" w:cs="宋体"/>
      <w:bCs/>
      <w:color w:val="000000"/>
      <w:kern w:val="24"/>
    </w:rPr>
  </w:style>
  <w:style w:type="paragraph" w:customStyle="1" w:styleId="1607">
    <w:name w:val="Table Paragraph"/>
    <w:basedOn w:val="1"/>
    <w:autoRedefine/>
    <w:qFormat/>
    <w:uiPriority w:val="0"/>
    <w:rPr>
      <w:bCs/>
      <w:kern w:val="0"/>
    </w:rPr>
  </w:style>
  <w:style w:type="paragraph" w:customStyle="1" w:styleId="1608">
    <w:name w:val="Char Char Char Char1 Char Char Char Char Char Char Char Char Char"/>
    <w:basedOn w:val="1"/>
    <w:autoRedefine/>
    <w:qFormat/>
    <w:uiPriority w:val="0"/>
  </w:style>
  <w:style w:type="paragraph" w:customStyle="1" w:styleId="1609">
    <w:name w:val="Char4"/>
    <w:basedOn w:val="1"/>
    <w:autoRedefine/>
    <w:qFormat/>
    <w:uiPriority w:val="0"/>
    <w:pPr>
      <w:ind w:firstLine="200"/>
    </w:pPr>
    <w:rPr>
      <w:rFonts w:ascii="宋体" w:hAnsi="宋体" w:cs="宋体"/>
    </w:rPr>
  </w:style>
  <w:style w:type="paragraph" w:customStyle="1" w:styleId="1610">
    <w:name w:val="Char13"/>
    <w:basedOn w:val="1"/>
    <w:autoRedefine/>
    <w:qFormat/>
    <w:uiPriority w:val="0"/>
  </w:style>
  <w:style w:type="paragraph" w:customStyle="1" w:styleId="1611">
    <w:name w:val="【表格】1"/>
    <w:next w:val="82"/>
    <w:autoRedefine/>
    <w:qFormat/>
    <w:uiPriority w:val="0"/>
    <w:pPr>
      <w:spacing w:line="0" w:lineRule="atLeast"/>
      <w:jc w:val="center"/>
    </w:pPr>
    <w:rPr>
      <w:rFonts w:ascii="Times New Roman" w:hAnsi="Times New Roman" w:eastAsia="宋体" w:cs="Times New Roman"/>
      <w:sz w:val="21"/>
      <w:szCs w:val="24"/>
      <w:lang w:val="en-US" w:eastAsia="zh-CN" w:bidi="ar-SA"/>
    </w:rPr>
  </w:style>
  <w:style w:type="paragraph" w:customStyle="1" w:styleId="1612">
    <w:name w:val="表标题的"/>
    <w:basedOn w:val="1"/>
    <w:autoRedefine/>
    <w:qFormat/>
    <w:uiPriority w:val="0"/>
    <w:pPr>
      <w:spacing w:line="480" w:lineRule="exact"/>
      <w:ind w:firstLine="200"/>
      <w:jc w:val="center"/>
    </w:pPr>
    <w:rPr>
      <w:b/>
      <w:bCs/>
      <w:color w:val="000000"/>
      <w:kern w:val="24"/>
      <w:lang w:val="zh-CN"/>
    </w:rPr>
  </w:style>
  <w:style w:type="paragraph" w:customStyle="1" w:styleId="1613">
    <w:name w:val="标题四"/>
    <w:basedOn w:val="1614"/>
    <w:autoRedefine/>
    <w:qFormat/>
    <w:uiPriority w:val="0"/>
    <w:pPr>
      <w:numPr>
        <w:ilvl w:val="2"/>
        <w:numId w:val="1"/>
      </w:numPr>
      <w:tabs>
        <w:tab w:val="left" w:pos="0"/>
        <w:tab w:val="left" w:pos="360"/>
      </w:tabs>
      <w:outlineLvl w:val="3"/>
    </w:pPr>
    <w:rPr>
      <w:color w:val="auto"/>
    </w:rPr>
  </w:style>
  <w:style w:type="paragraph" w:customStyle="1" w:styleId="1614">
    <w:name w:val="样式 样式11 + 黑色"/>
    <w:basedOn w:val="1"/>
    <w:autoRedefine/>
    <w:qFormat/>
    <w:uiPriority w:val="0"/>
    <w:pPr>
      <w:tabs>
        <w:tab w:val="left" w:pos="360"/>
      </w:tabs>
      <w:spacing w:line="480" w:lineRule="exact"/>
      <w:ind w:hanging="432"/>
    </w:pPr>
    <w:rPr>
      <w:bCs/>
      <w:color w:val="000000"/>
      <w:kern w:val="24"/>
    </w:rPr>
  </w:style>
  <w:style w:type="paragraph" w:customStyle="1" w:styleId="1615">
    <w:name w:val="样式 样式18 + 黑色"/>
    <w:basedOn w:val="1"/>
    <w:autoRedefine/>
    <w:qFormat/>
    <w:uiPriority w:val="0"/>
    <w:pPr>
      <w:keepNext/>
      <w:keepLines/>
      <w:tabs>
        <w:tab w:val="left" w:pos="420"/>
        <w:tab w:val="left" w:pos="1800"/>
      </w:tabs>
      <w:spacing w:line="480" w:lineRule="exact"/>
      <w:ind w:left="420" w:hanging="420"/>
      <w:outlineLvl w:val="3"/>
    </w:pPr>
    <w:rPr>
      <w:rFonts w:hAnsi="宋体"/>
      <w:bCs/>
      <w:color w:val="000000"/>
      <w:kern w:val="24"/>
    </w:rPr>
  </w:style>
  <w:style w:type="paragraph" w:customStyle="1" w:styleId="1616">
    <w:name w:val="四级目录"/>
    <w:basedOn w:val="115"/>
    <w:autoRedefine/>
    <w:qFormat/>
    <w:uiPriority w:val="0"/>
    <w:pPr>
      <w:keepNext w:val="0"/>
      <w:keepLines w:val="0"/>
      <w:spacing w:line="480" w:lineRule="exact"/>
    </w:pPr>
    <w:rPr>
      <w:rFonts w:ascii="Times New Roman" w:hAnsi="Times New Roman" w:eastAsia="宋体" w:cs="Times New Roman"/>
      <w:b/>
      <w:bCs/>
      <w:color w:val="000000"/>
      <w:szCs w:val="24"/>
    </w:rPr>
  </w:style>
  <w:style w:type="table" w:customStyle="1" w:styleId="1617">
    <w:name w:val="斜头6"/>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18">
    <w:name w:val="表格样式15"/>
    <w:basedOn w:val="85"/>
    <w:autoRedefine/>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1619">
    <w:name w:val="网格型模版15"/>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0">
    <w:name w:val="网格型模版11"/>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1">
    <w:name w:val="报告表格式"/>
    <w:basedOn w:val="85"/>
    <w:autoRedefine/>
    <w:qFormat/>
    <w:uiPriority w:val="0"/>
    <w:pPr>
      <w:widowControl w:val="0"/>
      <w:spacing w:line="360" w:lineRule="exact"/>
      <w:jc w:val="center"/>
    </w:pPr>
    <w:rPr>
      <w:rFonts w:ascii="Batang" w:hAnsi="Batang" w:cs="Batang"/>
      <w:sz w:val="21"/>
    </w:rPr>
    <w:tblPr>
      <w:jc w:val="center"/>
      <w:tblBorders>
        <w:top w:val="single" w:color="auto" w:sz="6" w:space="0"/>
        <w:bottom w:val="single" w:color="auto" w:sz="6" w:space="0"/>
        <w:insideH w:val="single" w:color="auto" w:sz="6" w:space="0"/>
        <w:insideV w:val="single" w:color="auto" w:sz="6" w:space="0"/>
      </w:tblBorders>
    </w:tblPr>
    <w:trPr>
      <w:jc w:val="center"/>
    </w:trPr>
    <w:tcPr>
      <w:vAlign w:val="center"/>
    </w:tcPr>
  </w:style>
  <w:style w:type="table" w:customStyle="1" w:styleId="1622">
    <w:name w:val="古典型 11"/>
    <w:basedOn w:val="84"/>
    <w:autoRedefine/>
    <w:qFormat/>
    <w:uiPriority w:val="0"/>
    <w:pPr>
      <w:widowControl w:val="0"/>
      <w:jc w:val="both"/>
    </w:pPr>
    <w:rPr>
      <w:rFonts w:ascii="Batang" w:hAnsi="Batang" w:cs="Batang"/>
    </w:rPr>
    <w:tblPr>
      <w:tblBorders>
        <w:top w:val="single" w:color="000000" w:sz="12" w:space="0"/>
        <w:bottom w:val="single" w:color="000000" w:sz="12" w:space="0"/>
      </w:tblBorders>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1623">
    <w:name w:val="网格型模版36"/>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4">
    <w:name w:val="网格型模版32"/>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5">
    <w:name w:val="斜头41"/>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6">
    <w:name w:val="网格型模版8"/>
    <w:basedOn w:val="84"/>
    <w:autoRedefine/>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7">
    <w:name w:val="斜头1111"/>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8">
    <w:name w:val="表格样式113"/>
    <w:basedOn w:val="85"/>
    <w:autoRedefine/>
    <w:qFormat/>
    <w:uiPriority w:val="0"/>
    <w:pPr>
      <w:widowControl w:val="0"/>
      <w:spacing w:line="360" w:lineRule="exact"/>
      <w:jc w:val="both"/>
    </w:pPr>
    <w:rPr>
      <w:rFonts w:ascii="Batang" w:hAnsi="Batang" w:cs="Batang"/>
    </w:rPr>
  </w:style>
  <w:style w:type="table" w:customStyle="1" w:styleId="1629">
    <w:name w:val="表格样式18"/>
    <w:basedOn w:val="85"/>
    <w:autoRedefine/>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30">
    <w:name w:val="网格型模版35"/>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1">
    <w:name w:val="网格型14"/>
    <w:basedOn w:val="84"/>
    <w:autoRedefine/>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2">
    <w:name w:val="网格型模版14"/>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3">
    <w:name w:val="网格型4"/>
    <w:basedOn w:val="8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4">
    <w:name w:val="表格样式12"/>
    <w:basedOn w:val="85"/>
    <w:autoRedefine/>
    <w:qFormat/>
    <w:uiPriority w:val="0"/>
    <w:pPr>
      <w:widowControl w:val="0"/>
      <w:spacing w:line="360" w:lineRule="exact"/>
      <w:jc w:val="both"/>
    </w:pPr>
    <w:rPr>
      <w:sz w:val="21"/>
      <w:szCs w:val="21"/>
    </w:rPr>
  </w:style>
  <w:style w:type="table" w:customStyle="1" w:styleId="1635">
    <w:name w:val="网格型 51"/>
    <w:basedOn w:val="84"/>
    <w:autoRedefine/>
    <w:qFormat/>
    <w:uiPriority w:val="0"/>
    <w:pPr>
      <w:widowControl w:val="0"/>
      <w:spacing w:line="480" w:lineRule="exact"/>
      <w:ind w:firstLine="200" w:firstLineChars="200"/>
      <w:jc w:val="both"/>
    </w:pPr>
    <w:rPr>
      <w:rFonts w:ascii="Batang" w:hAnsi="Batang" w:cs="Batang"/>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6">
    <w:name w:val="斜头15"/>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7">
    <w:name w:val="网格型2"/>
    <w:basedOn w:val="84"/>
    <w:autoRedefine/>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8">
    <w:name w:val="斜头4"/>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9">
    <w:name w:val="网格型模版25"/>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0">
    <w:name w:val="网格型模版12"/>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1">
    <w:name w:val="网格型模版5"/>
    <w:basedOn w:val="84"/>
    <w:autoRedefine/>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2">
    <w:name w:val="网格型模版34"/>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3">
    <w:name w:val="斜头3"/>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4">
    <w:name w:val="网格型1"/>
    <w:basedOn w:val="84"/>
    <w:autoRedefine/>
    <w:semiHidden/>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5">
    <w:name w:val="网格型模版26"/>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6">
    <w:name w:val="表格样式111"/>
    <w:basedOn w:val="85"/>
    <w:autoRedefine/>
    <w:qFormat/>
    <w:uiPriority w:val="0"/>
    <w:pPr>
      <w:widowControl w:val="0"/>
      <w:spacing w:line="360" w:lineRule="exact"/>
      <w:jc w:val="both"/>
    </w:pPr>
    <w:rPr>
      <w:sz w:val="21"/>
      <w:szCs w:val="21"/>
    </w:rPr>
  </w:style>
  <w:style w:type="table" w:customStyle="1" w:styleId="1647">
    <w:name w:val="斜头51"/>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8">
    <w:name w:val="表格样式141"/>
    <w:basedOn w:val="85"/>
    <w:autoRedefine/>
    <w:qFormat/>
    <w:uiPriority w:val="0"/>
    <w:pPr>
      <w:widowControl w:val="0"/>
      <w:spacing w:line="360" w:lineRule="exact"/>
      <w:jc w:val="both"/>
    </w:pPr>
    <w:rPr>
      <w:sz w:val="21"/>
      <w:szCs w:val="21"/>
    </w:rPr>
  </w:style>
  <w:style w:type="table" w:customStyle="1" w:styleId="1649">
    <w:name w:val="周1"/>
    <w:basedOn w:val="85"/>
    <w:autoRedefine/>
    <w:qFormat/>
    <w:uiPriority w:val="0"/>
    <w:pPr>
      <w:widowControl w:val="0"/>
      <w:spacing w:line="360" w:lineRule="exact"/>
      <w:jc w:val="both"/>
    </w:pPr>
    <w:rPr>
      <w:rFonts w:eastAsia="Times New Roman"/>
      <w:sz w:val="21"/>
    </w:rPr>
  </w:style>
  <w:style w:type="table" w:customStyle="1" w:styleId="1650">
    <w:name w:val="网格型模版22"/>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1">
    <w:name w:val="zhou自定义"/>
    <w:basedOn w:val="85"/>
    <w:autoRedefine/>
    <w:qFormat/>
    <w:uiPriority w:val="0"/>
    <w:pPr>
      <w:widowControl w:val="0"/>
      <w:spacing w:line="360" w:lineRule="exact"/>
      <w:jc w:val="center"/>
    </w:pPr>
    <w:rPr>
      <w:rFonts w:eastAsia="Times New Roman"/>
      <w:sz w:val="21"/>
    </w:rPr>
  </w:style>
  <w:style w:type="table" w:customStyle="1" w:styleId="1652">
    <w:name w:val="普通表格1"/>
    <w:autoRedefine/>
    <w:semiHidden/>
    <w:qFormat/>
    <w:uiPriority w:val="0"/>
    <w:rPr>
      <w:rFonts w:ascii="ˎ̥" w:hAnsi="ˎ̥" w:eastAsia="ˎ̥" w:cs="ˎ̥"/>
      <w:bCs/>
      <w:color w:val="000000"/>
      <w:sz w:val="24"/>
      <w:szCs w:val="24"/>
    </w:rPr>
    <w:tblPr>
      <w:tblCellMar>
        <w:top w:w="0" w:type="dxa"/>
        <w:left w:w="108" w:type="dxa"/>
        <w:bottom w:w="0" w:type="dxa"/>
        <w:right w:w="108" w:type="dxa"/>
      </w:tblCellMar>
    </w:tblPr>
  </w:style>
  <w:style w:type="table" w:customStyle="1" w:styleId="1653">
    <w:name w:val="斜头31"/>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4">
    <w:name w:val="网格型模版33"/>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5">
    <w:name w:val="表格样式14"/>
    <w:basedOn w:val="85"/>
    <w:autoRedefine/>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1656">
    <w:name w:val="斜头131"/>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7">
    <w:name w:val="网格型11"/>
    <w:basedOn w:val="8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8">
    <w:name w:val="斜头112"/>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9">
    <w:name w:val="斜头11"/>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60">
    <w:name w:val="网格型15"/>
    <w:basedOn w:val="84"/>
    <w:autoRedefine/>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1">
    <w:name w:val="网格型模版51"/>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2">
    <w:name w:val="网格型模版4"/>
    <w:basedOn w:val="84"/>
    <w:autoRedefine/>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3">
    <w:name w:val="网格型13"/>
    <w:basedOn w:val="84"/>
    <w:autoRedefine/>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4">
    <w:name w:val="网格型模版7"/>
    <w:basedOn w:val="84"/>
    <w:autoRedefine/>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5">
    <w:name w:val="网格型21"/>
    <w:basedOn w:val="84"/>
    <w:autoRedefine/>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6">
    <w:name w:val="表格样式13"/>
    <w:basedOn w:val="85"/>
    <w:autoRedefine/>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67">
    <w:name w:val="网格型模版24"/>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8">
    <w:name w:val="斜头141"/>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69">
    <w:name w:val="毛的表格"/>
    <w:basedOn w:val="84"/>
    <w:autoRedefine/>
    <w:qFormat/>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
    <w:tcPr>
      <w:vAlign w:val="center"/>
    </w:tcPr>
  </w:style>
  <w:style w:type="table" w:customStyle="1" w:styleId="1670">
    <w:name w:val="网格型模版1"/>
    <w:basedOn w:val="84"/>
    <w:autoRedefine/>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1">
    <w:name w:val="表格主题1"/>
    <w:basedOn w:val="8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2">
    <w:name w:val="斜头1"/>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3">
    <w:name w:val="表格样式1"/>
    <w:basedOn w:val="85"/>
    <w:autoRedefine/>
    <w:qFormat/>
    <w:uiPriority w:val="0"/>
    <w:pPr>
      <w:widowControl w:val="0"/>
      <w:jc w:val="both"/>
    </w:pPr>
  </w:style>
  <w:style w:type="table" w:customStyle="1" w:styleId="1674">
    <w:name w:val="斜头111"/>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5">
    <w:name w:val="斜头13"/>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6">
    <w:name w:val="斜头14"/>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7">
    <w:name w:val="表格样式11"/>
    <w:basedOn w:val="85"/>
    <w:autoRedefine/>
    <w:qFormat/>
    <w:uiPriority w:val="0"/>
    <w:pPr>
      <w:widowControl w:val="0"/>
      <w:spacing w:line="360" w:lineRule="exact"/>
      <w:jc w:val="both"/>
    </w:pPr>
  </w:style>
  <w:style w:type="table" w:customStyle="1" w:styleId="1678">
    <w:name w:val="网格型模版3"/>
    <w:basedOn w:val="8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9">
    <w:name w:val="网格型模版2"/>
    <w:basedOn w:val="84"/>
    <w:autoRedefine/>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0">
    <w:name w:val="网格型5"/>
    <w:basedOn w:val="8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1">
    <w:name w:val="表格主题2"/>
    <w:basedOn w:val="8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2">
    <w:name w:val="斜头2"/>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3">
    <w:name w:val="斜头"/>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4">
    <w:name w:val="斜头21"/>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5">
    <w:name w:val="表格样式112"/>
    <w:basedOn w:val="85"/>
    <w:autoRedefine/>
    <w:qFormat/>
    <w:uiPriority w:val="0"/>
    <w:pPr>
      <w:widowControl w:val="0"/>
      <w:spacing w:line="360" w:lineRule="exact"/>
      <w:jc w:val="both"/>
    </w:pPr>
    <w:rPr>
      <w:sz w:val="21"/>
      <w:szCs w:val="21"/>
    </w:rPr>
  </w:style>
  <w:style w:type="table" w:customStyle="1" w:styleId="1686">
    <w:name w:val="表格样式16"/>
    <w:basedOn w:val="85"/>
    <w:autoRedefine/>
    <w:qFormat/>
    <w:uiPriority w:val="0"/>
    <w:pPr>
      <w:widowControl w:val="0"/>
      <w:spacing w:line="360" w:lineRule="exact"/>
      <w:jc w:val="both"/>
    </w:pPr>
    <w:rPr>
      <w:rFonts w:ascii="Batang" w:hAnsi="Batang" w:cs="Batang"/>
    </w:rPr>
    <w:tblPr>
      <w:tblBorders>
        <w:top w:val="single" w:color="auto" w:sz="12" w:space="0"/>
        <w:left w:val="single" w:color="auto" w:sz="12" w:space="0"/>
        <w:bottom w:val="single" w:color="auto" w:sz="12" w:space="0"/>
        <w:right w:val="single" w:color="auto" w:sz="12" w:space="0"/>
      </w:tblBorders>
    </w:tblPr>
  </w:style>
  <w:style w:type="table" w:customStyle="1" w:styleId="1687">
    <w:name w:val="表格样式17"/>
    <w:basedOn w:val="85"/>
    <w:autoRedefine/>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88">
    <w:name w:val="网格型模版23"/>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9">
    <w:name w:val="报告书样式"/>
    <w:basedOn w:val="85"/>
    <w:autoRedefine/>
    <w:qFormat/>
    <w:uiPriority w:val="0"/>
    <w:pPr>
      <w:widowControl w:val="0"/>
      <w:spacing w:line="360" w:lineRule="auto"/>
      <w:jc w:val="center"/>
    </w:pPr>
    <w:rPr>
      <w:sz w:val="21"/>
    </w:rPr>
    <w:tblPr>
      <w:tblBorders>
        <w:top w:val="single" w:color="auto" w:sz="12" w:space="0"/>
        <w:left w:val="single" w:color="auto" w:sz="12" w:space="0"/>
        <w:bottom w:val="single" w:color="auto" w:sz="12" w:space="0"/>
        <w:right w:val="single" w:color="auto" w:sz="12" w:space="0"/>
      </w:tblBorders>
    </w:tblPr>
    <w:tcPr>
      <w:vAlign w:val="center"/>
    </w:tcPr>
  </w:style>
  <w:style w:type="table" w:customStyle="1" w:styleId="1690">
    <w:name w:val="网格型模版21"/>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1">
    <w:name w:val="网格型3"/>
    <w:basedOn w:val="8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2">
    <w:name w:val="斜头12"/>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3">
    <w:name w:val="斜头5"/>
    <w:basedOn w:val="97"/>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4">
    <w:name w:val="网格型模版31"/>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5">
    <w:name w:val="网格型模版6"/>
    <w:basedOn w:val="84"/>
    <w:autoRedefine/>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6">
    <w:name w:val="网格型模版13"/>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7">
    <w:name w:val="网格型12"/>
    <w:basedOn w:val="84"/>
    <w:autoRedefine/>
    <w:semiHidden/>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8">
    <w:name w:val="斜头22"/>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9">
    <w:name w:val="斜头121"/>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700">
    <w:name w:val="斜头211"/>
    <w:basedOn w:val="97"/>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701">
    <w:name w:val="表格样式19"/>
    <w:basedOn w:val="85"/>
    <w:autoRedefine/>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702">
    <w:name w:val="网格型模版27"/>
    <w:basedOn w:val="84"/>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703">
    <w:name w:val="网格型模版211"/>
    <w:basedOn w:val="84"/>
    <w:autoRedefine/>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704">
    <w:name w:val="典雅型1"/>
    <w:basedOn w:val="84"/>
    <w:autoRedefine/>
    <w:qFormat/>
    <w:uiPriority w:val="0"/>
    <w:pPr>
      <w:widowControl w:val="0"/>
      <w:spacing w:line="480" w:lineRule="exact"/>
      <w:ind w:firstLine="200" w:firstLineChars="20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1705">
    <w:name w:val="表格样式777"/>
    <w:basedOn w:val="85"/>
    <w:autoRedefine/>
    <w:qFormat/>
    <w:uiPriority w:val="0"/>
    <w:pPr>
      <w:widowControl w:val="0"/>
      <w:jc w:val="both"/>
    </w:pPr>
    <w:rPr>
      <w:rFonts w:ascii="华文行楷" w:hAnsi="华文行楷" w:cs="Batang"/>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
  </w:style>
  <w:style w:type="paragraph" w:customStyle="1" w:styleId="1706">
    <w:name w:val="...表格内容"/>
    <w:basedOn w:val="1"/>
    <w:next w:val="1"/>
    <w:autoRedefine/>
    <w:qFormat/>
    <w:uiPriority w:val="0"/>
    <w:pPr>
      <w:spacing w:line="240" w:lineRule="atLeast"/>
      <w:ind w:firstLine="0" w:firstLineChars="0"/>
      <w:jc w:val="center"/>
    </w:pPr>
    <w:rPr>
      <w:szCs w:val="21"/>
    </w:rPr>
  </w:style>
  <w:style w:type="paragraph" w:customStyle="1" w:styleId="1707">
    <w:name w:val="！正文"/>
    <w:basedOn w:val="1"/>
    <w:autoRedefine/>
    <w:qFormat/>
    <w:uiPriority w:val="0"/>
    <w:pPr>
      <w:spacing w:line="500" w:lineRule="exact"/>
      <w:ind w:firstLine="480"/>
      <w:jc w:val="both"/>
    </w:pPr>
  </w:style>
  <w:style w:type="character" w:customStyle="1" w:styleId="1708">
    <w:name w:val="表格 Char1"/>
    <w:basedOn w:val="100"/>
    <w:link w:val="1709"/>
    <w:autoRedefine/>
    <w:qFormat/>
    <w:uiPriority w:val="0"/>
    <w:rPr>
      <w:kern w:val="2"/>
      <w:sz w:val="21"/>
      <w:szCs w:val="21"/>
    </w:rPr>
  </w:style>
  <w:style w:type="paragraph" w:customStyle="1" w:styleId="1709">
    <w:name w:val="表格3"/>
    <w:basedOn w:val="2"/>
    <w:next w:val="1"/>
    <w:link w:val="1708"/>
    <w:autoRedefine/>
    <w:qFormat/>
    <w:uiPriority w:val="0"/>
    <w:pPr>
      <w:spacing w:line="360" w:lineRule="exact"/>
      <w:ind w:firstLine="0" w:firstLineChars="0"/>
      <w:jc w:val="center"/>
    </w:pPr>
  </w:style>
  <w:style w:type="paragraph" w:customStyle="1" w:styleId="1710">
    <w:name w:val="样式 正文文本正文文字body textbt + 首行缩进:  2 字符1"/>
    <w:basedOn w:val="1"/>
    <w:autoRedefine/>
    <w:qFormat/>
    <w:uiPriority w:val="0"/>
    <w:pPr>
      <w:ind w:firstLine="482"/>
      <w:jc w:val="both"/>
    </w:pPr>
    <w:rPr>
      <w:color w:val="FF0000"/>
    </w:rPr>
  </w:style>
  <w:style w:type="character" w:customStyle="1" w:styleId="1711">
    <w:name w:val="blue-bold"/>
    <w:basedOn w:val="100"/>
    <w:autoRedefine/>
    <w:qFormat/>
    <w:uiPriority w:val="0"/>
    <w:rPr>
      <w:b/>
      <w:bCs/>
      <w:color w:val="0177D1"/>
    </w:rPr>
  </w:style>
  <w:style w:type="paragraph" w:customStyle="1" w:styleId="1712">
    <w:name w:val="样式 正文文本 + 首行缩进:  2 字符"/>
    <w:basedOn w:val="30"/>
    <w:autoRedefine/>
    <w:qFormat/>
    <w:uiPriority w:val="99"/>
    <w:pPr>
      <w:spacing w:after="200" w:line="480" w:lineRule="exact"/>
      <w:ind w:firstLine="480"/>
    </w:pPr>
    <w:rPr>
      <w:rFonts w:ascii="宋体" w:hAnsi="宋体"/>
      <w:sz w:val="24"/>
    </w:rPr>
  </w:style>
  <w:style w:type="character" w:customStyle="1" w:styleId="1713">
    <w:name w:val="font71"/>
    <w:basedOn w:val="100"/>
    <w:autoRedefine/>
    <w:qFormat/>
    <w:uiPriority w:val="0"/>
    <w:rPr>
      <w:rFonts w:hint="eastAsia" w:ascii="宋体" w:hAnsi="宋体" w:eastAsia="宋体" w:cs="宋体"/>
      <w:color w:val="000000"/>
      <w:sz w:val="22"/>
      <w:szCs w:val="22"/>
      <w:u w:val="none"/>
    </w:rPr>
  </w:style>
  <w:style w:type="paragraph" w:customStyle="1" w:styleId="1714">
    <w:name w:val="样式 样式 样式 四号 左侧:  1.53 厘米 + 首行缩进:  2 字符 + 居中 左侧:  2 字符 首行缩进:  2..."/>
    <w:basedOn w:val="1715"/>
    <w:autoRedefine/>
    <w:qFormat/>
    <w:uiPriority w:val="0"/>
    <w:pPr>
      <w:ind w:firstLine="0" w:firstLineChars="0"/>
      <w:jc w:val="center"/>
    </w:pPr>
  </w:style>
  <w:style w:type="paragraph" w:customStyle="1" w:styleId="1715">
    <w:name w:val="样式 样式 四号 左侧:  1.53 厘米 + 首行缩进:  2 字符"/>
    <w:basedOn w:val="1716"/>
    <w:autoRedefine/>
    <w:qFormat/>
    <w:uiPriority w:val="0"/>
    <w:pPr>
      <w:ind w:left="200" w:leftChars="200"/>
    </w:pPr>
    <w:rPr>
      <w:szCs w:val="20"/>
    </w:rPr>
  </w:style>
  <w:style w:type="paragraph" w:customStyle="1" w:styleId="1716">
    <w:name w:val="样式 四号 左侧:  1.53 厘米"/>
    <w:basedOn w:val="1"/>
    <w:autoRedefine/>
    <w:qFormat/>
    <w:uiPriority w:val="0"/>
    <w:rPr>
      <w:w w:val="90"/>
      <w:sz w:val="28"/>
      <w:szCs w:val="28"/>
    </w:rPr>
  </w:style>
  <w:style w:type="character" w:customStyle="1" w:styleId="1717">
    <w:name w:val="font81"/>
    <w:basedOn w:val="100"/>
    <w:autoRedefine/>
    <w:qFormat/>
    <w:uiPriority w:val="0"/>
    <w:rPr>
      <w:rFonts w:hint="default" w:ascii="仿宋_GB2312" w:eastAsia="仿宋_GB2312" w:cs="仿宋_GB2312"/>
      <w:color w:val="FF0000"/>
      <w:sz w:val="24"/>
      <w:szCs w:val="24"/>
      <w:u w:val="none"/>
      <w:vertAlign w:val="superscript"/>
    </w:rPr>
  </w:style>
  <w:style w:type="paragraph" w:customStyle="1" w:styleId="1718">
    <w:name w:val="S正文段落"/>
    <w:basedOn w:val="1"/>
    <w:autoRedefine/>
    <w:qFormat/>
    <w:uiPriority w:val="0"/>
    <w:rPr>
      <w:kern w:val="0"/>
    </w:rPr>
  </w:style>
  <w:style w:type="paragraph" w:customStyle="1" w:styleId="1719">
    <w:name w:val="正文6"/>
    <w:autoRedefine/>
    <w:qFormat/>
    <w:uiPriority w:val="0"/>
    <w:pPr>
      <w:jc w:val="both"/>
    </w:pPr>
    <w:rPr>
      <w:rFonts w:ascii="Times New Roman" w:hAnsi="Times New Roman" w:eastAsia="宋体" w:cs="Times New Roman"/>
      <w:kern w:val="2"/>
      <w:sz w:val="21"/>
      <w:szCs w:val="21"/>
      <w:lang w:val="en-US" w:eastAsia="zh-CN" w:bidi="ar-SA"/>
    </w:rPr>
  </w:style>
  <w:style w:type="paragraph" w:customStyle="1" w:styleId="1720">
    <w:name w:val="样式 小四 首行缩进:  1.01 厘米 行距: 1.5 倍行距"/>
    <w:basedOn w:val="1"/>
    <w:autoRedefine/>
    <w:qFormat/>
    <w:uiPriority w:val="0"/>
    <w:rPr>
      <w:rFonts w:ascii="Calibri" w:hAnsi="Calibri"/>
      <w:snapToGrid w:val="0"/>
      <w:kern w:val="24"/>
      <w:szCs w:val="20"/>
    </w:rPr>
  </w:style>
  <w:style w:type="paragraph" w:customStyle="1" w:styleId="1721">
    <w:name w:val="Other|1"/>
    <w:basedOn w:val="1"/>
    <w:autoRedefine/>
    <w:qFormat/>
    <w:uiPriority w:val="0"/>
    <w:pPr>
      <w:spacing w:line="430" w:lineRule="auto"/>
      <w:ind w:firstLine="400"/>
    </w:pPr>
    <w:rPr>
      <w:rFonts w:ascii="宋体" w:hAnsi="宋体" w:cs="宋体"/>
      <w:sz w:val="28"/>
      <w:szCs w:val="28"/>
      <w:lang w:val="zh-TW" w:eastAsia="zh-TW" w:bidi="zh-TW"/>
    </w:rPr>
  </w:style>
  <w:style w:type="paragraph" w:customStyle="1" w:styleId="1722">
    <w:name w:val="表体"/>
    <w:basedOn w:val="1"/>
    <w:autoRedefine/>
    <w:qFormat/>
    <w:uiPriority w:val="0"/>
    <w:pPr>
      <w:spacing w:before="62" w:beforeLines="20" w:after="62" w:afterLines="20" w:line="240" w:lineRule="auto"/>
      <w:ind w:firstLine="0" w:firstLineChars="0"/>
      <w:jc w:val="center"/>
    </w:pPr>
  </w:style>
  <w:style w:type="paragraph" w:customStyle="1" w:styleId="1723">
    <w:name w:val="00 图表"/>
    <w:basedOn w:val="1724"/>
    <w:autoRedefine/>
    <w:qFormat/>
    <w:uiPriority w:val="0"/>
    <w:pPr>
      <w:spacing w:line="240" w:lineRule="auto"/>
      <w:ind w:firstLine="0" w:firstLineChars="0"/>
      <w:jc w:val="center"/>
    </w:pPr>
    <w:rPr>
      <w:sz w:val="22"/>
    </w:rPr>
  </w:style>
  <w:style w:type="paragraph" w:customStyle="1" w:styleId="1724">
    <w:name w:val="00 正文"/>
    <w:basedOn w:val="52"/>
    <w:autoRedefine/>
    <w:qFormat/>
    <w:uiPriority w:val="0"/>
    <w:pPr>
      <w:ind w:firstLine="480"/>
    </w:pPr>
    <w:rPr>
      <w:szCs w:val="20"/>
    </w:rPr>
  </w:style>
  <w:style w:type="paragraph" w:customStyle="1" w:styleId="1725">
    <w:name w:val="111新表格内容"/>
    <w:basedOn w:val="1"/>
    <w:autoRedefine/>
    <w:qFormat/>
    <w:uiPriority w:val="0"/>
    <w:pPr>
      <w:jc w:val="center"/>
    </w:pPr>
    <w:rPr>
      <w:color w:val="000000"/>
      <w:kern w:val="0"/>
      <w:szCs w:val="21"/>
    </w:rPr>
  </w:style>
  <w:style w:type="paragraph" w:customStyle="1" w:styleId="1726">
    <w:name w:val="标题5-MB"/>
    <w:basedOn w:val="9"/>
    <w:next w:val="1727"/>
    <w:autoRedefine/>
    <w:qFormat/>
    <w:uiPriority w:val="0"/>
    <w:pPr>
      <w:numPr>
        <w:ilvl w:val="4"/>
        <w:numId w:val="2"/>
      </w:numPr>
      <w:tabs>
        <w:tab w:val="clear" w:pos="1008"/>
      </w:tabs>
    </w:pPr>
    <w:rPr>
      <w:kern w:val="0"/>
      <w:sz w:val="21"/>
      <w:lang w:val="zh-CN"/>
    </w:rPr>
  </w:style>
  <w:style w:type="paragraph" w:customStyle="1" w:styleId="1727">
    <w:name w:val="表格内-MB"/>
    <w:basedOn w:val="1"/>
    <w:autoRedefine/>
    <w:qFormat/>
    <w:uiPriority w:val="0"/>
    <w:pPr>
      <w:contextualSpacing/>
      <w:jc w:val="center"/>
    </w:pPr>
  </w:style>
  <w:style w:type="paragraph" w:customStyle="1" w:styleId="1728">
    <w:name w:val="样式-表格内容"/>
    <w:basedOn w:val="1"/>
    <w:autoRedefine/>
    <w:qFormat/>
    <w:uiPriority w:val="0"/>
    <w:pPr>
      <w:spacing w:line="240" w:lineRule="atLeast"/>
      <w:jc w:val="center"/>
    </w:pPr>
    <w:rPr>
      <w:rFonts w:eastAsia="Times New Roman" w:cs="宋体"/>
      <w:snapToGrid w:val="0"/>
      <w:kern w:val="0"/>
      <w:sz w:val="18"/>
      <w:szCs w:val="18"/>
    </w:rPr>
  </w:style>
  <w:style w:type="character" w:customStyle="1" w:styleId="1729">
    <w:name w:val="15"/>
    <w:autoRedefine/>
    <w:qFormat/>
    <w:uiPriority w:val="0"/>
    <w:rPr>
      <w:rFonts w:hint="default" w:ascii="Times New Roman" w:hAnsi="Times New Roman" w:cs="Times New Roman"/>
      <w:color w:val="000000"/>
      <w:sz w:val="21"/>
      <w:szCs w:val="21"/>
    </w:rPr>
  </w:style>
  <w:style w:type="character" w:customStyle="1" w:styleId="1730">
    <w:name w:val="17"/>
    <w:autoRedefine/>
    <w:qFormat/>
    <w:uiPriority w:val="0"/>
    <w:rPr>
      <w:rFonts w:hint="eastAsia" w:ascii="宋体" w:hAnsi="宋体" w:eastAsia="宋体"/>
      <w:color w:val="000000"/>
      <w:sz w:val="21"/>
      <w:szCs w:val="21"/>
    </w:rPr>
  </w:style>
  <w:style w:type="character" w:customStyle="1" w:styleId="1731">
    <w:name w:val="16"/>
    <w:autoRedefine/>
    <w:qFormat/>
    <w:uiPriority w:val="0"/>
    <w:rPr>
      <w:rFonts w:hint="default" w:ascii="Times New Roman" w:hAnsi="Times New Roman" w:cs="Times New Roman"/>
      <w:color w:val="000000"/>
      <w:sz w:val="21"/>
      <w:szCs w:val="21"/>
      <w:vertAlign w:val="subscript"/>
    </w:rPr>
  </w:style>
  <w:style w:type="paragraph" w:customStyle="1" w:styleId="1732">
    <w:name w:val="列表段落1"/>
    <w:basedOn w:val="1"/>
    <w:autoRedefine/>
    <w:qFormat/>
    <w:uiPriority w:val="0"/>
    <w:rPr>
      <w:szCs w:val="21"/>
    </w:rPr>
  </w:style>
  <w:style w:type="paragraph" w:customStyle="1" w:styleId="1733">
    <w:name w:val="01表格"/>
    <w:basedOn w:val="1"/>
    <w:autoRedefine/>
    <w:qFormat/>
    <w:uiPriority w:val="0"/>
    <w:pPr>
      <w:tabs>
        <w:tab w:val="left" w:pos="420"/>
        <w:tab w:val="center" w:pos="623"/>
      </w:tabs>
      <w:jc w:val="center"/>
    </w:pPr>
    <w:rPr>
      <w:color w:val="000000"/>
      <w:kern w:val="0"/>
      <w:szCs w:val="21"/>
    </w:rPr>
  </w:style>
  <w:style w:type="paragraph" w:customStyle="1" w:styleId="1734">
    <w:name w:val="修订2"/>
    <w:autoRedefine/>
    <w:hidden/>
    <w:semiHidden/>
    <w:qFormat/>
    <w:uiPriority w:val="99"/>
    <w:rPr>
      <w:rFonts w:ascii="Times New Roman" w:hAnsi="Times New Roman" w:eastAsia="宋体" w:cs="Times New Roman"/>
      <w:kern w:val="2"/>
      <w:sz w:val="24"/>
      <w:szCs w:val="24"/>
      <w:lang w:val="en-US" w:eastAsia="zh-CN" w:bidi="ar-SA"/>
    </w:rPr>
  </w:style>
  <w:style w:type="character" w:customStyle="1" w:styleId="1735">
    <w:name w:val="页脚 Char"/>
    <w:basedOn w:val="100"/>
    <w:link w:val="49"/>
    <w:autoRedefine/>
    <w:qFormat/>
    <w:uiPriority w:val="0"/>
    <w:rPr>
      <w:kern w:val="2"/>
      <w:sz w:val="18"/>
      <w:szCs w:val="18"/>
    </w:rPr>
  </w:style>
  <w:style w:type="paragraph" w:customStyle="1" w:styleId="1736">
    <w:name w:val="Style1"/>
    <w:basedOn w:val="1"/>
    <w:autoRedefine/>
    <w:qFormat/>
    <w:uiPriority w:val="0"/>
    <w:pPr>
      <w:tabs>
        <w:tab w:val="left" w:pos="-720"/>
      </w:tabs>
      <w:spacing w:after="120"/>
    </w:pPr>
    <w:rPr>
      <w:spacing w:val="-3"/>
      <w:kern w:val="0"/>
      <w:szCs w:val="20"/>
      <w:lang w:val="en-AU" w:eastAsia="en-US"/>
    </w:rPr>
  </w:style>
  <w:style w:type="paragraph" w:customStyle="1" w:styleId="1737">
    <w:name w:val="Table Text"/>
    <w:basedOn w:val="1"/>
    <w:autoRedefine/>
    <w:semiHidden/>
    <w:qFormat/>
    <w:uiPriority w:val="0"/>
    <w:pPr>
      <w:kinsoku w:val="0"/>
      <w:textAlignment w:val="baseline"/>
    </w:pPr>
    <w:rPr>
      <w:rFonts w:ascii="宋体" w:hAnsi="宋体" w:cs="宋体"/>
      <w:snapToGrid w:val="0"/>
      <w:color w:val="000000"/>
      <w:kern w:val="0"/>
      <w:sz w:val="20"/>
      <w:szCs w:val="20"/>
      <w:lang w:eastAsia="en-US"/>
    </w:rPr>
  </w:style>
  <w:style w:type="table" w:customStyle="1" w:styleId="1738">
    <w:name w:val="Table Normal"/>
    <w:semiHidden/>
    <w:unhideWhenUsed/>
    <w:qFormat/>
    <w:uiPriority w:val="0"/>
    <w:tblPr>
      <w:tblCellMar>
        <w:top w:w="0" w:type="dxa"/>
        <w:left w:w="0" w:type="dxa"/>
        <w:bottom w:w="0" w:type="dxa"/>
        <w:right w:w="0" w:type="dxa"/>
      </w:tblCellMar>
    </w:tblPr>
  </w:style>
  <w:style w:type="paragraph" w:customStyle="1" w:styleId="1739">
    <w:name w:val="(.a表格内容"/>
    <w:basedOn w:val="1"/>
    <w:qFormat/>
    <w:uiPriority w:val="0"/>
    <w:pPr>
      <w:spacing w:line="0" w:lineRule="atLeast"/>
      <w:ind w:firstLine="0" w:firstLineChars="0"/>
      <w:jc w:val="center"/>
    </w:pPr>
    <w:rPr>
      <w:rFonts w:ascii="Calibri" w:hAnsi="Calibri" w:cs="Arial"/>
      <w:bCs/>
    </w:rPr>
  </w:style>
  <w:style w:type="paragraph" w:customStyle="1" w:styleId="1740">
    <w:name w:val="1表标题"/>
    <w:basedOn w:val="1741"/>
    <w:qFormat/>
    <w:uiPriority w:val="0"/>
    <w:pPr>
      <w:spacing w:line="480" w:lineRule="exact"/>
      <w:outlineLvl w:val="9"/>
    </w:pPr>
    <w:rPr>
      <w:b/>
    </w:rPr>
  </w:style>
  <w:style w:type="paragraph" w:customStyle="1" w:styleId="1741">
    <w:name w:val="0表格"/>
    <w:basedOn w:val="1"/>
    <w:qFormat/>
    <w:uiPriority w:val="99"/>
    <w:pPr>
      <w:spacing w:line="0" w:lineRule="atLeast"/>
      <w:ind w:firstLine="0" w:firstLineChars="0"/>
      <w:jc w:val="center"/>
      <w:outlineLvl w:val="0"/>
    </w:pPr>
    <w:rPr>
      <w:szCs w:val="32"/>
    </w:rPr>
  </w:style>
  <w:style w:type="paragraph" w:customStyle="1" w:styleId="1742">
    <w:name w:val="16表格内容"/>
    <w:qFormat/>
    <w:uiPriority w:val="0"/>
    <w:pPr>
      <w:spacing w:line="240" w:lineRule="atLeast"/>
      <w:jc w:val="center"/>
    </w:pPr>
    <w:rPr>
      <w:rFonts w:ascii="Calibri" w:hAnsi="Calibri" w:eastAsia="宋体" w:cs="Times New Roman"/>
      <w:kern w:val="2"/>
      <w:sz w:val="21"/>
      <w:szCs w:val="24"/>
      <w:lang w:val="en-US" w:eastAsia="zh-CN" w:bidi="ar-SA"/>
    </w:rPr>
  </w:style>
  <w:style w:type="paragraph" w:customStyle="1" w:styleId="1743">
    <w:name w:val="15正文"/>
    <w:qFormat/>
    <w:uiPriority w:val="0"/>
    <w:pPr>
      <w:spacing w:line="480" w:lineRule="atLeast"/>
      <w:ind w:firstLine="480" w:firstLineChars="200"/>
      <w:jc w:val="both"/>
    </w:pPr>
    <w:rPr>
      <w:rFonts w:ascii="Calibri" w:hAnsi="Calibri" w:eastAsia="宋体" w:cs="Times New Roman"/>
      <w:kern w:val="2"/>
      <w:sz w:val="24"/>
      <w:szCs w:val="24"/>
      <w:lang w:val="en-US" w:eastAsia="zh-CN" w:bidi="ar-SA"/>
    </w:rPr>
  </w:style>
  <w:style w:type="paragraph" w:customStyle="1" w:styleId="1744">
    <w:name w:val="书正文"/>
    <w:basedOn w:val="1"/>
    <w:qFormat/>
    <w:uiPriority w:val="0"/>
    <w:pPr>
      <w:spacing w:line="500" w:lineRule="exact"/>
      <w:ind w:firstLine="640"/>
    </w:pPr>
  </w:style>
  <w:style w:type="character" w:customStyle="1" w:styleId="1745">
    <w:name w:val="！正文ctrl-4 Char Char"/>
    <w:qFormat/>
    <w:uiPriority w:val="0"/>
    <w:rPr>
      <w:rFonts w:ascii="Calibri" w:hAnsi="Calibri"/>
      <w:kern w:val="2"/>
      <w:sz w:val="24"/>
      <w:szCs w:val="24"/>
    </w:rPr>
  </w:style>
  <w:style w:type="paragraph" w:customStyle="1" w:styleId="1746">
    <w:name w:val="标题111"/>
    <w:basedOn w:val="1"/>
    <w:qFormat/>
    <w:uiPriority w:val="0"/>
    <w:pPr>
      <w:ind w:firstLine="0" w:firstLineChars="0"/>
    </w:pPr>
    <w:rPr>
      <w:b/>
    </w:rPr>
  </w:style>
  <w:style w:type="paragraph" w:customStyle="1" w:styleId="1747">
    <w:name w:val="正文缩进1"/>
    <w:basedOn w:val="1"/>
    <w:qFormat/>
    <w:uiPriority w:val="0"/>
    <w:pPr>
      <w:tabs>
        <w:tab w:val="left" w:pos="0"/>
      </w:tabs>
      <w:ind w:firstLine="480"/>
    </w:pPr>
    <w:rPr>
      <w:color w:val="000000"/>
      <w:sz w:val="24"/>
    </w:rPr>
  </w:style>
  <w:style w:type="paragraph" w:customStyle="1" w:styleId="1748">
    <w:name w:val="新表格内容"/>
    <w:basedOn w:val="135"/>
    <w:qFormat/>
    <w:uiPriority w:val="0"/>
    <w:pPr>
      <w:tabs>
        <w:tab w:val="left" w:pos="2445"/>
        <w:tab w:val="center" w:pos="4156"/>
      </w:tabs>
      <w:adjustRightInd/>
      <w:snapToGrid/>
      <w:spacing w:line="320" w:lineRule="exact"/>
    </w:pPr>
    <w:rPr>
      <w:kern w:val="2"/>
      <w:sz w:val="18"/>
      <w:szCs w:val="18"/>
    </w:rPr>
  </w:style>
  <w:style w:type="paragraph" w:customStyle="1" w:styleId="1749">
    <w:name w:val="！正文ctrl-4"/>
    <w:basedOn w:val="1"/>
    <w:qFormat/>
    <w:uiPriority w:val="0"/>
    <w:pPr>
      <w:spacing w:beforeLines="50"/>
      <w:ind w:firstLine="480"/>
    </w:pPr>
    <w:rPr>
      <w:rFonts w:cs="Times New Roman"/>
      <w:sz w:val="21"/>
    </w:rPr>
  </w:style>
  <w:style w:type="paragraph" w:customStyle="1" w:styleId="1750">
    <w:name w:val="表字"/>
    <w:next w:val="1"/>
    <w:qFormat/>
    <w:uiPriority w:val="0"/>
    <w:pPr>
      <w:snapToGrid w:val="0"/>
      <w:jc w:val="center"/>
    </w:pPr>
    <w:rPr>
      <w:rFonts w:ascii="Times New Roman" w:hAnsi="Times New Roman" w:eastAsia="宋体" w:cs="Times New Roman"/>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1.xml"/><Relationship Id="rId6" Type="http://schemas.openxmlformats.org/officeDocument/2006/relationships/endnotes" Target="endnotes.xml"/><Relationship Id="rId5" Type="http://schemas.openxmlformats.org/officeDocument/2006/relationships/footnotes" Target="footnotes.xml"/><Relationship Id="rId46" Type="http://schemas.microsoft.com/office/2011/relationships/people" Target="people.xml"/><Relationship Id="rId45" Type="http://schemas.openxmlformats.org/officeDocument/2006/relationships/fontTable" Target="fontTable.xml"/><Relationship Id="rId44" Type="http://schemas.openxmlformats.org/officeDocument/2006/relationships/customXml" Target="../customXml/item2.xml"/><Relationship Id="rId43" Type="http://schemas.openxmlformats.org/officeDocument/2006/relationships/numbering" Target="numbering.xml"/><Relationship Id="rId42" Type="http://schemas.openxmlformats.org/officeDocument/2006/relationships/customXml" Target="../customXml/item1.xml"/><Relationship Id="rId41" Type="http://schemas.openxmlformats.org/officeDocument/2006/relationships/image" Target="media/image23.png"/><Relationship Id="rId40" Type="http://schemas.openxmlformats.org/officeDocument/2006/relationships/image" Target="media/image22.jpeg"/><Relationship Id="rId4" Type="http://schemas.microsoft.com/office/2011/relationships/commentsExtended" Target="commentsExtended.xml"/><Relationship Id="rId39" Type="http://schemas.openxmlformats.org/officeDocument/2006/relationships/image" Target="media/image21.jpeg"/><Relationship Id="rId38" Type="http://schemas.openxmlformats.org/officeDocument/2006/relationships/image" Target="media/image20.jpeg"/><Relationship Id="rId37" Type="http://schemas.openxmlformats.org/officeDocument/2006/relationships/image" Target="media/image19.jpeg"/><Relationship Id="rId36" Type="http://schemas.openxmlformats.org/officeDocument/2006/relationships/image" Target="media/image18.png"/><Relationship Id="rId35" Type="http://schemas.openxmlformats.org/officeDocument/2006/relationships/image" Target="media/image17.png"/><Relationship Id="rId34" Type="http://schemas.openxmlformats.org/officeDocument/2006/relationships/image" Target="media/image16.png"/><Relationship Id="rId33" Type="http://schemas.openxmlformats.org/officeDocument/2006/relationships/image" Target="media/image15.png"/><Relationship Id="rId32" Type="http://schemas.openxmlformats.org/officeDocument/2006/relationships/image" Target="media/image14.png"/><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comments" Target="comments.xml"/><Relationship Id="rId29" Type="http://schemas.openxmlformats.org/officeDocument/2006/relationships/image" Target="media/image11.emf"/><Relationship Id="rId28" Type="http://schemas.openxmlformats.org/officeDocument/2006/relationships/oleObject" Target="embeddings/oleObject8.bin"/><Relationship Id="rId27" Type="http://schemas.openxmlformats.org/officeDocument/2006/relationships/image" Target="media/image10.emf"/><Relationship Id="rId26" Type="http://schemas.openxmlformats.org/officeDocument/2006/relationships/oleObject" Target="embeddings/oleObject7.bin"/><Relationship Id="rId25" Type="http://schemas.openxmlformats.org/officeDocument/2006/relationships/image" Target="media/image9.emf"/><Relationship Id="rId24" Type="http://schemas.openxmlformats.org/officeDocument/2006/relationships/oleObject" Target="embeddings/oleObject6.bin"/><Relationship Id="rId23" Type="http://schemas.openxmlformats.org/officeDocument/2006/relationships/image" Target="media/image8.emf"/><Relationship Id="rId22" Type="http://schemas.openxmlformats.org/officeDocument/2006/relationships/oleObject" Target="embeddings/oleObject5.bin"/><Relationship Id="rId21" Type="http://schemas.openxmlformats.org/officeDocument/2006/relationships/image" Target="media/image7.emf"/><Relationship Id="rId20" Type="http://schemas.openxmlformats.org/officeDocument/2006/relationships/oleObject" Target="embeddings/oleObject4.bin"/><Relationship Id="rId2" Type="http://schemas.openxmlformats.org/officeDocument/2006/relationships/settings" Target="settings.xml"/><Relationship Id="rId19" Type="http://schemas.openxmlformats.org/officeDocument/2006/relationships/image" Target="media/image6.emf"/><Relationship Id="rId18" Type="http://schemas.openxmlformats.org/officeDocument/2006/relationships/oleObject" Target="embeddings/oleObject3.bin"/><Relationship Id="rId17" Type="http://schemas.openxmlformats.org/officeDocument/2006/relationships/image" Target="media/image5.png"/><Relationship Id="rId16" Type="http://schemas.openxmlformats.org/officeDocument/2006/relationships/image" Target="media/image4.emf"/><Relationship Id="rId15" Type="http://schemas.openxmlformats.org/officeDocument/2006/relationships/oleObject" Target="embeddings/oleObject2.bin"/><Relationship Id="rId14" Type="http://schemas.openxmlformats.org/officeDocument/2006/relationships/image" Target="media/image3.emf"/><Relationship Id="rId13" Type="http://schemas.openxmlformats.org/officeDocument/2006/relationships/oleObject" Target="embeddings/oleObject1.bin"/><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97C0F7-FE9C-42C5-B719-AC1A6064442B}">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84</Pages>
  <Words>34011</Words>
  <Characters>36194</Characters>
  <Lines>164</Lines>
  <Paragraphs>46</Paragraphs>
  <TotalTime>170</TotalTime>
  <ScaleCrop>false</ScaleCrop>
  <LinksUpToDate>false</LinksUpToDate>
  <CharactersWithSpaces>36293</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2021-03-18T09:08:00Z</dcterms:created>
  <dc:creator>lhj</dc:creator>
  <cp:lastModifiedBy>WPS_1636507533</cp:lastModifiedBy>
  <cp:lastPrinted>2020-12-29T02:43:00Z</cp:lastPrinted>
  <dcterms:modified xsi:type="dcterms:W3CDTF">2026-06-09T00:25:48Z</dcterms:modified>
  <dc:title>附件2</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2DB36164D2724A089675A41B604657B3_13</vt:lpwstr>
  </property>
  <property fmtid="{D5CDD505-2E9C-101B-9397-08002B2CF9AE}" pid="4" name="KSOTemplateDocerSaveRecord">
    <vt:lpwstr>eyJoZGlkIjoiYWMyMWYwYmU0YmI3OTNmZTM5NTQwOGU5YTVkOTRmNzMiLCJ1c2VySWQiOiIxMjkzODE5ODE0In0=</vt:lpwstr>
  </property>
</Properties>
</file>